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4"/>
          <w:szCs w:val="24"/>
          <w:color w:val="auto"/>
        </w:rPr>
      </w:pPr>
    </w:p>
    <w:p>
      <w:pPr>
        <w:spacing w:after="0" w:line="200" w:lineRule="exact"/>
        <w:rPr>
          <w:sz w:val="24"/>
          <w:szCs w:val="24"/>
          <w:color w:val="auto"/>
        </w:rPr>
      </w:pPr>
    </w:p>
    <w:p>
      <w:pPr>
        <w:spacing w:after="0" w:line="30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UNITED STATES</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AND EXCHANGE COMMISSION</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248"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Form 10-Q</w:t>
      </w:r>
    </w:p>
    <w:p>
      <w:pPr>
        <w:spacing w:after="0" w:line="248" w:lineRule="exact"/>
        <w:rPr>
          <w:sz w:val="24"/>
          <w:szCs w:val="24"/>
          <w:color w:val="auto"/>
        </w:rPr>
      </w:pPr>
    </w:p>
    <w:p>
      <w:pPr>
        <w:jc w:val="center"/>
        <w:ind w:left="3940" w:right="1400" w:hanging="2539"/>
        <w:spacing w:after="0" w:line="260" w:lineRule="auto"/>
        <w:tabs>
          <w:tab w:leader="none" w:pos="1586"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QUARTERLY REPORT PURSUANT TO SECTION 13 OR 15(d) OF THE SECURITIES EXCHANGE ACT OF 1934 For the quarterly period ended March 31, 2021</w:t>
      </w:r>
    </w:p>
    <w:p>
      <w:pPr>
        <w:spacing w:after="0" w:line="168" w:lineRule="exact"/>
        <w:rPr>
          <w:sz w:val="24"/>
          <w:szCs w:val="24"/>
          <w:color w:val="auto"/>
        </w:rPr>
      </w:pPr>
    </w:p>
    <w:p>
      <w:pPr>
        <w:jc w:val="center"/>
        <w:ind w:left="3520" w:right="1400" w:hanging="2122"/>
        <w:spacing w:after="0" w:line="260" w:lineRule="auto"/>
        <w:tabs>
          <w:tab w:leader="none" w:pos="1586"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TRANSITION REPORT PURSUANT TO SECTION 13 OR 15(d) OF THE SECURITIES EXCHANGE ACT OF 1934 For the transition period from __________ to __________.</w:t>
      </w:r>
    </w:p>
    <w:p>
      <w:pPr>
        <w:spacing w:after="0" w:line="222"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Commission File Number 001-31303</w:t>
      </w:r>
    </w:p>
    <w:p>
      <w:pPr>
        <w:spacing w:after="0" w:line="22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Black Hills Corporation</w:t>
      </w:r>
    </w:p>
    <w:p>
      <w:pPr>
        <w:spacing w:after="0" w:line="268"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Incorporated in South Dakota IRS Identification Number 46-0458824</w:t>
      </w:r>
    </w:p>
    <w:p>
      <w:pPr>
        <w:spacing w:after="0" w:line="248"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7001 Mount Rushmore Road</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Rapid City, South Dakota 57702</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(605) 721-1700</w:t>
      </w:r>
    </w:p>
    <w:p>
      <w:pPr>
        <w:spacing w:after="0" w:line="248"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Former name, former address, and former fiscal year if changed since last report</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NONE</w:t>
      </w:r>
    </w:p>
    <w:p>
      <w:pPr>
        <w:spacing w:after="0" w:line="235" w:lineRule="exact"/>
        <w:rPr>
          <w:sz w:val="24"/>
          <w:szCs w:val="24"/>
          <w:color w:val="auto"/>
        </w:rPr>
      </w:pPr>
    </w:p>
    <w:p>
      <w:pPr>
        <w:jc w:val="both"/>
        <w:ind w:right="400"/>
        <w:spacing w:after="0" w:line="179"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07" w:lineRule="exact"/>
        <w:rPr>
          <w:sz w:val="24"/>
          <w:szCs w:val="24"/>
          <w:color w:val="auto"/>
        </w:rPr>
      </w:pPr>
    </w:p>
    <w:p>
      <w:pPr>
        <w:ind w:right="420"/>
        <w:spacing w:after="0" w:line="201"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21" w:lineRule="exact"/>
        <w:rPr>
          <w:sz w:val="24"/>
          <w:szCs w:val="24"/>
          <w:color w:val="auto"/>
        </w:rPr>
      </w:pPr>
    </w:p>
    <w:p>
      <w:pPr>
        <w:ind w:right="20"/>
        <w:spacing w:after="0" w:line="25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78" w:lineRule="exact"/>
        <w:rPr>
          <w:sz w:val="24"/>
          <w:szCs w:val="24"/>
          <w:color w:val="auto"/>
        </w:rPr>
      </w:pPr>
    </w:p>
    <w:tbl>
      <w:tblPr>
        <w:tblLayout w:type="fixed"/>
        <w:tblInd w:w="2400" w:type="dxa"/>
        <w:tblCellMar>
          <w:top w:w="0" w:type="dxa"/>
          <w:left w:w="0" w:type="dxa"/>
          <w:bottom w:w="0" w:type="dxa"/>
          <w:right w:w="0" w:type="dxa"/>
        </w:tblCellMar>
      </w:tblPr>
      <w:tr>
        <w:trPr>
          <w:trHeight w:val="254"/>
        </w:trPr>
        <w:tc>
          <w:tcPr>
            <w:tcW w:w="220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920" w:type="dxa"/>
            <w:vAlign w:val="bottom"/>
          </w:tcPr>
          <w:p>
            <w:pPr>
              <w:ind w:left="520"/>
              <w:spacing w:after="0"/>
              <w:rPr>
                <w:sz w:val="20"/>
                <w:szCs w:val="20"/>
                <w:color w:val="auto"/>
              </w:rPr>
            </w:pPr>
            <w:r>
              <w:rPr>
                <w:rFonts w:ascii="Arial" w:cs="Arial" w:eastAsia="Arial" w:hAnsi="Arial"/>
                <w:sz w:val="16"/>
                <w:szCs w:val="16"/>
                <w:color w:val="auto"/>
              </w:rPr>
              <w:t>x</w:t>
            </w:r>
          </w:p>
        </w:tc>
        <w:tc>
          <w:tcPr>
            <w:tcW w:w="2640" w:type="dxa"/>
            <w:vAlign w:val="bottom"/>
          </w:tcPr>
          <w:p>
            <w:pPr>
              <w:ind w:left="260"/>
              <w:spacing w:after="0"/>
              <w:rPr>
                <w:sz w:val="20"/>
                <w:szCs w:val="20"/>
                <w:color w:val="auto"/>
              </w:rPr>
            </w:pPr>
            <w:r>
              <w:rPr>
                <w:rFonts w:ascii="Arial" w:cs="Arial" w:eastAsia="Arial" w:hAnsi="Arial"/>
                <w:sz w:val="16"/>
                <w:szCs w:val="16"/>
                <w:color w:val="auto"/>
              </w:rPr>
              <w:t>Accelerated Filer</w:t>
            </w:r>
          </w:p>
        </w:tc>
        <w:tc>
          <w:tcPr>
            <w:tcW w:w="480" w:type="dxa"/>
            <w:vAlign w:val="bottom"/>
          </w:tcPr>
          <w:p>
            <w:pPr>
              <w:ind w:left="3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10"/>
        </w:trPr>
        <w:tc>
          <w:tcPr>
            <w:tcW w:w="2200" w:type="dxa"/>
            <w:vAlign w:val="bottom"/>
          </w:tcPr>
          <w:p>
            <w:pPr>
              <w:spacing w:after="0"/>
              <w:rPr>
                <w:sz w:val="20"/>
                <w:szCs w:val="20"/>
                <w:color w:val="auto"/>
              </w:rPr>
            </w:pPr>
            <w:r>
              <w:rPr>
                <w:rFonts w:ascii="Arial" w:cs="Arial" w:eastAsia="Arial" w:hAnsi="Arial"/>
                <w:sz w:val="16"/>
                <w:szCs w:val="16"/>
                <w:color w:val="auto"/>
              </w:rPr>
              <w:t>Non-accelerated Filer</w:t>
            </w:r>
          </w:p>
        </w:tc>
        <w:tc>
          <w:tcPr>
            <w:tcW w:w="920" w:type="dxa"/>
            <w:vAlign w:val="bottom"/>
          </w:tcPr>
          <w:p>
            <w:pPr>
              <w:ind w:left="520"/>
              <w:spacing w:after="0" w:line="161" w:lineRule="exact"/>
              <w:rPr>
                <w:sz w:val="20"/>
                <w:szCs w:val="20"/>
                <w:color w:val="auto"/>
              </w:rPr>
            </w:pPr>
            <w:r>
              <w:rPr>
                <w:rFonts w:ascii="MS PGothic" w:cs="MS PGothic" w:eastAsia="MS PGothic" w:hAnsi="MS PGothic"/>
                <w:sz w:val="16"/>
                <w:szCs w:val="16"/>
                <w:color w:val="auto"/>
              </w:rPr>
              <w:t>☐</w:t>
            </w:r>
          </w:p>
        </w:tc>
        <w:tc>
          <w:tcPr>
            <w:tcW w:w="2640" w:type="dxa"/>
            <w:vAlign w:val="bottom"/>
          </w:tcPr>
          <w:p>
            <w:pPr>
              <w:ind w:left="260"/>
              <w:spacing w:after="0"/>
              <w:rPr>
                <w:sz w:val="20"/>
                <w:szCs w:val="20"/>
                <w:color w:val="auto"/>
              </w:rPr>
            </w:pPr>
            <w:r>
              <w:rPr>
                <w:rFonts w:ascii="Arial" w:cs="Arial" w:eastAsia="Arial" w:hAnsi="Arial"/>
                <w:sz w:val="16"/>
                <w:szCs w:val="16"/>
                <w:color w:val="auto"/>
              </w:rPr>
              <w:t>Smaller Reporting Company</w:t>
            </w:r>
          </w:p>
        </w:tc>
        <w:tc>
          <w:tcPr>
            <w:tcW w:w="480" w:type="dxa"/>
            <w:vAlign w:val="bottom"/>
          </w:tcPr>
          <w:p>
            <w:pPr>
              <w:ind w:left="3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10"/>
        </w:trPr>
        <w:tc>
          <w:tcPr>
            <w:tcW w:w="2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40" w:type="dxa"/>
            <w:vAlign w:val="bottom"/>
          </w:tcPr>
          <w:p>
            <w:pPr>
              <w:ind w:left="260"/>
              <w:spacing w:after="0"/>
              <w:rPr>
                <w:sz w:val="20"/>
                <w:szCs w:val="20"/>
                <w:color w:val="auto"/>
              </w:rPr>
            </w:pPr>
            <w:r>
              <w:rPr>
                <w:rFonts w:ascii="Arial" w:cs="Arial" w:eastAsia="Arial" w:hAnsi="Arial"/>
                <w:sz w:val="16"/>
                <w:szCs w:val="16"/>
                <w:color w:val="auto"/>
              </w:rPr>
              <w:t>Emerging Growth Company</w:t>
            </w:r>
          </w:p>
        </w:tc>
        <w:tc>
          <w:tcPr>
            <w:tcW w:w="480" w:type="dxa"/>
            <w:vAlign w:val="bottom"/>
          </w:tcPr>
          <w:p>
            <w:pPr>
              <w:ind w:left="34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314" w:lineRule="exact"/>
        <w:rPr>
          <w:sz w:val="24"/>
          <w:szCs w:val="24"/>
          <w:color w:val="auto"/>
        </w:rPr>
      </w:pPr>
    </w:p>
    <w:p>
      <w:pPr>
        <w:spacing w:after="0" w:line="260"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8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00" w:lineRule="exact"/>
        <w:rPr>
          <w:sz w:val="24"/>
          <w:szCs w:val="24"/>
          <w:color w:val="auto"/>
        </w:rPr>
      </w:pP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Securities registered pursuant to Section 12(b) of the Act:</w:t>
      </w:r>
    </w:p>
    <w:p>
      <w:pPr>
        <w:sectPr>
          <w:pgSz w:w="11900" w:h="16838" w:orient="portrait"/>
          <w:cols w:equalWidth="0" w:num="1">
            <w:col w:w="11240"/>
          </w:cols>
          <w:pgMar w:left="320" w:top="229" w:right="339" w:bottom="1440" w:gutter="0" w:footer="0" w:header="0"/>
        </w:sectPr>
      </w:pPr>
    </w:p>
    <w:p>
      <w:pPr>
        <w:spacing w:after="0" w:line="32" w:lineRule="exact"/>
        <w:rPr>
          <w:sz w:val="24"/>
          <w:szCs w:val="24"/>
          <w:color w:val="auto"/>
        </w:rPr>
      </w:pPr>
    </w:p>
    <w:p>
      <w:pPr>
        <w:ind w:left="2380"/>
        <w:spacing w:after="0"/>
        <w:rPr>
          <w:sz w:val="20"/>
          <w:szCs w:val="20"/>
          <w:color w:val="auto"/>
        </w:rPr>
      </w:pPr>
      <w:r>
        <w:rPr>
          <w:rFonts w:ascii="Arial" w:cs="Arial" w:eastAsia="Arial" w:hAnsi="Arial"/>
          <w:sz w:val="16"/>
          <w:szCs w:val="16"/>
          <w:color w:val="auto"/>
        </w:rPr>
        <w:t>Title of each class</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Trading Symbol(s)</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jc w:val="center"/>
        <w:ind w:right="820"/>
        <w:spacing w:after="0"/>
        <w:rPr>
          <w:sz w:val="20"/>
          <w:szCs w:val="20"/>
          <w:color w:val="auto"/>
        </w:rPr>
      </w:pPr>
      <w:r>
        <w:rPr>
          <w:rFonts w:ascii="Arial" w:cs="Arial" w:eastAsia="Arial" w:hAnsi="Arial"/>
          <w:sz w:val="16"/>
          <w:szCs w:val="16"/>
          <w:color w:val="auto"/>
        </w:rPr>
        <w:t>Name of each exchange on which registered</w:t>
      </w:r>
    </w:p>
    <w:p>
      <w:pPr>
        <w:spacing w:after="0" w:line="32" w:lineRule="exact"/>
        <w:rPr>
          <w:sz w:val="24"/>
          <w:szCs w:val="24"/>
          <w:color w:val="auto"/>
        </w:rPr>
      </w:pPr>
    </w:p>
    <w:p>
      <w:pPr>
        <w:sectPr>
          <w:pgSz w:w="11900" w:h="16838" w:orient="portrait"/>
          <w:cols w:equalWidth="0" w:num="3">
            <w:col w:w="4320" w:space="720"/>
            <w:col w:w="1460" w:space="720"/>
            <w:col w:w="4020"/>
          </w:cols>
          <w:pgMar w:left="320" w:top="229" w:right="339" w:bottom="1440" w:gutter="0" w:footer="0" w:header="0"/>
          <w:type w:val="continuous"/>
        </w:sectPr>
      </w:pPr>
    </w:p>
    <w:p>
      <w:pPr>
        <w:ind w:left="1820"/>
        <w:spacing w:after="0"/>
        <w:rPr>
          <w:sz w:val="20"/>
          <w:szCs w:val="20"/>
          <w:color w:val="auto"/>
        </w:rPr>
      </w:pPr>
      <w:r>
        <w:rPr>
          <w:rFonts w:ascii="Arial" w:cs="Arial" w:eastAsia="Arial" w:hAnsi="Arial"/>
          <w:sz w:val="16"/>
          <w:szCs w:val="16"/>
          <w:color w:val="auto"/>
        </w:rPr>
        <w:t>Common stock of $1.00 par value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BKH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New York Stock Exchange</w:t>
      </w:r>
    </w:p>
    <w:p>
      <w:pPr>
        <w:spacing w:after="0" w:line="200" w:lineRule="exact"/>
        <w:rPr>
          <w:sz w:val="24"/>
          <w:szCs w:val="24"/>
          <w:color w:val="auto"/>
        </w:rPr>
      </w:pPr>
    </w:p>
    <w:p>
      <w:pPr>
        <w:sectPr>
          <w:pgSz w:w="11900" w:h="16838" w:orient="portrait"/>
          <w:cols w:equalWidth="0" w:num="3">
            <w:col w:w="4820" w:space="720"/>
            <w:col w:w="1600" w:space="720"/>
            <w:col w:w="3380"/>
          </w:cols>
          <w:pgMar w:left="320" w:top="229" w:right="339" w:bottom="1440" w:gutter="0" w:footer="0" w:header="0"/>
          <w:type w:val="continuous"/>
        </w:sectPr>
      </w:pPr>
    </w:p>
    <w:p>
      <w:pPr>
        <w:spacing w:after="0" w:line="156" w:lineRule="exact"/>
        <w:rPr>
          <w:sz w:val="24"/>
          <w:szCs w:val="24"/>
          <w:color w:val="auto"/>
        </w:rPr>
      </w:pPr>
    </w:p>
    <w:p>
      <w:pPr>
        <w:spacing w:after="0"/>
        <w:rPr>
          <w:sz w:val="20"/>
          <w:szCs w:val="20"/>
          <w:color w:val="auto"/>
        </w:rPr>
      </w:pPr>
      <w:r>
        <w:rPr>
          <w:rFonts w:ascii="Arial" w:cs="Arial" w:eastAsia="Arial" w:hAnsi="Arial"/>
          <w:sz w:val="16"/>
          <w:szCs w:val="16"/>
          <w:color w:val="auto"/>
        </w:rPr>
        <w:t>Indicate the number of shares outstanding of each of the issuer’s classes of common stock as of the latest practicable date.</w:t>
      </w:r>
    </w:p>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195"/>
        </w:trPr>
        <w:tc>
          <w:tcPr>
            <w:tcW w:w="5900" w:type="dxa"/>
            <w:vAlign w:val="bottom"/>
          </w:tcPr>
          <w:p>
            <w:pPr>
              <w:ind w:left="3900"/>
              <w:spacing w:after="0"/>
              <w:rPr>
                <w:sz w:val="20"/>
                <w:szCs w:val="20"/>
                <w:color w:val="auto"/>
              </w:rPr>
            </w:pPr>
            <w:r>
              <w:rPr>
                <w:rFonts w:ascii="Arial" w:cs="Arial" w:eastAsia="Arial" w:hAnsi="Arial"/>
                <w:sz w:val="16"/>
                <w:szCs w:val="16"/>
                <w:color w:val="auto"/>
              </w:rPr>
              <w:t>Class</w:t>
            </w:r>
          </w:p>
        </w:tc>
        <w:tc>
          <w:tcPr>
            <w:tcW w:w="5340" w:type="dxa"/>
            <w:vAlign w:val="bottom"/>
          </w:tcPr>
          <w:p>
            <w:pPr>
              <w:ind w:left="340"/>
              <w:spacing w:after="0"/>
              <w:rPr>
                <w:sz w:val="20"/>
                <w:szCs w:val="20"/>
                <w:color w:val="auto"/>
              </w:rPr>
            </w:pPr>
            <w:r>
              <w:rPr>
                <w:rFonts w:ascii="Arial" w:cs="Arial" w:eastAsia="Arial" w:hAnsi="Arial"/>
                <w:sz w:val="16"/>
                <w:szCs w:val="16"/>
                <w:color w:val="auto"/>
              </w:rPr>
              <w:t>Outstanding at April 30, 2021</w:t>
            </w:r>
          </w:p>
        </w:tc>
      </w:tr>
      <w:tr>
        <w:trPr>
          <w:trHeight w:val="216"/>
        </w:trPr>
        <w:tc>
          <w:tcPr>
            <w:tcW w:w="5900" w:type="dxa"/>
            <w:vAlign w:val="bottom"/>
          </w:tcPr>
          <w:p>
            <w:pPr>
              <w:ind w:left="3260"/>
              <w:spacing w:after="0"/>
              <w:rPr>
                <w:sz w:val="20"/>
                <w:szCs w:val="20"/>
                <w:color w:val="auto"/>
              </w:rPr>
            </w:pPr>
            <w:r>
              <w:rPr>
                <w:rFonts w:ascii="Arial" w:cs="Arial" w:eastAsia="Arial" w:hAnsi="Arial"/>
                <w:sz w:val="16"/>
                <w:szCs w:val="16"/>
                <w:color w:val="auto"/>
              </w:rPr>
              <w:t>Common stock, $1.00 par value</w:t>
            </w:r>
          </w:p>
        </w:tc>
        <w:tc>
          <w:tcPr>
            <w:tcW w:w="5340" w:type="dxa"/>
            <w:vAlign w:val="bottom"/>
          </w:tcPr>
          <w:p>
            <w:pPr>
              <w:ind w:left="520"/>
              <w:spacing w:after="0"/>
              <w:rPr>
                <w:sz w:val="20"/>
                <w:szCs w:val="20"/>
                <w:color w:val="auto"/>
              </w:rPr>
            </w:pPr>
            <w:r>
              <w:rPr>
                <w:rFonts w:ascii="Arial" w:cs="Arial" w:eastAsia="Arial" w:hAnsi="Arial"/>
                <w:sz w:val="16"/>
                <w:szCs w:val="16"/>
                <w:color w:val="auto"/>
              </w:rPr>
              <w:t>62,871,727 shares</w:t>
            </w:r>
          </w:p>
        </w:tc>
      </w:tr>
      <w:tr>
        <w:trPr>
          <w:trHeight w:val="1012"/>
        </w:trPr>
        <w:tc>
          <w:tcPr>
            <w:tcW w:w="5900" w:type="dxa"/>
            <w:vAlign w:val="bottom"/>
            <w:tcBorders>
              <w:bottom w:val="single" w:sz="8" w:color="9A9A9A"/>
            </w:tcBorders>
          </w:tcPr>
          <w:p>
            <w:pPr>
              <w:spacing w:after="0"/>
              <w:rPr>
                <w:sz w:val="24"/>
                <w:szCs w:val="24"/>
                <w:color w:val="auto"/>
              </w:rPr>
            </w:pPr>
          </w:p>
        </w:tc>
        <w:tc>
          <w:tcPr>
            <w:tcW w:w="534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 w:name="page2"/>
    <w:bookmarkEnd w:id="1"/>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20" w:type="dxa"/>
            <w:vAlign w:val="bottom"/>
            <w:gridSpan w:val="8"/>
          </w:tcPr>
          <w:p>
            <w:pPr>
              <w:ind w:left="60"/>
              <w:spacing w:after="0"/>
              <w:rPr>
                <w:sz w:val="20"/>
                <w:szCs w:val="20"/>
                <w:color w:val="auto"/>
              </w:rPr>
            </w:pPr>
            <w:r>
              <w:rPr>
                <w:rFonts w:ascii="Arial" w:cs="Arial" w:eastAsia="Arial" w:hAnsi="Arial"/>
                <w:sz w:val="16"/>
                <w:szCs w:val="16"/>
                <w:b w:val="1"/>
                <w:bCs w:val="1"/>
                <w:color w:val="auto"/>
              </w:rPr>
              <w:t>TABLE OF CONTENTS</w:t>
            </w: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9"/>
        </w:trPr>
        <w:tc>
          <w:tcPr>
            <w:tcW w:w="20" w:type="dxa"/>
            <w:vAlign w:val="bottom"/>
            <w:tcBorders>
              <w:bottom w:val="single" w:sz="8" w:color="CEFFE7"/>
            </w:tcBorders>
          </w:tcPr>
          <w:p>
            <w:pPr>
              <w:spacing w:after="0"/>
              <w:rPr>
                <w:sz w:val="19"/>
                <w:szCs w:val="19"/>
                <w:color w:val="auto"/>
              </w:rPr>
            </w:pPr>
          </w:p>
        </w:tc>
        <w:tc>
          <w:tcPr>
            <w:tcW w:w="20" w:type="dxa"/>
            <w:vAlign w:val="bottom"/>
            <w:tcBorders>
              <w:bottom w:val="single" w:sz="8" w:color="CEFFE7"/>
            </w:tcBorders>
          </w:tcPr>
          <w:p>
            <w:pPr>
              <w:spacing w:after="0"/>
              <w:rPr>
                <w:sz w:val="19"/>
                <w:szCs w:val="19"/>
                <w:color w:val="auto"/>
              </w:rPr>
            </w:pPr>
          </w:p>
        </w:tc>
        <w:tc>
          <w:tcPr>
            <w:tcW w:w="1400" w:type="dxa"/>
            <w:vAlign w:val="bottom"/>
            <w:tcBorders>
              <w:bottom w:val="single" w:sz="8" w:color="CEFFE7"/>
            </w:tcBorders>
          </w:tcPr>
          <w:p>
            <w:pPr>
              <w:spacing w:after="0"/>
              <w:rPr>
                <w:sz w:val="19"/>
                <w:szCs w:val="19"/>
                <w:color w:val="auto"/>
              </w:rPr>
            </w:pPr>
          </w:p>
        </w:tc>
        <w:tc>
          <w:tcPr>
            <w:tcW w:w="120" w:type="dxa"/>
            <w:vAlign w:val="bottom"/>
            <w:tcBorders>
              <w:bottom w:val="single" w:sz="8" w:color="CEFFE7"/>
            </w:tcBorders>
          </w:tcPr>
          <w:p>
            <w:pPr>
              <w:spacing w:after="0"/>
              <w:rPr>
                <w:sz w:val="19"/>
                <w:szCs w:val="19"/>
                <w:color w:val="auto"/>
              </w:rPr>
            </w:pPr>
          </w:p>
        </w:tc>
        <w:tc>
          <w:tcPr>
            <w:tcW w:w="80" w:type="dxa"/>
            <w:vAlign w:val="bottom"/>
            <w:tcBorders>
              <w:bottom w:val="single" w:sz="8" w:color="CEFFE7"/>
            </w:tcBorders>
          </w:tcPr>
          <w:p>
            <w:pPr>
              <w:spacing w:after="0"/>
              <w:rPr>
                <w:sz w:val="19"/>
                <w:szCs w:val="19"/>
                <w:color w:val="auto"/>
              </w:rPr>
            </w:pPr>
          </w:p>
        </w:tc>
        <w:tc>
          <w:tcPr>
            <w:tcW w:w="460" w:type="dxa"/>
            <w:vAlign w:val="bottom"/>
            <w:tcBorders>
              <w:bottom w:val="single" w:sz="8" w:color="CEFFE7"/>
            </w:tcBorders>
          </w:tcPr>
          <w:p>
            <w:pPr>
              <w:spacing w:after="0"/>
              <w:rPr>
                <w:sz w:val="19"/>
                <w:szCs w:val="19"/>
                <w:color w:val="auto"/>
              </w:rPr>
            </w:pPr>
          </w:p>
        </w:tc>
        <w:tc>
          <w:tcPr>
            <w:tcW w:w="520" w:type="dxa"/>
            <w:vAlign w:val="bottom"/>
            <w:tcBorders>
              <w:bottom w:val="single" w:sz="8" w:color="CEFFE7"/>
            </w:tcBorders>
          </w:tcPr>
          <w:p>
            <w:pPr>
              <w:spacing w:after="0"/>
              <w:rPr>
                <w:sz w:val="19"/>
                <w:szCs w:val="19"/>
                <w:color w:val="auto"/>
              </w:rPr>
            </w:pPr>
          </w:p>
        </w:tc>
        <w:tc>
          <w:tcPr>
            <w:tcW w:w="40" w:type="dxa"/>
            <w:vAlign w:val="bottom"/>
            <w:tcBorders>
              <w:bottom w:val="single" w:sz="8" w:color="CEFFE7"/>
            </w:tcBorders>
          </w:tcPr>
          <w:p>
            <w:pPr>
              <w:spacing w:after="0"/>
              <w:rPr>
                <w:sz w:val="19"/>
                <w:szCs w:val="19"/>
                <w:color w:val="auto"/>
              </w:rPr>
            </w:pPr>
          </w:p>
        </w:tc>
        <w:tc>
          <w:tcPr>
            <w:tcW w:w="200" w:type="dxa"/>
            <w:vAlign w:val="bottom"/>
            <w:tcBorders>
              <w:bottom w:val="single" w:sz="8" w:color="CEFFE7"/>
            </w:tcBorders>
          </w:tcPr>
          <w:p>
            <w:pPr>
              <w:spacing w:after="0"/>
              <w:rPr>
                <w:sz w:val="19"/>
                <w:szCs w:val="19"/>
                <w:color w:val="auto"/>
              </w:rPr>
            </w:pPr>
          </w:p>
        </w:tc>
        <w:tc>
          <w:tcPr>
            <w:tcW w:w="40" w:type="dxa"/>
            <w:vAlign w:val="bottom"/>
            <w:tcBorders>
              <w:bottom w:val="single" w:sz="8" w:color="CEFFE7"/>
            </w:tcBorders>
          </w:tcPr>
          <w:p>
            <w:pPr>
              <w:spacing w:after="0"/>
              <w:rPr>
                <w:sz w:val="19"/>
                <w:szCs w:val="19"/>
                <w:color w:val="auto"/>
              </w:rPr>
            </w:pPr>
          </w:p>
        </w:tc>
        <w:tc>
          <w:tcPr>
            <w:tcW w:w="400" w:type="dxa"/>
            <w:vAlign w:val="bottom"/>
            <w:tcBorders>
              <w:bottom w:val="single" w:sz="8" w:color="CEFFE7"/>
            </w:tcBorders>
          </w:tcPr>
          <w:p>
            <w:pPr>
              <w:spacing w:after="0"/>
              <w:rPr>
                <w:sz w:val="19"/>
                <w:szCs w:val="19"/>
                <w:color w:val="auto"/>
              </w:rPr>
            </w:pPr>
          </w:p>
        </w:tc>
        <w:tc>
          <w:tcPr>
            <w:tcW w:w="280" w:type="dxa"/>
            <w:vAlign w:val="bottom"/>
            <w:tcBorders>
              <w:bottom w:val="single" w:sz="8" w:color="CEFFE7"/>
            </w:tcBorders>
          </w:tcPr>
          <w:p>
            <w:pPr>
              <w:spacing w:after="0"/>
              <w:rPr>
                <w:sz w:val="19"/>
                <w:szCs w:val="19"/>
                <w:color w:val="auto"/>
              </w:rPr>
            </w:pPr>
          </w:p>
        </w:tc>
        <w:tc>
          <w:tcPr>
            <w:tcW w:w="40" w:type="dxa"/>
            <w:vAlign w:val="bottom"/>
            <w:tcBorders>
              <w:bottom w:val="single" w:sz="8" w:color="CEFFE7"/>
            </w:tcBorders>
          </w:tcPr>
          <w:p>
            <w:pPr>
              <w:spacing w:after="0"/>
              <w:rPr>
                <w:sz w:val="19"/>
                <w:szCs w:val="19"/>
                <w:color w:val="auto"/>
              </w:rPr>
            </w:pPr>
          </w:p>
        </w:tc>
        <w:tc>
          <w:tcPr>
            <w:tcW w:w="180" w:type="dxa"/>
            <w:vAlign w:val="bottom"/>
            <w:tcBorders>
              <w:bottom w:val="single" w:sz="8" w:color="CEFFE7"/>
            </w:tcBorders>
          </w:tcPr>
          <w:p>
            <w:pPr>
              <w:spacing w:after="0"/>
              <w:rPr>
                <w:sz w:val="19"/>
                <w:szCs w:val="19"/>
                <w:color w:val="auto"/>
              </w:rPr>
            </w:pPr>
          </w:p>
        </w:tc>
        <w:tc>
          <w:tcPr>
            <w:tcW w:w="220" w:type="dxa"/>
            <w:vAlign w:val="bottom"/>
            <w:tcBorders>
              <w:bottom w:val="single" w:sz="8" w:color="CEFFE7"/>
            </w:tcBorders>
          </w:tcPr>
          <w:p>
            <w:pPr>
              <w:spacing w:after="0"/>
              <w:rPr>
                <w:sz w:val="19"/>
                <w:szCs w:val="19"/>
                <w:color w:val="auto"/>
              </w:rPr>
            </w:pPr>
          </w:p>
        </w:tc>
        <w:tc>
          <w:tcPr>
            <w:tcW w:w="20" w:type="dxa"/>
            <w:vAlign w:val="bottom"/>
            <w:tcBorders>
              <w:bottom w:val="single" w:sz="8" w:color="CEFFE7"/>
            </w:tcBorders>
          </w:tcPr>
          <w:p>
            <w:pPr>
              <w:spacing w:after="0"/>
              <w:rPr>
                <w:sz w:val="19"/>
                <w:szCs w:val="19"/>
                <w:color w:val="auto"/>
              </w:rPr>
            </w:pPr>
          </w:p>
        </w:tc>
        <w:tc>
          <w:tcPr>
            <w:tcW w:w="320" w:type="dxa"/>
            <w:vAlign w:val="bottom"/>
            <w:tcBorders>
              <w:bottom w:val="single" w:sz="8" w:color="CEFFE7"/>
            </w:tcBorders>
          </w:tcPr>
          <w:p>
            <w:pPr>
              <w:spacing w:after="0"/>
              <w:rPr>
                <w:sz w:val="19"/>
                <w:szCs w:val="19"/>
                <w:color w:val="auto"/>
              </w:rPr>
            </w:pPr>
          </w:p>
        </w:tc>
        <w:tc>
          <w:tcPr>
            <w:tcW w:w="140" w:type="dxa"/>
            <w:vAlign w:val="bottom"/>
            <w:tcBorders>
              <w:bottom w:val="single" w:sz="8" w:color="CEFFE7"/>
            </w:tcBorders>
          </w:tcPr>
          <w:p>
            <w:pPr>
              <w:spacing w:after="0"/>
              <w:rPr>
                <w:sz w:val="19"/>
                <w:szCs w:val="19"/>
                <w:color w:val="auto"/>
              </w:rPr>
            </w:pPr>
          </w:p>
        </w:tc>
        <w:tc>
          <w:tcPr>
            <w:tcW w:w="60" w:type="dxa"/>
            <w:vAlign w:val="bottom"/>
            <w:tcBorders>
              <w:bottom w:val="single" w:sz="8" w:color="CEFFE7"/>
            </w:tcBorders>
          </w:tcPr>
          <w:p>
            <w:pPr>
              <w:spacing w:after="0"/>
              <w:rPr>
                <w:sz w:val="19"/>
                <w:szCs w:val="19"/>
                <w:color w:val="auto"/>
              </w:rPr>
            </w:pPr>
          </w:p>
        </w:tc>
        <w:tc>
          <w:tcPr>
            <w:tcW w:w="120" w:type="dxa"/>
            <w:vAlign w:val="bottom"/>
            <w:tcBorders>
              <w:bottom w:val="single" w:sz="8" w:color="CEFFE7"/>
            </w:tcBorders>
          </w:tcPr>
          <w:p>
            <w:pPr>
              <w:spacing w:after="0"/>
              <w:rPr>
                <w:sz w:val="19"/>
                <w:szCs w:val="19"/>
                <w:color w:val="auto"/>
              </w:rPr>
            </w:pPr>
          </w:p>
        </w:tc>
        <w:tc>
          <w:tcPr>
            <w:tcW w:w="200" w:type="dxa"/>
            <w:vAlign w:val="bottom"/>
            <w:tcBorders>
              <w:bottom w:val="single" w:sz="8" w:color="CEFFE7"/>
            </w:tcBorders>
          </w:tcPr>
          <w:p>
            <w:pPr>
              <w:spacing w:after="0"/>
              <w:rPr>
                <w:sz w:val="19"/>
                <w:szCs w:val="19"/>
                <w:color w:val="auto"/>
              </w:rPr>
            </w:pPr>
          </w:p>
        </w:tc>
        <w:tc>
          <w:tcPr>
            <w:tcW w:w="40" w:type="dxa"/>
            <w:vAlign w:val="bottom"/>
            <w:tcBorders>
              <w:bottom w:val="single" w:sz="8" w:color="CEFFE7"/>
            </w:tcBorders>
          </w:tcPr>
          <w:p>
            <w:pPr>
              <w:spacing w:after="0"/>
              <w:rPr>
                <w:sz w:val="19"/>
                <w:szCs w:val="19"/>
                <w:color w:val="auto"/>
              </w:rPr>
            </w:pPr>
          </w:p>
        </w:tc>
        <w:tc>
          <w:tcPr>
            <w:tcW w:w="80" w:type="dxa"/>
            <w:vAlign w:val="bottom"/>
            <w:tcBorders>
              <w:bottom w:val="single" w:sz="8" w:color="CEFFE7"/>
            </w:tcBorders>
          </w:tcPr>
          <w:p>
            <w:pPr>
              <w:spacing w:after="0"/>
              <w:rPr>
                <w:sz w:val="19"/>
                <w:szCs w:val="19"/>
                <w:color w:val="auto"/>
              </w:rPr>
            </w:pPr>
          </w:p>
        </w:tc>
        <w:tc>
          <w:tcPr>
            <w:tcW w:w="320" w:type="dxa"/>
            <w:vAlign w:val="bottom"/>
            <w:tcBorders>
              <w:bottom w:val="single" w:sz="8" w:color="CEFFE7"/>
            </w:tcBorders>
          </w:tcPr>
          <w:p>
            <w:pPr>
              <w:spacing w:after="0"/>
              <w:rPr>
                <w:sz w:val="19"/>
                <w:szCs w:val="19"/>
                <w:color w:val="auto"/>
              </w:rPr>
            </w:pPr>
          </w:p>
        </w:tc>
        <w:tc>
          <w:tcPr>
            <w:tcW w:w="200" w:type="dxa"/>
            <w:vAlign w:val="bottom"/>
            <w:tcBorders>
              <w:bottom w:val="single" w:sz="8" w:color="CEFFE7"/>
            </w:tcBorders>
          </w:tcPr>
          <w:p>
            <w:pPr>
              <w:spacing w:after="0"/>
              <w:rPr>
                <w:sz w:val="19"/>
                <w:szCs w:val="19"/>
                <w:color w:val="auto"/>
              </w:rPr>
            </w:pPr>
          </w:p>
        </w:tc>
        <w:tc>
          <w:tcPr>
            <w:tcW w:w="60" w:type="dxa"/>
            <w:vAlign w:val="bottom"/>
            <w:tcBorders>
              <w:bottom w:val="single" w:sz="8" w:color="CEFFE7"/>
            </w:tcBorders>
          </w:tcPr>
          <w:p>
            <w:pPr>
              <w:spacing w:after="0"/>
              <w:rPr>
                <w:sz w:val="19"/>
                <w:szCs w:val="19"/>
                <w:color w:val="auto"/>
              </w:rPr>
            </w:pPr>
          </w:p>
        </w:tc>
        <w:tc>
          <w:tcPr>
            <w:tcW w:w="600" w:type="dxa"/>
            <w:vAlign w:val="bottom"/>
            <w:tcBorders>
              <w:bottom w:val="single" w:sz="8" w:color="CEFFE7"/>
            </w:tcBorders>
          </w:tcPr>
          <w:p>
            <w:pPr>
              <w:spacing w:after="0"/>
              <w:rPr>
                <w:sz w:val="19"/>
                <w:szCs w:val="19"/>
                <w:color w:val="auto"/>
              </w:rPr>
            </w:pPr>
          </w:p>
        </w:tc>
        <w:tc>
          <w:tcPr>
            <w:tcW w:w="3520" w:type="dxa"/>
            <w:vAlign w:val="bottom"/>
            <w:tcBorders>
              <w:bottom w:val="single" w:sz="8" w:color="CEFFE7"/>
            </w:tcBorders>
          </w:tcPr>
          <w:p>
            <w:pPr>
              <w:spacing w:after="0"/>
              <w:rPr>
                <w:sz w:val="19"/>
                <w:szCs w:val="19"/>
                <w:color w:val="auto"/>
              </w:rPr>
            </w:pPr>
          </w:p>
        </w:tc>
        <w:tc>
          <w:tcPr>
            <w:tcW w:w="1500" w:type="dxa"/>
            <w:vAlign w:val="bottom"/>
            <w:tcBorders>
              <w:bottom w:val="single" w:sz="8" w:color="auto"/>
            </w:tcBorders>
            <w:gridSpan w:val="5"/>
          </w:tcPr>
          <w:p>
            <w:pPr>
              <w:ind w:left="560"/>
              <w:spacing w:after="0"/>
              <w:rPr>
                <w:sz w:val="20"/>
                <w:szCs w:val="20"/>
                <w:color w:val="auto"/>
              </w:rPr>
            </w:pPr>
            <w:r>
              <w:rPr>
                <w:rFonts w:ascii="Arial" w:cs="Arial" w:eastAsia="Arial" w:hAnsi="Arial"/>
                <w:sz w:val="16"/>
                <w:szCs w:val="16"/>
                <w:color w:val="auto"/>
              </w:rPr>
              <w:t>Page</w:t>
            </w:r>
          </w:p>
        </w:tc>
      </w:tr>
      <w:tr>
        <w:trPr>
          <w:trHeight w:val="193"/>
        </w:trPr>
        <w:tc>
          <w:tcPr>
            <w:tcW w:w="9700" w:type="dxa"/>
            <w:vAlign w:val="bottom"/>
            <w:gridSpan w:val="28"/>
            <w:shd w:val="clear" w:color="auto" w:fill="CEFFE7"/>
          </w:tcPr>
          <w:p>
            <w:pPr>
              <w:ind w:left="20"/>
              <w:spacing w:after="0" w:line="172" w:lineRule="exact"/>
              <w:rPr>
                <w:rFonts w:ascii="Arial" w:cs="Arial" w:eastAsia="Arial" w:hAnsi="Arial"/>
                <w:sz w:val="16"/>
                <w:szCs w:val="16"/>
                <w:color w:val="0000FF"/>
              </w:rPr>
            </w:pPr>
            <w:hyperlink w:anchor="page3">
              <w:r>
                <w:rPr>
                  <w:rFonts w:ascii="Arial" w:cs="Arial" w:eastAsia="Arial" w:hAnsi="Arial"/>
                  <w:sz w:val="16"/>
                  <w:szCs w:val="16"/>
                  <w:color w:val="0000FF"/>
                </w:rPr>
                <w:t>Glossary of Terms and Abbreviations</w:t>
              </w:r>
            </w:hyperlink>
          </w:p>
        </w:tc>
        <w:tc>
          <w:tcPr>
            <w:tcW w:w="800" w:type="dxa"/>
            <w:vAlign w:val="bottom"/>
            <w:gridSpan w:val="3"/>
            <w:shd w:val="clear" w:color="auto" w:fill="CEFFE7"/>
          </w:tcPr>
          <w:p>
            <w:pPr>
              <w:jc w:val="center"/>
              <w:ind w:left="619"/>
              <w:spacing w:after="0" w:line="172" w:lineRule="exact"/>
              <w:rPr>
                <w:rFonts w:ascii="Arial" w:cs="Arial" w:eastAsia="Arial" w:hAnsi="Arial"/>
                <w:sz w:val="16"/>
                <w:szCs w:val="16"/>
                <w:color w:val="0000FF"/>
              </w:rPr>
            </w:pPr>
            <w:hyperlink w:anchor="page3">
              <w:r>
                <w:rPr>
                  <w:rFonts w:ascii="Arial" w:cs="Arial" w:eastAsia="Arial" w:hAnsi="Arial"/>
                  <w:sz w:val="16"/>
                  <w:szCs w:val="16"/>
                  <w:color w:val="0000FF"/>
                </w:rPr>
                <w:t>4</w:t>
              </w:r>
            </w:hyperlink>
          </w:p>
        </w:tc>
        <w:tc>
          <w:tcPr>
            <w:tcW w:w="40" w:type="dxa"/>
            <w:vAlign w:val="bottom"/>
            <w:shd w:val="clear" w:color="auto" w:fill="CEFFE7"/>
          </w:tcPr>
          <w:p>
            <w:pPr>
              <w:spacing w:after="0"/>
              <w:rPr>
                <w:sz w:val="16"/>
                <w:szCs w:val="16"/>
                <w:color w:val="auto"/>
              </w:rPr>
            </w:pPr>
          </w:p>
        </w:tc>
        <w:tc>
          <w:tcPr>
            <w:tcW w:w="660" w:type="dxa"/>
            <w:vAlign w:val="bottom"/>
            <w:shd w:val="clear" w:color="auto" w:fill="CEFFE7"/>
          </w:tcPr>
          <w:p>
            <w:pPr>
              <w:spacing w:after="0"/>
              <w:rPr>
                <w:sz w:val="16"/>
                <w:szCs w:val="16"/>
                <w:color w:val="auto"/>
              </w:rPr>
            </w:pPr>
          </w:p>
        </w:tc>
      </w:tr>
      <w:tr>
        <w:trPr>
          <w:trHeight w:val="175"/>
        </w:trPr>
        <w:tc>
          <w:tcPr>
            <w:tcW w:w="20" w:type="dxa"/>
            <w:vAlign w:val="bottom"/>
            <w:tcBorders>
              <w:top w:val="single" w:sz="8" w:color="CEFFE7"/>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620" w:type="dxa"/>
            <w:vAlign w:val="bottom"/>
            <w:tcBorders>
              <w:top w:val="single" w:sz="8" w:color="0000FF"/>
            </w:tcBorders>
            <w:gridSpan w:val="6"/>
          </w:tcPr>
          <w:p>
            <w:pPr>
              <w:spacing w:after="0" w:line="175" w:lineRule="exact"/>
              <w:rPr>
                <w:rFonts w:ascii="Arial" w:cs="Arial" w:eastAsia="Arial" w:hAnsi="Arial"/>
                <w:sz w:val="16"/>
                <w:szCs w:val="16"/>
                <w:color w:val="0000FF"/>
              </w:rPr>
            </w:pPr>
            <w:hyperlink w:anchor="page6">
              <w:r>
                <w:rPr>
                  <w:rFonts w:ascii="Arial" w:cs="Arial" w:eastAsia="Arial" w:hAnsi="Arial"/>
                  <w:sz w:val="16"/>
                  <w:szCs w:val="16"/>
                  <w:color w:val="0000FF"/>
                </w:rPr>
                <w:t>Forward-Looking Information</w:t>
              </w:r>
            </w:hyperlink>
          </w:p>
        </w:tc>
        <w:tc>
          <w:tcPr>
            <w:tcW w:w="7040" w:type="dxa"/>
            <w:vAlign w:val="bottom"/>
            <w:tcBorders>
              <w:top w:val="single" w:sz="8" w:color="CEFFE7"/>
            </w:tcBorders>
            <w:gridSpan w:val="20"/>
          </w:tcPr>
          <w:p>
            <w:pPr>
              <w:spacing w:after="0"/>
              <w:rPr>
                <w:sz w:val="15"/>
                <w:szCs w:val="15"/>
                <w:color w:val="auto"/>
              </w:rPr>
            </w:pPr>
          </w:p>
        </w:tc>
        <w:tc>
          <w:tcPr>
            <w:tcW w:w="700" w:type="dxa"/>
            <w:vAlign w:val="bottom"/>
            <w:tcBorders>
              <w:top w:val="single" w:sz="8" w:color="CEFFE7"/>
            </w:tcBorders>
            <w:gridSpan w:val="2"/>
          </w:tcPr>
          <w:p>
            <w:pPr>
              <w:spacing w:after="0"/>
              <w:rPr>
                <w:sz w:val="15"/>
                <w:szCs w:val="15"/>
                <w:color w:val="auto"/>
              </w:rPr>
            </w:pPr>
          </w:p>
        </w:tc>
        <w:tc>
          <w:tcPr>
            <w:tcW w:w="100" w:type="dxa"/>
            <w:vAlign w:val="bottom"/>
            <w:tcBorders>
              <w:top w:val="single" w:sz="8" w:color="0000FF"/>
            </w:tcBorders>
          </w:tcPr>
          <w:p>
            <w:pPr>
              <w:jc w:val="center"/>
              <w:spacing w:after="0" w:line="175" w:lineRule="exact"/>
              <w:rPr>
                <w:rFonts w:ascii="Arial" w:cs="Arial" w:eastAsia="Arial" w:hAnsi="Arial"/>
                <w:sz w:val="16"/>
                <w:szCs w:val="16"/>
                <w:color w:val="0000FF"/>
              </w:rPr>
            </w:pPr>
            <w:hyperlink w:anchor="page6">
              <w:r>
                <w:rPr>
                  <w:rFonts w:ascii="Arial" w:cs="Arial" w:eastAsia="Arial" w:hAnsi="Arial"/>
                  <w:sz w:val="16"/>
                  <w:szCs w:val="16"/>
                  <w:color w:val="0000FF"/>
                </w:rPr>
                <w:t>7</w:t>
              </w:r>
            </w:hyperlink>
          </w:p>
        </w:tc>
        <w:tc>
          <w:tcPr>
            <w:tcW w:w="40" w:type="dxa"/>
            <w:vAlign w:val="bottom"/>
            <w:tcBorders>
              <w:top w:val="single" w:sz="8" w:color="CEFFE7"/>
            </w:tcBorders>
          </w:tcPr>
          <w:p>
            <w:pPr>
              <w:spacing w:after="0"/>
              <w:rPr>
                <w:sz w:val="15"/>
                <w:szCs w:val="15"/>
                <w:color w:val="auto"/>
              </w:rPr>
            </w:pPr>
          </w:p>
        </w:tc>
        <w:tc>
          <w:tcPr>
            <w:tcW w:w="660" w:type="dxa"/>
            <w:vAlign w:val="bottom"/>
            <w:tcBorders>
              <w:top w:val="single" w:sz="8" w:color="CEFFE7"/>
            </w:tcBorders>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70"/>
        </w:trPr>
        <w:tc>
          <w:tcPr>
            <w:tcW w:w="20" w:type="dxa"/>
            <w:vAlign w:val="bottom"/>
            <w:shd w:val="clear" w:color="auto" w:fill="CEFFE7"/>
          </w:tcPr>
          <w:p>
            <w:pPr>
              <w:spacing w:after="0"/>
              <w:rPr>
                <w:sz w:val="23"/>
                <w:szCs w:val="23"/>
                <w:color w:val="auto"/>
              </w:rPr>
            </w:pPr>
          </w:p>
        </w:tc>
        <w:tc>
          <w:tcPr>
            <w:tcW w:w="20" w:type="dxa"/>
            <w:vAlign w:val="bottom"/>
            <w:shd w:val="clear" w:color="auto" w:fill="CEFFE7"/>
          </w:tcPr>
          <w:p>
            <w:pPr>
              <w:spacing w:after="0"/>
              <w:rPr>
                <w:sz w:val="23"/>
                <w:szCs w:val="23"/>
                <w:color w:val="auto"/>
              </w:rPr>
            </w:pPr>
          </w:p>
        </w:tc>
        <w:tc>
          <w:tcPr>
            <w:tcW w:w="1520" w:type="dxa"/>
            <w:vAlign w:val="bottom"/>
            <w:gridSpan w:val="2"/>
            <w:shd w:val="clear" w:color="auto" w:fill="CEFFE7"/>
          </w:tcPr>
          <w:p>
            <w:pPr>
              <w:spacing w:after="0"/>
              <w:rPr>
                <w:sz w:val="23"/>
                <w:szCs w:val="23"/>
                <w:color w:val="auto"/>
              </w:rPr>
            </w:pPr>
          </w:p>
        </w:tc>
        <w:tc>
          <w:tcPr>
            <w:tcW w:w="80" w:type="dxa"/>
            <w:vAlign w:val="bottom"/>
            <w:shd w:val="clear" w:color="auto" w:fill="CEFFE7"/>
          </w:tcPr>
          <w:p>
            <w:pPr>
              <w:spacing w:after="0"/>
              <w:rPr>
                <w:sz w:val="23"/>
                <w:szCs w:val="23"/>
                <w:color w:val="auto"/>
              </w:rPr>
            </w:pPr>
          </w:p>
        </w:tc>
        <w:tc>
          <w:tcPr>
            <w:tcW w:w="460" w:type="dxa"/>
            <w:vAlign w:val="bottom"/>
            <w:shd w:val="clear" w:color="auto" w:fill="CEFFE7"/>
          </w:tcPr>
          <w:p>
            <w:pPr>
              <w:spacing w:after="0"/>
              <w:rPr>
                <w:sz w:val="23"/>
                <w:szCs w:val="23"/>
                <w:color w:val="auto"/>
              </w:rPr>
            </w:pPr>
          </w:p>
        </w:tc>
        <w:tc>
          <w:tcPr>
            <w:tcW w:w="520" w:type="dxa"/>
            <w:vAlign w:val="bottom"/>
            <w:shd w:val="clear" w:color="auto" w:fill="CEFFE7"/>
          </w:tcPr>
          <w:p>
            <w:pPr>
              <w:spacing w:after="0"/>
              <w:rPr>
                <w:sz w:val="23"/>
                <w:szCs w:val="23"/>
                <w:color w:val="auto"/>
              </w:rPr>
            </w:pPr>
          </w:p>
        </w:tc>
        <w:tc>
          <w:tcPr>
            <w:tcW w:w="40" w:type="dxa"/>
            <w:vAlign w:val="bottom"/>
            <w:shd w:val="clear" w:color="auto" w:fill="CEFFE7"/>
          </w:tcPr>
          <w:p>
            <w:pPr>
              <w:spacing w:after="0"/>
              <w:rPr>
                <w:sz w:val="23"/>
                <w:szCs w:val="23"/>
                <w:color w:val="auto"/>
              </w:rPr>
            </w:pPr>
          </w:p>
        </w:tc>
        <w:tc>
          <w:tcPr>
            <w:tcW w:w="200" w:type="dxa"/>
            <w:vAlign w:val="bottom"/>
            <w:shd w:val="clear" w:color="auto" w:fill="CEFFE7"/>
          </w:tcPr>
          <w:p>
            <w:pPr>
              <w:spacing w:after="0"/>
              <w:rPr>
                <w:sz w:val="23"/>
                <w:szCs w:val="23"/>
                <w:color w:val="auto"/>
              </w:rPr>
            </w:pPr>
          </w:p>
        </w:tc>
        <w:tc>
          <w:tcPr>
            <w:tcW w:w="40" w:type="dxa"/>
            <w:vAlign w:val="bottom"/>
            <w:shd w:val="clear" w:color="auto" w:fill="CEFFE7"/>
          </w:tcPr>
          <w:p>
            <w:pPr>
              <w:spacing w:after="0"/>
              <w:rPr>
                <w:sz w:val="23"/>
                <w:szCs w:val="23"/>
                <w:color w:val="auto"/>
              </w:rPr>
            </w:pPr>
          </w:p>
        </w:tc>
        <w:tc>
          <w:tcPr>
            <w:tcW w:w="400" w:type="dxa"/>
            <w:vAlign w:val="bottom"/>
            <w:shd w:val="clear" w:color="auto" w:fill="CEFFE7"/>
          </w:tcPr>
          <w:p>
            <w:pPr>
              <w:spacing w:after="0"/>
              <w:rPr>
                <w:sz w:val="23"/>
                <w:szCs w:val="23"/>
                <w:color w:val="auto"/>
              </w:rPr>
            </w:pPr>
          </w:p>
        </w:tc>
        <w:tc>
          <w:tcPr>
            <w:tcW w:w="280" w:type="dxa"/>
            <w:vAlign w:val="bottom"/>
            <w:shd w:val="clear" w:color="auto" w:fill="CEFFE7"/>
          </w:tcPr>
          <w:p>
            <w:pPr>
              <w:spacing w:after="0"/>
              <w:rPr>
                <w:sz w:val="23"/>
                <w:szCs w:val="23"/>
                <w:color w:val="auto"/>
              </w:rPr>
            </w:pPr>
          </w:p>
        </w:tc>
        <w:tc>
          <w:tcPr>
            <w:tcW w:w="40" w:type="dxa"/>
            <w:vAlign w:val="bottom"/>
            <w:shd w:val="clear" w:color="auto" w:fill="CEFFE7"/>
          </w:tcPr>
          <w:p>
            <w:pPr>
              <w:spacing w:after="0"/>
              <w:rPr>
                <w:sz w:val="23"/>
                <w:szCs w:val="23"/>
                <w:color w:val="auto"/>
              </w:rPr>
            </w:pPr>
          </w:p>
        </w:tc>
        <w:tc>
          <w:tcPr>
            <w:tcW w:w="180" w:type="dxa"/>
            <w:vAlign w:val="bottom"/>
            <w:shd w:val="clear" w:color="auto" w:fill="CEFFE7"/>
          </w:tcPr>
          <w:p>
            <w:pPr>
              <w:spacing w:after="0"/>
              <w:rPr>
                <w:sz w:val="23"/>
                <w:szCs w:val="23"/>
                <w:color w:val="auto"/>
              </w:rPr>
            </w:pPr>
          </w:p>
        </w:tc>
        <w:tc>
          <w:tcPr>
            <w:tcW w:w="220" w:type="dxa"/>
            <w:vAlign w:val="bottom"/>
            <w:shd w:val="clear" w:color="auto" w:fill="CEFFE7"/>
          </w:tcPr>
          <w:p>
            <w:pPr>
              <w:spacing w:after="0"/>
              <w:rPr>
                <w:sz w:val="23"/>
                <w:szCs w:val="23"/>
                <w:color w:val="auto"/>
              </w:rPr>
            </w:pPr>
          </w:p>
        </w:tc>
        <w:tc>
          <w:tcPr>
            <w:tcW w:w="20" w:type="dxa"/>
            <w:vAlign w:val="bottom"/>
            <w:shd w:val="clear" w:color="auto" w:fill="CEFFE7"/>
          </w:tcPr>
          <w:p>
            <w:pPr>
              <w:spacing w:after="0"/>
              <w:rPr>
                <w:sz w:val="23"/>
                <w:szCs w:val="23"/>
                <w:color w:val="auto"/>
              </w:rPr>
            </w:pPr>
          </w:p>
        </w:tc>
        <w:tc>
          <w:tcPr>
            <w:tcW w:w="320" w:type="dxa"/>
            <w:vAlign w:val="bottom"/>
            <w:shd w:val="clear" w:color="auto" w:fill="CEFFE7"/>
          </w:tcPr>
          <w:p>
            <w:pPr>
              <w:spacing w:after="0"/>
              <w:rPr>
                <w:sz w:val="23"/>
                <w:szCs w:val="23"/>
                <w:color w:val="auto"/>
              </w:rPr>
            </w:pPr>
          </w:p>
        </w:tc>
        <w:tc>
          <w:tcPr>
            <w:tcW w:w="140" w:type="dxa"/>
            <w:vAlign w:val="bottom"/>
            <w:shd w:val="clear" w:color="auto" w:fill="CEFFE7"/>
          </w:tcPr>
          <w:p>
            <w:pPr>
              <w:spacing w:after="0"/>
              <w:rPr>
                <w:sz w:val="23"/>
                <w:szCs w:val="23"/>
                <w:color w:val="auto"/>
              </w:rPr>
            </w:pPr>
          </w:p>
        </w:tc>
        <w:tc>
          <w:tcPr>
            <w:tcW w:w="60" w:type="dxa"/>
            <w:vAlign w:val="bottom"/>
            <w:shd w:val="clear" w:color="auto" w:fill="CEFFE7"/>
          </w:tcPr>
          <w:p>
            <w:pPr>
              <w:spacing w:after="0"/>
              <w:rPr>
                <w:sz w:val="23"/>
                <w:szCs w:val="23"/>
                <w:color w:val="auto"/>
              </w:rPr>
            </w:pPr>
          </w:p>
        </w:tc>
        <w:tc>
          <w:tcPr>
            <w:tcW w:w="120" w:type="dxa"/>
            <w:vAlign w:val="bottom"/>
            <w:shd w:val="clear" w:color="auto" w:fill="CEFFE7"/>
          </w:tcPr>
          <w:p>
            <w:pPr>
              <w:spacing w:after="0"/>
              <w:rPr>
                <w:sz w:val="23"/>
                <w:szCs w:val="23"/>
                <w:color w:val="auto"/>
              </w:rPr>
            </w:pPr>
          </w:p>
        </w:tc>
        <w:tc>
          <w:tcPr>
            <w:tcW w:w="200" w:type="dxa"/>
            <w:vAlign w:val="bottom"/>
            <w:shd w:val="clear" w:color="auto" w:fill="CEFFE7"/>
          </w:tcPr>
          <w:p>
            <w:pPr>
              <w:spacing w:after="0"/>
              <w:rPr>
                <w:sz w:val="23"/>
                <w:szCs w:val="23"/>
                <w:color w:val="auto"/>
              </w:rPr>
            </w:pPr>
          </w:p>
        </w:tc>
        <w:tc>
          <w:tcPr>
            <w:tcW w:w="40" w:type="dxa"/>
            <w:vAlign w:val="bottom"/>
            <w:shd w:val="clear" w:color="auto" w:fill="CEFFE7"/>
          </w:tcPr>
          <w:p>
            <w:pPr>
              <w:spacing w:after="0"/>
              <w:rPr>
                <w:sz w:val="23"/>
                <w:szCs w:val="23"/>
                <w:color w:val="auto"/>
              </w:rPr>
            </w:pPr>
          </w:p>
        </w:tc>
        <w:tc>
          <w:tcPr>
            <w:tcW w:w="80" w:type="dxa"/>
            <w:vAlign w:val="bottom"/>
            <w:shd w:val="clear" w:color="auto" w:fill="CEFFE7"/>
          </w:tcPr>
          <w:p>
            <w:pPr>
              <w:spacing w:after="0"/>
              <w:rPr>
                <w:sz w:val="23"/>
                <w:szCs w:val="23"/>
                <w:color w:val="auto"/>
              </w:rPr>
            </w:pPr>
          </w:p>
        </w:tc>
        <w:tc>
          <w:tcPr>
            <w:tcW w:w="320" w:type="dxa"/>
            <w:vAlign w:val="bottom"/>
            <w:shd w:val="clear" w:color="auto" w:fill="CEFFE7"/>
          </w:tcPr>
          <w:p>
            <w:pPr>
              <w:spacing w:after="0"/>
              <w:rPr>
                <w:sz w:val="23"/>
                <w:szCs w:val="23"/>
                <w:color w:val="auto"/>
              </w:rPr>
            </w:pPr>
          </w:p>
        </w:tc>
        <w:tc>
          <w:tcPr>
            <w:tcW w:w="200" w:type="dxa"/>
            <w:vAlign w:val="bottom"/>
            <w:shd w:val="clear" w:color="auto" w:fill="CEFFE7"/>
          </w:tcPr>
          <w:p>
            <w:pPr>
              <w:spacing w:after="0"/>
              <w:rPr>
                <w:sz w:val="23"/>
                <w:szCs w:val="23"/>
                <w:color w:val="auto"/>
              </w:rPr>
            </w:pPr>
          </w:p>
        </w:tc>
        <w:tc>
          <w:tcPr>
            <w:tcW w:w="60" w:type="dxa"/>
            <w:vAlign w:val="bottom"/>
            <w:shd w:val="clear" w:color="auto" w:fill="CEFFE7"/>
          </w:tcPr>
          <w:p>
            <w:pPr>
              <w:spacing w:after="0"/>
              <w:rPr>
                <w:sz w:val="23"/>
                <w:szCs w:val="23"/>
                <w:color w:val="auto"/>
              </w:rPr>
            </w:pPr>
          </w:p>
        </w:tc>
        <w:tc>
          <w:tcPr>
            <w:tcW w:w="600" w:type="dxa"/>
            <w:vAlign w:val="bottom"/>
            <w:shd w:val="clear" w:color="auto" w:fill="CEFFE7"/>
          </w:tcPr>
          <w:p>
            <w:pPr>
              <w:spacing w:after="0"/>
              <w:rPr>
                <w:sz w:val="23"/>
                <w:szCs w:val="23"/>
                <w:color w:val="auto"/>
              </w:rPr>
            </w:pPr>
          </w:p>
        </w:tc>
        <w:tc>
          <w:tcPr>
            <w:tcW w:w="3520" w:type="dxa"/>
            <w:vAlign w:val="bottom"/>
            <w:shd w:val="clear" w:color="auto" w:fill="CEFFE7"/>
          </w:tcPr>
          <w:p>
            <w:pPr>
              <w:spacing w:after="0"/>
              <w:rPr>
                <w:sz w:val="23"/>
                <w:szCs w:val="23"/>
                <w:color w:val="auto"/>
              </w:rPr>
            </w:pPr>
          </w:p>
        </w:tc>
        <w:tc>
          <w:tcPr>
            <w:tcW w:w="660" w:type="dxa"/>
            <w:vAlign w:val="bottom"/>
            <w:shd w:val="clear" w:color="auto" w:fill="CEFFE7"/>
          </w:tcPr>
          <w:p>
            <w:pPr>
              <w:spacing w:after="0"/>
              <w:rPr>
                <w:sz w:val="23"/>
                <w:szCs w:val="23"/>
                <w:color w:val="auto"/>
              </w:rPr>
            </w:pPr>
          </w:p>
        </w:tc>
        <w:tc>
          <w:tcPr>
            <w:tcW w:w="40" w:type="dxa"/>
            <w:vAlign w:val="bottom"/>
            <w:shd w:val="clear" w:color="auto" w:fill="CEFFE7"/>
          </w:tcPr>
          <w:p>
            <w:pPr>
              <w:spacing w:after="0"/>
              <w:rPr>
                <w:sz w:val="23"/>
                <w:szCs w:val="23"/>
                <w:color w:val="auto"/>
              </w:rPr>
            </w:pPr>
          </w:p>
        </w:tc>
        <w:tc>
          <w:tcPr>
            <w:tcW w:w="100" w:type="dxa"/>
            <w:vAlign w:val="bottom"/>
            <w:shd w:val="clear" w:color="auto" w:fill="CEFFE7"/>
          </w:tcPr>
          <w:p>
            <w:pPr>
              <w:spacing w:after="0"/>
              <w:rPr>
                <w:sz w:val="23"/>
                <w:szCs w:val="23"/>
                <w:color w:val="auto"/>
              </w:rPr>
            </w:pPr>
          </w:p>
        </w:tc>
        <w:tc>
          <w:tcPr>
            <w:tcW w:w="40" w:type="dxa"/>
            <w:vAlign w:val="bottom"/>
            <w:shd w:val="clear" w:color="auto" w:fill="CEFFE7"/>
          </w:tcPr>
          <w:p>
            <w:pPr>
              <w:spacing w:after="0"/>
              <w:rPr>
                <w:sz w:val="23"/>
                <w:szCs w:val="23"/>
                <w:color w:val="auto"/>
              </w:rPr>
            </w:pPr>
          </w:p>
        </w:tc>
        <w:tc>
          <w:tcPr>
            <w:tcW w:w="660" w:type="dxa"/>
            <w:vAlign w:val="bottom"/>
            <w:shd w:val="clear" w:color="auto" w:fill="CEFFE7"/>
          </w:tcPr>
          <w:p>
            <w:pPr>
              <w:spacing w:after="0"/>
              <w:rPr>
                <w:sz w:val="23"/>
                <w:szCs w:val="23"/>
                <w:color w:val="auto"/>
              </w:rPr>
            </w:pPr>
          </w:p>
        </w:tc>
      </w:tr>
      <w:tr>
        <w:trPr>
          <w:trHeight w:val="176"/>
        </w:trPr>
        <w:tc>
          <w:tcPr>
            <w:tcW w:w="9700" w:type="dxa"/>
            <w:vAlign w:val="bottom"/>
            <w:gridSpan w:val="28"/>
          </w:tcPr>
          <w:p>
            <w:pPr>
              <w:ind w:left="20"/>
              <w:spacing w:after="0" w:line="175" w:lineRule="exact"/>
              <w:rPr>
                <w:rFonts w:ascii="Arial" w:cs="Arial" w:eastAsia="Arial" w:hAnsi="Arial"/>
                <w:sz w:val="16"/>
                <w:szCs w:val="16"/>
                <w:color w:val="0000FF"/>
              </w:rPr>
            </w:pPr>
            <w:hyperlink w:anchor="page7">
              <w:r>
                <w:rPr>
                  <w:rFonts w:ascii="Arial" w:cs="Arial" w:eastAsia="Arial" w:hAnsi="Arial"/>
                  <w:sz w:val="16"/>
                  <w:szCs w:val="16"/>
                  <w:color w:val="0000FF"/>
                </w:rPr>
                <w:t>PART I. FINANCIAL INFORMATION</w:t>
              </w:r>
            </w:hyperlink>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70"/>
        </w:trPr>
        <w:tc>
          <w:tcPr>
            <w:tcW w:w="20" w:type="dxa"/>
            <w:vAlign w:val="bottom"/>
            <w:shd w:val="clear" w:color="auto" w:fill="CEFFE7"/>
          </w:tcPr>
          <w:p>
            <w:pPr>
              <w:spacing w:after="0"/>
              <w:rPr>
                <w:sz w:val="23"/>
                <w:szCs w:val="23"/>
                <w:color w:val="auto"/>
              </w:rPr>
            </w:pPr>
          </w:p>
        </w:tc>
        <w:tc>
          <w:tcPr>
            <w:tcW w:w="20" w:type="dxa"/>
            <w:vAlign w:val="bottom"/>
            <w:shd w:val="clear" w:color="auto" w:fill="CEFFE7"/>
          </w:tcPr>
          <w:p>
            <w:pPr>
              <w:spacing w:after="0"/>
              <w:rPr>
                <w:sz w:val="23"/>
                <w:szCs w:val="23"/>
                <w:color w:val="auto"/>
              </w:rPr>
            </w:pPr>
          </w:p>
        </w:tc>
        <w:tc>
          <w:tcPr>
            <w:tcW w:w="1400" w:type="dxa"/>
            <w:vAlign w:val="bottom"/>
            <w:shd w:val="clear" w:color="auto" w:fill="CEFFE7"/>
          </w:tcPr>
          <w:p>
            <w:pPr>
              <w:spacing w:after="0"/>
              <w:rPr>
                <w:sz w:val="23"/>
                <w:szCs w:val="23"/>
                <w:color w:val="auto"/>
              </w:rPr>
            </w:pPr>
          </w:p>
        </w:tc>
        <w:tc>
          <w:tcPr>
            <w:tcW w:w="120" w:type="dxa"/>
            <w:vAlign w:val="bottom"/>
            <w:shd w:val="clear" w:color="auto" w:fill="CEFFE7"/>
          </w:tcPr>
          <w:p>
            <w:pPr>
              <w:spacing w:after="0"/>
              <w:rPr>
                <w:sz w:val="23"/>
                <w:szCs w:val="23"/>
                <w:color w:val="auto"/>
              </w:rPr>
            </w:pPr>
          </w:p>
        </w:tc>
        <w:tc>
          <w:tcPr>
            <w:tcW w:w="80" w:type="dxa"/>
            <w:vAlign w:val="bottom"/>
            <w:shd w:val="clear" w:color="auto" w:fill="CEFFE7"/>
          </w:tcPr>
          <w:p>
            <w:pPr>
              <w:spacing w:after="0"/>
              <w:rPr>
                <w:sz w:val="23"/>
                <w:szCs w:val="23"/>
                <w:color w:val="auto"/>
              </w:rPr>
            </w:pPr>
          </w:p>
        </w:tc>
        <w:tc>
          <w:tcPr>
            <w:tcW w:w="460" w:type="dxa"/>
            <w:vAlign w:val="bottom"/>
            <w:shd w:val="clear" w:color="auto" w:fill="CEFFE7"/>
          </w:tcPr>
          <w:p>
            <w:pPr>
              <w:spacing w:after="0"/>
              <w:rPr>
                <w:sz w:val="23"/>
                <w:szCs w:val="23"/>
                <w:color w:val="auto"/>
              </w:rPr>
            </w:pPr>
          </w:p>
        </w:tc>
        <w:tc>
          <w:tcPr>
            <w:tcW w:w="520" w:type="dxa"/>
            <w:vAlign w:val="bottom"/>
            <w:shd w:val="clear" w:color="auto" w:fill="CEFFE7"/>
          </w:tcPr>
          <w:p>
            <w:pPr>
              <w:spacing w:after="0"/>
              <w:rPr>
                <w:sz w:val="23"/>
                <w:szCs w:val="23"/>
                <w:color w:val="auto"/>
              </w:rPr>
            </w:pPr>
          </w:p>
        </w:tc>
        <w:tc>
          <w:tcPr>
            <w:tcW w:w="40" w:type="dxa"/>
            <w:vAlign w:val="bottom"/>
            <w:shd w:val="clear" w:color="auto" w:fill="CEFFE7"/>
          </w:tcPr>
          <w:p>
            <w:pPr>
              <w:spacing w:after="0"/>
              <w:rPr>
                <w:sz w:val="23"/>
                <w:szCs w:val="23"/>
                <w:color w:val="auto"/>
              </w:rPr>
            </w:pPr>
          </w:p>
        </w:tc>
        <w:tc>
          <w:tcPr>
            <w:tcW w:w="200" w:type="dxa"/>
            <w:vAlign w:val="bottom"/>
            <w:shd w:val="clear" w:color="auto" w:fill="CEFFE7"/>
          </w:tcPr>
          <w:p>
            <w:pPr>
              <w:spacing w:after="0"/>
              <w:rPr>
                <w:sz w:val="23"/>
                <w:szCs w:val="23"/>
                <w:color w:val="auto"/>
              </w:rPr>
            </w:pPr>
          </w:p>
        </w:tc>
        <w:tc>
          <w:tcPr>
            <w:tcW w:w="40" w:type="dxa"/>
            <w:vAlign w:val="bottom"/>
            <w:shd w:val="clear" w:color="auto" w:fill="CEFFE7"/>
          </w:tcPr>
          <w:p>
            <w:pPr>
              <w:spacing w:after="0"/>
              <w:rPr>
                <w:sz w:val="23"/>
                <w:szCs w:val="23"/>
                <w:color w:val="auto"/>
              </w:rPr>
            </w:pPr>
          </w:p>
        </w:tc>
        <w:tc>
          <w:tcPr>
            <w:tcW w:w="400" w:type="dxa"/>
            <w:vAlign w:val="bottom"/>
            <w:shd w:val="clear" w:color="auto" w:fill="CEFFE7"/>
          </w:tcPr>
          <w:p>
            <w:pPr>
              <w:spacing w:after="0"/>
              <w:rPr>
                <w:sz w:val="23"/>
                <w:szCs w:val="23"/>
                <w:color w:val="auto"/>
              </w:rPr>
            </w:pPr>
          </w:p>
        </w:tc>
        <w:tc>
          <w:tcPr>
            <w:tcW w:w="280" w:type="dxa"/>
            <w:vAlign w:val="bottom"/>
            <w:shd w:val="clear" w:color="auto" w:fill="CEFFE7"/>
          </w:tcPr>
          <w:p>
            <w:pPr>
              <w:spacing w:after="0"/>
              <w:rPr>
                <w:sz w:val="23"/>
                <w:szCs w:val="23"/>
                <w:color w:val="auto"/>
              </w:rPr>
            </w:pPr>
          </w:p>
        </w:tc>
        <w:tc>
          <w:tcPr>
            <w:tcW w:w="40" w:type="dxa"/>
            <w:vAlign w:val="bottom"/>
            <w:shd w:val="clear" w:color="auto" w:fill="CEFFE7"/>
          </w:tcPr>
          <w:p>
            <w:pPr>
              <w:spacing w:after="0"/>
              <w:rPr>
                <w:sz w:val="23"/>
                <w:szCs w:val="23"/>
                <w:color w:val="auto"/>
              </w:rPr>
            </w:pPr>
          </w:p>
        </w:tc>
        <w:tc>
          <w:tcPr>
            <w:tcW w:w="180" w:type="dxa"/>
            <w:vAlign w:val="bottom"/>
            <w:shd w:val="clear" w:color="auto" w:fill="CEFFE7"/>
          </w:tcPr>
          <w:p>
            <w:pPr>
              <w:spacing w:after="0"/>
              <w:rPr>
                <w:sz w:val="23"/>
                <w:szCs w:val="23"/>
                <w:color w:val="auto"/>
              </w:rPr>
            </w:pPr>
          </w:p>
        </w:tc>
        <w:tc>
          <w:tcPr>
            <w:tcW w:w="220" w:type="dxa"/>
            <w:vAlign w:val="bottom"/>
            <w:shd w:val="clear" w:color="auto" w:fill="CEFFE7"/>
          </w:tcPr>
          <w:p>
            <w:pPr>
              <w:spacing w:after="0"/>
              <w:rPr>
                <w:sz w:val="23"/>
                <w:szCs w:val="23"/>
                <w:color w:val="auto"/>
              </w:rPr>
            </w:pPr>
          </w:p>
        </w:tc>
        <w:tc>
          <w:tcPr>
            <w:tcW w:w="20" w:type="dxa"/>
            <w:vAlign w:val="bottom"/>
            <w:shd w:val="clear" w:color="auto" w:fill="CEFFE7"/>
          </w:tcPr>
          <w:p>
            <w:pPr>
              <w:spacing w:after="0"/>
              <w:rPr>
                <w:sz w:val="23"/>
                <w:szCs w:val="23"/>
                <w:color w:val="auto"/>
              </w:rPr>
            </w:pPr>
          </w:p>
        </w:tc>
        <w:tc>
          <w:tcPr>
            <w:tcW w:w="320" w:type="dxa"/>
            <w:vAlign w:val="bottom"/>
            <w:shd w:val="clear" w:color="auto" w:fill="CEFFE7"/>
          </w:tcPr>
          <w:p>
            <w:pPr>
              <w:spacing w:after="0"/>
              <w:rPr>
                <w:sz w:val="23"/>
                <w:szCs w:val="23"/>
                <w:color w:val="auto"/>
              </w:rPr>
            </w:pPr>
          </w:p>
        </w:tc>
        <w:tc>
          <w:tcPr>
            <w:tcW w:w="140" w:type="dxa"/>
            <w:vAlign w:val="bottom"/>
            <w:shd w:val="clear" w:color="auto" w:fill="CEFFE7"/>
          </w:tcPr>
          <w:p>
            <w:pPr>
              <w:spacing w:after="0"/>
              <w:rPr>
                <w:sz w:val="23"/>
                <w:szCs w:val="23"/>
                <w:color w:val="auto"/>
              </w:rPr>
            </w:pPr>
          </w:p>
        </w:tc>
        <w:tc>
          <w:tcPr>
            <w:tcW w:w="60" w:type="dxa"/>
            <w:vAlign w:val="bottom"/>
            <w:shd w:val="clear" w:color="auto" w:fill="CEFFE7"/>
          </w:tcPr>
          <w:p>
            <w:pPr>
              <w:spacing w:after="0"/>
              <w:rPr>
                <w:sz w:val="23"/>
                <w:szCs w:val="23"/>
                <w:color w:val="auto"/>
              </w:rPr>
            </w:pPr>
          </w:p>
        </w:tc>
        <w:tc>
          <w:tcPr>
            <w:tcW w:w="120" w:type="dxa"/>
            <w:vAlign w:val="bottom"/>
            <w:shd w:val="clear" w:color="auto" w:fill="CEFFE7"/>
          </w:tcPr>
          <w:p>
            <w:pPr>
              <w:spacing w:after="0"/>
              <w:rPr>
                <w:sz w:val="23"/>
                <w:szCs w:val="23"/>
                <w:color w:val="auto"/>
              </w:rPr>
            </w:pPr>
          </w:p>
        </w:tc>
        <w:tc>
          <w:tcPr>
            <w:tcW w:w="200" w:type="dxa"/>
            <w:vAlign w:val="bottom"/>
            <w:shd w:val="clear" w:color="auto" w:fill="CEFFE7"/>
          </w:tcPr>
          <w:p>
            <w:pPr>
              <w:spacing w:after="0"/>
              <w:rPr>
                <w:sz w:val="23"/>
                <w:szCs w:val="23"/>
                <w:color w:val="auto"/>
              </w:rPr>
            </w:pPr>
          </w:p>
        </w:tc>
        <w:tc>
          <w:tcPr>
            <w:tcW w:w="40" w:type="dxa"/>
            <w:vAlign w:val="bottom"/>
            <w:shd w:val="clear" w:color="auto" w:fill="CEFFE7"/>
          </w:tcPr>
          <w:p>
            <w:pPr>
              <w:spacing w:after="0"/>
              <w:rPr>
                <w:sz w:val="23"/>
                <w:szCs w:val="23"/>
                <w:color w:val="auto"/>
              </w:rPr>
            </w:pPr>
          </w:p>
        </w:tc>
        <w:tc>
          <w:tcPr>
            <w:tcW w:w="80" w:type="dxa"/>
            <w:vAlign w:val="bottom"/>
            <w:shd w:val="clear" w:color="auto" w:fill="CEFFE7"/>
          </w:tcPr>
          <w:p>
            <w:pPr>
              <w:spacing w:after="0"/>
              <w:rPr>
                <w:sz w:val="23"/>
                <w:szCs w:val="23"/>
                <w:color w:val="auto"/>
              </w:rPr>
            </w:pPr>
          </w:p>
        </w:tc>
        <w:tc>
          <w:tcPr>
            <w:tcW w:w="320" w:type="dxa"/>
            <w:vAlign w:val="bottom"/>
            <w:shd w:val="clear" w:color="auto" w:fill="CEFFE7"/>
          </w:tcPr>
          <w:p>
            <w:pPr>
              <w:spacing w:after="0"/>
              <w:rPr>
                <w:sz w:val="23"/>
                <w:szCs w:val="23"/>
                <w:color w:val="auto"/>
              </w:rPr>
            </w:pPr>
          </w:p>
        </w:tc>
        <w:tc>
          <w:tcPr>
            <w:tcW w:w="200" w:type="dxa"/>
            <w:vAlign w:val="bottom"/>
            <w:shd w:val="clear" w:color="auto" w:fill="CEFFE7"/>
          </w:tcPr>
          <w:p>
            <w:pPr>
              <w:spacing w:after="0"/>
              <w:rPr>
                <w:sz w:val="23"/>
                <w:szCs w:val="23"/>
                <w:color w:val="auto"/>
              </w:rPr>
            </w:pPr>
          </w:p>
        </w:tc>
        <w:tc>
          <w:tcPr>
            <w:tcW w:w="60" w:type="dxa"/>
            <w:vAlign w:val="bottom"/>
            <w:shd w:val="clear" w:color="auto" w:fill="CEFFE7"/>
          </w:tcPr>
          <w:p>
            <w:pPr>
              <w:spacing w:after="0"/>
              <w:rPr>
                <w:sz w:val="23"/>
                <w:szCs w:val="23"/>
                <w:color w:val="auto"/>
              </w:rPr>
            </w:pPr>
          </w:p>
        </w:tc>
        <w:tc>
          <w:tcPr>
            <w:tcW w:w="600" w:type="dxa"/>
            <w:vAlign w:val="bottom"/>
            <w:shd w:val="clear" w:color="auto" w:fill="CEFFE7"/>
          </w:tcPr>
          <w:p>
            <w:pPr>
              <w:spacing w:after="0"/>
              <w:rPr>
                <w:sz w:val="23"/>
                <w:szCs w:val="23"/>
                <w:color w:val="auto"/>
              </w:rPr>
            </w:pPr>
          </w:p>
        </w:tc>
        <w:tc>
          <w:tcPr>
            <w:tcW w:w="3520" w:type="dxa"/>
            <w:vAlign w:val="bottom"/>
            <w:shd w:val="clear" w:color="auto" w:fill="CEFFE7"/>
          </w:tcPr>
          <w:p>
            <w:pPr>
              <w:spacing w:after="0"/>
              <w:rPr>
                <w:sz w:val="23"/>
                <w:szCs w:val="23"/>
                <w:color w:val="auto"/>
              </w:rPr>
            </w:pPr>
          </w:p>
        </w:tc>
        <w:tc>
          <w:tcPr>
            <w:tcW w:w="660" w:type="dxa"/>
            <w:vAlign w:val="bottom"/>
            <w:shd w:val="clear" w:color="auto" w:fill="CEFFE7"/>
          </w:tcPr>
          <w:p>
            <w:pPr>
              <w:spacing w:after="0"/>
              <w:rPr>
                <w:sz w:val="23"/>
                <w:szCs w:val="23"/>
                <w:color w:val="auto"/>
              </w:rPr>
            </w:pPr>
          </w:p>
        </w:tc>
        <w:tc>
          <w:tcPr>
            <w:tcW w:w="40" w:type="dxa"/>
            <w:vAlign w:val="bottom"/>
            <w:shd w:val="clear" w:color="auto" w:fill="CEFFE7"/>
          </w:tcPr>
          <w:p>
            <w:pPr>
              <w:spacing w:after="0"/>
              <w:rPr>
                <w:sz w:val="23"/>
                <w:szCs w:val="23"/>
                <w:color w:val="auto"/>
              </w:rPr>
            </w:pPr>
          </w:p>
        </w:tc>
        <w:tc>
          <w:tcPr>
            <w:tcW w:w="100" w:type="dxa"/>
            <w:vAlign w:val="bottom"/>
            <w:shd w:val="clear" w:color="auto" w:fill="CEFFE7"/>
          </w:tcPr>
          <w:p>
            <w:pPr>
              <w:spacing w:after="0"/>
              <w:rPr>
                <w:sz w:val="23"/>
                <w:szCs w:val="23"/>
                <w:color w:val="auto"/>
              </w:rPr>
            </w:pPr>
          </w:p>
        </w:tc>
        <w:tc>
          <w:tcPr>
            <w:tcW w:w="40" w:type="dxa"/>
            <w:vAlign w:val="bottom"/>
            <w:shd w:val="clear" w:color="auto" w:fill="CEFFE7"/>
          </w:tcPr>
          <w:p>
            <w:pPr>
              <w:spacing w:after="0"/>
              <w:rPr>
                <w:sz w:val="23"/>
                <w:szCs w:val="23"/>
                <w:color w:val="auto"/>
              </w:rPr>
            </w:pPr>
          </w:p>
        </w:tc>
        <w:tc>
          <w:tcPr>
            <w:tcW w:w="660" w:type="dxa"/>
            <w:vAlign w:val="bottom"/>
            <w:shd w:val="clear" w:color="auto" w:fill="CEFFE7"/>
          </w:tcPr>
          <w:p>
            <w:pPr>
              <w:spacing w:after="0"/>
              <w:rPr>
                <w:sz w:val="23"/>
                <w:szCs w:val="23"/>
                <w:color w:val="auto"/>
              </w:rPr>
            </w:pPr>
          </w:p>
        </w:tc>
      </w:tr>
      <w:tr>
        <w:trPr>
          <w:trHeight w:val="176"/>
        </w:trPr>
        <w:tc>
          <w:tcPr>
            <w:tcW w:w="1440" w:type="dxa"/>
            <w:vAlign w:val="bottom"/>
            <w:gridSpan w:val="3"/>
          </w:tcPr>
          <w:p>
            <w:pPr>
              <w:ind w:left="20"/>
              <w:spacing w:after="0" w:line="175" w:lineRule="exact"/>
              <w:rPr>
                <w:sz w:val="20"/>
                <w:szCs w:val="20"/>
                <w:color w:val="auto"/>
              </w:rPr>
            </w:pPr>
            <w:r>
              <w:rPr>
                <w:rFonts w:ascii="Arial" w:cs="Arial" w:eastAsia="Arial" w:hAnsi="Arial"/>
                <w:sz w:val="16"/>
                <w:szCs w:val="16"/>
                <w:color w:val="auto"/>
              </w:rPr>
              <w:t>Item 1.</w:t>
            </w:r>
          </w:p>
        </w:tc>
        <w:tc>
          <w:tcPr>
            <w:tcW w:w="8260" w:type="dxa"/>
            <w:vAlign w:val="bottom"/>
            <w:gridSpan w:val="25"/>
          </w:tcPr>
          <w:p>
            <w:pPr>
              <w:spacing w:after="0" w:line="175" w:lineRule="exact"/>
              <w:rPr>
                <w:rFonts w:ascii="Arial" w:cs="Arial" w:eastAsia="Arial" w:hAnsi="Arial"/>
                <w:sz w:val="16"/>
                <w:szCs w:val="16"/>
                <w:color w:val="0000FF"/>
              </w:rPr>
            </w:pPr>
            <w:hyperlink w:anchor="page8">
              <w:r>
                <w:rPr>
                  <w:rFonts w:ascii="Arial" w:cs="Arial" w:eastAsia="Arial" w:hAnsi="Arial"/>
                  <w:sz w:val="16"/>
                  <w:szCs w:val="16"/>
                  <w:color w:val="0000FF"/>
                </w:rPr>
                <w:t>Financial Statements - unaudited</w:t>
              </w:r>
            </w:hyperlink>
          </w:p>
        </w:tc>
        <w:tc>
          <w:tcPr>
            <w:tcW w:w="800" w:type="dxa"/>
            <w:vAlign w:val="bottom"/>
            <w:gridSpan w:val="3"/>
          </w:tcPr>
          <w:p>
            <w:pPr>
              <w:jc w:val="center"/>
              <w:ind w:left="619"/>
              <w:spacing w:after="0" w:line="175" w:lineRule="exact"/>
              <w:rPr>
                <w:rFonts w:ascii="Arial" w:cs="Arial" w:eastAsia="Arial" w:hAnsi="Arial"/>
                <w:sz w:val="16"/>
                <w:szCs w:val="16"/>
                <w:color w:val="0000FF"/>
              </w:rPr>
            </w:pPr>
            <w:hyperlink w:anchor="page8">
              <w:r>
                <w:rPr>
                  <w:rFonts w:ascii="Arial" w:cs="Arial" w:eastAsia="Arial" w:hAnsi="Arial"/>
                  <w:sz w:val="16"/>
                  <w:szCs w:val="16"/>
                  <w:color w:val="0000FF"/>
                </w:rPr>
                <w:t>8</w:t>
              </w:r>
            </w:hyperlink>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76"/>
        </w:trPr>
        <w:tc>
          <w:tcPr>
            <w:tcW w:w="20" w:type="dxa"/>
            <w:vAlign w:val="bottom"/>
            <w:shd w:val="clear" w:color="auto" w:fill="CEFFE7"/>
          </w:tcPr>
          <w:p>
            <w:pPr>
              <w:spacing w:after="0"/>
              <w:rPr>
                <w:sz w:val="15"/>
                <w:szCs w:val="15"/>
                <w:color w:val="auto"/>
              </w:rPr>
            </w:pPr>
          </w:p>
        </w:tc>
        <w:tc>
          <w:tcPr>
            <w:tcW w:w="20" w:type="dxa"/>
            <w:vAlign w:val="bottom"/>
            <w:shd w:val="clear" w:color="auto" w:fill="CEFFE7"/>
          </w:tcPr>
          <w:p>
            <w:pPr>
              <w:spacing w:after="0"/>
              <w:rPr>
                <w:sz w:val="15"/>
                <w:szCs w:val="15"/>
                <w:color w:val="auto"/>
              </w:rPr>
            </w:pPr>
          </w:p>
        </w:tc>
        <w:tc>
          <w:tcPr>
            <w:tcW w:w="1400" w:type="dxa"/>
            <w:vAlign w:val="bottom"/>
            <w:shd w:val="clear" w:color="auto" w:fill="CEFFE7"/>
          </w:tcPr>
          <w:p>
            <w:pPr>
              <w:spacing w:after="0"/>
              <w:rPr>
                <w:sz w:val="15"/>
                <w:szCs w:val="15"/>
                <w:color w:val="auto"/>
              </w:rPr>
            </w:pPr>
          </w:p>
        </w:tc>
        <w:tc>
          <w:tcPr>
            <w:tcW w:w="8260" w:type="dxa"/>
            <w:vAlign w:val="bottom"/>
            <w:gridSpan w:val="25"/>
            <w:shd w:val="clear" w:color="auto" w:fill="CEFFE7"/>
          </w:tcPr>
          <w:p>
            <w:pPr>
              <w:ind w:left="120"/>
              <w:spacing w:after="0" w:line="175" w:lineRule="exact"/>
              <w:rPr>
                <w:rFonts w:ascii="Arial" w:cs="Arial" w:eastAsia="Arial" w:hAnsi="Arial"/>
                <w:sz w:val="16"/>
                <w:szCs w:val="16"/>
                <w:color w:val="0000FF"/>
              </w:rPr>
            </w:pPr>
            <w:hyperlink w:anchor="page8">
              <w:r>
                <w:rPr>
                  <w:rFonts w:ascii="Arial" w:cs="Arial" w:eastAsia="Arial" w:hAnsi="Arial"/>
                  <w:sz w:val="16"/>
                  <w:szCs w:val="16"/>
                  <w:color w:val="0000FF"/>
                </w:rPr>
                <w:t>Condensed Consolidated Statements of Income</w:t>
              </w:r>
            </w:hyperlink>
          </w:p>
        </w:tc>
        <w:tc>
          <w:tcPr>
            <w:tcW w:w="800" w:type="dxa"/>
            <w:vAlign w:val="bottom"/>
            <w:gridSpan w:val="3"/>
            <w:shd w:val="clear" w:color="auto" w:fill="CEFFE7"/>
          </w:tcPr>
          <w:p>
            <w:pPr>
              <w:jc w:val="center"/>
              <w:ind w:left="619"/>
              <w:spacing w:after="0" w:line="175" w:lineRule="exact"/>
              <w:rPr>
                <w:rFonts w:ascii="Arial" w:cs="Arial" w:eastAsia="Arial" w:hAnsi="Arial"/>
                <w:sz w:val="16"/>
                <w:szCs w:val="16"/>
                <w:color w:val="0000FF"/>
              </w:rPr>
            </w:pPr>
            <w:hyperlink w:anchor="page8">
              <w:r>
                <w:rPr>
                  <w:rFonts w:ascii="Arial" w:cs="Arial" w:eastAsia="Arial" w:hAnsi="Arial"/>
                  <w:sz w:val="16"/>
                  <w:szCs w:val="16"/>
                  <w:color w:val="0000FF"/>
                </w:rPr>
                <w:t>8</w:t>
              </w:r>
            </w:hyperlink>
          </w:p>
        </w:tc>
        <w:tc>
          <w:tcPr>
            <w:tcW w:w="40" w:type="dxa"/>
            <w:vAlign w:val="bottom"/>
            <w:shd w:val="clear" w:color="auto" w:fill="CEFFE7"/>
          </w:tcPr>
          <w:p>
            <w:pPr>
              <w:spacing w:after="0"/>
              <w:rPr>
                <w:sz w:val="15"/>
                <w:szCs w:val="15"/>
                <w:color w:val="auto"/>
              </w:rPr>
            </w:pPr>
          </w:p>
        </w:tc>
        <w:tc>
          <w:tcPr>
            <w:tcW w:w="660" w:type="dxa"/>
            <w:vAlign w:val="bottom"/>
            <w:shd w:val="clear" w:color="auto" w:fill="CEFFE7"/>
          </w:tcPr>
          <w:p>
            <w:pPr>
              <w:spacing w:after="0"/>
              <w:rPr>
                <w:sz w:val="15"/>
                <w:szCs w:val="15"/>
                <w:color w:val="auto"/>
              </w:rPr>
            </w:pPr>
          </w:p>
        </w:tc>
      </w:tr>
      <w:tr>
        <w:trPr>
          <w:trHeight w:val="20"/>
        </w:trPr>
        <w:tc>
          <w:tcPr>
            <w:tcW w:w="2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1400" w:type="dxa"/>
            <w:vAlign w:val="bottom"/>
            <w:tcBorders>
              <w:top w:val="single" w:sz="8" w:color="CEFFE7"/>
            </w:tcBorders>
            <w:shd w:val="clear" w:color="auto" w:fill="CEFFE7"/>
          </w:tcPr>
          <w:p>
            <w:pPr>
              <w:spacing w:after="0" w:line="20" w:lineRule="exact"/>
              <w:rPr>
                <w:sz w:val="1"/>
                <w:szCs w:val="1"/>
                <w:color w:val="auto"/>
              </w:rPr>
            </w:pPr>
          </w:p>
        </w:tc>
        <w:tc>
          <w:tcPr>
            <w:tcW w:w="120" w:type="dxa"/>
            <w:vAlign w:val="bottom"/>
            <w:tcBorders>
              <w:top w:val="single" w:sz="8" w:color="CEFFE7"/>
            </w:tcBorders>
            <w:shd w:val="clear" w:color="auto" w:fill="CEFFE7"/>
          </w:tcPr>
          <w:p>
            <w:pPr>
              <w:spacing w:after="0" w:line="20" w:lineRule="exact"/>
              <w:rPr>
                <w:sz w:val="1"/>
                <w:szCs w:val="1"/>
                <w:color w:val="auto"/>
              </w:rPr>
            </w:pPr>
          </w:p>
        </w:tc>
        <w:tc>
          <w:tcPr>
            <w:tcW w:w="80" w:type="dxa"/>
            <w:vAlign w:val="bottom"/>
            <w:tcBorders>
              <w:top w:val="single" w:sz="8" w:color="0000FF"/>
            </w:tcBorders>
            <w:shd w:val="clear" w:color="auto" w:fill="CEFFE7"/>
          </w:tcPr>
          <w:p>
            <w:pPr>
              <w:spacing w:after="0" w:line="20" w:lineRule="exact"/>
              <w:rPr>
                <w:sz w:val="1"/>
                <w:szCs w:val="1"/>
                <w:color w:val="auto"/>
              </w:rPr>
            </w:pPr>
          </w:p>
        </w:tc>
        <w:tc>
          <w:tcPr>
            <w:tcW w:w="460" w:type="dxa"/>
            <w:vAlign w:val="bottom"/>
            <w:tcBorders>
              <w:top w:val="single" w:sz="8" w:color="0000FF"/>
            </w:tcBorders>
            <w:shd w:val="clear" w:color="auto" w:fill="CEFFE7"/>
          </w:tcPr>
          <w:p>
            <w:pPr>
              <w:spacing w:after="0" w:line="20" w:lineRule="exact"/>
              <w:rPr>
                <w:sz w:val="1"/>
                <w:szCs w:val="1"/>
                <w:color w:val="auto"/>
              </w:rPr>
            </w:pPr>
          </w:p>
        </w:tc>
        <w:tc>
          <w:tcPr>
            <w:tcW w:w="52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20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400" w:type="dxa"/>
            <w:vAlign w:val="bottom"/>
            <w:tcBorders>
              <w:top w:val="single" w:sz="8" w:color="0000FF"/>
            </w:tcBorders>
            <w:shd w:val="clear" w:color="auto" w:fill="CEFFE7"/>
          </w:tcPr>
          <w:p>
            <w:pPr>
              <w:spacing w:after="0" w:line="20" w:lineRule="exact"/>
              <w:rPr>
                <w:sz w:val="1"/>
                <w:szCs w:val="1"/>
                <w:color w:val="auto"/>
              </w:rPr>
            </w:pPr>
          </w:p>
        </w:tc>
        <w:tc>
          <w:tcPr>
            <w:tcW w:w="28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180" w:type="dxa"/>
            <w:vAlign w:val="bottom"/>
            <w:tcBorders>
              <w:top w:val="single" w:sz="8" w:color="0000FF"/>
            </w:tcBorders>
            <w:shd w:val="clear" w:color="auto" w:fill="CEFFE7"/>
          </w:tcPr>
          <w:p>
            <w:pPr>
              <w:spacing w:after="0" w:line="20" w:lineRule="exact"/>
              <w:rPr>
                <w:sz w:val="1"/>
                <w:szCs w:val="1"/>
                <w:color w:val="auto"/>
              </w:rPr>
            </w:pPr>
          </w:p>
        </w:tc>
        <w:tc>
          <w:tcPr>
            <w:tcW w:w="22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320" w:type="dxa"/>
            <w:vAlign w:val="bottom"/>
            <w:tcBorders>
              <w:top w:val="single" w:sz="8" w:color="0000FF"/>
            </w:tcBorders>
            <w:shd w:val="clear" w:color="auto" w:fill="CEFFE7"/>
          </w:tcPr>
          <w:p>
            <w:pPr>
              <w:spacing w:after="0" w:line="20" w:lineRule="exact"/>
              <w:rPr>
                <w:sz w:val="1"/>
                <w:szCs w:val="1"/>
                <w:color w:val="auto"/>
              </w:rPr>
            </w:pPr>
          </w:p>
        </w:tc>
        <w:tc>
          <w:tcPr>
            <w:tcW w:w="140" w:type="dxa"/>
            <w:vAlign w:val="bottom"/>
            <w:tcBorders>
              <w:top w:val="single" w:sz="8" w:color="0000FF"/>
            </w:tcBorders>
            <w:shd w:val="clear" w:color="auto" w:fill="CEFFE7"/>
          </w:tcPr>
          <w:p>
            <w:pPr>
              <w:spacing w:after="0" w:line="20" w:lineRule="exact"/>
              <w:rPr>
                <w:sz w:val="1"/>
                <w:szCs w:val="1"/>
                <w:color w:val="auto"/>
              </w:rPr>
            </w:pPr>
          </w:p>
        </w:tc>
        <w:tc>
          <w:tcPr>
            <w:tcW w:w="60" w:type="dxa"/>
            <w:vAlign w:val="bottom"/>
            <w:tcBorders>
              <w:top w:val="single" w:sz="8" w:color="0000FF"/>
            </w:tcBorders>
            <w:shd w:val="clear" w:color="auto" w:fill="CEFFE7"/>
          </w:tcPr>
          <w:p>
            <w:pPr>
              <w:spacing w:after="0" w:line="20" w:lineRule="exact"/>
              <w:rPr>
                <w:sz w:val="1"/>
                <w:szCs w:val="1"/>
                <w:color w:val="auto"/>
              </w:rPr>
            </w:pPr>
          </w:p>
        </w:tc>
        <w:tc>
          <w:tcPr>
            <w:tcW w:w="120" w:type="dxa"/>
            <w:vAlign w:val="bottom"/>
            <w:tcBorders>
              <w:top w:val="single" w:sz="8" w:color="0000FF"/>
            </w:tcBorders>
            <w:shd w:val="clear" w:color="auto" w:fill="CEFFE7"/>
          </w:tcPr>
          <w:p>
            <w:pPr>
              <w:spacing w:after="0" w:line="20" w:lineRule="exact"/>
              <w:rPr>
                <w:sz w:val="1"/>
                <w:szCs w:val="1"/>
                <w:color w:val="auto"/>
              </w:rPr>
            </w:pPr>
          </w:p>
        </w:tc>
        <w:tc>
          <w:tcPr>
            <w:tcW w:w="20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80" w:type="dxa"/>
            <w:vAlign w:val="bottom"/>
            <w:tcBorders>
              <w:top w:val="single" w:sz="8" w:color="0000FF"/>
            </w:tcBorders>
            <w:shd w:val="clear" w:color="auto" w:fill="CEFFE7"/>
          </w:tcPr>
          <w:p>
            <w:pPr>
              <w:spacing w:after="0" w:line="20" w:lineRule="exact"/>
              <w:rPr>
                <w:sz w:val="1"/>
                <w:szCs w:val="1"/>
                <w:color w:val="auto"/>
              </w:rPr>
            </w:pPr>
          </w:p>
        </w:tc>
        <w:tc>
          <w:tcPr>
            <w:tcW w:w="320" w:type="dxa"/>
            <w:vAlign w:val="bottom"/>
            <w:tcBorders>
              <w:top w:val="single" w:sz="8" w:color="CEFFE7"/>
            </w:tcBorders>
            <w:shd w:val="clear" w:color="auto" w:fill="CEFFE7"/>
          </w:tcPr>
          <w:p>
            <w:pPr>
              <w:spacing w:after="0" w:line="20" w:lineRule="exact"/>
              <w:rPr>
                <w:sz w:val="1"/>
                <w:szCs w:val="1"/>
                <w:color w:val="auto"/>
              </w:rPr>
            </w:pPr>
          </w:p>
        </w:tc>
        <w:tc>
          <w:tcPr>
            <w:tcW w:w="200" w:type="dxa"/>
            <w:vAlign w:val="bottom"/>
            <w:tcBorders>
              <w:top w:val="single" w:sz="8" w:color="CEFFE7"/>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600" w:type="dxa"/>
            <w:vAlign w:val="bottom"/>
            <w:tcBorders>
              <w:top w:val="single" w:sz="8" w:color="CEFFE7"/>
            </w:tcBorders>
            <w:shd w:val="clear" w:color="auto" w:fill="CEFFE7"/>
          </w:tcPr>
          <w:p>
            <w:pPr>
              <w:spacing w:after="0" w:line="20" w:lineRule="exact"/>
              <w:rPr>
                <w:sz w:val="1"/>
                <w:szCs w:val="1"/>
                <w:color w:val="auto"/>
              </w:rPr>
            </w:pPr>
          </w:p>
        </w:tc>
        <w:tc>
          <w:tcPr>
            <w:tcW w:w="3520" w:type="dxa"/>
            <w:vAlign w:val="bottom"/>
            <w:tcBorders>
              <w:top w:val="single" w:sz="8" w:color="CEFFE7"/>
            </w:tcBorders>
            <w:shd w:val="clear" w:color="auto" w:fill="CEFFE7"/>
          </w:tcPr>
          <w:p>
            <w:pPr>
              <w:spacing w:after="0" w:line="20" w:lineRule="exact"/>
              <w:rPr>
                <w:sz w:val="1"/>
                <w:szCs w:val="1"/>
                <w:color w:val="auto"/>
              </w:rPr>
            </w:pPr>
          </w:p>
        </w:tc>
        <w:tc>
          <w:tcPr>
            <w:tcW w:w="66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10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660" w:type="dxa"/>
            <w:vAlign w:val="bottom"/>
            <w:tcBorders>
              <w:top w:val="single" w:sz="8" w:color="CEFFE7"/>
            </w:tcBorders>
            <w:shd w:val="clear" w:color="auto" w:fill="CEFFE7"/>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260" w:type="dxa"/>
            <w:vAlign w:val="bottom"/>
            <w:gridSpan w:val="25"/>
          </w:tcPr>
          <w:p>
            <w:pPr>
              <w:ind w:left="120"/>
              <w:spacing w:after="0" w:line="175" w:lineRule="exact"/>
              <w:rPr>
                <w:rFonts w:ascii="Arial" w:cs="Arial" w:eastAsia="Arial" w:hAnsi="Arial"/>
                <w:sz w:val="16"/>
                <w:szCs w:val="16"/>
                <w:color w:val="0000FF"/>
              </w:rPr>
            </w:pPr>
            <w:hyperlink w:anchor="page8">
              <w:r>
                <w:rPr>
                  <w:rFonts w:ascii="Arial" w:cs="Arial" w:eastAsia="Arial" w:hAnsi="Arial"/>
                  <w:sz w:val="16"/>
                  <w:szCs w:val="16"/>
                  <w:color w:val="0000FF"/>
                </w:rPr>
                <w:t>Condensed Consolidated Statements of Comprehensive Income</w:t>
              </w:r>
            </w:hyperlink>
          </w:p>
        </w:tc>
        <w:tc>
          <w:tcPr>
            <w:tcW w:w="800" w:type="dxa"/>
            <w:vAlign w:val="bottom"/>
            <w:gridSpan w:val="3"/>
          </w:tcPr>
          <w:p>
            <w:pPr>
              <w:jc w:val="center"/>
              <w:ind w:left="619"/>
              <w:spacing w:after="0" w:line="175" w:lineRule="exact"/>
              <w:rPr>
                <w:rFonts w:ascii="Arial" w:cs="Arial" w:eastAsia="Arial" w:hAnsi="Arial"/>
                <w:sz w:val="16"/>
                <w:szCs w:val="16"/>
                <w:color w:val="0000FF"/>
              </w:rPr>
            </w:pPr>
            <w:hyperlink w:anchor="page8">
              <w:r>
                <w:rPr>
                  <w:rFonts w:ascii="Arial" w:cs="Arial" w:eastAsia="Arial" w:hAnsi="Arial"/>
                  <w:sz w:val="16"/>
                  <w:szCs w:val="16"/>
                  <w:color w:val="0000FF"/>
                </w:rPr>
                <w:t>9</w:t>
              </w:r>
            </w:hyperlink>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75"/>
        </w:trPr>
        <w:tc>
          <w:tcPr>
            <w:tcW w:w="20" w:type="dxa"/>
            <w:vAlign w:val="bottom"/>
            <w:shd w:val="clear" w:color="auto" w:fill="CEFFE7"/>
          </w:tcPr>
          <w:p>
            <w:pPr>
              <w:spacing w:after="0"/>
              <w:rPr>
                <w:sz w:val="15"/>
                <w:szCs w:val="15"/>
                <w:color w:val="auto"/>
              </w:rPr>
            </w:pPr>
          </w:p>
        </w:tc>
        <w:tc>
          <w:tcPr>
            <w:tcW w:w="20" w:type="dxa"/>
            <w:vAlign w:val="bottom"/>
            <w:shd w:val="clear" w:color="auto" w:fill="CEFFE7"/>
          </w:tcPr>
          <w:p>
            <w:pPr>
              <w:spacing w:after="0"/>
              <w:rPr>
                <w:sz w:val="15"/>
                <w:szCs w:val="15"/>
                <w:color w:val="auto"/>
              </w:rPr>
            </w:pPr>
          </w:p>
        </w:tc>
        <w:tc>
          <w:tcPr>
            <w:tcW w:w="1400" w:type="dxa"/>
            <w:vAlign w:val="bottom"/>
            <w:shd w:val="clear" w:color="auto" w:fill="CEFFE7"/>
          </w:tcPr>
          <w:p>
            <w:pPr>
              <w:spacing w:after="0"/>
              <w:rPr>
                <w:sz w:val="15"/>
                <w:szCs w:val="15"/>
                <w:color w:val="auto"/>
              </w:rPr>
            </w:pPr>
          </w:p>
        </w:tc>
        <w:tc>
          <w:tcPr>
            <w:tcW w:w="8260" w:type="dxa"/>
            <w:vAlign w:val="bottom"/>
            <w:gridSpan w:val="25"/>
            <w:shd w:val="clear" w:color="auto" w:fill="CEFFE7"/>
          </w:tcPr>
          <w:p>
            <w:pPr>
              <w:ind w:left="120"/>
              <w:spacing w:after="0" w:line="175" w:lineRule="exact"/>
              <w:rPr>
                <w:rFonts w:ascii="Arial" w:cs="Arial" w:eastAsia="Arial" w:hAnsi="Arial"/>
                <w:sz w:val="16"/>
                <w:szCs w:val="16"/>
                <w:color w:val="0000FF"/>
              </w:rPr>
            </w:pPr>
            <w:hyperlink w:anchor="page9">
              <w:r>
                <w:rPr>
                  <w:rFonts w:ascii="Arial" w:cs="Arial" w:eastAsia="Arial" w:hAnsi="Arial"/>
                  <w:sz w:val="16"/>
                  <w:szCs w:val="16"/>
                  <w:color w:val="0000FF"/>
                </w:rPr>
                <w:t>Condensed Consolidated Balance Sheets</w:t>
              </w:r>
            </w:hyperlink>
          </w:p>
        </w:tc>
        <w:tc>
          <w:tcPr>
            <w:tcW w:w="1500" w:type="dxa"/>
            <w:vAlign w:val="bottom"/>
            <w:gridSpan w:val="5"/>
            <w:shd w:val="clear" w:color="auto" w:fill="CEFFE7"/>
          </w:tcPr>
          <w:p>
            <w:pPr>
              <w:jc w:val="center"/>
              <w:spacing w:after="0" w:line="175" w:lineRule="exact"/>
              <w:rPr>
                <w:rFonts w:ascii="Arial" w:cs="Arial" w:eastAsia="Arial" w:hAnsi="Arial"/>
                <w:sz w:val="16"/>
                <w:szCs w:val="16"/>
                <w:color w:val="0000FF"/>
              </w:rPr>
            </w:pPr>
            <w:hyperlink w:anchor="page9">
              <w:r>
                <w:rPr>
                  <w:rFonts w:ascii="Arial" w:cs="Arial" w:eastAsia="Arial" w:hAnsi="Arial"/>
                  <w:sz w:val="16"/>
                  <w:szCs w:val="16"/>
                  <w:color w:val="0000FF"/>
                </w:rPr>
                <w:t>10</w:t>
              </w:r>
            </w:hyperlink>
          </w:p>
        </w:tc>
      </w:tr>
      <w:tr>
        <w:trPr>
          <w:trHeight w:val="21"/>
        </w:trPr>
        <w:tc>
          <w:tcPr>
            <w:tcW w:w="2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1400" w:type="dxa"/>
            <w:vAlign w:val="bottom"/>
            <w:tcBorders>
              <w:top w:val="single" w:sz="8" w:color="CEFFE7"/>
            </w:tcBorders>
            <w:shd w:val="clear" w:color="auto" w:fill="CEFFE7"/>
          </w:tcPr>
          <w:p>
            <w:pPr>
              <w:spacing w:after="0" w:line="20" w:lineRule="exact"/>
              <w:rPr>
                <w:sz w:val="1"/>
                <w:szCs w:val="1"/>
                <w:color w:val="auto"/>
              </w:rPr>
            </w:pPr>
          </w:p>
        </w:tc>
        <w:tc>
          <w:tcPr>
            <w:tcW w:w="120" w:type="dxa"/>
            <w:vAlign w:val="bottom"/>
            <w:tcBorders>
              <w:top w:val="single" w:sz="8" w:color="CEFFE7"/>
            </w:tcBorders>
            <w:shd w:val="clear" w:color="auto" w:fill="CEFFE7"/>
          </w:tcPr>
          <w:p>
            <w:pPr>
              <w:spacing w:after="0" w:line="20" w:lineRule="exact"/>
              <w:rPr>
                <w:sz w:val="1"/>
                <w:szCs w:val="1"/>
                <w:color w:val="auto"/>
              </w:rPr>
            </w:pPr>
          </w:p>
        </w:tc>
        <w:tc>
          <w:tcPr>
            <w:tcW w:w="80" w:type="dxa"/>
            <w:vAlign w:val="bottom"/>
            <w:tcBorders>
              <w:top w:val="single" w:sz="8" w:color="0000FF"/>
            </w:tcBorders>
            <w:shd w:val="clear" w:color="auto" w:fill="CEFFE7"/>
          </w:tcPr>
          <w:p>
            <w:pPr>
              <w:spacing w:after="0" w:line="20" w:lineRule="exact"/>
              <w:rPr>
                <w:sz w:val="1"/>
                <w:szCs w:val="1"/>
                <w:color w:val="auto"/>
              </w:rPr>
            </w:pPr>
          </w:p>
        </w:tc>
        <w:tc>
          <w:tcPr>
            <w:tcW w:w="460" w:type="dxa"/>
            <w:vAlign w:val="bottom"/>
            <w:tcBorders>
              <w:top w:val="single" w:sz="8" w:color="0000FF"/>
            </w:tcBorders>
            <w:shd w:val="clear" w:color="auto" w:fill="CEFFE7"/>
          </w:tcPr>
          <w:p>
            <w:pPr>
              <w:spacing w:after="0" w:line="20" w:lineRule="exact"/>
              <w:rPr>
                <w:sz w:val="1"/>
                <w:szCs w:val="1"/>
                <w:color w:val="auto"/>
              </w:rPr>
            </w:pPr>
          </w:p>
        </w:tc>
        <w:tc>
          <w:tcPr>
            <w:tcW w:w="52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20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400" w:type="dxa"/>
            <w:vAlign w:val="bottom"/>
            <w:tcBorders>
              <w:top w:val="single" w:sz="8" w:color="0000FF"/>
            </w:tcBorders>
            <w:shd w:val="clear" w:color="auto" w:fill="CEFFE7"/>
          </w:tcPr>
          <w:p>
            <w:pPr>
              <w:spacing w:after="0" w:line="20" w:lineRule="exact"/>
              <w:rPr>
                <w:sz w:val="1"/>
                <w:szCs w:val="1"/>
                <w:color w:val="auto"/>
              </w:rPr>
            </w:pPr>
          </w:p>
        </w:tc>
        <w:tc>
          <w:tcPr>
            <w:tcW w:w="28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180" w:type="dxa"/>
            <w:vAlign w:val="bottom"/>
            <w:tcBorders>
              <w:top w:val="single" w:sz="8" w:color="0000FF"/>
            </w:tcBorders>
            <w:shd w:val="clear" w:color="auto" w:fill="CEFFE7"/>
          </w:tcPr>
          <w:p>
            <w:pPr>
              <w:spacing w:after="0" w:line="20" w:lineRule="exact"/>
              <w:rPr>
                <w:sz w:val="1"/>
                <w:szCs w:val="1"/>
                <w:color w:val="auto"/>
              </w:rPr>
            </w:pPr>
          </w:p>
        </w:tc>
        <w:tc>
          <w:tcPr>
            <w:tcW w:w="22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320" w:type="dxa"/>
            <w:vAlign w:val="bottom"/>
            <w:tcBorders>
              <w:top w:val="single" w:sz="8" w:color="0000FF"/>
            </w:tcBorders>
            <w:shd w:val="clear" w:color="auto" w:fill="CEFFE7"/>
          </w:tcPr>
          <w:p>
            <w:pPr>
              <w:spacing w:after="0" w:line="20" w:lineRule="exact"/>
              <w:rPr>
                <w:sz w:val="1"/>
                <w:szCs w:val="1"/>
                <w:color w:val="auto"/>
              </w:rPr>
            </w:pPr>
          </w:p>
        </w:tc>
        <w:tc>
          <w:tcPr>
            <w:tcW w:w="140" w:type="dxa"/>
            <w:vAlign w:val="bottom"/>
            <w:tcBorders>
              <w:top w:val="single" w:sz="8" w:color="0000FF"/>
            </w:tcBorders>
            <w:shd w:val="clear" w:color="auto" w:fill="CEFFE7"/>
          </w:tcPr>
          <w:p>
            <w:pPr>
              <w:spacing w:after="0" w:line="20" w:lineRule="exact"/>
              <w:rPr>
                <w:sz w:val="1"/>
                <w:szCs w:val="1"/>
                <w:color w:val="auto"/>
              </w:rPr>
            </w:pPr>
          </w:p>
        </w:tc>
        <w:tc>
          <w:tcPr>
            <w:tcW w:w="60" w:type="dxa"/>
            <w:vAlign w:val="bottom"/>
            <w:tcBorders>
              <w:top w:val="single" w:sz="8" w:color="0000FF"/>
            </w:tcBorders>
            <w:shd w:val="clear" w:color="auto" w:fill="CEFFE7"/>
          </w:tcPr>
          <w:p>
            <w:pPr>
              <w:spacing w:after="0" w:line="20" w:lineRule="exact"/>
              <w:rPr>
                <w:sz w:val="1"/>
                <w:szCs w:val="1"/>
                <w:color w:val="auto"/>
              </w:rPr>
            </w:pPr>
          </w:p>
        </w:tc>
        <w:tc>
          <w:tcPr>
            <w:tcW w:w="120" w:type="dxa"/>
            <w:vAlign w:val="bottom"/>
            <w:tcBorders>
              <w:top w:val="single" w:sz="8" w:color="CEFFE7"/>
            </w:tcBorders>
            <w:shd w:val="clear" w:color="auto" w:fill="CEFFE7"/>
          </w:tcPr>
          <w:p>
            <w:pPr>
              <w:spacing w:after="0" w:line="20" w:lineRule="exact"/>
              <w:rPr>
                <w:sz w:val="1"/>
                <w:szCs w:val="1"/>
                <w:color w:val="auto"/>
              </w:rPr>
            </w:pPr>
          </w:p>
        </w:tc>
        <w:tc>
          <w:tcPr>
            <w:tcW w:w="20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80" w:type="dxa"/>
            <w:vAlign w:val="bottom"/>
            <w:tcBorders>
              <w:top w:val="single" w:sz="8" w:color="CEFFE7"/>
            </w:tcBorders>
            <w:shd w:val="clear" w:color="auto" w:fill="CEFFE7"/>
          </w:tcPr>
          <w:p>
            <w:pPr>
              <w:spacing w:after="0" w:line="20" w:lineRule="exact"/>
              <w:rPr>
                <w:sz w:val="1"/>
                <w:szCs w:val="1"/>
                <w:color w:val="auto"/>
              </w:rPr>
            </w:pPr>
          </w:p>
        </w:tc>
        <w:tc>
          <w:tcPr>
            <w:tcW w:w="320" w:type="dxa"/>
            <w:vAlign w:val="bottom"/>
            <w:tcBorders>
              <w:top w:val="single" w:sz="8" w:color="CEFFE7"/>
            </w:tcBorders>
            <w:shd w:val="clear" w:color="auto" w:fill="CEFFE7"/>
          </w:tcPr>
          <w:p>
            <w:pPr>
              <w:spacing w:after="0" w:line="20" w:lineRule="exact"/>
              <w:rPr>
                <w:sz w:val="1"/>
                <w:szCs w:val="1"/>
                <w:color w:val="auto"/>
              </w:rPr>
            </w:pPr>
          </w:p>
        </w:tc>
        <w:tc>
          <w:tcPr>
            <w:tcW w:w="200" w:type="dxa"/>
            <w:vAlign w:val="bottom"/>
            <w:tcBorders>
              <w:top w:val="single" w:sz="8" w:color="CEFFE7"/>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600" w:type="dxa"/>
            <w:vAlign w:val="bottom"/>
            <w:tcBorders>
              <w:top w:val="single" w:sz="8" w:color="CEFFE7"/>
            </w:tcBorders>
            <w:shd w:val="clear" w:color="auto" w:fill="CEFFE7"/>
          </w:tcPr>
          <w:p>
            <w:pPr>
              <w:spacing w:after="0" w:line="20" w:lineRule="exact"/>
              <w:rPr>
                <w:sz w:val="1"/>
                <w:szCs w:val="1"/>
                <w:color w:val="auto"/>
              </w:rPr>
            </w:pPr>
          </w:p>
        </w:tc>
        <w:tc>
          <w:tcPr>
            <w:tcW w:w="3520" w:type="dxa"/>
            <w:vAlign w:val="bottom"/>
            <w:tcBorders>
              <w:top w:val="single" w:sz="8" w:color="CEFFE7"/>
            </w:tcBorders>
            <w:shd w:val="clear" w:color="auto" w:fill="CEFFE7"/>
          </w:tcPr>
          <w:p>
            <w:pPr>
              <w:spacing w:after="0" w:line="20" w:lineRule="exact"/>
              <w:rPr>
                <w:sz w:val="1"/>
                <w:szCs w:val="1"/>
                <w:color w:val="auto"/>
              </w:rPr>
            </w:pPr>
          </w:p>
        </w:tc>
        <w:tc>
          <w:tcPr>
            <w:tcW w:w="66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10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660" w:type="dxa"/>
            <w:vAlign w:val="bottom"/>
            <w:tcBorders>
              <w:top w:val="single" w:sz="8" w:color="CEFFE7"/>
            </w:tcBorders>
            <w:shd w:val="clear" w:color="auto" w:fill="CEFFE7"/>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260" w:type="dxa"/>
            <w:vAlign w:val="bottom"/>
            <w:gridSpan w:val="25"/>
          </w:tcPr>
          <w:p>
            <w:pPr>
              <w:ind w:left="120"/>
              <w:spacing w:after="0" w:line="175" w:lineRule="exact"/>
              <w:rPr>
                <w:rFonts w:ascii="Arial" w:cs="Arial" w:eastAsia="Arial" w:hAnsi="Arial"/>
                <w:sz w:val="16"/>
                <w:szCs w:val="16"/>
                <w:color w:val="0000FF"/>
              </w:rPr>
            </w:pPr>
            <w:hyperlink w:anchor="page11">
              <w:r>
                <w:rPr>
                  <w:rFonts w:ascii="Arial" w:cs="Arial" w:eastAsia="Arial" w:hAnsi="Arial"/>
                  <w:sz w:val="16"/>
                  <w:szCs w:val="16"/>
                  <w:color w:val="0000FF"/>
                </w:rPr>
                <w:t>Condensed Consolidated Statements of Cash Flows</w:t>
              </w:r>
            </w:hyperlink>
          </w:p>
        </w:tc>
        <w:tc>
          <w:tcPr>
            <w:tcW w:w="1500" w:type="dxa"/>
            <w:vAlign w:val="bottom"/>
            <w:gridSpan w:val="5"/>
          </w:tcPr>
          <w:p>
            <w:pPr>
              <w:jc w:val="center"/>
              <w:spacing w:after="0" w:line="175" w:lineRule="exact"/>
              <w:rPr>
                <w:rFonts w:ascii="Arial" w:cs="Arial" w:eastAsia="Arial" w:hAnsi="Arial"/>
                <w:sz w:val="16"/>
                <w:szCs w:val="16"/>
                <w:color w:val="0000FF"/>
              </w:rPr>
            </w:pPr>
            <w:hyperlink w:anchor="page11">
              <w:r>
                <w:rPr>
                  <w:rFonts w:ascii="Arial" w:cs="Arial" w:eastAsia="Arial" w:hAnsi="Arial"/>
                  <w:sz w:val="16"/>
                  <w:szCs w:val="16"/>
                  <w:color w:val="0000FF"/>
                </w:rPr>
                <w:t>12</w:t>
              </w:r>
            </w:hyperlink>
          </w:p>
        </w:tc>
      </w:tr>
      <w:tr>
        <w:trPr>
          <w:trHeight w:val="21"/>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75"/>
        </w:trPr>
        <w:tc>
          <w:tcPr>
            <w:tcW w:w="20" w:type="dxa"/>
            <w:vAlign w:val="bottom"/>
            <w:shd w:val="clear" w:color="auto" w:fill="CEFFE7"/>
          </w:tcPr>
          <w:p>
            <w:pPr>
              <w:spacing w:after="0"/>
              <w:rPr>
                <w:sz w:val="15"/>
                <w:szCs w:val="15"/>
                <w:color w:val="auto"/>
              </w:rPr>
            </w:pPr>
          </w:p>
        </w:tc>
        <w:tc>
          <w:tcPr>
            <w:tcW w:w="20" w:type="dxa"/>
            <w:vAlign w:val="bottom"/>
            <w:shd w:val="clear" w:color="auto" w:fill="CEFFE7"/>
          </w:tcPr>
          <w:p>
            <w:pPr>
              <w:spacing w:after="0"/>
              <w:rPr>
                <w:sz w:val="15"/>
                <w:szCs w:val="15"/>
                <w:color w:val="auto"/>
              </w:rPr>
            </w:pPr>
          </w:p>
        </w:tc>
        <w:tc>
          <w:tcPr>
            <w:tcW w:w="1400" w:type="dxa"/>
            <w:vAlign w:val="bottom"/>
            <w:shd w:val="clear" w:color="auto" w:fill="CEFFE7"/>
          </w:tcPr>
          <w:p>
            <w:pPr>
              <w:spacing w:after="0"/>
              <w:rPr>
                <w:sz w:val="15"/>
                <w:szCs w:val="15"/>
                <w:color w:val="auto"/>
              </w:rPr>
            </w:pPr>
          </w:p>
        </w:tc>
        <w:tc>
          <w:tcPr>
            <w:tcW w:w="8260" w:type="dxa"/>
            <w:vAlign w:val="bottom"/>
            <w:gridSpan w:val="25"/>
            <w:shd w:val="clear" w:color="auto" w:fill="CEFFE7"/>
          </w:tcPr>
          <w:p>
            <w:pPr>
              <w:ind w:left="120"/>
              <w:spacing w:after="0" w:line="175" w:lineRule="exact"/>
              <w:rPr>
                <w:rFonts w:ascii="Arial" w:cs="Arial" w:eastAsia="Arial" w:hAnsi="Arial"/>
                <w:sz w:val="16"/>
                <w:szCs w:val="16"/>
                <w:color w:val="0000FF"/>
              </w:rPr>
            </w:pPr>
            <w:hyperlink w:anchor="page12">
              <w:r>
                <w:rPr>
                  <w:rFonts w:ascii="Arial" w:cs="Arial" w:eastAsia="Arial" w:hAnsi="Arial"/>
                  <w:sz w:val="16"/>
                  <w:szCs w:val="16"/>
                  <w:color w:val="0000FF"/>
                </w:rPr>
                <w:t>Condensed Consolidated Statements of Equity</w:t>
              </w:r>
            </w:hyperlink>
          </w:p>
        </w:tc>
        <w:tc>
          <w:tcPr>
            <w:tcW w:w="1500" w:type="dxa"/>
            <w:vAlign w:val="bottom"/>
            <w:gridSpan w:val="5"/>
            <w:shd w:val="clear" w:color="auto" w:fill="CEFFE7"/>
          </w:tcPr>
          <w:p>
            <w:pPr>
              <w:jc w:val="center"/>
              <w:spacing w:after="0" w:line="175" w:lineRule="exact"/>
              <w:rPr>
                <w:rFonts w:ascii="Arial" w:cs="Arial" w:eastAsia="Arial" w:hAnsi="Arial"/>
                <w:sz w:val="16"/>
                <w:szCs w:val="16"/>
                <w:color w:val="0000FF"/>
              </w:rPr>
            </w:pPr>
            <w:hyperlink w:anchor="page12">
              <w:r>
                <w:rPr>
                  <w:rFonts w:ascii="Arial" w:cs="Arial" w:eastAsia="Arial" w:hAnsi="Arial"/>
                  <w:sz w:val="16"/>
                  <w:szCs w:val="16"/>
                  <w:color w:val="0000FF"/>
                </w:rPr>
                <w:t>13</w:t>
              </w:r>
            </w:hyperlink>
          </w:p>
        </w:tc>
      </w:tr>
      <w:tr>
        <w:trPr>
          <w:trHeight w:val="21"/>
        </w:trPr>
        <w:tc>
          <w:tcPr>
            <w:tcW w:w="2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1400" w:type="dxa"/>
            <w:vAlign w:val="bottom"/>
            <w:tcBorders>
              <w:top w:val="single" w:sz="8" w:color="CEFFE7"/>
            </w:tcBorders>
            <w:shd w:val="clear" w:color="auto" w:fill="CEFFE7"/>
          </w:tcPr>
          <w:p>
            <w:pPr>
              <w:spacing w:after="0" w:line="20" w:lineRule="exact"/>
              <w:rPr>
                <w:sz w:val="1"/>
                <w:szCs w:val="1"/>
                <w:color w:val="auto"/>
              </w:rPr>
            </w:pPr>
          </w:p>
        </w:tc>
        <w:tc>
          <w:tcPr>
            <w:tcW w:w="120" w:type="dxa"/>
            <w:vAlign w:val="bottom"/>
            <w:tcBorders>
              <w:top w:val="single" w:sz="8" w:color="CEFFE7"/>
            </w:tcBorders>
            <w:shd w:val="clear" w:color="auto" w:fill="CEFFE7"/>
          </w:tcPr>
          <w:p>
            <w:pPr>
              <w:spacing w:after="0" w:line="20" w:lineRule="exact"/>
              <w:rPr>
                <w:sz w:val="1"/>
                <w:szCs w:val="1"/>
                <w:color w:val="auto"/>
              </w:rPr>
            </w:pPr>
          </w:p>
        </w:tc>
        <w:tc>
          <w:tcPr>
            <w:tcW w:w="80" w:type="dxa"/>
            <w:vAlign w:val="bottom"/>
            <w:tcBorders>
              <w:top w:val="single" w:sz="8" w:color="0000FF"/>
            </w:tcBorders>
            <w:shd w:val="clear" w:color="auto" w:fill="CEFFE7"/>
          </w:tcPr>
          <w:p>
            <w:pPr>
              <w:spacing w:after="0" w:line="20" w:lineRule="exact"/>
              <w:rPr>
                <w:sz w:val="1"/>
                <w:szCs w:val="1"/>
                <w:color w:val="auto"/>
              </w:rPr>
            </w:pPr>
          </w:p>
        </w:tc>
        <w:tc>
          <w:tcPr>
            <w:tcW w:w="460" w:type="dxa"/>
            <w:vAlign w:val="bottom"/>
            <w:tcBorders>
              <w:top w:val="single" w:sz="8" w:color="0000FF"/>
            </w:tcBorders>
            <w:shd w:val="clear" w:color="auto" w:fill="CEFFE7"/>
          </w:tcPr>
          <w:p>
            <w:pPr>
              <w:spacing w:after="0" w:line="20" w:lineRule="exact"/>
              <w:rPr>
                <w:sz w:val="1"/>
                <w:szCs w:val="1"/>
                <w:color w:val="auto"/>
              </w:rPr>
            </w:pPr>
          </w:p>
        </w:tc>
        <w:tc>
          <w:tcPr>
            <w:tcW w:w="52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20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400" w:type="dxa"/>
            <w:vAlign w:val="bottom"/>
            <w:tcBorders>
              <w:top w:val="single" w:sz="8" w:color="0000FF"/>
            </w:tcBorders>
            <w:shd w:val="clear" w:color="auto" w:fill="CEFFE7"/>
          </w:tcPr>
          <w:p>
            <w:pPr>
              <w:spacing w:after="0" w:line="20" w:lineRule="exact"/>
              <w:rPr>
                <w:sz w:val="1"/>
                <w:szCs w:val="1"/>
                <w:color w:val="auto"/>
              </w:rPr>
            </w:pPr>
          </w:p>
        </w:tc>
        <w:tc>
          <w:tcPr>
            <w:tcW w:w="28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180" w:type="dxa"/>
            <w:vAlign w:val="bottom"/>
            <w:tcBorders>
              <w:top w:val="single" w:sz="8" w:color="0000FF"/>
            </w:tcBorders>
            <w:shd w:val="clear" w:color="auto" w:fill="CEFFE7"/>
          </w:tcPr>
          <w:p>
            <w:pPr>
              <w:spacing w:after="0" w:line="20" w:lineRule="exact"/>
              <w:rPr>
                <w:sz w:val="1"/>
                <w:szCs w:val="1"/>
                <w:color w:val="auto"/>
              </w:rPr>
            </w:pPr>
          </w:p>
        </w:tc>
        <w:tc>
          <w:tcPr>
            <w:tcW w:w="22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320" w:type="dxa"/>
            <w:vAlign w:val="bottom"/>
            <w:tcBorders>
              <w:top w:val="single" w:sz="8" w:color="0000FF"/>
            </w:tcBorders>
            <w:shd w:val="clear" w:color="auto" w:fill="CEFFE7"/>
          </w:tcPr>
          <w:p>
            <w:pPr>
              <w:spacing w:after="0" w:line="20" w:lineRule="exact"/>
              <w:rPr>
                <w:sz w:val="1"/>
                <w:szCs w:val="1"/>
                <w:color w:val="auto"/>
              </w:rPr>
            </w:pPr>
          </w:p>
        </w:tc>
        <w:tc>
          <w:tcPr>
            <w:tcW w:w="140" w:type="dxa"/>
            <w:vAlign w:val="bottom"/>
            <w:tcBorders>
              <w:top w:val="single" w:sz="8" w:color="0000FF"/>
            </w:tcBorders>
            <w:shd w:val="clear" w:color="auto" w:fill="CEFFE7"/>
          </w:tcPr>
          <w:p>
            <w:pPr>
              <w:spacing w:after="0" w:line="20" w:lineRule="exact"/>
              <w:rPr>
                <w:sz w:val="1"/>
                <w:szCs w:val="1"/>
                <w:color w:val="auto"/>
              </w:rPr>
            </w:pPr>
          </w:p>
        </w:tc>
        <w:tc>
          <w:tcPr>
            <w:tcW w:w="60" w:type="dxa"/>
            <w:vAlign w:val="bottom"/>
            <w:tcBorders>
              <w:top w:val="single" w:sz="8" w:color="0000FF"/>
            </w:tcBorders>
            <w:shd w:val="clear" w:color="auto" w:fill="CEFFE7"/>
          </w:tcPr>
          <w:p>
            <w:pPr>
              <w:spacing w:after="0" w:line="20" w:lineRule="exact"/>
              <w:rPr>
                <w:sz w:val="1"/>
                <w:szCs w:val="1"/>
                <w:color w:val="auto"/>
              </w:rPr>
            </w:pPr>
          </w:p>
        </w:tc>
        <w:tc>
          <w:tcPr>
            <w:tcW w:w="120" w:type="dxa"/>
            <w:vAlign w:val="bottom"/>
            <w:tcBorders>
              <w:top w:val="single" w:sz="8" w:color="0000FF"/>
            </w:tcBorders>
            <w:shd w:val="clear" w:color="auto" w:fill="CEFFE7"/>
          </w:tcPr>
          <w:p>
            <w:pPr>
              <w:spacing w:after="0" w:line="20" w:lineRule="exact"/>
              <w:rPr>
                <w:sz w:val="1"/>
                <w:szCs w:val="1"/>
                <w:color w:val="auto"/>
              </w:rPr>
            </w:pPr>
          </w:p>
        </w:tc>
        <w:tc>
          <w:tcPr>
            <w:tcW w:w="20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80" w:type="dxa"/>
            <w:vAlign w:val="bottom"/>
            <w:tcBorders>
              <w:top w:val="single" w:sz="8" w:color="CEFFE7"/>
            </w:tcBorders>
            <w:shd w:val="clear" w:color="auto" w:fill="CEFFE7"/>
          </w:tcPr>
          <w:p>
            <w:pPr>
              <w:spacing w:after="0" w:line="20" w:lineRule="exact"/>
              <w:rPr>
                <w:sz w:val="1"/>
                <w:szCs w:val="1"/>
                <w:color w:val="auto"/>
              </w:rPr>
            </w:pPr>
          </w:p>
        </w:tc>
        <w:tc>
          <w:tcPr>
            <w:tcW w:w="320" w:type="dxa"/>
            <w:vAlign w:val="bottom"/>
            <w:tcBorders>
              <w:top w:val="single" w:sz="8" w:color="CEFFE7"/>
            </w:tcBorders>
            <w:shd w:val="clear" w:color="auto" w:fill="CEFFE7"/>
          </w:tcPr>
          <w:p>
            <w:pPr>
              <w:spacing w:after="0" w:line="20" w:lineRule="exact"/>
              <w:rPr>
                <w:sz w:val="1"/>
                <w:szCs w:val="1"/>
                <w:color w:val="auto"/>
              </w:rPr>
            </w:pPr>
          </w:p>
        </w:tc>
        <w:tc>
          <w:tcPr>
            <w:tcW w:w="200" w:type="dxa"/>
            <w:vAlign w:val="bottom"/>
            <w:tcBorders>
              <w:top w:val="single" w:sz="8" w:color="CEFFE7"/>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600" w:type="dxa"/>
            <w:vAlign w:val="bottom"/>
            <w:tcBorders>
              <w:top w:val="single" w:sz="8" w:color="CEFFE7"/>
            </w:tcBorders>
            <w:shd w:val="clear" w:color="auto" w:fill="CEFFE7"/>
          </w:tcPr>
          <w:p>
            <w:pPr>
              <w:spacing w:after="0" w:line="20" w:lineRule="exact"/>
              <w:rPr>
                <w:sz w:val="1"/>
                <w:szCs w:val="1"/>
                <w:color w:val="auto"/>
              </w:rPr>
            </w:pPr>
          </w:p>
        </w:tc>
        <w:tc>
          <w:tcPr>
            <w:tcW w:w="3520" w:type="dxa"/>
            <w:vAlign w:val="bottom"/>
            <w:tcBorders>
              <w:top w:val="single" w:sz="8" w:color="CEFFE7"/>
            </w:tcBorders>
            <w:shd w:val="clear" w:color="auto" w:fill="CEFFE7"/>
          </w:tcPr>
          <w:p>
            <w:pPr>
              <w:spacing w:after="0" w:line="20" w:lineRule="exact"/>
              <w:rPr>
                <w:sz w:val="1"/>
                <w:szCs w:val="1"/>
                <w:color w:val="auto"/>
              </w:rPr>
            </w:pPr>
          </w:p>
        </w:tc>
        <w:tc>
          <w:tcPr>
            <w:tcW w:w="66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10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660" w:type="dxa"/>
            <w:vAlign w:val="bottom"/>
            <w:tcBorders>
              <w:top w:val="single" w:sz="8" w:color="CEFFE7"/>
            </w:tcBorders>
            <w:shd w:val="clear" w:color="auto" w:fill="CEFFE7"/>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260" w:type="dxa"/>
            <w:vAlign w:val="bottom"/>
            <w:gridSpan w:val="25"/>
          </w:tcPr>
          <w:p>
            <w:pPr>
              <w:ind w:left="120"/>
              <w:spacing w:after="0" w:line="175" w:lineRule="exact"/>
              <w:rPr>
                <w:rFonts w:ascii="Arial" w:cs="Arial" w:eastAsia="Arial" w:hAnsi="Arial"/>
                <w:sz w:val="16"/>
                <w:szCs w:val="16"/>
                <w:color w:val="0000FF"/>
              </w:rPr>
            </w:pPr>
            <w:hyperlink w:anchor="page13">
              <w:r>
                <w:rPr>
                  <w:rFonts w:ascii="Arial" w:cs="Arial" w:eastAsia="Arial" w:hAnsi="Arial"/>
                  <w:sz w:val="16"/>
                  <w:szCs w:val="16"/>
                  <w:color w:val="0000FF"/>
                </w:rPr>
                <w:t>Notes to Condensed Consolidated Financial Statements</w:t>
              </w:r>
            </w:hyperlink>
          </w:p>
        </w:tc>
        <w:tc>
          <w:tcPr>
            <w:tcW w:w="1500" w:type="dxa"/>
            <w:vAlign w:val="bottom"/>
            <w:gridSpan w:val="5"/>
          </w:tcPr>
          <w:p>
            <w:pPr>
              <w:jc w:val="center"/>
              <w:spacing w:after="0" w:line="175" w:lineRule="exact"/>
              <w:rPr>
                <w:rFonts w:ascii="Arial" w:cs="Arial" w:eastAsia="Arial" w:hAnsi="Arial"/>
                <w:sz w:val="16"/>
                <w:szCs w:val="16"/>
                <w:color w:val="0000FF"/>
              </w:rPr>
            </w:pPr>
            <w:hyperlink w:anchor="page14">
              <w:r>
                <w:rPr>
                  <w:rFonts w:ascii="Arial" w:cs="Arial" w:eastAsia="Arial" w:hAnsi="Arial"/>
                  <w:sz w:val="16"/>
                  <w:szCs w:val="16"/>
                  <w:color w:val="0000FF"/>
                </w:rPr>
                <w:t>14</w:t>
              </w:r>
            </w:hyperlink>
          </w:p>
        </w:tc>
      </w:tr>
      <w:tr>
        <w:trPr>
          <w:trHeight w:val="20"/>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75"/>
        </w:trPr>
        <w:tc>
          <w:tcPr>
            <w:tcW w:w="20" w:type="dxa"/>
            <w:vAlign w:val="bottom"/>
            <w:shd w:val="clear" w:color="auto" w:fill="CEFFE7"/>
          </w:tcPr>
          <w:p>
            <w:pPr>
              <w:spacing w:after="0"/>
              <w:rPr>
                <w:sz w:val="15"/>
                <w:szCs w:val="15"/>
                <w:color w:val="auto"/>
              </w:rPr>
            </w:pPr>
          </w:p>
        </w:tc>
        <w:tc>
          <w:tcPr>
            <w:tcW w:w="20" w:type="dxa"/>
            <w:vAlign w:val="bottom"/>
            <w:shd w:val="clear" w:color="auto" w:fill="CEFFE7"/>
          </w:tcPr>
          <w:p>
            <w:pPr>
              <w:spacing w:after="0"/>
              <w:rPr>
                <w:sz w:val="15"/>
                <w:szCs w:val="15"/>
                <w:color w:val="auto"/>
              </w:rPr>
            </w:pPr>
          </w:p>
        </w:tc>
        <w:tc>
          <w:tcPr>
            <w:tcW w:w="1400" w:type="dxa"/>
            <w:vAlign w:val="bottom"/>
            <w:shd w:val="clear" w:color="auto" w:fill="CEFFE7"/>
          </w:tcPr>
          <w:p>
            <w:pPr>
              <w:spacing w:after="0"/>
              <w:rPr>
                <w:sz w:val="15"/>
                <w:szCs w:val="15"/>
                <w:color w:val="auto"/>
              </w:rPr>
            </w:pPr>
          </w:p>
        </w:tc>
        <w:tc>
          <w:tcPr>
            <w:tcW w:w="120" w:type="dxa"/>
            <w:vAlign w:val="bottom"/>
            <w:shd w:val="clear" w:color="auto" w:fill="CEFFE7"/>
          </w:tcPr>
          <w:p>
            <w:pPr>
              <w:spacing w:after="0"/>
              <w:rPr>
                <w:sz w:val="15"/>
                <w:szCs w:val="15"/>
                <w:color w:val="auto"/>
              </w:rPr>
            </w:pPr>
          </w:p>
        </w:tc>
        <w:tc>
          <w:tcPr>
            <w:tcW w:w="8140" w:type="dxa"/>
            <w:vAlign w:val="bottom"/>
            <w:gridSpan w:val="24"/>
            <w:shd w:val="clear" w:color="auto" w:fill="CEFFE7"/>
          </w:tcPr>
          <w:p>
            <w:pPr>
              <w:ind w:left="80"/>
              <w:spacing w:after="0" w:line="175" w:lineRule="exact"/>
              <w:rPr>
                <w:rFonts w:ascii="Arial" w:cs="Arial" w:eastAsia="Arial" w:hAnsi="Arial"/>
                <w:sz w:val="16"/>
                <w:szCs w:val="16"/>
                <w:color w:val="0000FF"/>
              </w:rPr>
            </w:pPr>
            <w:hyperlink w:anchor="page14">
              <w:r>
                <w:rPr>
                  <w:rFonts w:ascii="Arial" w:cs="Arial" w:eastAsia="Arial" w:hAnsi="Arial"/>
                  <w:sz w:val="16"/>
                  <w:szCs w:val="16"/>
                  <w:color w:val="0000FF"/>
                </w:rPr>
                <w:t>Note 1. Management’s Statement</w:t>
              </w:r>
            </w:hyperlink>
          </w:p>
        </w:tc>
        <w:tc>
          <w:tcPr>
            <w:tcW w:w="1500" w:type="dxa"/>
            <w:vAlign w:val="bottom"/>
            <w:gridSpan w:val="5"/>
            <w:shd w:val="clear" w:color="auto" w:fill="CEFFE7"/>
          </w:tcPr>
          <w:p>
            <w:pPr>
              <w:jc w:val="center"/>
              <w:spacing w:after="0" w:line="175" w:lineRule="exact"/>
              <w:rPr>
                <w:rFonts w:ascii="Arial" w:cs="Arial" w:eastAsia="Arial" w:hAnsi="Arial"/>
                <w:sz w:val="16"/>
                <w:szCs w:val="16"/>
                <w:color w:val="0000FF"/>
              </w:rPr>
            </w:pPr>
            <w:hyperlink w:anchor="page14">
              <w:r>
                <w:rPr>
                  <w:rFonts w:ascii="Arial" w:cs="Arial" w:eastAsia="Arial" w:hAnsi="Arial"/>
                  <w:sz w:val="16"/>
                  <w:szCs w:val="16"/>
                  <w:color w:val="0000FF"/>
                </w:rPr>
                <w:t>14</w:t>
              </w:r>
            </w:hyperlink>
          </w:p>
        </w:tc>
      </w:tr>
      <w:tr>
        <w:trPr>
          <w:trHeight w:val="21"/>
        </w:trPr>
        <w:tc>
          <w:tcPr>
            <w:tcW w:w="2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1400" w:type="dxa"/>
            <w:vAlign w:val="bottom"/>
            <w:tcBorders>
              <w:top w:val="single" w:sz="8" w:color="CEFFE7"/>
            </w:tcBorders>
            <w:shd w:val="clear" w:color="auto" w:fill="CEFFE7"/>
          </w:tcPr>
          <w:p>
            <w:pPr>
              <w:spacing w:after="0" w:line="20" w:lineRule="exact"/>
              <w:rPr>
                <w:sz w:val="1"/>
                <w:szCs w:val="1"/>
                <w:color w:val="auto"/>
              </w:rPr>
            </w:pPr>
          </w:p>
        </w:tc>
        <w:tc>
          <w:tcPr>
            <w:tcW w:w="120" w:type="dxa"/>
            <w:vAlign w:val="bottom"/>
            <w:tcBorders>
              <w:top w:val="single" w:sz="8" w:color="CEFFE7"/>
            </w:tcBorders>
            <w:shd w:val="clear" w:color="auto" w:fill="CEFFE7"/>
          </w:tcPr>
          <w:p>
            <w:pPr>
              <w:spacing w:after="0" w:line="20" w:lineRule="exact"/>
              <w:rPr>
                <w:sz w:val="1"/>
                <w:szCs w:val="1"/>
                <w:color w:val="auto"/>
              </w:rPr>
            </w:pPr>
          </w:p>
        </w:tc>
        <w:tc>
          <w:tcPr>
            <w:tcW w:w="80" w:type="dxa"/>
            <w:vAlign w:val="bottom"/>
            <w:tcBorders>
              <w:top w:val="single" w:sz="8" w:color="CEFFE7"/>
            </w:tcBorders>
            <w:shd w:val="clear" w:color="auto" w:fill="CEFFE7"/>
          </w:tcPr>
          <w:p>
            <w:pPr>
              <w:spacing w:after="0" w:line="20" w:lineRule="exact"/>
              <w:rPr>
                <w:sz w:val="1"/>
                <w:szCs w:val="1"/>
                <w:color w:val="auto"/>
              </w:rPr>
            </w:pPr>
          </w:p>
        </w:tc>
        <w:tc>
          <w:tcPr>
            <w:tcW w:w="460" w:type="dxa"/>
            <w:vAlign w:val="bottom"/>
            <w:tcBorders>
              <w:top w:val="single" w:sz="8" w:color="0000FF"/>
            </w:tcBorders>
            <w:shd w:val="clear" w:color="auto" w:fill="CEFFE7"/>
          </w:tcPr>
          <w:p>
            <w:pPr>
              <w:spacing w:after="0" w:line="20" w:lineRule="exact"/>
              <w:rPr>
                <w:sz w:val="1"/>
                <w:szCs w:val="1"/>
                <w:color w:val="auto"/>
              </w:rPr>
            </w:pPr>
          </w:p>
        </w:tc>
        <w:tc>
          <w:tcPr>
            <w:tcW w:w="52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20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400" w:type="dxa"/>
            <w:vAlign w:val="bottom"/>
            <w:tcBorders>
              <w:top w:val="single" w:sz="8" w:color="0000FF"/>
            </w:tcBorders>
            <w:shd w:val="clear" w:color="auto" w:fill="CEFFE7"/>
          </w:tcPr>
          <w:p>
            <w:pPr>
              <w:spacing w:after="0" w:line="20" w:lineRule="exact"/>
              <w:rPr>
                <w:sz w:val="1"/>
                <w:szCs w:val="1"/>
                <w:color w:val="auto"/>
              </w:rPr>
            </w:pPr>
          </w:p>
        </w:tc>
        <w:tc>
          <w:tcPr>
            <w:tcW w:w="28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180" w:type="dxa"/>
            <w:vAlign w:val="bottom"/>
            <w:tcBorders>
              <w:top w:val="single" w:sz="8" w:color="0000FF"/>
            </w:tcBorders>
            <w:shd w:val="clear" w:color="auto" w:fill="CEFFE7"/>
          </w:tcPr>
          <w:p>
            <w:pPr>
              <w:spacing w:after="0" w:line="20" w:lineRule="exact"/>
              <w:rPr>
                <w:sz w:val="1"/>
                <w:szCs w:val="1"/>
                <w:color w:val="auto"/>
              </w:rPr>
            </w:pPr>
          </w:p>
        </w:tc>
        <w:tc>
          <w:tcPr>
            <w:tcW w:w="22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320" w:type="dxa"/>
            <w:vAlign w:val="bottom"/>
            <w:tcBorders>
              <w:top w:val="single" w:sz="8" w:color="CEFFE7"/>
            </w:tcBorders>
            <w:shd w:val="clear" w:color="auto" w:fill="CEFFE7"/>
          </w:tcPr>
          <w:p>
            <w:pPr>
              <w:spacing w:after="0" w:line="20" w:lineRule="exact"/>
              <w:rPr>
                <w:sz w:val="1"/>
                <w:szCs w:val="1"/>
                <w:color w:val="auto"/>
              </w:rPr>
            </w:pPr>
          </w:p>
        </w:tc>
        <w:tc>
          <w:tcPr>
            <w:tcW w:w="140" w:type="dxa"/>
            <w:vAlign w:val="bottom"/>
            <w:tcBorders>
              <w:top w:val="single" w:sz="8" w:color="CEFFE7"/>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120" w:type="dxa"/>
            <w:vAlign w:val="bottom"/>
            <w:tcBorders>
              <w:top w:val="single" w:sz="8" w:color="CEFFE7"/>
            </w:tcBorders>
            <w:shd w:val="clear" w:color="auto" w:fill="CEFFE7"/>
          </w:tcPr>
          <w:p>
            <w:pPr>
              <w:spacing w:after="0" w:line="20" w:lineRule="exact"/>
              <w:rPr>
                <w:sz w:val="1"/>
                <w:szCs w:val="1"/>
                <w:color w:val="auto"/>
              </w:rPr>
            </w:pPr>
          </w:p>
        </w:tc>
        <w:tc>
          <w:tcPr>
            <w:tcW w:w="20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80" w:type="dxa"/>
            <w:vAlign w:val="bottom"/>
            <w:tcBorders>
              <w:top w:val="single" w:sz="8" w:color="CEFFE7"/>
            </w:tcBorders>
            <w:shd w:val="clear" w:color="auto" w:fill="CEFFE7"/>
          </w:tcPr>
          <w:p>
            <w:pPr>
              <w:spacing w:after="0" w:line="20" w:lineRule="exact"/>
              <w:rPr>
                <w:sz w:val="1"/>
                <w:szCs w:val="1"/>
                <w:color w:val="auto"/>
              </w:rPr>
            </w:pPr>
          </w:p>
        </w:tc>
        <w:tc>
          <w:tcPr>
            <w:tcW w:w="320" w:type="dxa"/>
            <w:vAlign w:val="bottom"/>
            <w:tcBorders>
              <w:top w:val="single" w:sz="8" w:color="CEFFE7"/>
            </w:tcBorders>
            <w:shd w:val="clear" w:color="auto" w:fill="CEFFE7"/>
          </w:tcPr>
          <w:p>
            <w:pPr>
              <w:spacing w:after="0" w:line="20" w:lineRule="exact"/>
              <w:rPr>
                <w:sz w:val="1"/>
                <w:szCs w:val="1"/>
                <w:color w:val="auto"/>
              </w:rPr>
            </w:pPr>
          </w:p>
        </w:tc>
        <w:tc>
          <w:tcPr>
            <w:tcW w:w="200" w:type="dxa"/>
            <w:vAlign w:val="bottom"/>
            <w:tcBorders>
              <w:top w:val="single" w:sz="8" w:color="CEFFE7"/>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600" w:type="dxa"/>
            <w:vAlign w:val="bottom"/>
            <w:tcBorders>
              <w:top w:val="single" w:sz="8" w:color="CEFFE7"/>
            </w:tcBorders>
            <w:shd w:val="clear" w:color="auto" w:fill="CEFFE7"/>
          </w:tcPr>
          <w:p>
            <w:pPr>
              <w:spacing w:after="0" w:line="20" w:lineRule="exact"/>
              <w:rPr>
                <w:sz w:val="1"/>
                <w:szCs w:val="1"/>
                <w:color w:val="auto"/>
              </w:rPr>
            </w:pPr>
          </w:p>
        </w:tc>
        <w:tc>
          <w:tcPr>
            <w:tcW w:w="3520" w:type="dxa"/>
            <w:vAlign w:val="bottom"/>
            <w:tcBorders>
              <w:top w:val="single" w:sz="8" w:color="CEFFE7"/>
            </w:tcBorders>
            <w:shd w:val="clear" w:color="auto" w:fill="CEFFE7"/>
          </w:tcPr>
          <w:p>
            <w:pPr>
              <w:spacing w:after="0" w:line="20" w:lineRule="exact"/>
              <w:rPr>
                <w:sz w:val="1"/>
                <w:szCs w:val="1"/>
                <w:color w:val="auto"/>
              </w:rPr>
            </w:pPr>
          </w:p>
        </w:tc>
        <w:tc>
          <w:tcPr>
            <w:tcW w:w="66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10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660" w:type="dxa"/>
            <w:vAlign w:val="bottom"/>
            <w:tcBorders>
              <w:top w:val="single" w:sz="8" w:color="CEFFE7"/>
            </w:tcBorders>
            <w:shd w:val="clear" w:color="auto" w:fill="CEFFE7"/>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140" w:type="dxa"/>
            <w:vAlign w:val="bottom"/>
            <w:gridSpan w:val="24"/>
          </w:tcPr>
          <w:p>
            <w:pPr>
              <w:ind w:left="80"/>
              <w:spacing w:after="0" w:line="175" w:lineRule="exact"/>
              <w:rPr>
                <w:rFonts w:ascii="Arial" w:cs="Arial" w:eastAsia="Arial" w:hAnsi="Arial"/>
                <w:sz w:val="16"/>
                <w:szCs w:val="16"/>
                <w:color w:val="0000FF"/>
              </w:rPr>
            </w:pPr>
            <w:hyperlink w:anchor="page15">
              <w:r>
                <w:rPr>
                  <w:rFonts w:ascii="Arial" w:cs="Arial" w:eastAsia="Arial" w:hAnsi="Arial"/>
                  <w:sz w:val="16"/>
                  <w:szCs w:val="16"/>
                  <w:color w:val="0000FF"/>
                </w:rPr>
                <w:t>Note 2. Regulatory Matters</w:t>
              </w:r>
            </w:hyperlink>
          </w:p>
        </w:tc>
        <w:tc>
          <w:tcPr>
            <w:tcW w:w="1500" w:type="dxa"/>
            <w:vAlign w:val="bottom"/>
            <w:gridSpan w:val="5"/>
          </w:tcPr>
          <w:p>
            <w:pPr>
              <w:jc w:val="center"/>
              <w:spacing w:after="0" w:line="175" w:lineRule="exact"/>
              <w:rPr>
                <w:rFonts w:ascii="Arial" w:cs="Arial" w:eastAsia="Arial" w:hAnsi="Arial"/>
                <w:sz w:val="16"/>
                <w:szCs w:val="16"/>
                <w:color w:val="0000FF"/>
              </w:rPr>
            </w:pPr>
            <w:hyperlink w:anchor="page15">
              <w:r>
                <w:rPr>
                  <w:rFonts w:ascii="Arial" w:cs="Arial" w:eastAsia="Arial" w:hAnsi="Arial"/>
                  <w:sz w:val="16"/>
                  <w:szCs w:val="16"/>
                  <w:color w:val="0000FF"/>
                </w:rPr>
                <w:t>15</w:t>
              </w:r>
            </w:hyperlink>
          </w:p>
        </w:tc>
      </w:tr>
      <w:tr>
        <w:trPr>
          <w:trHeight w:val="21"/>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75"/>
        </w:trPr>
        <w:tc>
          <w:tcPr>
            <w:tcW w:w="20" w:type="dxa"/>
            <w:vAlign w:val="bottom"/>
            <w:shd w:val="clear" w:color="auto" w:fill="CEFFE7"/>
          </w:tcPr>
          <w:p>
            <w:pPr>
              <w:spacing w:after="0"/>
              <w:rPr>
                <w:sz w:val="15"/>
                <w:szCs w:val="15"/>
                <w:color w:val="auto"/>
              </w:rPr>
            </w:pPr>
          </w:p>
        </w:tc>
        <w:tc>
          <w:tcPr>
            <w:tcW w:w="20" w:type="dxa"/>
            <w:vAlign w:val="bottom"/>
            <w:shd w:val="clear" w:color="auto" w:fill="CEFFE7"/>
          </w:tcPr>
          <w:p>
            <w:pPr>
              <w:spacing w:after="0"/>
              <w:rPr>
                <w:sz w:val="15"/>
                <w:szCs w:val="15"/>
                <w:color w:val="auto"/>
              </w:rPr>
            </w:pPr>
          </w:p>
        </w:tc>
        <w:tc>
          <w:tcPr>
            <w:tcW w:w="1400" w:type="dxa"/>
            <w:vAlign w:val="bottom"/>
            <w:shd w:val="clear" w:color="auto" w:fill="CEFFE7"/>
          </w:tcPr>
          <w:p>
            <w:pPr>
              <w:spacing w:after="0"/>
              <w:rPr>
                <w:sz w:val="15"/>
                <w:szCs w:val="15"/>
                <w:color w:val="auto"/>
              </w:rPr>
            </w:pPr>
          </w:p>
        </w:tc>
        <w:tc>
          <w:tcPr>
            <w:tcW w:w="120" w:type="dxa"/>
            <w:vAlign w:val="bottom"/>
            <w:shd w:val="clear" w:color="auto" w:fill="CEFFE7"/>
          </w:tcPr>
          <w:p>
            <w:pPr>
              <w:spacing w:after="0"/>
              <w:rPr>
                <w:sz w:val="15"/>
                <w:szCs w:val="15"/>
                <w:color w:val="auto"/>
              </w:rPr>
            </w:pPr>
          </w:p>
        </w:tc>
        <w:tc>
          <w:tcPr>
            <w:tcW w:w="8140" w:type="dxa"/>
            <w:vAlign w:val="bottom"/>
            <w:gridSpan w:val="24"/>
            <w:shd w:val="clear" w:color="auto" w:fill="CEFFE7"/>
          </w:tcPr>
          <w:p>
            <w:pPr>
              <w:ind w:left="80"/>
              <w:spacing w:after="0" w:line="175" w:lineRule="exact"/>
              <w:rPr>
                <w:rFonts w:ascii="Arial" w:cs="Arial" w:eastAsia="Arial" w:hAnsi="Arial"/>
                <w:sz w:val="16"/>
                <w:szCs w:val="16"/>
                <w:color w:val="0000FF"/>
              </w:rPr>
            </w:pPr>
            <w:hyperlink w:anchor="page17">
              <w:r>
                <w:rPr>
                  <w:rFonts w:ascii="Arial" w:cs="Arial" w:eastAsia="Arial" w:hAnsi="Arial"/>
                  <w:sz w:val="16"/>
                  <w:szCs w:val="16"/>
                  <w:color w:val="0000FF"/>
                </w:rPr>
                <w:t>Note 3. Commitments, Contingencies and Guarantees</w:t>
              </w:r>
            </w:hyperlink>
          </w:p>
        </w:tc>
        <w:tc>
          <w:tcPr>
            <w:tcW w:w="1500" w:type="dxa"/>
            <w:vAlign w:val="bottom"/>
            <w:gridSpan w:val="5"/>
            <w:shd w:val="clear" w:color="auto" w:fill="CEFFE7"/>
          </w:tcPr>
          <w:p>
            <w:pPr>
              <w:jc w:val="center"/>
              <w:spacing w:after="0" w:line="175" w:lineRule="exact"/>
              <w:rPr>
                <w:rFonts w:ascii="Arial" w:cs="Arial" w:eastAsia="Arial" w:hAnsi="Arial"/>
                <w:sz w:val="16"/>
                <w:szCs w:val="16"/>
                <w:color w:val="0000FF"/>
              </w:rPr>
            </w:pPr>
            <w:hyperlink w:anchor="page17">
              <w:r>
                <w:rPr>
                  <w:rFonts w:ascii="Arial" w:cs="Arial" w:eastAsia="Arial" w:hAnsi="Arial"/>
                  <w:sz w:val="16"/>
                  <w:szCs w:val="16"/>
                  <w:color w:val="0000FF"/>
                </w:rPr>
                <w:t>17</w:t>
              </w:r>
            </w:hyperlink>
          </w:p>
        </w:tc>
      </w:tr>
      <w:tr>
        <w:trPr>
          <w:trHeight w:val="21"/>
        </w:trPr>
        <w:tc>
          <w:tcPr>
            <w:tcW w:w="2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1400" w:type="dxa"/>
            <w:vAlign w:val="bottom"/>
            <w:tcBorders>
              <w:top w:val="single" w:sz="8" w:color="CEFFE7"/>
            </w:tcBorders>
            <w:shd w:val="clear" w:color="auto" w:fill="CEFFE7"/>
          </w:tcPr>
          <w:p>
            <w:pPr>
              <w:spacing w:after="0" w:line="20" w:lineRule="exact"/>
              <w:rPr>
                <w:sz w:val="1"/>
                <w:szCs w:val="1"/>
                <w:color w:val="auto"/>
              </w:rPr>
            </w:pPr>
          </w:p>
        </w:tc>
        <w:tc>
          <w:tcPr>
            <w:tcW w:w="120" w:type="dxa"/>
            <w:vAlign w:val="bottom"/>
            <w:tcBorders>
              <w:top w:val="single" w:sz="8" w:color="CEFFE7"/>
            </w:tcBorders>
            <w:shd w:val="clear" w:color="auto" w:fill="CEFFE7"/>
          </w:tcPr>
          <w:p>
            <w:pPr>
              <w:spacing w:after="0" w:line="20" w:lineRule="exact"/>
              <w:rPr>
                <w:sz w:val="1"/>
                <w:szCs w:val="1"/>
                <w:color w:val="auto"/>
              </w:rPr>
            </w:pPr>
          </w:p>
        </w:tc>
        <w:tc>
          <w:tcPr>
            <w:tcW w:w="80" w:type="dxa"/>
            <w:vAlign w:val="bottom"/>
            <w:tcBorders>
              <w:top w:val="single" w:sz="8" w:color="CEFFE7"/>
            </w:tcBorders>
            <w:shd w:val="clear" w:color="auto" w:fill="CEFFE7"/>
          </w:tcPr>
          <w:p>
            <w:pPr>
              <w:spacing w:after="0" w:line="20" w:lineRule="exact"/>
              <w:rPr>
                <w:sz w:val="1"/>
                <w:szCs w:val="1"/>
                <w:color w:val="auto"/>
              </w:rPr>
            </w:pPr>
          </w:p>
        </w:tc>
        <w:tc>
          <w:tcPr>
            <w:tcW w:w="460" w:type="dxa"/>
            <w:vAlign w:val="bottom"/>
            <w:tcBorders>
              <w:top w:val="single" w:sz="8" w:color="0000FF"/>
            </w:tcBorders>
            <w:shd w:val="clear" w:color="auto" w:fill="CEFFE7"/>
          </w:tcPr>
          <w:p>
            <w:pPr>
              <w:spacing w:after="0" w:line="20" w:lineRule="exact"/>
              <w:rPr>
                <w:sz w:val="1"/>
                <w:szCs w:val="1"/>
                <w:color w:val="auto"/>
              </w:rPr>
            </w:pPr>
          </w:p>
        </w:tc>
        <w:tc>
          <w:tcPr>
            <w:tcW w:w="52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20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400" w:type="dxa"/>
            <w:vAlign w:val="bottom"/>
            <w:tcBorders>
              <w:top w:val="single" w:sz="8" w:color="0000FF"/>
            </w:tcBorders>
            <w:shd w:val="clear" w:color="auto" w:fill="CEFFE7"/>
          </w:tcPr>
          <w:p>
            <w:pPr>
              <w:spacing w:after="0" w:line="20" w:lineRule="exact"/>
              <w:rPr>
                <w:sz w:val="1"/>
                <w:szCs w:val="1"/>
                <w:color w:val="auto"/>
              </w:rPr>
            </w:pPr>
          </w:p>
        </w:tc>
        <w:tc>
          <w:tcPr>
            <w:tcW w:w="28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180" w:type="dxa"/>
            <w:vAlign w:val="bottom"/>
            <w:tcBorders>
              <w:top w:val="single" w:sz="8" w:color="0000FF"/>
            </w:tcBorders>
            <w:shd w:val="clear" w:color="auto" w:fill="CEFFE7"/>
          </w:tcPr>
          <w:p>
            <w:pPr>
              <w:spacing w:after="0" w:line="20" w:lineRule="exact"/>
              <w:rPr>
                <w:sz w:val="1"/>
                <w:szCs w:val="1"/>
                <w:color w:val="auto"/>
              </w:rPr>
            </w:pPr>
          </w:p>
        </w:tc>
        <w:tc>
          <w:tcPr>
            <w:tcW w:w="22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320" w:type="dxa"/>
            <w:vAlign w:val="bottom"/>
            <w:tcBorders>
              <w:top w:val="single" w:sz="8" w:color="0000FF"/>
            </w:tcBorders>
            <w:shd w:val="clear" w:color="auto" w:fill="CEFFE7"/>
          </w:tcPr>
          <w:p>
            <w:pPr>
              <w:spacing w:after="0" w:line="20" w:lineRule="exact"/>
              <w:rPr>
                <w:sz w:val="1"/>
                <w:szCs w:val="1"/>
                <w:color w:val="auto"/>
              </w:rPr>
            </w:pPr>
          </w:p>
        </w:tc>
        <w:tc>
          <w:tcPr>
            <w:tcW w:w="140" w:type="dxa"/>
            <w:vAlign w:val="bottom"/>
            <w:tcBorders>
              <w:top w:val="single" w:sz="8" w:color="0000FF"/>
            </w:tcBorders>
            <w:shd w:val="clear" w:color="auto" w:fill="CEFFE7"/>
          </w:tcPr>
          <w:p>
            <w:pPr>
              <w:spacing w:after="0" w:line="20" w:lineRule="exact"/>
              <w:rPr>
                <w:sz w:val="1"/>
                <w:szCs w:val="1"/>
                <w:color w:val="auto"/>
              </w:rPr>
            </w:pPr>
          </w:p>
        </w:tc>
        <w:tc>
          <w:tcPr>
            <w:tcW w:w="60" w:type="dxa"/>
            <w:vAlign w:val="bottom"/>
            <w:tcBorders>
              <w:top w:val="single" w:sz="8" w:color="0000FF"/>
            </w:tcBorders>
            <w:shd w:val="clear" w:color="auto" w:fill="CEFFE7"/>
          </w:tcPr>
          <w:p>
            <w:pPr>
              <w:spacing w:after="0" w:line="20" w:lineRule="exact"/>
              <w:rPr>
                <w:sz w:val="1"/>
                <w:szCs w:val="1"/>
                <w:color w:val="auto"/>
              </w:rPr>
            </w:pPr>
          </w:p>
        </w:tc>
        <w:tc>
          <w:tcPr>
            <w:tcW w:w="120" w:type="dxa"/>
            <w:vAlign w:val="bottom"/>
            <w:tcBorders>
              <w:top w:val="single" w:sz="8" w:color="0000FF"/>
            </w:tcBorders>
            <w:shd w:val="clear" w:color="auto" w:fill="CEFFE7"/>
          </w:tcPr>
          <w:p>
            <w:pPr>
              <w:spacing w:after="0" w:line="20" w:lineRule="exact"/>
              <w:rPr>
                <w:sz w:val="1"/>
                <w:szCs w:val="1"/>
                <w:color w:val="auto"/>
              </w:rPr>
            </w:pPr>
          </w:p>
        </w:tc>
        <w:tc>
          <w:tcPr>
            <w:tcW w:w="20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80" w:type="dxa"/>
            <w:vAlign w:val="bottom"/>
            <w:tcBorders>
              <w:top w:val="single" w:sz="8" w:color="0000FF"/>
            </w:tcBorders>
            <w:shd w:val="clear" w:color="auto" w:fill="CEFFE7"/>
          </w:tcPr>
          <w:p>
            <w:pPr>
              <w:spacing w:after="0" w:line="20" w:lineRule="exact"/>
              <w:rPr>
                <w:sz w:val="1"/>
                <w:szCs w:val="1"/>
                <w:color w:val="auto"/>
              </w:rPr>
            </w:pPr>
          </w:p>
        </w:tc>
        <w:tc>
          <w:tcPr>
            <w:tcW w:w="320" w:type="dxa"/>
            <w:vAlign w:val="bottom"/>
            <w:tcBorders>
              <w:top w:val="single" w:sz="8" w:color="0000FF"/>
            </w:tcBorders>
            <w:shd w:val="clear" w:color="auto" w:fill="CEFFE7"/>
          </w:tcPr>
          <w:p>
            <w:pPr>
              <w:spacing w:after="0" w:line="20" w:lineRule="exact"/>
              <w:rPr>
                <w:sz w:val="1"/>
                <w:szCs w:val="1"/>
                <w:color w:val="auto"/>
              </w:rPr>
            </w:pPr>
          </w:p>
        </w:tc>
        <w:tc>
          <w:tcPr>
            <w:tcW w:w="200" w:type="dxa"/>
            <w:vAlign w:val="bottom"/>
            <w:tcBorders>
              <w:top w:val="single" w:sz="8" w:color="0000FF"/>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600" w:type="dxa"/>
            <w:vAlign w:val="bottom"/>
            <w:tcBorders>
              <w:top w:val="single" w:sz="8" w:color="CEFFE7"/>
            </w:tcBorders>
            <w:shd w:val="clear" w:color="auto" w:fill="CEFFE7"/>
          </w:tcPr>
          <w:p>
            <w:pPr>
              <w:spacing w:after="0" w:line="20" w:lineRule="exact"/>
              <w:rPr>
                <w:sz w:val="1"/>
                <w:szCs w:val="1"/>
                <w:color w:val="auto"/>
              </w:rPr>
            </w:pPr>
          </w:p>
        </w:tc>
        <w:tc>
          <w:tcPr>
            <w:tcW w:w="3520" w:type="dxa"/>
            <w:vAlign w:val="bottom"/>
            <w:tcBorders>
              <w:top w:val="single" w:sz="8" w:color="CEFFE7"/>
            </w:tcBorders>
            <w:shd w:val="clear" w:color="auto" w:fill="CEFFE7"/>
          </w:tcPr>
          <w:p>
            <w:pPr>
              <w:spacing w:after="0" w:line="20" w:lineRule="exact"/>
              <w:rPr>
                <w:sz w:val="1"/>
                <w:szCs w:val="1"/>
                <w:color w:val="auto"/>
              </w:rPr>
            </w:pPr>
          </w:p>
        </w:tc>
        <w:tc>
          <w:tcPr>
            <w:tcW w:w="66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10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660" w:type="dxa"/>
            <w:vAlign w:val="bottom"/>
            <w:tcBorders>
              <w:top w:val="single" w:sz="8" w:color="CEFFE7"/>
            </w:tcBorders>
            <w:shd w:val="clear" w:color="auto" w:fill="CEFFE7"/>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140" w:type="dxa"/>
            <w:vAlign w:val="bottom"/>
            <w:gridSpan w:val="24"/>
          </w:tcPr>
          <w:p>
            <w:pPr>
              <w:ind w:left="80"/>
              <w:spacing w:after="0" w:line="175" w:lineRule="exact"/>
              <w:rPr>
                <w:rFonts w:ascii="Arial" w:cs="Arial" w:eastAsia="Arial" w:hAnsi="Arial"/>
                <w:sz w:val="16"/>
                <w:szCs w:val="16"/>
                <w:color w:val="0000FF"/>
              </w:rPr>
            </w:pPr>
            <w:hyperlink w:anchor="page17">
              <w:r>
                <w:rPr>
                  <w:rFonts w:ascii="Arial" w:cs="Arial" w:eastAsia="Arial" w:hAnsi="Arial"/>
                  <w:sz w:val="16"/>
                  <w:szCs w:val="16"/>
                  <w:color w:val="0000FF"/>
                </w:rPr>
                <w:t>Note 4. Revenue</w:t>
              </w:r>
            </w:hyperlink>
          </w:p>
        </w:tc>
        <w:tc>
          <w:tcPr>
            <w:tcW w:w="1500" w:type="dxa"/>
            <w:vAlign w:val="bottom"/>
            <w:gridSpan w:val="5"/>
          </w:tcPr>
          <w:p>
            <w:pPr>
              <w:jc w:val="center"/>
              <w:spacing w:after="0" w:line="175" w:lineRule="exact"/>
              <w:rPr>
                <w:rFonts w:ascii="Arial" w:cs="Arial" w:eastAsia="Arial" w:hAnsi="Arial"/>
                <w:sz w:val="16"/>
                <w:szCs w:val="16"/>
                <w:color w:val="0000FF"/>
              </w:rPr>
            </w:pPr>
            <w:hyperlink w:anchor="page17">
              <w:r>
                <w:rPr>
                  <w:rFonts w:ascii="Arial" w:cs="Arial" w:eastAsia="Arial" w:hAnsi="Arial"/>
                  <w:sz w:val="16"/>
                  <w:szCs w:val="16"/>
                  <w:color w:val="0000FF"/>
                </w:rPr>
                <w:t>18</w:t>
              </w:r>
            </w:hyperlink>
          </w:p>
        </w:tc>
      </w:tr>
      <w:tr>
        <w:trPr>
          <w:trHeight w:val="20"/>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76"/>
        </w:trPr>
        <w:tc>
          <w:tcPr>
            <w:tcW w:w="20" w:type="dxa"/>
            <w:vAlign w:val="bottom"/>
            <w:shd w:val="clear" w:color="auto" w:fill="CEFFE7"/>
          </w:tcPr>
          <w:p>
            <w:pPr>
              <w:spacing w:after="0"/>
              <w:rPr>
                <w:sz w:val="15"/>
                <w:szCs w:val="15"/>
                <w:color w:val="auto"/>
              </w:rPr>
            </w:pPr>
          </w:p>
        </w:tc>
        <w:tc>
          <w:tcPr>
            <w:tcW w:w="20" w:type="dxa"/>
            <w:vAlign w:val="bottom"/>
            <w:shd w:val="clear" w:color="auto" w:fill="CEFFE7"/>
          </w:tcPr>
          <w:p>
            <w:pPr>
              <w:spacing w:after="0"/>
              <w:rPr>
                <w:sz w:val="15"/>
                <w:szCs w:val="15"/>
                <w:color w:val="auto"/>
              </w:rPr>
            </w:pPr>
          </w:p>
        </w:tc>
        <w:tc>
          <w:tcPr>
            <w:tcW w:w="1400" w:type="dxa"/>
            <w:vAlign w:val="bottom"/>
            <w:shd w:val="clear" w:color="auto" w:fill="CEFFE7"/>
          </w:tcPr>
          <w:p>
            <w:pPr>
              <w:spacing w:after="0"/>
              <w:rPr>
                <w:sz w:val="15"/>
                <w:szCs w:val="15"/>
                <w:color w:val="auto"/>
              </w:rPr>
            </w:pPr>
          </w:p>
        </w:tc>
        <w:tc>
          <w:tcPr>
            <w:tcW w:w="120" w:type="dxa"/>
            <w:vAlign w:val="bottom"/>
            <w:shd w:val="clear" w:color="auto" w:fill="CEFFE7"/>
          </w:tcPr>
          <w:p>
            <w:pPr>
              <w:spacing w:after="0"/>
              <w:rPr>
                <w:sz w:val="15"/>
                <w:szCs w:val="15"/>
                <w:color w:val="auto"/>
              </w:rPr>
            </w:pPr>
          </w:p>
        </w:tc>
        <w:tc>
          <w:tcPr>
            <w:tcW w:w="8140" w:type="dxa"/>
            <w:vAlign w:val="bottom"/>
            <w:gridSpan w:val="24"/>
            <w:shd w:val="clear" w:color="auto" w:fill="CEFFE7"/>
          </w:tcPr>
          <w:p>
            <w:pPr>
              <w:ind w:left="80"/>
              <w:spacing w:after="0" w:line="175" w:lineRule="exact"/>
              <w:rPr>
                <w:rFonts w:ascii="Arial" w:cs="Arial" w:eastAsia="Arial" w:hAnsi="Arial"/>
                <w:sz w:val="16"/>
                <w:szCs w:val="16"/>
                <w:color w:val="0000FF"/>
              </w:rPr>
            </w:pPr>
            <w:hyperlink w:anchor="page18">
              <w:r>
                <w:rPr>
                  <w:rFonts w:ascii="Arial" w:cs="Arial" w:eastAsia="Arial" w:hAnsi="Arial"/>
                  <w:sz w:val="16"/>
                  <w:szCs w:val="16"/>
                  <w:color w:val="0000FF"/>
                </w:rPr>
                <w:t>Note 5. Financing</w:t>
              </w:r>
            </w:hyperlink>
          </w:p>
        </w:tc>
        <w:tc>
          <w:tcPr>
            <w:tcW w:w="1500" w:type="dxa"/>
            <w:vAlign w:val="bottom"/>
            <w:gridSpan w:val="5"/>
            <w:shd w:val="clear" w:color="auto" w:fill="CEFFE7"/>
          </w:tcPr>
          <w:p>
            <w:pPr>
              <w:jc w:val="center"/>
              <w:spacing w:after="0" w:line="175" w:lineRule="exact"/>
              <w:rPr>
                <w:rFonts w:ascii="Arial" w:cs="Arial" w:eastAsia="Arial" w:hAnsi="Arial"/>
                <w:sz w:val="16"/>
                <w:szCs w:val="16"/>
                <w:color w:val="0000FF"/>
              </w:rPr>
            </w:pPr>
            <w:hyperlink w:anchor="page18">
              <w:r>
                <w:rPr>
                  <w:rFonts w:ascii="Arial" w:cs="Arial" w:eastAsia="Arial" w:hAnsi="Arial"/>
                  <w:sz w:val="16"/>
                  <w:szCs w:val="16"/>
                  <w:color w:val="0000FF"/>
                </w:rPr>
                <w:t>19</w:t>
              </w:r>
            </w:hyperlink>
          </w:p>
        </w:tc>
      </w:tr>
      <w:tr>
        <w:trPr>
          <w:trHeight w:val="20"/>
        </w:trPr>
        <w:tc>
          <w:tcPr>
            <w:tcW w:w="2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1400" w:type="dxa"/>
            <w:vAlign w:val="bottom"/>
            <w:tcBorders>
              <w:top w:val="single" w:sz="8" w:color="CEFFE7"/>
            </w:tcBorders>
            <w:shd w:val="clear" w:color="auto" w:fill="CEFFE7"/>
          </w:tcPr>
          <w:p>
            <w:pPr>
              <w:spacing w:after="0" w:line="20" w:lineRule="exact"/>
              <w:rPr>
                <w:sz w:val="1"/>
                <w:szCs w:val="1"/>
                <w:color w:val="auto"/>
              </w:rPr>
            </w:pPr>
          </w:p>
        </w:tc>
        <w:tc>
          <w:tcPr>
            <w:tcW w:w="120" w:type="dxa"/>
            <w:vAlign w:val="bottom"/>
            <w:tcBorders>
              <w:top w:val="single" w:sz="8" w:color="CEFFE7"/>
            </w:tcBorders>
            <w:shd w:val="clear" w:color="auto" w:fill="CEFFE7"/>
          </w:tcPr>
          <w:p>
            <w:pPr>
              <w:spacing w:after="0" w:line="20" w:lineRule="exact"/>
              <w:rPr>
                <w:sz w:val="1"/>
                <w:szCs w:val="1"/>
                <w:color w:val="auto"/>
              </w:rPr>
            </w:pPr>
          </w:p>
        </w:tc>
        <w:tc>
          <w:tcPr>
            <w:tcW w:w="80" w:type="dxa"/>
            <w:vAlign w:val="bottom"/>
            <w:tcBorders>
              <w:top w:val="single" w:sz="8" w:color="CEFFE7"/>
            </w:tcBorders>
            <w:shd w:val="clear" w:color="auto" w:fill="CEFFE7"/>
          </w:tcPr>
          <w:p>
            <w:pPr>
              <w:spacing w:after="0" w:line="20" w:lineRule="exact"/>
              <w:rPr>
                <w:sz w:val="1"/>
                <w:szCs w:val="1"/>
                <w:color w:val="auto"/>
              </w:rPr>
            </w:pPr>
          </w:p>
        </w:tc>
        <w:tc>
          <w:tcPr>
            <w:tcW w:w="460" w:type="dxa"/>
            <w:vAlign w:val="bottom"/>
            <w:tcBorders>
              <w:top w:val="single" w:sz="8" w:color="0000FF"/>
            </w:tcBorders>
            <w:shd w:val="clear" w:color="auto" w:fill="CEFFE7"/>
          </w:tcPr>
          <w:p>
            <w:pPr>
              <w:spacing w:after="0" w:line="20" w:lineRule="exact"/>
              <w:rPr>
                <w:sz w:val="1"/>
                <w:szCs w:val="1"/>
                <w:color w:val="auto"/>
              </w:rPr>
            </w:pPr>
          </w:p>
        </w:tc>
        <w:tc>
          <w:tcPr>
            <w:tcW w:w="52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20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400" w:type="dxa"/>
            <w:vAlign w:val="bottom"/>
            <w:tcBorders>
              <w:top w:val="single" w:sz="8" w:color="CEFFE7"/>
            </w:tcBorders>
            <w:shd w:val="clear" w:color="auto" w:fill="CEFFE7"/>
          </w:tcPr>
          <w:p>
            <w:pPr>
              <w:spacing w:after="0" w:line="20" w:lineRule="exact"/>
              <w:rPr>
                <w:sz w:val="1"/>
                <w:szCs w:val="1"/>
                <w:color w:val="auto"/>
              </w:rPr>
            </w:pPr>
          </w:p>
        </w:tc>
        <w:tc>
          <w:tcPr>
            <w:tcW w:w="28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180" w:type="dxa"/>
            <w:vAlign w:val="bottom"/>
            <w:tcBorders>
              <w:top w:val="single" w:sz="8" w:color="CEFFE7"/>
            </w:tcBorders>
            <w:shd w:val="clear" w:color="auto" w:fill="CEFFE7"/>
          </w:tcPr>
          <w:p>
            <w:pPr>
              <w:spacing w:after="0" w:line="20" w:lineRule="exact"/>
              <w:rPr>
                <w:sz w:val="1"/>
                <w:szCs w:val="1"/>
                <w:color w:val="auto"/>
              </w:rPr>
            </w:pPr>
          </w:p>
        </w:tc>
        <w:tc>
          <w:tcPr>
            <w:tcW w:w="22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320" w:type="dxa"/>
            <w:vAlign w:val="bottom"/>
            <w:tcBorders>
              <w:top w:val="single" w:sz="8" w:color="CEFFE7"/>
            </w:tcBorders>
            <w:shd w:val="clear" w:color="auto" w:fill="CEFFE7"/>
          </w:tcPr>
          <w:p>
            <w:pPr>
              <w:spacing w:after="0" w:line="20" w:lineRule="exact"/>
              <w:rPr>
                <w:sz w:val="1"/>
                <w:szCs w:val="1"/>
                <w:color w:val="auto"/>
              </w:rPr>
            </w:pPr>
          </w:p>
        </w:tc>
        <w:tc>
          <w:tcPr>
            <w:tcW w:w="140" w:type="dxa"/>
            <w:vAlign w:val="bottom"/>
            <w:tcBorders>
              <w:top w:val="single" w:sz="8" w:color="CEFFE7"/>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120" w:type="dxa"/>
            <w:vAlign w:val="bottom"/>
            <w:tcBorders>
              <w:top w:val="single" w:sz="8" w:color="CEFFE7"/>
            </w:tcBorders>
            <w:shd w:val="clear" w:color="auto" w:fill="CEFFE7"/>
          </w:tcPr>
          <w:p>
            <w:pPr>
              <w:spacing w:after="0" w:line="20" w:lineRule="exact"/>
              <w:rPr>
                <w:sz w:val="1"/>
                <w:szCs w:val="1"/>
                <w:color w:val="auto"/>
              </w:rPr>
            </w:pPr>
          </w:p>
        </w:tc>
        <w:tc>
          <w:tcPr>
            <w:tcW w:w="20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80" w:type="dxa"/>
            <w:vAlign w:val="bottom"/>
            <w:tcBorders>
              <w:top w:val="single" w:sz="8" w:color="CEFFE7"/>
            </w:tcBorders>
            <w:shd w:val="clear" w:color="auto" w:fill="CEFFE7"/>
          </w:tcPr>
          <w:p>
            <w:pPr>
              <w:spacing w:after="0" w:line="20" w:lineRule="exact"/>
              <w:rPr>
                <w:sz w:val="1"/>
                <w:szCs w:val="1"/>
                <w:color w:val="auto"/>
              </w:rPr>
            </w:pPr>
          </w:p>
        </w:tc>
        <w:tc>
          <w:tcPr>
            <w:tcW w:w="320" w:type="dxa"/>
            <w:vAlign w:val="bottom"/>
            <w:tcBorders>
              <w:top w:val="single" w:sz="8" w:color="CEFFE7"/>
            </w:tcBorders>
            <w:shd w:val="clear" w:color="auto" w:fill="CEFFE7"/>
          </w:tcPr>
          <w:p>
            <w:pPr>
              <w:spacing w:after="0" w:line="20" w:lineRule="exact"/>
              <w:rPr>
                <w:sz w:val="1"/>
                <w:szCs w:val="1"/>
                <w:color w:val="auto"/>
              </w:rPr>
            </w:pPr>
          </w:p>
        </w:tc>
        <w:tc>
          <w:tcPr>
            <w:tcW w:w="200" w:type="dxa"/>
            <w:vAlign w:val="bottom"/>
            <w:tcBorders>
              <w:top w:val="single" w:sz="8" w:color="CEFFE7"/>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600" w:type="dxa"/>
            <w:vAlign w:val="bottom"/>
            <w:tcBorders>
              <w:top w:val="single" w:sz="8" w:color="CEFFE7"/>
            </w:tcBorders>
            <w:shd w:val="clear" w:color="auto" w:fill="CEFFE7"/>
          </w:tcPr>
          <w:p>
            <w:pPr>
              <w:spacing w:after="0" w:line="20" w:lineRule="exact"/>
              <w:rPr>
                <w:sz w:val="1"/>
                <w:szCs w:val="1"/>
                <w:color w:val="auto"/>
              </w:rPr>
            </w:pPr>
          </w:p>
        </w:tc>
        <w:tc>
          <w:tcPr>
            <w:tcW w:w="3520" w:type="dxa"/>
            <w:vAlign w:val="bottom"/>
            <w:tcBorders>
              <w:top w:val="single" w:sz="8" w:color="CEFFE7"/>
            </w:tcBorders>
            <w:shd w:val="clear" w:color="auto" w:fill="CEFFE7"/>
          </w:tcPr>
          <w:p>
            <w:pPr>
              <w:spacing w:after="0" w:line="20" w:lineRule="exact"/>
              <w:rPr>
                <w:sz w:val="1"/>
                <w:szCs w:val="1"/>
                <w:color w:val="auto"/>
              </w:rPr>
            </w:pPr>
          </w:p>
        </w:tc>
        <w:tc>
          <w:tcPr>
            <w:tcW w:w="66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10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660" w:type="dxa"/>
            <w:vAlign w:val="bottom"/>
            <w:tcBorders>
              <w:top w:val="single" w:sz="8" w:color="CEFFE7"/>
            </w:tcBorders>
            <w:shd w:val="clear" w:color="auto" w:fill="CEFFE7"/>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140" w:type="dxa"/>
            <w:vAlign w:val="bottom"/>
            <w:gridSpan w:val="24"/>
          </w:tcPr>
          <w:p>
            <w:pPr>
              <w:ind w:left="80"/>
              <w:spacing w:after="0" w:line="175" w:lineRule="exact"/>
              <w:rPr>
                <w:rFonts w:ascii="Arial" w:cs="Arial" w:eastAsia="Arial" w:hAnsi="Arial"/>
                <w:sz w:val="16"/>
                <w:szCs w:val="16"/>
                <w:color w:val="0000FF"/>
              </w:rPr>
            </w:pPr>
            <w:hyperlink w:anchor="page19">
              <w:r>
                <w:rPr>
                  <w:rFonts w:ascii="Arial" w:cs="Arial" w:eastAsia="Arial" w:hAnsi="Arial"/>
                  <w:sz w:val="16"/>
                  <w:szCs w:val="16"/>
                  <w:color w:val="0000FF"/>
                </w:rPr>
                <w:t>Note 6. Earnings Per Share</w:t>
              </w:r>
            </w:hyperlink>
          </w:p>
        </w:tc>
        <w:tc>
          <w:tcPr>
            <w:tcW w:w="1500" w:type="dxa"/>
            <w:vAlign w:val="bottom"/>
            <w:gridSpan w:val="5"/>
          </w:tcPr>
          <w:p>
            <w:pPr>
              <w:jc w:val="center"/>
              <w:spacing w:after="0" w:line="175" w:lineRule="exact"/>
              <w:rPr>
                <w:rFonts w:ascii="Arial" w:cs="Arial" w:eastAsia="Arial" w:hAnsi="Arial"/>
                <w:sz w:val="16"/>
                <w:szCs w:val="16"/>
                <w:color w:val="0000FF"/>
              </w:rPr>
            </w:pPr>
            <w:hyperlink w:anchor="page19">
              <w:r>
                <w:rPr>
                  <w:rFonts w:ascii="Arial" w:cs="Arial" w:eastAsia="Arial" w:hAnsi="Arial"/>
                  <w:sz w:val="16"/>
                  <w:szCs w:val="16"/>
                  <w:color w:val="0000FF"/>
                </w:rPr>
                <w:t>20</w:t>
              </w:r>
            </w:hyperlink>
          </w:p>
        </w:tc>
      </w:tr>
      <w:tr>
        <w:trPr>
          <w:trHeight w:val="21"/>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76"/>
        </w:trPr>
        <w:tc>
          <w:tcPr>
            <w:tcW w:w="20" w:type="dxa"/>
            <w:vAlign w:val="bottom"/>
            <w:shd w:val="clear" w:color="auto" w:fill="CEFFE7"/>
          </w:tcPr>
          <w:p>
            <w:pPr>
              <w:spacing w:after="0"/>
              <w:rPr>
                <w:sz w:val="15"/>
                <w:szCs w:val="15"/>
                <w:color w:val="auto"/>
              </w:rPr>
            </w:pPr>
          </w:p>
        </w:tc>
        <w:tc>
          <w:tcPr>
            <w:tcW w:w="20" w:type="dxa"/>
            <w:vAlign w:val="bottom"/>
            <w:shd w:val="clear" w:color="auto" w:fill="CEFFE7"/>
          </w:tcPr>
          <w:p>
            <w:pPr>
              <w:spacing w:after="0"/>
              <w:rPr>
                <w:sz w:val="15"/>
                <w:szCs w:val="15"/>
                <w:color w:val="auto"/>
              </w:rPr>
            </w:pPr>
          </w:p>
        </w:tc>
        <w:tc>
          <w:tcPr>
            <w:tcW w:w="1400" w:type="dxa"/>
            <w:vAlign w:val="bottom"/>
            <w:shd w:val="clear" w:color="auto" w:fill="CEFFE7"/>
          </w:tcPr>
          <w:p>
            <w:pPr>
              <w:spacing w:after="0"/>
              <w:rPr>
                <w:sz w:val="15"/>
                <w:szCs w:val="15"/>
                <w:color w:val="auto"/>
              </w:rPr>
            </w:pPr>
          </w:p>
        </w:tc>
        <w:tc>
          <w:tcPr>
            <w:tcW w:w="120" w:type="dxa"/>
            <w:vAlign w:val="bottom"/>
            <w:shd w:val="clear" w:color="auto" w:fill="CEFFE7"/>
          </w:tcPr>
          <w:p>
            <w:pPr>
              <w:spacing w:after="0"/>
              <w:rPr>
                <w:sz w:val="15"/>
                <w:szCs w:val="15"/>
                <w:color w:val="auto"/>
              </w:rPr>
            </w:pPr>
          </w:p>
        </w:tc>
        <w:tc>
          <w:tcPr>
            <w:tcW w:w="8140" w:type="dxa"/>
            <w:vAlign w:val="bottom"/>
            <w:gridSpan w:val="24"/>
            <w:shd w:val="clear" w:color="auto" w:fill="CEFFE7"/>
          </w:tcPr>
          <w:p>
            <w:pPr>
              <w:ind w:left="80"/>
              <w:spacing w:after="0" w:line="175" w:lineRule="exact"/>
              <w:rPr>
                <w:rFonts w:ascii="Arial" w:cs="Arial" w:eastAsia="Arial" w:hAnsi="Arial"/>
                <w:sz w:val="16"/>
                <w:szCs w:val="16"/>
                <w:color w:val="0000FF"/>
              </w:rPr>
            </w:pPr>
            <w:hyperlink w:anchor="page20">
              <w:r>
                <w:rPr>
                  <w:rFonts w:ascii="Arial" w:cs="Arial" w:eastAsia="Arial" w:hAnsi="Arial"/>
                  <w:sz w:val="16"/>
                  <w:szCs w:val="16"/>
                  <w:color w:val="0000FF"/>
                </w:rPr>
                <w:t>Note 7. Risk Management and Derivatives</w:t>
              </w:r>
            </w:hyperlink>
          </w:p>
        </w:tc>
        <w:tc>
          <w:tcPr>
            <w:tcW w:w="1500" w:type="dxa"/>
            <w:vAlign w:val="bottom"/>
            <w:gridSpan w:val="5"/>
            <w:shd w:val="clear" w:color="auto" w:fill="CEFFE7"/>
          </w:tcPr>
          <w:p>
            <w:pPr>
              <w:jc w:val="center"/>
              <w:spacing w:after="0" w:line="175" w:lineRule="exact"/>
              <w:rPr>
                <w:rFonts w:ascii="Arial" w:cs="Arial" w:eastAsia="Arial" w:hAnsi="Arial"/>
                <w:sz w:val="16"/>
                <w:szCs w:val="16"/>
                <w:color w:val="0000FF"/>
              </w:rPr>
            </w:pPr>
            <w:hyperlink w:anchor="page20">
              <w:r>
                <w:rPr>
                  <w:rFonts w:ascii="Arial" w:cs="Arial" w:eastAsia="Arial" w:hAnsi="Arial"/>
                  <w:sz w:val="16"/>
                  <w:szCs w:val="16"/>
                  <w:color w:val="0000FF"/>
                </w:rPr>
                <w:t>20</w:t>
              </w:r>
            </w:hyperlink>
          </w:p>
        </w:tc>
      </w:tr>
      <w:tr>
        <w:trPr>
          <w:trHeight w:val="21"/>
        </w:trPr>
        <w:tc>
          <w:tcPr>
            <w:tcW w:w="2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1400" w:type="dxa"/>
            <w:vAlign w:val="bottom"/>
            <w:tcBorders>
              <w:top w:val="single" w:sz="8" w:color="CEFFE7"/>
            </w:tcBorders>
            <w:shd w:val="clear" w:color="auto" w:fill="CEFFE7"/>
          </w:tcPr>
          <w:p>
            <w:pPr>
              <w:spacing w:after="0" w:line="20" w:lineRule="exact"/>
              <w:rPr>
                <w:sz w:val="1"/>
                <w:szCs w:val="1"/>
                <w:color w:val="auto"/>
              </w:rPr>
            </w:pPr>
          </w:p>
        </w:tc>
        <w:tc>
          <w:tcPr>
            <w:tcW w:w="120" w:type="dxa"/>
            <w:vAlign w:val="bottom"/>
            <w:tcBorders>
              <w:top w:val="single" w:sz="8" w:color="CEFFE7"/>
            </w:tcBorders>
            <w:shd w:val="clear" w:color="auto" w:fill="CEFFE7"/>
          </w:tcPr>
          <w:p>
            <w:pPr>
              <w:spacing w:after="0" w:line="20" w:lineRule="exact"/>
              <w:rPr>
                <w:sz w:val="1"/>
                <w:szCs w:val="1"/>
                <w:color w:val="auto"/>
              </w:rPr>
            </w:pPr>
          </w:p>
        </w:tc>
        <w:tc>
          <w:tcPr>
            <w:tcW w:w="80" w:type="dxa"/>
            <w:vAlign w:val="bottom"/>
            <w:tcBorders>
              <w:top w:val="single" w:sz="8" w:color="CEFFE7"/>
            </w:tcBorders>
            <w:shd w:val="clear" w:color="auto" w:fill="CEFFE7"/>
          </w:tcPr>
          <w:p>
            <w:pPr>
              <w:spacing w:after="0" w:line="20" w:lineRule="exact"/>
              <w:rPr>
                <w:sz w:val="1"/>
                <w:szCs w:val="1"/>
                <w:color w:val="auto"/>
              </w:rPr>
            </w:pPr>
          </w:p>
        </w:tc>
        <w:tc>
          <w:tcPr>
            <w:tcW w:w="460" w:type="dxa"/>
            <w:vAlign w:val="bottom"/>
            <w:tcBorders>
              <w:top w:val="single" w:sz="8" w:color="0000FF"/>
            </w:tcBorders>
            <w:shd w:val="clear" w:color="auto" w:fill="CEFFE7"/>
          </w:tcPr>
          <w:p>
            <w:pPr>
              <w:spacing w:after="0" w:line="20" w:lineRule="exact"/>
              <w:rPr>
                <w:sz w:val="1"/>
                <w:szCs w:val="1"/>
                <w:color w:val="auto"/>
              </w:rPr>
            </w:pPr>
          </w:p>
        </w:tc>
        <w:tc>
          <w:tcPr>
            <w:tcW w:w="52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20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400" w:type="dxa"/>
            <w:vAlign w:val="bottom"/>
            <w:tcBorders>
              <w:top w:val="single" w:sz="8" w:color="0000FF"/>
            </w:tcBorders>
            <w:shd w:val="clear" w:color="auto" w:fill="CEFFE7"/>
          </w:tcPr>
          <w:p>
            <w:pPr>
              <w:spacing w:after="0" w:line="20" w:lineRule="exact"/>
              <w:rPr>
                <w:sz w:val="1"/>
                <w:szCs w:val="1"/>
                <w:color w:val="auto"/>
              </w:rPr>
            </w:pPr>
          </w:p>
        </w:tc>
        <w:tc>
          <w:tcPr>
            <w:tcW w:w="28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180" w:type="dxa"/>
            <w:vAlign w:val="bottom"/>
            <w:tcBorders>
              <w:top w:val="single" w:sz="8" w:color="0000FF"/>
            </w:tcBorders>
            <w:shd w:val="clear" w:color="auto" w:fill="CEFFE7"/>
          </w:tcPr>
          <w:p>
            <w:pPr>
              <w:spacing w:after="0" w:line="20" w:lineRule="exact"/>
              <w:rPr>
                <w:sz w:val="1"/>
                <w:szCs w:val="1"/>
                <w:color w:val="auto"/>
              </w:rPr>
            </w:pPr>
          </w:p>
        </w:tc>
        <w:tc>
          <w:tcPr>
            <w:tcW w:w="22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320" w:type="dxa"/>
            <w:vAlign w:val="bottom"/>
            <w:tcBorders>
              <w:top w:val="single" w:sz="8" w:color="0000FF"/>
            </w:tcBorders>
            <w:shd w:val="clear" w:color="auto" w:fill="CEFFE7"/>
          </w:tcPr>
          <w:p>
            <w:pPr>
              <w:spacing w:after="0" w:line="20" w:lineRule="exact"/>
              <w:rPr>
                <w:sz w:val="1"/>
                <w:szCs w:val="1"/>
                <w:color w:val="auto"/>
              </w:rPr>
            </w:pPr>
          </w:p>
        </w:tc>
        <w:tc>
          <w:tcPr>
            <w:tcW w:w="140" w:type="dxa"/>
            <w:vAlign w:val="bottom"/>
            <w:tcBorders>
              <w:top w:val="single" w:sz="8" w:color="0000FF"/>
            </w:tcBorders>
            <w:shd w:val="clear" w:color="auto" w:fill="CEFFE7"/>
          </w:tcPr>
          <w:p>
            <w:pPr>
              <w:spacing w:after="0" w:line="20" w:lineRule="exact"/>
              <w:rPr>
                <w:sz w:val="1"/>
                <w:szCs w:val="1"/>
                <w:color w:val="auto"/>
              </w:rPr>
            </w:pPr>
          </w:p>
        </w:tc>
        <w:tc>
          <w:tcPr>
            <w:tcW w:w="60" w:type="dxa"/>
            <w:vAlign w:val="bottom"/>
            <w:tcBorders>
              <w:top w:val="single" w:sz="8" w:color="0000FF"/>
            </w:tcBorders>
            <w:shd w:val="clear" w:color="auto" w:fill="CEFFE7"/>
          </w:tcPr>
          <w:p>
            <w:pPr>
              <w:spacing w:after="0" w:line="20" w:lineRule="exact"/>
              <w:rPr>
                <w:sz w:val="1"/>
                <w:szCs w:val="1"/>
                <w:color w:val="auto"/>
              </w:rPr>
            </w:pPr>
          </w:p>
        </w:tc>
        <w:tc>
          <w:tcPr>
            <w:tcW w:w="120" w:type="dxa"/>
            <w:vAlign w:val="bottom"/>
            <w:tcBorders>
              <w:top w:val="single" w:sz="8" w:color="0000FF"/>
            </w:tcBorders>
            <w:shd w:val="clear" w:color="auto" w:fill="CEFFE7"/>
          </w:tcPr>
          <w:p>
            <w:pPr>
              <w:spacing w:after="0" w:line="20" w:lineRule="exact"/>
              <w:rPr>
                <w:sz w:val="1"/>
                <w:szCs w:val="1"/>
                <w:color w:val="auto"/>
              </w:rPr>
            </w:pPr>
          </w:p>
        </w:tc>
        <w:tc>
          <w:tcPr>
            <w:tcW w:w="20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80" w:type="dxa"/>
            <w:vAlign w:val="bottom"/>
            <w:tcBorders>
              <w:top w:val="single" w:sz="8" w:color="CEFFE7"/>
            </w:tcBorders>
            <w:shd w:val="clear" w:color="auto" w:fill="CEFFE7"/>
          </w:tcPr>
          <w:p>
            <w:pPr>
              <w:spacing w:after="0" w:line="20" w:lineRule="exact"/>
              <w:rPr>
                <w:sz w:val="1"/>
                <w:szCs w:val="1"/>
                <w:color w:val="auto"/>
              </w:rPr>
            </w:pPr>
          </w:p>
        </w:tc>
        <w:tc>
          <w:tcPr>
            <w:tcW w:w="320" w:type="dxa"/>
            <w:vAlign w:val="bottom"/>
            <w:tcBorders>
              <w:top w:val="single" w:sz="8" w:color="CEFFE7"/>
            </w:tcBorders>
            <w:shd w:val="clear" w:color="auto" w:fill="CEFFE7"/>
          </w:tcPr>
          <w:p>
            <w:pPr>
              <w:spacing w:after="0" w:line="20" w:lineRule="exact"/>
              <w:rPr>
                <w:sz w:val="1"/>
                <w:szCs w:val="1"/>
                <w:color w:val="auto"/>
              </w:rPr>
            </w:pPr>
          </w:p>
        </w:tc>
        <w:tc>
          <w:tcPr>
            <w:tcW w:w="200" w:type="dxa"/>
            <w:vAlign w:val="bottom"/>
            <w:tcBorders>
              <w:top w:val="single" w:sz="8" w:color="CEFFE7"/>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600" w:type="dxa"/>
            <w:vAlign w:val="bottom"/>
            <w:tcBorders>
              <w:top w:val="single" w:sz="8" w:color="CEFFE7"/>
            </w:tcBorders>
            <w:shd w:val="clear" w:color="auto" w:fill="CEFFE7"/>
          </w:tcPr>
          <w:p>
            <w:pPr>
              <w:spacing w:after="0" w:line="20" w:lineRule="exact"/>
              <w:rPr>
                <w:sz w:val="1"/>
                <w:szCs w:val="1"/>
                <w:color w:val="auto"/>
              </w:rPr>
            </w:pPr>
          </w:p>
        </w:tc>
        <w:tc>
          <w:tcPr>
            <w:tcW w:w="3520" w:type="dxa"/>
            <w:vAlign w:val="bottom"/>
            <w:tcBorders>
              <w:top w:val="single" w:sz="8" w:color="CEFFE7"/>
            </w:tcBorders>
            <w:shd w:val="clear" w:color="auto" w:fill="CEFFE7"/>
          </w:tcPr>
          <w:p>
            <w:pPr>
              <w:spacing w:after="0" w:line="20" w:lineRule="exact"/>
              <w:rPr>
                <w:sz w:val="1"/>
                <w:szCs w:val="1"/>
                <w:color w:val="auto"/>
              </w:rPr>
            </w:pPr>
          </w:p>
        </w:tc>
        <w:tc>
          <w:tcPr>
            <w:tcW w:w="66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10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660" w:type="dxa"/>
            <w:vAlign w:val="bottom"/>
            <w:tcBorders>
              <w:top w:val="single" w:sz="8" w:color="CEFFE7"/>
            </w:tcBorders>
            <w:shd w:val="clear" w:color="auto" w:fill="CEFFE7"/>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140" w:type="dxa"/>
            <w:vAlign w:val="bottom"/>
            <w:gridSpan w:val="24"/>
          </w:tcPr>
          <w:p>
            <w:pPr>
              <w:ind w:left="80"/>
              <w:spacing w:after="0" w:line="175" w:lineRule="exact"/>
              <w:rPr>
                <w:rFonts w:ascii="Arial" w:cs="Arial" w:eastAsia="Arial" w:hAnsi="Arial"/>
                <w:sz w:val="16"/>
                <w:szCs w:val="16"/>
                <w:color w:val="0000FF"/>
              </w:rPr>
            </w:pPr>
            <w:hyperlink w:anchor="page23">
              <w:r>
                <w:rPr>
                  <w:rFonts w:ascii="Arial" w:cs="Arial" w:eastAsia="Arial" w:hAnsi="Arial"/>
                  <w:sz w:val="16"/>
                  <w:szCs w:val="16"/>
                  <w:color w:val="0000FF"/>
                </w:rPr>
                <w:t>Note 8. Fair Value Measurements</w:t>
              </w:r>
            </w:hyperlink>
          </w:p>
        </w:tc>
        <w:tc>
          <w:tcPr>
            <w:tcW w:w="1500" w:type="dxa"/>
            <w:vAlign w:val="bottom"/>
            <w:gridSpan w:val="5"/>
          </w:tcPr>
          <w:p>
            <w:pPr>
              <w:jc w:val="center"/>
              <w:spacing w:after="0" w:line="175" w:lineRule="exact"/>
              <w:rPr>
                <w:rFonts w:ascii="Arial" w:cs="Arial" w:eastAsia="Arial" w:hAnsi="Arial"/>
                <w:sz w:val="16"/>
                <w:szCs w:val="16"/>
                <w:color w:val="0000FF"/>
              </w:rPr>
            </w:pPr>
            <w:hyperlink w:anchor="page23">
              <w:r>
                <w:rPr>
                  <w:rFonts w:ascii="Arial" w:cs="Arial" w:eastAsia="Arial" w:hAnsi="Arial"/>
                  <w:sz w:val="16"/>
                  <w:szCs w:val="16"/>
                  <w:color w:val="0000FF"/>
                </w:rPr>
                <w:t>23</w:t>
              </w:r>
            </w:hyperlink>
          </w:p>
        </w:tc>
      </w:tr>
      <w:tr>
        <w:trPr>
          <w:trHeight w:val="21"/>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75"/>
        </w:trPr>
        <w:tc>
          <w:tcPr>
            <w:tcW w:w="20" w:type="dxa"/>
            <w:vAlign w:val="bottom"/>
            <w:shd w:val="clear" w:color="auto" w:fill="CEFFE7"/>
          </w:tcPr>
          <w:p>
            <w:pPr>
              <w:spacing w:after="0"/>
              <w:rPr>
                <w:sz w:val="15"/>
                <w:szCs w:val="15"/>
                <w:color w:val="auto"/>
              </w:rPr>
            </w:pPr>
          </w:p>
        </w:tc>
        <w:tc>
          <w:tcPr>
            <w:tcW w:w="20" w:type="dxa"/>
            <w:vAlign w:val="bottom"/>
            <w:shd w:val="clear" w:color="auto" w:fill="CEFFE7"/>
          </w:tcPr>
          <w:p>
            <w:pPr>
              <w:spacing w:after="0"/>
              <w:rPr>
                <w:sz w:val="15"/>
                <w:szCs w:val="15"/>
                <w:color w:val="auto"/>
              </w:rPr>
            </w:pPr>
          </w:p>
        </w:tc>
        <w:tc>
          <w:tcPr>
            <w:tcW w:w="1400" w:type="dxa"/>
            <w:vAlign w:val="bottom"/>
            <w:shd w:val="clear" w:color="auto" w:fill="CEFFE7"/>
          </w:tcPr>
          <w:p>
            <w:pPr>
              <w:spacing w:after="0"/>
              <w:rPr>
                <w:sz w:val="15"/>
                <w:szCs w:val="15"/>
                <w:color w:val="auto"/>
              </w:rPr>
            </w:pPr>
          </w:p>
        </w:tc>
        <w:tc>
          <w:tcPr>
            <w:tcW w:w="120" w:type="dxa"/>
            <w:vAlign w:val="bottom"/>
            <w:shd w:val="clear" w:color="auto" w:fill="CEFFE7"/>
          </w:tcPr>
          <w:p>
            <w:pPr>
              <w:spacing w:after="0"/>
              <w:rPr>
                <w:sz w:val="15"/>
                <w:szCs w:val="15"/>
                <w:color w:val="auto"/>
              </w:rPr>
            </w:pPr>
          </w:p>
        </w:tc>
        <w:tc>
          <w:tcPr>
            <w:tcW w:w="8140" w:type="dxa"/>
            <w:vAlign w:val="bottom"/>
            <w:gridSpan w:val="24"/>
            <w:shd w:val="clear" w:color="auto" w:fill="CEFFE7"/>
          </w:tcPr>
          <w:p>
            <w:pPr>
              <w:ind w:left="80"/>
              <w:spacing w:after="0" w:line="175" w:lineRule="exact"/>
              <w:rPr>
                <w:rFonts w:ascii="Arial" w:cs="Arial" w:eastAsia="Arial" w:hAnsi="Arial"/>
                <w:sz w:val="16"/>
                <w:szCs w:val="16"/>
                <w:color w:val="0000FF"/>
              </w:rPr>
            </w:pPr>
            <w:hyperlink w:anchor="page25">
              <w:r>
                <w:rPr>
                  <w:rFonts w:ascii="Arial" w:cs="Arial" w:eastAsia="Arial" w:hAnsi="Arial"/>
                  <w:sz w:val="16"/>
                  <w:szCs w:val="16"/>
                  <w:color w:val="0000FF"/>
                </w:rPr>
                <w:t>Note 9. Other Comprehensive Income</w:t>
              </w:r>
            </w:hyperlink>
          </w:p>
        </w:tc>
        <w:tc>
          <w:tcPr>
            <w:tcW w:w="1500" w:type="dxa"/>
            <w:vAlign w:val="bottom"/>
            <w:gridSpan w:val="5"/>
            <w:shd w:val="clear" w:color="auto" w:fill="CEFFE7"/>
          </w:tcPr>
          <w:p>
            <w:pPr>
              <w:jc w:val="center"/>
              <w:spacing w:after="0" w:line="175" w:lineRule="exact"/>
              <w:rPr>
                <w:rFonts w:ascii="Arial" w:cs="Arial" w:eastAsia="Arial" w:hAnsi="Arial"/>
                <w:sz w:val="16"/>
                <w:szCs w:val="16"/>
                <w:color w:val="0000FF"/>
              </w:rPr>
            </w:pPr>
            <w:hyperlink w:anchor="page25">
              <w:r>
                <w:rPr>
                  <w:rFonts w:ascii="Arial" w:cs="Arial" w:eastAsia="Arial" w:hAnsi="Arial"/>
                  <w:sz w:val="16"/>
                  <w:szCs w:val="16"/>
                  <w:color w:val="0000FF"/>
                </w:rPr>
                <w:t>25</w:t>
              </w:r>
            </w:hyperlink>
          </w:p>
        </w:tc>
      </w:tr>
      <w:tr>
        <w:trPr>
          <w:trHeight w:val="21"/>
        </w:trPr>
        <w:tc>
          <w:tcPr>
            <w:tcW w:w="2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1400" w:type="dxa"/>
            <w:vAlign w:val="bottom"/>
            <w:tcBorders>
              <w:top w:val="single" w:sz="8" w:color="CEFFE7"/>
            </w:tcBorders>
            <w:shd w:val="clear" w:color="auto" w:fill="CEFFE7"/>
          </w:tcPr>
          <w:p>
            <w:pPr>
              <w:spacing w:after="0" w:line="20" w:lineRule="exact"/>
              <w:rPr>
                <w:sz w:val="1"/>
                <w:szCs w:val="1"/>
                <w:color w:val="auto"/>
              </w:rPr>
            </w:pPr>
          </w:p>
        </w:tc>
        <w:tc>
          <w:tcPr>
            <w:tcW w:w="120" w:type="dxa"/>
            <w:vAlign w:val="bottom"/>
            <w:tcBorders>
              <w:top w:val="single" w:sz="8" w:color="CEFFE7"/>
            </w:tcBorders>
            <w:shd w:val="clear" w:color="auto" w:fill="CEFFE7"/>
          </w:tcPr>
          <w:p>
            <w:pPr>
              <w:spacing w:after="0" w:line="20" w:lineRule="exact"/>
              <w:rPr>
                <w:sz w:val="1"/>
                <w:szCs w:val="1"/>
                <w:color w:val="auto"/>
              </w:rPr>
            </w:pPr>
          </w:p>
        </w:tc>
        <w:tc>
          <w:tcPr>
            <w:tcW w:w="80" w:type="dxa"/>
            <w:vAlign w:val="bottom"/>
            <w:tcBorders>
              <w:top w:val="single" w:sz="8" w:color="CEFFE7"/>
            </w:tcBorders>
            <w:shd w:val="clear" w:color="auto" w:fill="CEFFE7"/>
          </w:tcPr>
          <w:p>
            <w:pPr>
              <w:spacing w:after="0" w:line="20" w:lineRule="exact"/>
              <w:rPr>
                <w:sz w:val="1"/>
                <w:szCs w:val="1"/>
                <w:color w:val="auto"/>
              </w:rPr>
            </w:pPr>
          </w:p>
        </w:tc>
        <w:tc>
          <w:tcPr>
            <w:tcW w:w="460" w:type="dxa"/>
            <w:vAlign w:val="bottom"/>
            <w:tcBorders>
              <w:top w:val="single" w:sz="8" w:color="0000FF"/>
            </w:tcBorders>
            <w:shd w:val="clear" w:color="auto" w:fill="CEFFE7"/>
          </w:tcPr>
          <w:p>
            <w:pPr>
              <w:spacing w:after="0" w:line="20" w:lineRule="exact"/>
              <w:rPr>
                <w:sz w:val="1"/>
                <w:szCs w:val="1"/>
                <w:color w:val="auto"/>
              </w:rPr>
            </w:pPr>
          </w:p>
        </w:tc>
        <w:tc>
          <w:tcPr>
            <w:tcW w:w="52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20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400" w:type="dxa"/>
            <w:vAlign w:val="bottom"/>
            <w:tcBorders>
              <w:top w:val="single" w:sz="8" w:color="0000FF"/>
            </w:tcBorders>
            <w:shd w:val="clear" w:color="auto" w:fill="CEFFE7"/>
          </w:tcPr>
          <w:p>
            <w:pPr>
              <w:spacing w:after="0" w:line="20" w:lineRule="exact"/>
              <w:rPr>
                <w:sz w:val="1"/>
                <w:szCs w:val="1"/>
                <w:color w:val="auto"/>
              </w:rPr>
            </w:pPr>
          </w:p>
        </w:tc>
        <w:tc>
          <w:tcPr>
            <w:tcW w:w="28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180" w:type="dxa"/>
            <w:vAlign w:val="bottom"/>
            <w:tcBorders>
              <w:top w:val="single" w:sz="8" w:color="0000FF"/>
            </w:tcBorders>
            <w:shd w:val="clear" w:color="auto" w:fill="CEFFE7"/>
          </w:tcPr>
          <w:p>
            <w:pPr>
              <w:spacing w:after="0" w:line="20" w:lineRule="exact"/>
              <w:rPr>
                <w:sz w:val="1"/>
                <w:szCs w:val="1"/>
                <w:color w:val="auto"/>
              </w:rPr>
            </w:pPr>
          </w:p>
        </w:tc>
        <w:tc>
          <w:tcPr>
            <w:tcW w:w="22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320" w:type="dxa"/>
            <w:vAlign w:val="bottom"/>
            <w:tcBorders>
              <w:top w:val="single" w:sz="8" w:color="0000FF"/>
            </w:tcBorders>
            <w:shd w:val="clear" w:color="auto" w:fill="CEFFE7"/>
          </w:tcPr>
          <w:p>
            <w:pPr>
              <w:spacing w:after="0" w:line="20" w:lineRule="exact"/>
              <w:rPr>
                <w:sz w:val="1"/>
                <w:szCs w:val="1"/>
                <w:color w:val="auto"/>
              </w:rPr>
            </w:pPr>
          </w:p>
        </w:tc>
        <w:tc>
          <w:tcPr>
            <w:tcW w:w="140" w:type="dxa"/>
            <w:vAlign w:val="bottom"/>
            <w:tcBorders>
              <w:top w:val="single" w:sz="8" w:color="CEFFE7"/>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120" w:type="dxa"/>
            <w:vAlign w:val="bottom"/>
            <w:tcBorders>
              <w:top w:val="single" w:sz="8" w:color="CEFFE7"/>
            </w:tcBorders>
            <w:shd w:val="clear" w:color="auto" w:fill="CEFFE7"/>
          </w:tcPr>
          <w:p>
            <w:pPr>
              <w:spacing w:after="0" w:line="20" w:lineRule="exact"/>
              <w:rPr>
                <w:sz w:val="1"/>
                <w:szCs w:val="1"/>
                <w:color w:val="auto"/>
              </w:rPr>
            </w:pPr>
          </w:p>
        </w:tc>
        <w:tc>
          <w:tcPr>
            <w:tcW w:w="20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80" w:type="dxa"/>
            <w:vAlign w:val="bottom"/>
            <w:tcBorders>
              <w:top w:val="single" w:sz="8" w:color="CEFFE7"/>
            </w:tcBorders>
            <w:shd w:val="clear" w:color="auto" w:fill="CEFFE7"/>
          </w:tcPr>
          <w:p>
            <w:pPr>
              <w:spacing w:after="0" w:line="20" w:lineRule="exact"/>
              <w:rPr>
                <w:sz w:val="1"/>
                <w:szCs w:val="1"/>
                <w:color w:val="auto"/>
              </w:rPr>
            </w:pPr>
          </w:p>
        </w:tc>
        <w:tc>
          <w:tcPr>
            <w:tcW w:w="320" w:type="dxa"/>
            <w:vAlign w:val="bottom"/>
            <w:tcBorders>
              <w:top w:val="single" w:sz="8" w:color="CEFFE7"/>
            </w:tcBorders>
            <w:shd w:val="clear" w:color="auto" w:fill="CEFFE7"/>
          </w:tcPr>
          <w:p>
            <w:pPr>
              <w:spacing w:after="0" w:line="20" w:lineRule="exact"/>
              <w:rPr>
                <w:sz w:val="1"/>
                <w:szCs w:val="1"/>
                <w:color w:val="auto"/>
              </w:rPr>
            </w:pPr>
          </w:p>
        </w:tc>
        <w:tc>
          <w:tcPr>
            <w:tcW w:w="200" w:type="dxa"/>
            <w:vAlign w:val="bottom"/>
            <w:tcBorders>
              <w:top w:val="single" w:sz="8" w:color="CEFFE7"/>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600" w:type="dxa"/>
            <w:vAlign w:val="bottom"/>
            <w:tcBorders>
              <w:top w:val="single" w:sz="8" w:color="CEFFE7"/>
            </w:tcBorders>
            <w:shd w:val="clear" w:color="auto" w:fill="CEFFE7"/>
          </w:tcPr>
          <w:p>
            <w:pPr>
              <w:spacing w:after="0" w:line="20" w:lineRule="exact"/>
              <w:rPr>
                <w:sz w:val="1"/>
                <w:szCs w:val="1"/>
                <w:color w:val="auto"/>
              </w:rPr>
            </w:pPr>
          </w:p>
        </w:tc>
        <w:tc>
          <w:tcPr>
            <w:tcW w:w="3520" w:type="dxa"/>
            <w:vAlign w:val="bottom"/>
            <w:tcBorders>
              <w:top w:val="single" w:sz="8" w:color="CEFFE7"/>
            </w:tcBorders>
            <w:shd w:val="clear" w:color="auto" w:fill="CEFFE7"/>
          </w:tcPr>
          <w:p>
            <w:pPr>
              <w:spacing w:after="0" w:line="20" w:lineRule="exact"/>
              <w:rPr>
                <w:sz w:val="1"/>
                <w:szCs w:val="1"/>
                <w:color w:val="auto"/>
              </w:rPr>
            </w:pPr>
          </w:p>
        </w:tc>
        <w:tc>
          <w:tcPr>
            <w:tcW w:w="66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10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660" w:type="dxa"/>
            <w:vAlign w:val="bottom"/>
            <w:tcBorders>
              <w:top w:val="single" w:sz="8" w:color="CEFFE7"/>
            </w:tcBorders>
            <w:shd w:val="clear" w:color="auto" w:fill="CEFFE7"/>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140" w:type="dxa"/>
            <w:vAlign w:val="bottom"/>
            <w:gridSpan w:val="24"/>
          </w:tcPr>
          <w:p>
            <w:pPr>
              <w:ind w:left="80"/>
              <w:spacing w:after="0" w:line="175" w:lineRule="exact"/>
              <w:rPr>
                <w:rFonts w:ascii="Arial" w:cs="Arial" w:eastAsia="Arial" w:hAnsi="Arial"/>
                <w:sz w:val="16"/>
                <w:szCs w:val="16"/>
                <w:color w:val="0000FF"/>
              </w:rPr>
            </w:pPr>
            <w:hyperlink w:anchor="page26">
              <w:r>
                <w:rPr>
                  <w:rFonts w:ascii="Arial" w:cs="Arial" w:eastAsia="Arial" w:hAnsi="Arial"/>
                  <w:sz w:val="16"/>
                  <w:szCs w:val="16"/>
                  <w:color w:val="0000FF"/>
                </w:rPr>
                <w:t xml:space="preserve">Note </w:t>
              </w:r>
            </w:hyperlink>
            <w:r>
              <w:rPr>
                <w:rFonts w:ascii="Arial" w:cs="Arial" w:eastAsia="Arial" w:hAnsi="Arial"/>
                <w:sz w:val="16"/>
                <w:szCs w:val="16"/>
                <w:color w:val="0000FF"/>
              </w:rPr>
              <w:t xml:space="preserve">10. </w:t>
            </w:r>
            <w:hyperlink w:anchor="page26">
              <w:r>
                <w:rPr>
                  <w:rFonts w:ascii="Arial" w:cs="Arial" w:eastAsia="Arial" w:hAnsi="Arial"/>
                  <w:sz w:val="16"/>
                  <w:szCs w:val="16"/>
                  <w:color w:val="0000FF"/>
                </w:rPr>
                <w:t>Employee Benefit Plans</w:t>
              </w:r>
            </w:hyperlink>
          </w:p>
        </w:tc>
        <w:tc>
          <w:tcPr>
            <w:tcW w:w="1500" w:type="dxa"/>
            <w:vAlign w:val="bottom"/>
            <w:gridSpan w:val="5"/>
          </w:tcPr>
          <w:p>
            <w:pPr>
              <w:jc w:val="center"/>
              <w:spacing w:after="0" w:line="175" w:lineRule="exact"/>
              <w:rPr>
                <w:rFonts w:ascii="Arial" w:cs="Arial" w:eastAsia="Arial" w:hAnsi="Arial"/>
                <w:sz w:val="16"/>
                <w:szCs w:val="16"/>
                <w:color w:val="0000FF"/>
              </w:rPr>
            </w:pPr>
            <w:hyperlink w:anchor="page26">
              <w:r>
                <w:rPr>
                  <w:rFonts w:ascii="Arial" w:cs="Arial" w:eastAsia="Arial" w:hAnsi="Arial"/>
                  <w:sz w:val="16"/>
                  <w:szCs w:val="16"/>
                  <w:color w:val="0000FF"/>
                </w:rPr>
                <w:t>26</w:t>
              </w:r>
            </w:hyperlink>
          </w:p>
        </w:tc>
      </w:tr>
      <w:tr>
        <w:trPr>
          <w:trHeight w:val="20"/>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76"/>
        </w:trPr>
        <w:tc>
          <w:tcPr>
            <w:tcW w:w="20" w:type="dxa"/>
            <w:vAlign w:val="bottom"/>
            <w:shd w:val="clear" w:color="auto" w:fill="CEFFE7"/>
          </w:tcPr>
          <w:p>
            <w:pPr>
              <w:spacing w:after="0"/>
              <w:rPr>
                <w:sz w:val="15"/>
                <w:szCs w:val="15"/>
                <w:color w:val="auto"/>
              </w:rPr>
            </w:pPr>
          </w:p>
        </w:tc>
        <w:tc>
          <w:tcPr>
            <w:tcW w:w="20" w:type="dxa"/>
            <w:vAlign w:val="bottom"/>
            <w:shd w:val="clear" w:color="auto" w:fill="CEFFE7"/>
          </w:tcPr>
          <w:p>
            <w:pPr>
              <w:spacing w:after="0"/>
              <w:rPr>
                <w:sz w:val="15"/>
                <w:szCs w:val="15"/>
                <w:color w:val="auto"/>
              </w:rPr>
            </w:pPr>
          </w:p>
        </w:tc>
        <w:tc>
          <w:tcPr>
            <w:tcW w:w="1400" w:type="dxa"/>
            <w:vAlign w:val="bottom"/>
            <w:shd w:val="clear" w:color="auto" w:fill="CEFFE7"/>
          </w:tcPr>
          <w:p>
            <w:pPr>
              <w:spacing w:after="0"/>
              <w:rPr>
                <w:sz w:val="15"/>
                <w:szCs w:val="15"/>
                <w:color w:val="auto"/>
              </w:rPr>
            </w:pPr>
          </w:p>
        </w:tc>
        <w:tc>
          <w:tcPr>
            <w:tcW w:w="120" w:type="dxa"/>
            <w:vAlign w:val="bottom"/>
            <w:shd w:val="clear" w:color="auto" w:fill="CEFFE7"/>
          </w:tcPr>
          <w:p>
            <w:pPr>
              <w:spacing w:after="0"/>
              <w:rPr>
                <w:sz w:val="15"/>
                <w:szCs w:val="15"/>
                <w:color w:val="auto"/>
              </w:rPr>
            </w:pPr>
          </w:p>
        </w:tc>
        <w:tc>
          <w:tcPr>
            <w:tcW w:w="8140" w:type="dxa"/>
            <w:vAlign w:val="bottom"/>
            <w:gridSpan w:val="24"/>
            <w:shd w:val="clear" w:color="auto" w:fill="CEFFE7"/>
          </w:tcPr>
          <w:p>
            <w:pPr>
              <w:ind w:left="80"/>
              <w:spacing w:after="0" w:line="175" w:lineRule="exact"/>
              <w:rPr>
                <w:rFonts w:ascii="Arial" w:cs="Arial" w:eastAsia="Arial" w:hAnsi="Arial"/>
                <w:sz w:val="16"/>
                <w:szCs w:val="16"/>
                <w:color w:val="0000FF"/>
              </w:rPr>
            </w:pPr>
            <w:hyperlink w:anchor="page27">
              <w:r>
                <w:rPr>
                  <w:rFonts w:ascii="Arial" w:cs="Arial" w:eastAsia="Arial" w:hAnsi="Arial"/>
                  <w:sz w:val="16"/>
                  <w:szCs w:val="16"/>
                  <w:color w:val="0000FF"/>
                </w:rPr>
                <w:t xml:space="preserve">Note </w:t>
              </w:r>
            </w:hyperlink>
            <w:r>
              <w:rPr>
                <w:rFonts w:ascii="Arial" w:cs="Arial" w:eastAsia="Arial" w:hAnsi="Arial"/>
                <w:sz w:val="16"/>
                <w:szCs w:val="16"/>
                <w:color w:val="0000FF"/>
              </w:rPr>
              <w:t xml:space="preserve">11. </w:t>
            </w:r>
            <w:hyperlink w:anchor="page27">
              <w:r>
                <w:rPr>
                  <w:rFonts w:ascii="Arial" w:cs="Arial" w:eastAsia="Arial" w:hAnsi="Arial"/>
                  <w:sz w:val="16"/>
                  <w:szCs w:val="16"/>
                  <w:color w:val="0000FF"/>
                </w:rPr>
                <w:t>Income Taxes</w:t>
              </w:r>
            </w:hyperlink>
          </w:p>
        </w:tc>
        <w:tc>
          <w:tcPr>
            <w:tcW w:w="1500" w:type="dxa"/>
            <w:vAlign w:val="bottom"/>
            <w:gridSpan w:val="5"/>
            <w:shd w:val="clear" w:color="auto" w:fill="CEFFE7"/>
          </w:tcPr>
          <w:p>
            <w:pPr>
              <w:jc w:val="center"/>
              <w:spacing w:after="0" w:line="175" w:lineRule="exact"/>
              <w:rPr>
                <w:rFonts w:ascii="Arial" w:cs="Arial" w:eastAsia="Arial" w:hAnsi="Arial"/>
                <w:sz w:val="16"/>
                <w:szCs w:val="16"/>
                <w:color w:val="0000FF"/>
              </w:rPr>
            </w:pPr>
            <w:hyperlink w:anchor="page27">
              <w:r>
                <w:rPr>
                  <w:rFonts w:ascii="Arial" w:cs="Arial" w:eastAsia="Arial" w:hAnsi="Arial"/>
                  <w:sz w:val="16"/>
                  <w:szCs w:val="16"/>
                  <w:color w:val="0000FF"/>
                </w:rPr>
                <w:t>27</w:t>
              </w:r>
            </w:hyperlink>
          </w:p>
        </w:tc>
      </w:tr>
      <w:tr>
        <w:trPr>
          <w:trHeight w:val="20"/>
        </w:trPr>
        <w:tc>
          <w:tcPr>
            <w:tcW w:w="2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1400" w:type="dxa"/>
            <w:vAlign w:val="bottom"/>
            <w:tcBorders>
              <w:top w:val="single" w:sz="8" w:color="CEFFE7"/>
            </w:tcBorders>
            <w:shd w:val="clear" w:color="auto" w:fill="CEFFE7"/>
          </w:tcPr>
          <w:p>
            <w:pPr>
              <w:spacing w:after="0" w:line="20" w:lineRule="exact"/>
              <w:rPr>
                <w:sz w:val="1"/>
                <w:szCs w:val="1"/>
                <w:color w:val="auto"/>
              </w:rPr>
            </w:pPr>
          </w:p>
        </w:tc>
        <w:tc>
          <w:tcPr>
            <w:tcW w:w="120" w:type="dxa"/>
            <w:vAlign w:val="bottom"/>
            <w:tcBorders>
              <w:top w:val="single" w:sz="8" w:color="CEFFE7"/>
            </w:tcBorders>
            <w:shd w:val="clear" w:color="auto" w:fill="CEFFE7"/>
          </w:tcPr>
          <w:p>
            <w:pPr>
              <w:spacing w:after="0" w:line="20" w:lineRule="exact"/>
              <w:rPr>
                <w:sz w:val="1"/>
                <w:szCs w:val="1"/>
                <w:color w:val="auto"/>
              </w:rPr>
            </w:pPr>
          </w:p>
        </w:tc>
        <w:tc>
          <w:tcPr>
            <w:tcW w:w="80" w:type="dxa"/>
            <w:vAlign w:val="bottom"/>
            <w:tcBorders>
              <w:top w:val="single" w:sz="8" w:color="CEFFE7"/>
            </w:tcBorders>
            <w:shd w:val="clear" w:color="auto" w:fill="CEFFE7"/>
          </w:tcPr>
          <w:p>
            <w:pPr>
              <w:spacing w:after="0" w:line="20" w:lineRule="exact"/>
              <w:rPr>
                <w:sz w:val="1"/>
                <w:szCs w:val="1"/>
                <w:color w:val="auto"/>
              </w:rPr>
            </w:pPr>
          </w:p>
        </w:tc>
        <w:tc>
          <w:tcPr>
            <w:tcW w:w="460" w:type="dxa"/>
            <w:vAlign w:val="bottom"/>
            <w:tcBorders>
              <w:top w:val="single" w:sz="8" w:color="0000FF"/>
            </w:tcBorders>
            <w:shd w:val="clear" w:color="auto" w:fill="CEFFE7"/>
          </w:tcPr>
          <w:p>
            <w:pPr>
              <w:spacing w:after="0" w:line="20" w:lineRule="exact"/>
              <w:rPr>
                <w:sz w:val="1"/>
                <w:szCs w:val="1"/>
                <w:color w:val="auto"/>
              </w:rPr>
            </w:pPr>
          </w:p>
        </w:tc>
        <w:tc>
          <w:tcPr>
            <w:tcW w:w="52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20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400" w:type="dxa"/>
            <w:vAlign w:val="bottom"/>
            <w:tcBorders>
              <w:top w:val="single" w:sz="8" w:color="0000FF"/>
            </w:tcBorders>
            <w:shd w:val="clear" w:color="auto" w:fill="CEFFE7"/>
          </w:tcPr>
          <w:p>
            <w:pPr>
              <w:spacing w:after="0" w:line="20" w:lineRule="exact"/>
              <w:rPr>
                <w:sz w:val="1"/>
                <w:szCs w:val="1"/>
                <w:color w:val="auto"/>
              </w:rPr>
            </w:pPr>
          </w:p>
        </w:tc>
        <w:tc>
          <w:tcPr>
            <w:tcW w:w="28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180" w:type="dxa"/>
            <w:vAlign w:val="bottom"/>
            <w:tcBorders>
              <w:top w:val="single" w:sz="8" w:color="CEFFE7"/>
            </w:tcBorders>
            <w:shd w:val="clear" w:color="auto" w:fill="CEFFE7"/>
          </w:tcPr>
          <w:p>
            <w:pPr>
              <w:spacing w:after="0" w:line="20" w:lineRule="exact"/>
              <w:rPr>
                <w:sz w:val="1"/>
                <w:szCs w:val="1"/>
                <w:color w:val="auto"/>
              </w:rPr>
            </w:pPr>
          </w:p>
        </w:tc>
        <w:tc>
          <w:tcPr>
            <w:tcW w:w="22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320" w:type="dxa"/>
            <w:vAlign w:val="bottom"/>
            <w:tcBorders>
              <w:top w:val="single" w:sz="8" w:color="CEFFE7"/>
            </w:tcBorders>
            <w:shd w:val="clear" w:color="auto" w:fill="CEFFE7"/>
          </w:tcPr>
          <w:p>
            <w:pPr>
              <w:spacing w:after="0" w:line="20" w:lineRule="exact"/>
              <w:rPr>
                <w:sz w:val="1"/>
                <w:szCs w:val="1"/>
                <w:color w:val="auto"/>
              </w:rPr>
            </w:pPr>
          </w:p>
        </w:tc>
        <w:tc>
          <w:tcPr>
            <w:tcW w:w="140" w:type="dxa"/>
            <w:vAlign w:val="bottom"/>
            <w:tcBorders>
              <w:top w:val="single" w:sz="8" w:color="CEFFE7"/>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120" w:type="dxa"/>
            <w:vAlign w:val="bottom"/>
            <w:tcBorders>
              <w:top w:val="single" w:sz="8" w:color="CEFFE7"/>
            </w:tcBorders>
            <w:shd w:val="clear" w:color="auto" w:fill="CEFFE7"/>
          </w:tcPr>
          <w:p>
            <w:pPr>
              <w:spacing w:after="0" w:line="20" w:lineRule="exact"/>
              <w:rPr>
                <w:sz w:val="1"/>
                <w:szCs w:val="1"/>
                <w:color w:val="auto"/>
              </w:rPr>
            </w:pPr>
          </w:p>
        </w:tc>
        <w:tc>
          <w:tcPr>
            <w:tcW w:w="20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80" w:type="dxa"/>
            <w:vAlign w:val="bottom"/>
            <w:tcBorders>
              <w:top w:val="single" w:sz="8" w:color="CEFFE7"/>
            </w:tcBorders>
            <w:shd w:val="clear" w:color="auto" w:fill="CEFFE7"/>
          </w:tcPr>
          <w:p>
            <w:pPr>
              <w:spacing w:after="0" w:line="20" w:lineRule="exact"/>
              <w:rPr>
                <w:sz w:val="1"/>
                <w:szCs w:val="1"/>
                <w:color w:val="auto"/>
              </w:rPr>
            </w:pPr>
          </w:p>
        </w:tc>
        <w:tc>
          <w:tcPr>
            <w:tcW w:w="320" w:type="dxa"/>
            <w:vAlign w:val="bottom"/>
            <w:tcBorders>
              <w:top w:val="single" w:sz="8" w:color="CEFFE7"/>
            </w:tcBorders>
            <w:shd w:val="clear" w:color="auto" w:fill="CEFFE7"/>
          </w:tcPr>
          <w:p>
            <w:pPr>
              <w:spacing w:after="0" w:line="20" w:lineRule="exact"/>
              <w:rPr>
                <w:sz w:val="1"/>
                <w:szCs w:val="1"/>
                <w:color w:val="auto"/>
              </w:rPr>
            </w:pPr>
          </w:p>
        </w:tc>
        <w:tc>
          <w:tcPr>
            <w:tcW w:w="200" w:type="dxa"/>
            <w:vAlign w:val="bottom"/>
            <w:tcBorders>
              <w:top w:val="single" w:sz="8" w:color="CEFFE7"/>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600" w:type="dxa"/>
            <w:vAlign w:val="bottom"/>
            <w:tcBorders>
              <w:top w:val="single" w:sz="8" w:color="CEFFE7"/>
            </w:tcBorders>
            <w:shd w:val="clear" w:color="auto" w:fill="CEFFE7"/>
          </w:tcPr>
          <w:p>
            <w:pPr>
              <w:spacing w:after="0" w:line="20" w:lineRule="exact"/>
              <w:rPr>
                <w:sz w:val="1"/>
                <w:szCs w:val="1"/>
                <w:color w:val="auto"/>
              </w:rPr>
            </w:pPr>
          </w:p>
        </w:tc>
        <w:tc>
          <w:tcPr>
            <w:tcW w:w="3520" w:type="dxa"/>
            <w:vAlign w:val="bottom"/>
            <w:tcBorders>
              <w:top w:val="single" w:sz="8" w:color="CEFFE7"/>
            </w:tcBorders>
            <w:shd w:val="clear" w:color="auto" w:fill="CEFFE7"/>
          </w:tcPr>
          <w:p>
            <w:pPr>
              <w:spacing w:after="0" w:line="20" w:lineRule="exact"/>
              <w:rPr>
                <w:sz w:val="1"/>
                <w:szCs w:val="1"/>
                <w:color w:val="auto"/>
              </w:rPr>
            </w:pPr>
          </w:p>
        </w:tc>
        <w:tc>
          <w:tcPr>
            <w:tcW w:w="66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10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660" w:type="dxa"/>
            <w:vAlign w:val="bottom"/>
            <w:tcBorders>
              <w:top w:val="single" w:sz="8" w:color="CEFFE7"/>
            </w:tcBorders>
            <w:shd w:val="clear" w:color="auto" w:fill="CEFFE7"/>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140" w:type="dxa"/>
            <w:vAlign w:val="bottom"/>
            <w:gridSpan w:val="24"/>
          </w:tcPr>
          <w:p>
            <w:pPr>
              <w:ind w:left="80"/>
              <w:spacing w:after="0" w:line="175" w:lineRule="exact"/>
              <w:rPr>
                <w:rFonts w:ascii="Arial" w:cs="Arial" w:eastAsia="Arial" w:hAnsi="Arial"/>
                <w:sz w:val="16"/>
                <w:szCs w:val="16"/>
                <w:color w:val="0000FF"/>
              </w:rPr>
            </w:pPr>
            <w:hyperlink w:anchor="page27">
              <w:r>
                <w:rPr>
                  <w:rFonts w:ascii="Arial" w:cs="Arial" w:eastAsia="Arial" w:hAnsi="Arial"/>
                  <w:sz w:val="16"/>
                  <w:szCs w:val="16"/>
                  <w:color w:val="0000FF"/>
                </w:rPr>
                <w:t xml:space="preserve">Note </w:t>
              </w:r>
            </w:hyperlink>
            <w:r>
              <w:rPr>
                <w:rFonts w:ascii="Arial" w:cs="Arial" w:eastAsia="Arial" w:hAnsi="Arial"/>
                <w:sz w:val="16"/>
                <w:szCs w:val="16"/>
                <w:color w:val="0000FF"/>
              </w:rPr>
              <w:t xml:space="preserve">12. </w:t>
            </w:r>
            <w:hyperlink w:anchor="page27">
              <w:r>
                <w:rPr>
                  <w:rFonts w:ascii="Arial" w:cs="Arial" w:eastAsia="Arial" w:hAnsi="Arial"/>
                  <w:sz w:val="16"/>
                  <w:szCs w:val="16"/>
                  <w:color w:val="0000FF"/>
                </w:rPr>
                <w:t>Business Segment Information</w:t>
              </w:r>
            </w:hyperlink>
          </w:p>
        </w:tc>
        <w:tc>
          <w:tcPr>
            <w:tcW w:w="1500" w:type="dxa"/>
            <w:vAlign w:val="bottom"/>
            <w:gridSpan w:val="5"/>
          </w:tcPr>
          <w:p>
            <w:pPr>
              <w:jc w:val="center"/>
              <w:spacing w:after="0" w:line="175" w:lineRule="exact"/>
              <w:rPr>
                <w:rFonts w:ascii="Arial" w:cs="Arial" w:eastAsia="Arial" w:hAnsi="Arial"/>
                <w:sz w:val="16"/>
                <w:szCs w:val="16"/>
                <w:color w:val="0000FF"/>
              </w:rPr>
            </w:pPr>
            <w:hyperlink w:anchor="page27">
              <w:r>
                <w:rPr>
                  <w:rFonts w:ascii="Arial" w:cs="Arial" w:eastAsia="Arial" w:hAnsi="Arial"/>
                  <w:sz w:val="16"/>
                  <w:szCs w:val="16"/>
                  <w:color w:val="0000FF"/>
                </w:rPr>
                <w:t>28</w:t>
              </w:r>
            </w:hyperlink>
          </w:p>
        </w:tc>
      </w:tr>
      <w:tr>
        <w:trPr>
          <w:trHeight w:val="20"/>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75"/>
        </w:trPr>
        <w:tc>
          <w:tcPr>
            <w:tcW w:w="20" w:type="dxa"/>
            <w:vAlign w:val="bottom"/>
            <w:shd w:val="clear" w:color="auto" w:fill="CEFFE7"/>
          </w:tcPr>
          <w:p>
            <w:pPr>
              <w:spacing w:after="0"/>
              <w:rPr>
                <w:sz w:val="15"/>
                <w:szCs w:val="15"/>
                <w:color w:val="auto"/>
              </w:rPr>
            </w:pPr>
          </w:p>
        </w:tc>
        <w:tc>
          <w:tcPr>
            <w:tcW w:w="20" w:type="dxa"/>
            <w:vAlign w:val="bottom"/>
            <w:shd w:val="clear" w:color="auto" w:fill="CEFFE7"/>
          </w:tcPr>
          <w:p>
            <w:pPr>
              <w:spacing w:after="0"/>
              <w:rPr>
                <w:sz w:val="15"/>
                <w:szCs w:val="15"/>
                <w:color w:val="auto"/>
              </w:rPr>
            </w:pPr>
          </w:p>
        </w:tc>
        <w:tc>
          <w:tcPr>
            <w:tcW w:w="1400" w:type="dxa"/>
            <w:vAlign w:val="bottom"/>
            <w:shd w:val="clear" w:color="auto" w:fill="CEFFE7"/>
          </w:tcPr>
          <w:p>
            <w:pPr>
              <w:spacing w:after="0"/>
              <w:rPr>
                <w:sz w:val="15"/>
                <w:szCs w:val="15"/>
                <w:color w:val="auto"/>
              </w:rPr>
            </w:pPr>
          </w:p>
        </w:tc>
        <w:tc>
          <w:tcPr>
            <w:tcW w:w="120" w:type="dxa"/>
            <w:vAlign w:val="bottom"/>
            <w:shd w:val="clear" w:color="auto" w:fill="CEFFE7"/>
          </w:tcPr>
          <w:p>
            <w:pPr>
              <w:spacing w:after="0"/>
              <w:rPr>
                <w:sz w:val="15"/>
                <w:szCs w:val="15"/>
                <w:color w:val="auto"/>
              </w:rPr>
            </w:pPr>
          </w:p>
        </w:tc>
        <w:tc>
          <w:tcPr>
            <w:tcW w:w="8140" w:type="dxa"/>
            <w:vAlign w:val="bottom"/>
            <w:gridSpan w:val="24"/>
            <w:shd w:val="clear" w:color="auto" w:fill="CEFFE7"/>
          </w:tcPr>
          <w:p>
            <w:pPr>
              <w:ind w:left="80"/>
              <w:spacing w:after="0" w:line="175" w:lineRule="exact"/>
              <w:rPr>
                <w:rFonts w:ascii="Arial" w:cs="Arial" w:eastAsia="Arial" w:hAnsi="Arial"/>
                <w:sz w:val="16"/>
                <w:szCs w:val="16"/>
                <w:color w:val="0000FF"/>
              </w:rPr>
            </w:pPr>
            <w:hyperlink w:anchor="page29">
              <w:r>
                <w:rPr>
                  <w:rFonts w:ascii="Arial" w:cs="Arial" w:eastAsia="Arial" w:hAnsi="Arial"/>
                  <w:sz w:val="16"/>
                  <w:szCs w:val="16"/>
                  <w:color w:val="0000FF"/>
                </w:rPr>
                <w:t xml:space="preserve">Note </w:t>
              </w:r>
            </w:hyperlink>
            <w:r>
              <w:rPr>
                <w:rFonts w:ascii="Arial" w:cs="Arial" w:eastAsia="Arial" w:hAnsi="Arial"/>
                <w:sz w:val="16"/>
                <w:szCs w:val="16"/>
                <w:color w:val="0000FF"/>
              </w:rPr>
              <w:t xml:space="preserve">13. </w:t>
            </w:r>
            <w:hyperlink w:anchor="page29">
              <w:r>
                <w:rPr>
                  <w:rFonts w:ascii="Arial" w:cs="Arial" w:eastAsia="Arial" w:hAnsi="Arial"/>
                  <w:sz w:val="16"/>
                  <w:szCs w:val="16"/>
                  <w:color w:val="0000FF"/>
                </w:rPr>
                <w:t>Selected Balance Sheet Information</w:t>
              </w:r>
            </w:hyperlink>
          </w:p>
        </w:tc>
        <w:tc>
          <w:tcPr>
            <w:tcW w:w="1500" w:type="dxa"/>
            <w:vAlign w:val="bottom"/>
            <w:gridSpan w:val="5"/>
            <w:shd w:val="clear" w:color="auto" w:fill="CEFFE7"/>
          </w:tcPr>
          <w:p>
            <w:pPr>
              <w:jc w:val="center"/>
              <w:spacing w:after="0" w:line="175" w:lineRule="exact"/>
              <w:rPr>
                <w:rFonts w:ascii="Arial" w:cs="Arial" w:eastAsia="Arial" w:hAnsi="Arial"/>
                <w:sz w:val="16"/>
                <w:szCs w:val="16"/>
                <w:color w:val="0000FF"/>
              </w:rPr>
            </w:pPr>
            <w:hyperlink w:anchor="page29">
              <w:r>
                <w:rPr>
                  <w:rFonts w:ascii="Arial" w:cs="Arial" w:eastAsia="Arial" w:hAnsi="Arial"/>
                  <w:sz w:val="16"/>
                  <w:szCs w:val="16"/>
                  <w:color w:val="0000FF"/>
                </w:rPr>
                <w:t>29</w:t>
              </w:r>
            </w:hyperlink>
          </w:p>
        </w:tc>
      </w:tr>
      <w:tr>
        <w:trPr>
          <w:trHeight w:val="20"/>
        </w:trPr>
        <w:tc>
          <w:tcPr>
            <w:tcW w:w="2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1400" w:type="dxa"/>
            <w:vAlign w:val="bottom"/>
            <w:tcBorders>
              <w:top w:val="single" w:sz="8" w:color="CEFFE7"/>
            </w:tcBorders>
            <w:shd w:val="clear" w:color="auto" w:fill="CEFFE7"/>
          </w:tcPr>
          <w:p>
            <w:pPr>
              <w:spacing w:after="0" w:line="20" w:lineRule="exact"/>
              <w:rPr>
                <w:sz w:val="1"/>
                <w:szCs w:val="1"/>
                <w:color w:val="auto"/>
              </w:rPr>
            </w:pPr>
          </w:p>
        </w:tc>
        <w:tc>
          <w:tcPr>
            <w:tcW w:w="120" w:type="dxa"/>
            <w:vAlign w:val="bottom"/>
            <w:tcBorders>
              <w:top w:val="single" w:sz="8" w:color="CEFFE7"/>
            </w:tcBorders>
            <w:shd w:val="clear" w:color="auto" w:fill="CEFFE7"/>
          </w:tcPr>
          <w:p>
            <w:pPr>
              <w:spacing w:after="0" w:line="20" w:lineRule="exact"/>
              <w:rPr>
                <w:sz w:val="1"/>
                <w:szCs w:val="1"/>
                <w:color w:val="auto"/>
              </w:rPr>
            </w:pPr>
          </w:p>
        </w:tc>
        <w:tc>
          <w:tcPr>
            <w:tcW w:w="80" w:type="dxa"/>
            <w:vAlign w:val="bottom"/>
            <w:tcBorders>
              <w:top w:val="single" w:sz="8" w:color="CEFFE7"/>
            </w:tcBorders>
            <w:shd w:val="clear" w:color="auto" w:fill="CEFFE7"/>
          </w:tcPr>
          <w:p>
            <w:pPr>
              <w:spacing w:after="0" w:line="20" w:lineRule="exact"/>
              <w:rPr>
                <w:sz w:val="1"/>
                <w:szCs w:val="1"/>
                <w:color w:val="auto"/>
              </w:rPr>
            </w:pPr>
          </w:p>
        </w:tc>
        <w:tc>
          <w:tcPr>
            <w:tcW w:w="460" w:type="dxa"/>
            <w:vAlign w:val="bottom"/>
            <w:tcBorders>
              <w:top w:val="single" w:sz="8" w:color="0000FF"/>
            </w:tcBorders>
            <w:shd w:val="clear" w:color="auto" w:fill="CEFFE7"/>
          </w:tcPr>
          <w:p>
            <w:pPr>
              <w:spacing w:after="0" w:line="20" w:lineRule="exact"/>
              <w:rPr>
                <w:sz w:val="1"/>
                <w:szCs w:val="1"/>
                <w:color w:val="auto"/>
              </w:rPr>
            </w:pPr>
          </w:p>
        </w:tc>
        <w:tc>
          <w:tcPr>
            <w:tcW w:w="52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20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400" w:type="dxa"/>
            <w:vAlign w:val="bottom"/>
            <w:tcBorders>
              <w:top w:val="single" w:sz="8" w:color="0000FF"/>
            </w:tcBorders>
            <w:shd w:val="clear" w:color="auto" w:fill="CEFFE7"/>
          </w:tcPr>
          <w:p>
            <w:pPr>
              <w:spacing w:after="0" w:line="20" w:lineRule="exact"/>
              <w:rPr>
                <w:sz w:val="1"/>
                <w:szCs w:val="1"/>
                <w:color w:val="auto"/>
              </w:rPr>
            </w:pPr>
          </w:p>
        </w:tc>
        <w:tc>
          <w:tcPr>
            <w:tcW w:w="28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180" w:type="dxa"/>
            <w:vAlign w:val="bottom"/>
            <w:tcBorders>
              <w:top w:val="single" w:sz="8" w:color="0000FF"/>
            </w:tcBorders>
            <w:shd w:val="clear" w:color="auto" w:fill="CEFFE7"/>
          </w:tcPr>
          <w:p>
            <w:pPr>
              <w:spacing w:after="0" w:line="20" w:lineRule="exact"/>
              <w:rPr>
                <w:sz w:val="1"/>
                <w:szCs w:val="1"/>
                <w:color w:val="auto"/>
              </w:rPr>
            </w:pPr>
          </w:p>
        </w:tc>
        <w:tc>
          <w:tcPr>
            <w:tcW w:w="22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320" w:type="dxa"/>
            <w:vAlign w:val="bottom"/>
            <w:tcBorders>
              <w:top w:val="single" w:sz="8" w:color="0000FF"/>
            </w:tcBorders>
            <w:shd w:val="clear" w:color="auto" w:fill="CEFFE7"/>
          </w:tcPr>
          <w:p>
            <w:pPr>
              <w:spacing w:after="0" w:line="20" w:lineRule="exact"/>
              <w:rPr>
                <w:sz w:val="1"/>
                <w:szCs w:val="1"/>
                <w:color w:val="auto"/>
              </w:rPr>
            </w:pPr>
          </w:p>
        </w:tc>
        <w:tc>
          <w:tcPr>
            <w:tcW w:w="140" w:type="dxa"/>
            <w:vAlign w:val="bottom"/>
            <w:tcBorders>
              <w:top w:val="single" w:sz="8" w:color="0000FF"/>
            </w:tcBorders>
            <w:shd w:val="clear" w:color="auto" w:fill="CEFFE7"/>
          </w:tcPr>
          <w:p>
            <w:pPr>
              <w:spacing w:after="0" w:line="20" w:lineRule="exact"/>
              <w:rPr>
                <w:sz w:val="1"/>
                <w:szCs w:val="1"/>
                <w:color w:val="auto"/>
              </w:rPr>
            </w:pPr>
          </w:p>
        </w:tc>
        <w:tc>
          <w:tcPr>
            <w:tcW w:w="60" w:type="dxa"/>
            <w:vAlign w:val="bottom"/>
            <w:tcBorders>
              <w:top w:val="single" w:sz="8" w:color="0000FF"/>
            </w:tcBorders>
            <w:shd w:val="clear" w:color="auto" w:fill="CEFFE7"/>
          </w:tcPr>
          <w:p>
            <w:pPr>
              <w:spacing w:after="0" w:line="20" w:lineRule="exact"/>
              <w:rPr>
                <w:sz w:val="1"/>
                <w:szCs w:val="1"/>
                <w:color w:val="auto"/>
              </w:rPr>
            </w:pPr>
          </w:p>
        </w:tc>
        <w:tc>
          <w:tcPr>
            <w:tcW w:w="120" w:type="dxa"/>
            <w:vAlign w:val="bottom"/>
            <w:tcBorders>
              <w:top w:val="single" w:sz="8" w:color="0000FF"/>
            </w:tcBorders>
            <w:shd w:val="clear" w:color="auto" w:fill="CEFFE7"/>
          </w:tcPr>
          <w:p>
            <w:pPr>
              <w:spacing w:after="0" w:line="20" w:lineRule="exact"/>
              <w:rPr>
                <w:sz w:val="1"/>
                <w:szCs w:val="1"/>
                <w:color w:val="auto"/>
              </w:rPr>
            </w:pPr>
          </w:p>
        </w:tc>
        <w:tc>
          <w:tcPr>
            <w:tcW w:w="20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80" w:type="dxa"/>
            <w:vAlign w:val="bottom"/>
            <w:tcBorders>
              <w:top w:val="single" w:sz="8" w:color="CEFFE7"/>
            </w:tcBorders>
            <w:shd w:val="clear" w:color="auto" w:fill="CEFFE7"/>
          </w:tcPr>
          <w:p>
            <w:pPr>
              <w:spacing w:after="0" w:line="20" w:lineRule="exact"/>
              <w:rPr>
                <w:sz w:val="1"/>
                <w:szCs w:val="1"/>
                <w:color w:val="auto"/>
              </w:rPr>
            </w:pPr>
          </w:p>
        </w:tc>
        <w:tc>
          <w:tcPr>
            <w:tcW w:w="320" w:type="dxa"/>
            <w:vAlign w:val="bottom"/>
            <w:tcBorders>
              <w:top w:val="single" w:sz="8" w:color="CEFFE7"/>
            </w:tcBorders>
            <w:shd w:val="clear" w:color="auto" w:fill="CEFFE7"/>
          </w:tcPr>
          <w:p>
            <w:pPr>
              <w:spacing w:after="0" w:line="20" w:lineRule="exact"/>
              <w:rPr>
                <w:sz w:val="1"/>
                <w:szCs w:val="1"/>
                <w:color w:val="auto"/>
              </w:rPr>
            </w:pPr>
          </w:p>
        </w:tc>
        <w:tc>
          <w:tcPr>
            <w:tcW w:w="200" w:type="dxa"/>
            <w:vAlign w:val="bottom"/>
            <w:tcBorders>
              <w:top w:val="single" w:sz="8" w:color="CEFFE7"/>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600" w:type="dxa"/>
            <w:vAlign w:val="bottom"/>
            <w:tcBorders>
              <w:top w:val="single" w:sz="8" w:color="CEFFE7"/>
            </w:tcBorders>
            <w:shd w:val="clear" w:color="auto" w:fill="CEFFE7"/>
          </w:tcPr>
          <w:p>
            <w:pPr>
              <w:spacing w:after="0" w:line="20" w:lineRule="exact"/>
              <w:rPr>
                <w:sz w:val="1"/>
                <w:szCs w:val="1"/>
                <w:color w:val="auto"/>
              </w:rPr>
            </w:pPr>
          </w:p>
        </w:tc>
        <w:tc>
          <w:tcPr>
            <w:tcW w:w="3520" w:type="dxa"/>
            <w:vAlign w:val="bottom"/>
            <w:tcBorders>
              <w:top w:val="single" w:sz="8" w:color="CEFFE7"/>
            </w:tcBorders>
            <w:shd w:val="clear" w:color="auto" w:fill="CEFFE7"/>
          </w:tcPr>
          <w:p>
            <w:pPr>
              <w:spacing w:after="0" w:line="20" w:lineRule="exact"/>
              <w:rPr>
                <w:sz w:val="1"/>
                <w:szCs w:val="1"/>
                <w:color w:val="auto"/>
              </w:rPr>
            </w:pPr>
          </w:p>
        </w:tc>
        <w:tc>
          <w:tcPr>
            <w:tcW w:w="66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10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660" w:type="dxa"/>
            <w:vAlign w:val="bottom"/>
            <w:tcBorders>
              <w:top w:val="single" w:sz="8" w:color="CEFFE7"/>
            </w:tcBorders>
            <w:shd w:val="clear" w:color="auto" w:fill="CEFFE7"/>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84"/>
        </w:trPr>
        <w:tc>
          <w:tcPr>
            <w:tcW w:w="1460" w:type="dxa"/>
            <w:vAlign w:val="bottom"/>
            <w:gridSpan w:val="4"/>
          </w:tcPr>
          <w:p>
            <w:pPr>
              <w:spacing w:after="0"/>
              <w:rPr>
                <w:rFonts w:ascii="Arial" w:cs="Arial" w:eastAsia="Arial" w:hAnsi="Arial"/>
                <w:sz w:val="16"/>
                <w:szCs w:val="16"/>
                <w:b w:val="1"/>
                <w:bCs w:val="1"/>
                <w:color w:val="0000FF"/>
              </w:rPr>
            </w:pPr>
            <w:hyperlink w:anchor="page1">
              <w:r>
                <w:rPr>
                  <w:rFonts w:ascii="Arial" w:cs="Arial" w:eastAsia="Arial" w:hAnsi="Arial"/>
                  <w:sz w:val="16"/>
                  <w:szCs w:val="16"/>
                  <w:b w:val="1"/>
                  <w:bCs w:val="1"/>
                  <w:color w:val="0000FF"/>
                </w:rPr>
                <w:t>Table of Contents</w:t>
              </w:r>
            </w:hyperlink>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19"/>
        </w:trPr>
        <w:tc>
          <w:tcPr>
            <w:tcW w:w="40" w:type="dxa"/>
            <w:vAlign w:val="bottom"/>
            <w:tcBorders>
              <w:top w:val="single" w:sz="8" w:color="0000FF"/>
            </w:tcBorders>
          </w:tcPr>
          <w:p>
            <w:pPr>
              <w:spacing w:after="0"/>
              <w:rPr>
                <w:sz w:val="24"/>
                <w:szCs w:val="24"/>
                <w:color w:val="auto"/>
              </w:rPr>
            </w:pPr>
          </w:p>
        </w:tc>
        <w:tc>
          <w:tcPr>
            <w:tcW w:w="78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700" w:type="dxa"/>
            <w:vAlign w:val="bottom"/>
            <w:gridSpan w:val="7"/>
          </w:tcPr>
          <w:p>
            <w:pPr>
              <w:ind w:left="740"/>
              <w:spacing w:after="0"/>
              <w:rPr>
                <w:sz w:val="20"/>
                <w:szCs w:val="20"/>
                <w:color w:val="auto"/>
              </w:rPr>
            </w:pPr>
            <w:r>
              <w:rPr>
                <w:rFonts w:ascii="Arial" w:cs="Arial" w:eastAsia="Arial" w:hAnsi="Arial"/>
                <w:sz w:val="16"/>
                <w:szCs w:val="16"/>
                <w:b w:val="1"/>
                <w:bCs w:val="1"/>
                <w:color w:val="auto"/>
              </w:rPr>
              <w:t>TABLE OF CONTENTS</w:t>
            </w: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gridSpan w:val="4"/>
          </w:tcPr>
          <w:p>
            <w:pPr>
              <w:jc w:val="center"/>
              <w:ind w:right="20"/>
              <w:spacing w:after="0"/>
              <w:rPr>
                <w:sz w:val="20"/>
                <w:szCs w:val="20"/>
                <w:color w:val="auto"/>
              </w:rPr>
            </w:pPr>
            <w:r>
              <w:rPr>
                <w:rFonts w:ascii="Arial" w:cs="Arial" w:eastAsia="Arial" w:hAnsi="Arial"/>
                <w:sz w:val="16"/>
                <w:szCs w:val="16"/>
                <w:color w:val="auto"/>
              </w:rPr>
              <w:t>Page</w:t>
            </w:r>
          </w:p>
        </w:tc>
        <w:tc>
          <w:tcPr>
            <w:tcW w:w="0" w:type="dxa"/>
            <w:vAlign w:val="bottom"/>
          </w:tcPr>
          <w:p>
            <w:pPr>
              <w:spacing w:after="0"/>
              <w:rPr>
                <w:sz w:val="1"/>
                <w:szCs w:val="1"/>
                <w:color w:val="auto"/>
              </w:rPr>
            </w:pPr>
          </w:p>
        </w:tc>
      </w:tr>
      <w:tr>
        <w:trPr>
          <w:trHeight w:val="172"/>
        </w:trPr>
        <w:tc>
          <w:tcPr>
            <w:tcW w:w="40" w:type="dxa"/>
            <w:vAlign w:val="bottom"/>
            <w:tcBorders>
              <w:right w:val="single" w:sz="8" w:color="CEFFE7"/>
            </w:tcBorders>
          </w:tcPr>
          <w:p>
            <w:pPr>
              <w:spacing w:after="0"/>
              <w:rPr>
                <w:sz w:val="14"/>
                <w:szCs w:val="14"/>
                <w:color w:val="auto"/>
              </w:rPr>
            </w:pPr>
          </w:p>
        </w:tc>
        <w:tc>
          <w:tcPr>
            <w:tcW w:w="1420" w:type="dxa"/>
            <w:vAlign w:val="bottom"/>
            <w:tcBorders>
              <w:top w:val="single" w:sz="8" w:color="CEFFE7"/>
            </w:tcBorders>
            <w:gridSpan w:val="3"/>
            <w:shd w:val="clear" w:color="auto" w:fill="CEFFE7"/>
          </w:tcPr>
          <w:p>
            <w:pPr>
              <w:spacing w:after="0" w:line="172" w:lineRule="exact"/>
              <w:rPr>
                <w:sz w:val="20"/>
                <w:szCs w:val="20"/>
                <w:color w:val="auto"/>
              </w:rPr>
            </w:pPr>
            <w:r>
              <w:rPr>
                <w:rFonts w:ascii="Arial" w:cs="Arial" w:eastAsia="Arial" w:hAnsi="Arial"/>
                <w:sz w:val="16"/>
                <w:szCs w:val="16"/>
                <w:color w:val="auto"/>
              </w:rPr>
              <w:t>Item 2.</w:t>
            </w:r>
          </w:p>
        </w:tc>
        <w:tc>
          <w:tcPr>
            <w:tcW w:w="8260" w:type="dxa"/>
            <w:vAlign w:val="bottom"/>
            <w:tcBorders>
              <w:top w:val="single" w:sz="8" w:color="CEFFE7"/>
            </w:tcBorders>
            <w:gridSpan w:val="30"/>
            <w:shd w:val="clear" w:color="auto" w:fill="CEFFE7"/>
          </w:tcPr>
          <w:p>
            <w:pPr>
              <w:spacing w:after="0" w:line="172" w:lineRule="exact"/>
              <w:rPr>
                <w:rFonts w:ascii="Arial" w:cs="Arial" w:eastAsia="Arial" w:hAnsi="Arial"/>
                <w:sz w:val="16"/>
                <w:szCs w:val="16"/>
                <w:color w:val="0000FF"/>
              </w:rPr>
            </w:pPr>
            <w:hyperlink w:anchor="page30">
              <w:r>
                <w:rPr>
                  <w:rFonts w:ascii="Arial" w:cs="Arial" w:eastAsia="Arial" w:hAnsi="Arial"/>
                  <w:sz w:val="16"/>
                  <w:szCs w:val="16"/>
                  <w:color w:val="0000FF"/>
                </w:rPr>
                <w:t>Management’s Discussion and Analysis of Financial Condition and Results of Operations</w:t>
              </w:r>
            </w:hyperlink>
          </w:p>
        </w:tc>
        <w:tc>
          <w:tcPr>
            <w:tcW w:w="1500" w:type="dxa"/>
            <w:vAlign w:val="bottom"/>
            <w:tcBorders>
              <w:top w:val="single" w:sz="8" w:color="auto"/>
            </w:tcBorders>
            <w:gridSpan w:val="3"/>
            <w:shd w:val="clear" w:color="auto" w:fill="CEFFE7"/>
          </w:tcPr>
          <w:p>
            <w:pPr>
              <w:jc w:val="center"/>
              <w:spacing w:after="0" w:line="172" w:lineRule="exact"/>
              <w:rPr>
                <w:rFonts w:ascii="Arial" w:cs="Arial" w:eastAsia="Arial" w:hAnsi="Arial"/>
                <w:sz w:val="16"/>
                <w:szCs w:val="16"/>
                <w:color w:val="0000FF"/>
              </w:rPr>
            </w:pPr>
            <w:hyperlink w:anchor="page30">
              <w:r>
                <w:rPr>
                  <w:rFonts w:ascii="Arial" w:cs="Arial" w:eastAsia="Arial" w:hAnsi="Arial"/>
                  <w:sz w:val="16"/>
                  <w:szCs w:val="16"/>
                  <w:color w:val="0000FF"/>
                </w:rPr>
                <w:t>30</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40" w:type="dxa"/>
            <w:vAlign w:val="bottom"/>
            <w:tcBorders>
              <w:right w:val="single" w:sz="8" w:color="CEFFE7"/>
            </w:tcBorders>
          </w:tcPr>
          <w:p>
            <w:pPr>
              <w:spacing w:after="0" w:line="20" w:lineRule="exact"/>
              <w:rPr>
                <w:sz w:val="1"/>
                <w:szCs w:val="1"/>
                <w:color w:val="auto"/>
              </w:rPr>
            </w:pPr>
          </w:p>
        </w:tc>
        <w:tc>
          <w:tcPr>
            <w:tcW w:w="780" w:type="dxa"/>
            <w:vAlign w:val="bottom"/>
            <w:tcBorders>
              <w:top w:val="single" w:sz="8" w:color="CEFFE7"/>
            </w:tcBorders>
            <w:shd w:val="clear" w:color="auto" w:fill="CEFFE7"/>
          </w:tcPr>
          <w:p>
            <w:pPr>
              <w:spacing w:after="0" w:line="20" w:lineRule="exact"/>
              <w:rPr>
                <w:sz w:val="1"/>
                <w:szCs w:val="1"/>
                <w:color w:val="auto"/>
              </w:rPr>
            </w:pPr>
          </w:p>
        </w:tc>
        <w:tc>
          <w:tcPr>
            <w:tcW w:w="540" w:type="dxa"/>
            <w:vAlign w:val="bottom"/>
            <w:tcBorders>
              <w:top w:val="single" w:sz="8" w:color="CEFFE7"/>
            </w:tcBorders>
            <w:shd w:val="clear" w:color="auto" w:fill="CEFFE7"/>
          </w:tcPr>
          <w:p>
            <w:pPr>
              <w:spacing w:after="0" w:line="20" w:lineRule="exact"/>
              <w:rPr>
                <w:sz w:val="1"/>
                <w:szCs w:val="1"/>
                <w:color w:val="auto"/>
              </w:rPr>
            </w:pPr>
          </w:p>
        </w:tc>
        <w:tc>
          <w:tcPr>
            <w:tcW w:w="100" w:type="dxa"/>
            <w:vAlign w:val="bottom"/>
            <w:tcBorders>
              <w:top w:val="single" w:sz="8" w:color="CEFFE7"/>
            </w:tcBorders>
            <w:shd w:val="clear" w:color="auto" w:fill="CEFFE7"/>
          </w:tcPr>
          <w:p>
            <w:pPr>
              <w:spacing w:after="0" w:line="20" w:lineRule="exact"/>
              <w:rPr>
                <w:sz w:val="1"/>
                <w:szCs w:val="1"/>
                <w:color w:val="auto"/>
              </w:rPr>
            </w:pPr>
          </w:p>
        </w:tc>
        <w:tc>
          <w:tcPr>
            <w:tcW w:w="120" w:type="dxa"/>
            <w:vAlign w:val="bottom"/>
            <w:tcBorders>
              <w:top w:val="single" w:sz="8" w:color="0000FF"/>
            </w:tcBorders>
            <w:shd w:val="clear" w:color="auto" w:fill="CEFFE7"/>
          </w:tcPr>
          <w:p>
            <w:pPr>
              <w:spacing w:after="0" w:line="20" w:lineRule="exact"/>
              <w:rPr>
                <w:sz w:val="1"/>
                <w:szCs w:val="1"/>
                <w:color w:val="auto"/>
              </w:rPr>
            </w:pPr>
          </w:p>
        </w:tc>
        <w:tc>
          <w:tcPr>
            <w:tcW w:w="20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220" w:type="dxa"/>
            <w:vAlign w:val="bottom"/>
            <w:tcBorders>
              <w:top w:val="single" w:sz="8" w:color="0000FF"/>
            </w:tcBorders>
            <w:shd w:val="clear" w:color="auto" w:fill="CEFFE7"/>
          </w:tcPr>
          <w:p>
            <w:pPr>
              <w:spacing w:after="0" w:line="20" w:lineRule="exact"/>
              <w:rPr>
                <w:sz w:val="1"/>
                <w:szCs w:val="1"/>
                <w:color w:val="auto"/>
              </w:rPr>
            </w:pPr>
          </w:p>
        </w:tc>
        <w:tc>
          <w:tcPr>
            <w:tcW w:w="240" w:type="dxa"/>
            <w:vAlign w:val="bottom"/>
            <w:tcBorders>
              <w:top w:val="single" w:sz="8" w:color="0000FF"/>
            </w:tcBorders>
            <w:shd w:val="clear" w:color="auto" w:fill="CEFFE7"/>
          </w:tcPr>
          <w:p>
            <w:pPr>
              <w:spacing w:after="0" w:line="20" w:lineRule="exact"/>
              <w:rPr>
                <w:sz w:val="1"/>
                <w:szCs w:val="1"/>
                <w:color w:val="auto"/>
              </w:rPr>
            </w:pPr>
          </w:p>
        </w:tc>
        <w:tc>
          <w:tcPr>
            <w:tcW w:w="100" w:type="dxa"/>
            <w:vAlign w:val="bottom"/>
            <w:tcBorders>
              <w:top w:val="single" w:sz="8" w:color="0000FF"/>
            </w:tcBorders>
            <w:shd w:val="clear" w:color="auto" w:fill="CEFFE7"/>
          </w:tcPr>
          <w:p>
            <w:pPr>
              <w:spacing w:after="0" w:line="20" w:lineRule="exact"/>
              <w:rPr>
                <w:sz w:val="1"/>
                <w:szCs w:val="1"/>
                <w:color w:val="auto"/>
              </w:rPr>
            </w:pPr>
          </w:p>
        </w:tc>
        <w:tc>
          <w:tcPr>
            <w:tcW w:w="60" w:type="dxa"/>
            <w:vAlign w:val="bottom"/>
            <w:tcBorders>
              <w:top w:val="single" w:sz="8" w:color="0000FF"/>
            </w:tcBorders>
            <w:shd w:val="clear" w:color="auto" w:fill="CEFFE7"/>
          </w:tcPr>
          <w:p>
            <w:pPr>
              <w:spacing w:after="0" w:line="20" w:lineRule="exact"/>
              <w:rPr>
                <w:sz w:val="1"/>
                <w:szCs w:val="1"/>
                <w:color w:val="auto"/>
              </w:rPr>
            </w:pPr>
          </w:p>
        </w:tc>
        <w:tc>
          <w:tcPr>
            <w:tcW w:w="100" w:type="dxa"/>
            <w:vAlign w:val="bottom"/>
            <w:tcBorders>
              <w:top w:val="single" w:sz="8" w:color="0000FF"/>
            </w:tcBorders>
            <w:shd w:val="clear" w:color="auto" w:fill="CEFFE7"/>
          </w:tcPr>
          <w:p>
            <w:pPr>
              <w:spacing w:after="0" w:line="20" w:lineRule="exact"/>
              <w:rPr>
                <w:sz w:val="1"/>
                <w:szCs w:val="1"/>
                <w:color w:val="auto"/>
              </w:rPr>
            </w:pPr>
          </w:p>
        </w:tc>
        <w:tc>
          <w:tcPr>
            <w:tcW w:w="120" w:type="dxa"/>
            <w:vAlign w:val="bottom"/>
            <w:tcBorders>
              <w:top w:val="single" w:sz="8" w:color="0000FF"/>
            </w:tcBorders>
            <w:shd w:val="clear" w:color="auto" w:fill="CEFFE7"/>
          </w:tcPr>
          <w:p>
            <w:pPr>
              <w:spacing w:after="0" w:line="20" w:lineRule="exact"/>
              <w:rPr>
                <w:sz w:val="1"/>
                <w:szCs w:val="1"/>
                <w:color w:val="auto"/>
              </w:rPr>
            </w:pPr>
          </w:p>
        </w:tc>
        <w:tc>
          <w:tcPr>
            <w:tcW w:w="160" w:type="dxa"/>
            <w:vAlign w:val="bottom"/>
            <w:tcBorders>
              <w:top w:val="single" w:sz="8" w:color="0000FF"/>
            </w:tcBorders>
            <w:shd w:val="clear" w:color="auto" w:fill="CEFFE7"/>
          </w:tcPr>
          <w:p>
            <w:pPr>
              <w:spacing w:after="0" w:line="20" w:lineRule="exact"/>
              <w:rPr>
                <w:sz w:val="1"/>
                <w:szCs w:val="1"/>
                <w:color w:val="auto"/>
              </w:rPr>
            </w:pPr>
          </w:p>
        </w:tc>
        <w:tc>
          <w:tcPr>
            <w:tcW w:w="8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100" w:type="dxa"/>
            <w:vAlign w:val="bottom"/>
            <w:tcBorders>
              <w:top w:val="single" w:sz="8" w:color="0000FF"/>
            </w:tcBorders>
            <w:shd w:val="clear" w:color="auto" w:fill="CEFFE7"/>
          </w:tcPr>
          <w:p>
            <w:pPr>
              <w:spacing w:after="0" w:line="20" w:lineRule="exact"/>
              <w:rPr>
                <w:sz w:val="1"/>
                <w:szCs w:val="1"/>
                <w:color w:val="auto"/>
              </w:rPr>
            </w:pPr>
          </w:p>
        </w:tc>
        <w:tc>
          <w:tcPr>
            <w:tcW w:w="60" w:type="dxa"/>
            <w:vAlign w:val="bottom"/>
            <w:tcBorders>
              <w:top w:val="single" w:sz="8" w:color="0000FF"/>
            </w:tcBorders>
            <w:shd w:val="clear" w:color="auto" w:fill="CEFFE7"/>
          </w:tcPr>
          <w:p>
            <w:pPr>
              <w:spacing w:after="0" w:line="20" w:lineRule="exact"/>
              <w:rPr>
                <w:sz w:val="1"/>
                <w:szCs w:val="1"/>
                <w:color w:val="auto"/>
              </w:rPr>
            </w:pPr>
          </w:p>
        </w:tc>
        <w:tc>
          <w:tcPr>
            <w:tcW w:w="6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80" w:type="dxa"/>
            <w:vAlign w:val="bottom"/>
            <w:tcBorders>
              <w:top w:val="single" w:sz="8" w:color="0000FF"/>
            </w:tcBorders>
            <w:shd w:val="clear" w:color="auto" w:fill="CEFFE7"/>
          </w:tcPr>
          <w:p>
            <w:pPr>
              <w:spacing w:after="0" w:line="20" w:lineRule="exact"/>
              <w:rPr>
                <w:sz w:val="1"/>
                <w:szCs w:val="1"/>
                <w:color w:val="auto"/>
              </w:rPr>
            </w:pPr>
          </w:p>
        </w:tc>
        <w:tc>
          <w:tcPr>
            <w:tcW w:w="520" w:type="dxa"/>
            <w:vAlign w:val="bottom"/>
            <w:tcBorders>
              <w:top w:val="single" w:sz="8" w:color="0000FF"/>
            </w:tcBorders>
            <w:shd w:val="clear" w:color="auto" w:fill="CEFFE7"/>
          </w:tcPr>
          <w:p>
            <w:pPr>
              <w:spacing w:after="0" w:line="20" w:lineRule="exact"/>
              <w:rPr>
                <w:sz w:val="1"/>
                <w:szCs w:val="1"/>
                <w:color w:val="auto"/>
              </w:rPr>
            </w:pPr>
          </w:p>
        </w:tc>
        <w:tc>
          <w:tcPr>
            <w:tcW w:w="100" w:type="dxa"/>
            <w:vAlign w:val="bottom"/>
            <w:tcBorders>
              <w:top w:val="single" w:sz="8" w:color="0000FF"/>
            </w:tcBorders>
            <w:shd w:val="clear" w:color="auto" w:fill="CEFFE7"/>
          </w:tcPr>
          <w:p>
            <w:pPr>
              <w:spacing w:after="0" w:line="20" w:lineRule="exact"/>
              <w:rPr>
                <w:sz w:val="1"/>
                <w:szCs w:val="1"/>
                <w:color w:val="auto"/>
              </w:rPr>
            </w:pPr>
          </w:p>
        </w:tc>
        <w:tc>
          <w:tcPr>
            <w:tcW w:w="60" w:type="dxa"/>
            <w:vAlign w:val="bottom"/>
            <w:tcBorders>
              <w:top w:val="single" w:sz="8" w:color="0000FF"/>
            </w:tcBorders>
            <w:shd w:val="clear" w:color="auto" w:fill="CEFFE7"/>
          </w:tcPr>
          <w:p>
            <w:pPr>
              <w:spacing w:after="0" w:line="20" w:lineRule="exact"/>
              <w:rPr>
                <w:sz w:val="1"/>
                <w:szCs w:val="1"/>
                <w:color w:val="auto"/>
              </w:rPr>
            </w:pPr>
          </w:p>
        </w:tc>
        <w:tc>
          <w:tcPr>
            <w:tcW w:w="1680" w:type="dxa"/>
            <w:vAlign w:val="bottom"/>
            <w:tcBorders>
              <w:top w:val="single" w:sz="8" w:color="0000FF"/>
            </w:tcBorders>
            <w:shd w:val="clear" w:color="auto" w:fill="CEFFE7"/>
          </w:tcPr>
          <w:p>
            <w:pPr>
              <w:spacing w:after="0" w:line="20" w:lineRule="exact"/>
              <w:rPr>
                <w:sz w:val="1"/>
                <w:szCs w:val="1"/>
                <w:color w:val="auto"/>
              </w:rPr>
            </w:pPr>
          </w:p>
        </w:tc>
        <w:tc>
          <w:tcPr>
            <w:tcW w:w="60" w:type="dxa"/>
            <w:vAlign w:val="bottom"/>
            <w:tcBorders>
              <w:top w:val="single" w:sz="8" w:color="0000FF"/>
            </w:tcBorders>
            <w:shd w:val="clear" w:color="auto" w:fill="CEFFE7"/>
          </w:tcPr>
          <w:p>
            <w:pPr>
              <w:spacing w:after="0" w:line="20" w:lineRule="exact"/>
              <w:rPr>
                <w:sz w:val="1"/>
                <w:szCs w:val="1"/>
                <w:color w:val="auto"/>
              </w:rPr>
            </w:pPr>
          </w:p>
        </w:tc>
        <w:tc>
          <w:tcPr>
            <w:tcW w:w="60" w:type="dxa"/>
            <w:vAlign w:val="bottom"/>
            <w:tcBorders>
              <w:top w:val="single" w:sz="8" w:color="0000FF"/>
            </w:tcBorders>
            <w:shd w:val="clear" w:color="auto" w:fill="CEFFE7"/>
          </w:tcPr>
          <w:p>
            <w:pPr>
              <w:spacing w:after="0" w:line="20" w:lineRule="exact"/>
              <w:rPr>
                <w:sz w:val="1"/>
                <w:szCs w:val="1"/>
                <w:color w:val="auto"/>
              </w:rPr>
            </w:pPr>
          </w:p>
        </w:tc>
        <w:tc>
          <w:tcPr>
            <w:tcW w:w="180" w:type="dxa"/>
            <w:vAlign w:val="bottom"/>
            <w:tcBorders>
              <w:top w:val="single" w:sz="8" w:color="0000FF"/>
            </w:tcBorders>
            <w:shd w:val="clear" w:color="auto" w:fill="CEFFE7"/>
          </w:tcPr>
          <w:p>
            <w:pPr>
              <w:spacing w:after="0" w:line="20" w:lineRule="exact"/>
              <w:rPr>
                <w:sz w:val="1"/>
                <w:szCs w:val="1"/>
                <w:color w:val="auto"/>
              </w:rPr>
            </w:pPr>
          </w:p>
        </w:tc>
        <w:tc>
          <w:tcPr>
            <w:tcW w:w="1820" w:type="dxa"/>
            <w:vAlign w:val="bottom"/>
            <w:tcBorders>
              <w:top w:val="single" w:sz="8" w:color="0000FF"/>
            </w:tcBorders>
            <w:shd w:val="clear" w:color="auto" w:fill="CEFFE7"/>
          </w:tcPr>
          <w:p>
            <w:pPr>
              <w:spacing w:after="0" w:line="20" w:lineRule="exact"/>
              <w:rPr>
                <w:sz w:val="1"/>
                <w:szCs w:val="1"/>
                <w:color w:val="auto"/>
              </w:rPr>
            </w:pPr>
          </w:p>
        </w:tc>
        <w:tc>
          <w:tcPr>
            <w:tcW w:w="1680" w:type="dxa"/>
            <w:vAlign w:val="bottom"/>
            <w:tcBorders>
              <w:top w:val="single" w:sz="8" w:color="CEFFE7"/>
            </w:tcBorders>
            <w:shd w:val="clear" w:color="auto" w:fill="CEFFE7"/>
          </w:tcPr>
          <w:p>
            <w:pPr>
              <w:spacing w:after="0" w:line="20" w:lineRule="exact"/>
              <w:rPr>
                <w:sz w:val="1"/>
                <w:szCs w:val="1"/>
                <w:color w:val="auto"/>
              </w:rPr>
            </w:pPr>
          </w:p>
        </w:tc>
        <w:tc>
          <w:tcPr>
            <w:tcW w:w="220" w:type="dxa"/>
            <w:vAlign w:val="bottom"/>
            <w:tcBorders>
              <w:top w:val="single" w:sz="8" w:color="CEFFE7"/>
            </w:tcBorders>
            <w:shd w:val="clear" w:color="auto" w:fill="CEFFE7"/>
          </w:tcPr>
          <w:p>
            <w:pPr>
              <w:spacing w:after="0" w:line="20" w:lineRule="exact"/>
              <w:rPr>
                <w:sz w:val="1"/>
                <w:szCs w:val="1"/>
                <w:color w:val="auto"/>
              </w:rPr>
            </w:pPr>
          </w:p>
        </w:tc>
        <w:tc>
          <w:tcPr>
            <w:tcW w:w="660" w:type="dxa"/>
            <w:vAlign w:val="bottom"/>
            <w:tcBorders>
              <w:top w:val="single" w:sz="8" w:color="CEFFE7"/>
            </w:tcBorders>
            <w:shd w:val="clear" w:color="auto" w:fill="CEFFE7"/>
          </w:tcPr>
          <w:p>
            <w:pPr>
              <w:spacing w:after="0" w:line="20" w:lineRule="exact"/>
              <w:rPr>
                <w:sz w:val="1"/>
                <w:szCs w:val="1"/>
                <w:color w:val="auto"/>
              </w:rPr>
            </w:pPr>
          </w:p>
        </w:tc>
        <w:tc>
          <w:tcPr>
            <w:tcW w:w="180" w:type="dxa"/>
            <w:vAlign w:val="bottom"/>
            <w:tcBorders>
              <w:top w:val="single" w:sz="8" w:color="0000FF"/>
            </w:tcBorders>
            <w:shd w:val="clear" w:color="auto" w:fill="CEFFE7"/>
          </w:tcPr>
          <w:p>
            <w:pPr>
              <w:spacing w:after="0" w:line="20" w:lineRule="exact"/>
              <w:rPr>
                <w:sz w:val="1"/>
                <w:szCs w:val="1"/>
                <w:color w:val="auto"/>
              </w:rPr>
            </w:pPr>
          </w:p>
        </w:tc>
        <w:tc>
          <w:tcPr>
            <w:tcW w:w="66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360" w:type="dxa"/>
            <w:vAlign w:val="bottom"/>
            <w:gridSpan w:val="28"/>
          </w:tcPr>
          <w:p>
            <w:pPr>
              <w:ind w:left="120"/>
              <w:spacing w:after="0" w:line="175" w:lineRule="exact"/>
              <w:rPr>
                <w:rFonts w:ascii="Arial" w:cs="Arial" w:eastAsia="Arial" w:hAnsi="Arial"/>
                <w:sz w:val="16"/>
                <w:szCs w:val="16"/>
                <w:color w:val="0000FF"/>
              </w:rPr>
            </w:pPr>
            <w:hyperlink w:anchor="page30">
              <w:r>
                <w:rPr>
                  <w:rFonts w:ascii="Arial" w:cs="Arial" w:eastAsia="Arial" w:hAnsi="Arial"/>
                  <w:sz w:val="16"/>
                  <w:szCs w:val="16"/>
                  <w:color w:val="0000FF"/>
                </w:rPr>
                <w:t>Executive Summary</w:t>
              </w:r>
            </w:hyperlink>
          </w:p>
        </w:tc>
        <w:tc>
          <w:tcPr>
            <w:tcW w:w="1900" w:type="dxa"/>
            <w:vAlign w:val="bottom"/>
            <w:gridSpan w:val="2"/>
          </w:tcPr>
          <w:p>
            <w:pPr>
              <w:spacing w:after="0"/>
              <w:rPr>
                <w:sz w:val="15"/>
                <w:szCs w:val="15"/>
                <w:color w:val="auto"/>
              </w:rPr>
            </w:pPr>
          </w:p>
        </w:tc>
        <w:tc>
          <w:tcPr>
            <w:tcW w:w="660" w:type="dxa"/>
            <w:vAlign w:val="bottom"/>
          </w:tcPr>
          <w:p>
            <w:pPr>
              <w:spacing w:after="0"/>
              <w:rPr>
                <w:sz w:val="15"/>
                <w:szCs w:val="15"/>
                <w:color w:val="auto"/>
              </w:rPr>
            </w:pPr>
          </w:p>
        </w:tc>
        <w:tc>
          <w:tcPr>
            <w:tcW w:w="840" w:type="dxa"/>
            <w:vAlign w:val="bottom"/>
            <w:gridSpan w:val="2"/>
          </w:tcPr>
          <w:p>
            <w:pPr>
              <w:jc w:val="center"/>
              <w:ind w:right="660"/>
              <w:spacing w:after="0" w:line="175" w:lineRule="exact"/>
              <w:rPr>
                <w:rFonts w:ascii="Arial" w:cs="Arial" w:eastAsia="Arial" w:hAnsi="Arial"/>
                <w:sz w:val="16"/>
                <w:szCs w:val="16"/>
                <w:color w:val="0000FF"/>
              </w:rPr>
            </w:pPr>
            <w:hyperlink w:anchor="page30">
              <w:r>
                <w:rPr>
                  <w:rFonts w:ascii="Arial" w:cs="Arial" w:eastAsia="Arial" w:hAnsi="Arial"/>
                  <w:sz w:val="16"/>
                  <w:szCs w:val="16"/>
                  <w:color w:val="0000FF"/>
                </w:rPr>
                <w:t>30</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0" w:type="dxa"/>
            <w:vAlign w:val="bottom"/>
            <w:tcBorders>
              <w:right w:val="single" w:sz="8" w:color="CEFFE7"/>
            </w:tcBorders>
          </w:tcPr>
          <w:p>
            <w:pPr>
              <w:spacing w:after="0"/>
              <w:rPr>
                <w:sz w:val="15"/>
                <w:szCs w:val="15"/>
                <w:color w:val="auto"/>
              </w:rPr>
            </w:pPr>
          </w:p>
        </w:tc>
        <w:tc>
          <w:tcPr>
            <w:tcW w:w="780" w:type="dxa"/>
            <w:vAlign w:val="bottom"/>
            <w:shd w:val="clear" w:color="auto" w:fill="CEFFE7"/>
          </w:tcPr>
          <w:p>
            <w:pPr>
              <w:spacing w:after="0"/>
              <w:rPr>
                <w:sz w:val="15"/>
                <w:szCs w:val="15"/>
                <w:color w:val="auto"/>
              </w:rPr>
            </w:pPr>
          </w:p>
        </w:tc>
        <w:tc>
          <w:tcPr>
            <w:tcW w:w="540" w:type="dxa"/>
            <w:vAlign w:val="bottom"/>
            <w:shd w:val="clear" w:color="auto" w:fill="CEFFE7"/>
          </w:tcPr>
          <w:p>
            <w:pPr>
              <w:spacing w:after="0"/>
              <w:rPr>
                <w:sz w:val="15"/>
                <w:szCs w:val="15"/>
                <w:color w:val="auto"/>
              </w:rPr>
            </w:pPr>
          </w:p>
        </w:tc>
        <w:tc>
          <w:tcPr>
            <w:tcW w:w="100" w:type="dxa"/>
            <w:vAlign w:val="bottom"/>
            <w:shd w:val="clear" w:color="auto" w:fill="CEFFE7"/>
          </w:tcPr>
          <w:p>
            <w:pPr>
              <w:spacing w:after="0"/>
              <w:rPr>
                <w:sz w:val="15"/>
                <w:szCs w:val="15"/>
                <w:color w:val="auto"/>
              </w:rPr>
            </w:pPr>
          </w:p>
        </w:tc>
        <w:tc>
          <w:tcPr>
            <w:tcW w:w="8260" w:type="dxa"/>
            <w:vAlign w:val="bottom"/>
            <w:gridSpan w:val="30"/>
            <w:shd w:val="clear" w:color="auto" w:fill="CEFFE7"/>
          </w:tcPr>
          <w:p>
            <w:pPr>
              <w:ind w:left="120"/>
              <w:spacing w:after="0" w:line="175" w:lineRule="exact"/>
              <w:rPr>
                <w:rFonts w:ascii="Arial" w:cs="Arial" w:eastAsia="Arial" w:hAnsi="Arial"/>
                <w:sz w:val="16"/>
                <w:szCs w:val="16"/>
                <w:color w:val="0000FF"/>
              </w:rPr>
            </w:pPr>
            <w:hyperlink w:anchor="page30">
              <w:r>
                <w:rPr>
                  <w:rFonts w:ascii="Arial" w:cs="Arial" w:eastAsia="Arial" w:hAnsi="Arial"/>
                  <w:sz w:val="16"/>
                  <w:szCs w:val="16"/>
                  <w:color w:val="0000FF"/>
                </w:rPr>
                <w:t>Recent Developments</w:t>
              </w:r>
            </w:hyperlink>
          </w:p>
        </w:tc>
        <w:tc>
          <w:tcPr>
            <w:tcW w:w="1500" w:type="dxa"/>
            <w:vAlign w:val="bottom"/>
            <w:gridSpan w:val="3"/>
            <w:shd w:val="clear" w:color="auto" w:fill="CEFFE7"/>
          </w:tcPr>
          <w:p>
            <w:pPr>
              <w:jc w:val="center"/>
              <w:spacing w:after="0" w:line="175" w:lineRule="exact"/>
              <w:rPr>
                <w:rFonts w:ascii="Arial" w:cs="Arial" w:eastAsia="Arial" w:hAnsi="Arial"/>
                <w:sz w:val="16"/>
                <w:szCs w:val="16"/>
                <w:color w:val="0000FF"/>
              </w:rPr>
            </w:pPr>
            <w:hyperlink w:anchor="page30">
              <w:r>
                <w:rPr>
                  <w:rFonts w:ascii="Arial" w:cs="Arial" w:eastAsia="Arial" w:hAnsi="Arial"/>
                  <w:sz w:val="16"/>
                  <w:szCs w:val="16"/>
                  <w:color w:val="0000FF"/>
                </w:rPr>
                <w:t>30</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0" w:type="dxa"/>
            <w:vAlign w:val="bottom"/>
            <w:tcBorders>
              <w:right w:val="single" w:sz="8" w:color="CEFFE7"/>
            </w:tcBorders>
          </w:tcPr>
          <w:p>
            <w:pPr>
              <w:spacing w:after="0" w:line="20" w:lineRule="exact"/>
              <w:rPr>
                <w:sz w:val="1"/>
                <w:szCs w:val="1"/>
                <w:color w:val="auto"/>
              </w:rPr>
            </w:pPr>
          </w:p>
        </w:tc>
        <w:tc>
          <w:tcPr>
            <w:tcW w:w="780" w:type="dxa"/>
            <w:vAlign w:val="bottom"/>
            <w:tcBorders>
              <w:top w:val="single" w:sz="8" w:color="CEFFE7"/>
            </w:tcBorders>
            <w:shd w:val="clear" w:color="auto" w:fill="CEFFE7"/>
          </w:tcPr>
          <w:p>
            <w:pPr>
              <w:spacing w:after="0" w:line="20" w:lineRule="exact"/>
              <w:rPr>
                <w:sz w:val="1"/>
                <w:szCs w:val="1"/>
                <w:color w:val="auto"/>
              </w:rPr>
            </w:pPr>
          </w:p>
        </w:tc>
        <w:tc>
          <w:tcPr>
            <w:tcW w:w="540" w:type="dxa"/>
            <w:vAlign w:val="bottom"/>
            <w:tcBorders>
              <w:top w:val="single" w:sz="8" w:color="CEFFE7"/>
            </w:tcBorders>
            <w:shd w:val="clear" w:color="auto" w:fill="CEFFE7"/>
          </w:tcPr>
          <w:p>
            <w:pPr>
              <w:spacing w:after="0" w:line="20" w:lineRule="exact"/>
              <w:rPr>
                <w:sz w:val="1"/>
                <w:szCs w:val="1"/>
                <w:color w:val="auto"/>
              </w:rPr>
            </w:pPr>
          </w:p>
        </w:tc>
        <w:tc>
          <w:tcPr>
            <w:tcW w:w="100" w:type="dxa"/>
            <w:vAlign w:val="bottom"/>
            <w:tcBorders>
              <w:top w:val="single" w:sz="8" w:color="CEFFE7"/>
            </w:tcBorders>
            <w:shd w:val="clear" w:color="auto" w:fill="CEFFE7"/>
          </w:tcPr>
          <w:p>
            <w:pPr>
              <w:spacing w:after="0" w:line="20" w:lineRule="exact"/>
              <w:rPr>
                <w:sz w:val="1"/>
                <w:szCs w:val="1"/>
                <w:color w:val="auto"/>
              </w:rPr>
            </w:pPr>
          </w:p>
        </w:tc>
        <w:tc>
          <w:tcPr>
            <w:tcW w:w="120" w:type="dxa"/>
            <w:vAlign w:val="bottom"/>
            <w:tcBorders>
              <w:top w:val="single" w:sz="8" w:color="CEFFE7"/>
            </w:tcBorders>
            <w:shd w:val="clear" w:color="auto" w:fill="CEFFE7"/>
          </w:tcPr>
          <w:p>
            <w:pPr>
              <w:spacing w:after="0" w:line="20" w:lineRule="exact"/>
              <w:rPr>
                <w:sz w:val="1"/>
                <w:szCs w:val="1"/>
                <w:color w:val="auto"/>
              </w:rPr>
            </w:pPr>
          </w:p>
        </w:tc>
        <w:tc>
          <w:tcPr>
            <w:tcW w:w="20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220" w:type="dxa"/>
            <w:vAlign w:val="bottom"/>
            <w:tcBorders>
              <w:top w:val="single" w:sz="8" w:color="0000FF"/>
            </w:tcBorders>
            <w:shd w:val="clear" w:color="auto" w:fill="CEFFE7"/>
          </w:tcPr>
          <w:p>
            <w:pPr>
              <w:spacing w:after="0" w:line="20" w:lineRule="exact"/>
              <w:rPr>
                <w:sz w:val="1"/>
                <w:szCs w:val="1"/>
                <w:color w:val="auto"/>
              </w:rPr>
            </w:pPr>
          </w:p>
        </w:tc>
        <w:tc>
          <w:tcPr>
            <w:tcW w:w="240" w:type="dxa"/>
            <w:vAlign w:val="bottom"/>
            <w:tcBorders>
              <w:top w:val="single" w:sz="8" w:color="0000FF"/>
            </w:tcBorders>
            <w:shd w:val="clear" w:color="auto" w:fill="CEFFE7"/>
          </w:tcPr>
          <w:p>
            <w:pPr>
              <w:spacing w:after="0" w:line="20" w:lineRule="exact"/>
              <w:rPr>
                <w:sz w:val="1"/>
                <w:szCs w:val="1"/>
                <w:color w:val="auto"/>
              </w:rPr>
            </w:pPr>
          </w:p>
        </w:tc>
        <w:tc>
          <w:tcPr>
            <w:tcW w:w="100" w:type="dxa"/>
            <w:vAlign w:val="bottom"/>
            <w:tcBorders>
              <w:top w:val="single" w:sz="8" w:color="0000FF"/>
            </w:tcBorders>
            <w:shd w:val="clear" w:color="auto" w:fill="CEFFE7"/>
          </w:tcPr>
          <w:p>
            <w:pPr>
              <w:spacing w:after="0" w:line="20" w:lineRule="exact"/>
              <w:rPr>
                <w:sz w:val="1"/>
                <w:szCs w:val="1"/>
                <w:color w:val="auto"/>
              </w:rPr>
            </w:pPr>
          </w:p>
        </w:tc>
        <w:tc>
          <w:tcPr>
            <w:tcW w:w="60" w:type="dxa"/>
            <w:vAlign w:val="bottom"/>
            <w:tcBorders>
              <w:top w:val="single" w:sz="8" w:color="0000FF"/>
            </w:tcBorders>
            <w:shd w:val="clear" w:color="auto" w:fill="CEFFE7"/>
          </w:tcPr>
          <w:p>
            <w:pPr>
              <w:spacing w:after="0" w:line="20" w:lineRule="exact"/>
              <w:rPr>
                <w:sz w:val="1"/>
                <w:szCs w:val="1"/>
                <w:color w:val="auto"/>
              </w:rPr>
            </w:pPr>
          </w:p>
        </w:tc>
        <w:tc>
          <w:tcPr>
            <w:tcW w:w="100" w:type="dxa"/>
            <w:vAlign w:val="bottom"/>
            <w:tcBorders>
              <w:top w:val="single" w:sz="8" w:color="0000FF"/>
            </w:tcBorders>
            <w:shd w:val="clear" w:color="auto" w:fill="CEFFE7"/>
          </w:tcPr>
          <w:p>
            <w:pPr>
              <w:spacing w:after="0" w:line="20" w:lineRule="exact"/>
              <w:rPr>
                <w:sz w:val="1"/>
                <w:szCs w:val="1"/>
                <w:color w:val="auto"/>
              </w:rPr>
            </w:pPr>
          </w:p>
        </w:tc>
        <w:tc>
          <w:tcPr>
            <w:tcW w:w="120" w:type="dxa"/>
            <w:vAlign w:val="bottom"/>
            <w:tcBorders>
              <w:top w:val="single" w:sz="8" w:color="0000FF"/>
            </w:tcBorders>
            <w:shd w:val="clear" w:color="auto" w:fill="CEFFE7"/>
          </w:tcPr>
          <w:p>
            <w:pPr>
              <w:spacing w:after="0" w:line="20" w:lineRule="exact"/>
              <w:rPr>
                <w:sz w:val="1"/>
                <w:szCs w:val="1"/>
                <w:color w:val="auto"/>
              </w:rPr>
            </w:pPr>
          </w:p>
        </w:tc>
        <w:tc>
          <w:tcPr>
            <w:tcW w:w="160" w:type="dxa"/>
            <w:vAlign w:val="bottom"/>
            <w:tcBorders>
              <w:top w:val="single" w:sz="8" w:color="0000FF"/>
            </w:tcBorders>
            <w:shd w:val="clear" w:color="auto" w:fill="CEFFE7"/>
          </w:tcPr>
          <w:p>
            <w:pPr>
              <w:spacing w:after="0" w:line="20" w:lineRule="exact"/>
              <w:rPr>
                <w:sz w:val="1"/>
                <w:szCs w:val="1"/>
                <w:color w:val="auto"/>
              </w:rPr>
            </w:pPr>
          </w:p>
        </w:tc>
        <w:tc>
          <w:tcPr>
            <w:tcW w:w="8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100" w:type="dxa"/>
            <w:vAlign w:val="bottom"/>
            <w:tcBorders>
              <w:top w:val="single" w:sz="8" w:color="0000FF"/>
            </w:tcBorders>
            <w:shd w:val="clear" w:color="auto" w:fill="CEFFE7"/>
          </w:tcPr>
          <w:p>
            <w:pPr>
              <w:spacing w:after="0" w:line="20" w:lineRule="exact"/>
              <w:rPr>
                <w:sz w:val="1"/>
                <w:szCs w:val="1"/>
                <w:color w:val="auto"/>
              </w:rPr>
            </w:pPr>
          </w:p>
        </w:tc>
        <w:tc>
          <w:tcPr>
            <w:tcW w:w="60" w:type="dxa"/>
            <w:vAlign w:val="bottom"/>
            <w:tcBorders>
              <w:top w:val="single" w:sz="8" w:color="0000FF"/>
            </w:tcBorders>
            <w:shd w:val="clear" w:color="auto" w:fill="CEFFE7"/>
          </w:tcPr>
          <w:p>
            <w:pPr>
              <w:spacing w:after="0" w:line="20" w:lineRule="exact"/>
              <w:rPr>
                <w:sz w:val="1"/>
                <w:szCs w:val="1"/>
                <w:color w:val="auto"/>
              </w:rPr>
            </w:pPr>
          </w:p>
        </w:tc>
        <w:tc>
          <w:tcPr>
            <w:tcW w:w="6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80" w:type="dxa"/>
            <w:vAlign w:val="bottom"/>
            <w:tcBorders>
              <w:top w:val="single" w:sz="8" w:color="CEFFE7"/>
            </w:tcBorders>
            <w:shd w:val="clear" w:color="auto" w:fill="CEFFE7"/>
          </w:tcPr>
          <w:p>
            <w:pPr>
              <w:spacing w:after="0" w:line="20" w:lineRule="exact"/>
              <w:rPr>
                <w:sz w:val="1"/>
                <w:szCs w:val="1"/>
                <w:color w:val="auto"/>
              </w:rPr>
            </w:pPr>
          </w:p>
        </w:tc>
        <w:tc>
          <w:tcPr>
            <w:tcW w:w="520" w:type="dxa"/>
            <w:vAlign w:val="bottom"/>
            <w:tcBorders>
              <w:top w:val="single" w:sz="8" w:color="CEFFE7"/>
            </w:tcBorders>
            <w:shd w:val="clear" w:color="auto" w:fill="CEFFE7"/>
          </w:tcPr>
          <w:p>
            <w:pPr>
              <w:spacing w:after="0" w:line="20" w:lineRule="exact"/>
              <w:rPr>
                <w:sz w:val="1"/>
                <w:szCs w:val="1"/>
                <w:color w:val="auto"/>
              </w:rPr>
            </w:pPr>
          </w:p>
        </w:tc>
        <w:tc>
          <w:tcPr>
            <w:tcW w:w="100" w:type="dxa"/>
            <w:vAlign w:val="bottom"/>
            <w:tcBorders>
              <w:top w:val="single" w:sz="8" w:color="CEFFE7"/>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1680" w:type="dxa"/>
            <w:vAlign w:val="bottom"/>
            <w:tcBorders>
              <w:top w:val="single" w:sz="8" w:color="CEFFE7"/>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180" w:type="dxa"/>
            <w:vAlign w:val="bottom"/>
            <w:tcBorders>
              <w:top w:val="single" w:sz="8" w:color="CEFFE7"/>
            </w:tcBorders>
            <w:shd w:val="clear" w:color="auto" w:fill="CEFFE7"/>
          </w:tcPr>
          <w:p>
            <w:pPr>
              <w:spacing w:after="0" w:line="20" w:lineRule="exact"/>
              <w:rPr>
                <w:sz w:val="1"/>
                <w:szCs w:val="1"/>
                <w:color w:val="auto"/>
              </w:rPr>
            </w:pPr>
          </w:p>
        </w:tc>
        <w:tc>
          <w:tcPr>
            <w:tcW w:w="1820" w:type="dxa"/>
            <w:vAlign w:val="bottom"/>
            <w:tcBorders>
              <w:top w:val="single" w:sz="8" w:color="CEFFE7"/>
            </w:tcBorders>
            <w:shd w:val="clear" w:color="auto" w:fill="CEFFE7"/>
          </w:tcPr>
          <w:p>
            <w:pPr>
              <w:spacing w:after="0" w:line="20" w:lineRule="exact"/>
              <w:rPr>
                <w:sz w:val="1"/>
                <w:szCs w:val="1"/>
                <w:color w:val="auto"/>
              </w:rPr>
            </w:pPr>
          </w:p>
        </w:tc>
        <w:tc>
          <w:tcPr>
            <w:tcW w:w="1680" w:type="dxa"/>
            <w:vAlign w:val="bottom"/>
            <w:tcBorders>
              <w:top w:val="single" w:sz="8" w:color="CEFFE7"/>
            </w:tcBorders>
            <w:shd w:val="clear" w:color="auto" w:fill="CEFFE7"/>
          </w:tcPr>
          <w:p>
            <w:pPr>
              <w:spacing w:after="0" w:line="20" w:lineRule="exact"/>
              <w:rPr>
                <w:sz w:val="1"/>
                <w:szCs w:val="1"/>
                <w:color w:val="auto"/>
              </w:rPr>
            </w:pPr>
          </w:p>
        </w:tc>
        <w:tc>
          <w:tcPr>
            <w:tcW w:w="220" w:type="dxa"/>
            <w:vAlign w:val="bottom"/>
            <w:tcBorders>
              <w:top w:val="single" w:sz="8" w:color="CEFFE7"/>
            </w:tcBorders>
            <w:shd w:val="clear" w:color="auto" w:fill="CEFFE7"/>
          </w:tcPr>
          <w:p>
            <w:pPr>
              <w:spacing w:after="0" w:line="20" w:lineRule="exact"/>
              <w:rPr>
                <w:sz w:val="1"/>
                <w:szCs w:val="1"/>
                <w:color w:val="auto"/>
              </w:rPr>
            </w:pPr>
          </w:p>
        </w:tc>
        <w:tc>
          <w:tcPr>
            <w:tcW w:w="660" w:type="dxa"/>
            <w:vAlign w:val="bottom"/>
            <w:tcBorders>
              <w:top w:val="single" w:sz="8" w:color="CEFFE7"/>
            </w:tcBorders>
            <w:shd w:val="clear" w:color="auto" w:fill="CEFFE7"/>
          </w:tcPr>
          <w:p>
            <w:pPr>
              <w:spacing w:after="0" w:line="20" w:lineRule="exact"/>
              <w:rPr>
                <w:sz w:val="1"/>
                <w:szCs w:val="1"/>
                <w:color w:val="auto"/>
              </w:rPr>
            </w:pPr>
          </w:p>
        </w:tc>
        <w:tc>
          <w:tcPr>
            <w:tcW w:w="180" w:type="dxa"/>
            <w:vAlign w:val="bottom"/>
            <w:tcBorders>
              <w:top w:val="single" w:sz="8" w:color="0000FF"/>
            </w:tcBorders>
            <w:shd w:val="clear" w:color="auto" w:fill="CEFFE7"/>
          </w:tcPr>
          <w:p>
            <w:pPr>
              <w:spacing w:after="0" w:line="20" w:lineRule="exact"/>
              <w:rPr>
                <w:sz w:val="1"/>
                <w:szCs w:val="1"/>
                <w:color w:val="auto"/>
              </w:rPr>
            </w:pPr>
          </w:p>
        </w:tc>
        <w:tc>
          <w:tcPr>
            <w:tcW w:w="66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60" w:type="dxa"/>
            <w:vAlign w:val="bottom"/>
            <w:gridSpan w:val="30"/>
          </w:tcPr>
          <w:p>
            <w:pPr>
              <w:ind w:left="120"/>
              <w:spacing w:after="0" w:line="175" w:lineRule="exact"/>
              <w:rPr>
                <w:rFonts w:ascii="Arial" w:cs="Arial" w:eastAsia="Arial" w:hAnsi="Arial"/>
                <w:sz w:val="16"/>
                <w:szCs w:val="16"/>
                <w:color w:val="0000FF"/>
              </w:rPr>
            </w:pPr>
            <w:hyperlink w:anchor="page31">
              <w:r>
                <w:rPr>
                  <w:rFonts w:ascii="Arial" w:cs="Arial" w:eastAsia="Arial" w:hAnsi="Arial"/>
                  <w:sz w:val="16"/>
                  <w:szCs w:val="16"/>
                  <w:color w:val="0000FF"/>
                </w:rPr>
                <w:t>Results of Operations - Consolidated Summary and Overview</w:t>
              </w:r>
            </w:hyperlink>
          </w:p>
        </w:tc>
        <w:tc>
          <w:tcPr>
            <w:tcW w:w="1500" w:type="dxa"/>
            <w:vAlign w:val="bottom"/>
            <w:gridSpan w:val="3"/>
          </w:tcPr>
          <w:p>
            <w:pPr>
              <w:jc w:val="center"/>
              <w:spacing w:after="0" w:line="175" w:lineRule="exact"/>
              <w:rPr>
                <w:rFonts w:ascii="Arial" w:cs="Arial" w:eastAsia="Arial" w:hAnsi="Arial"/>
                <w:sz w:val="16"/>
                <w:szCs w:val="16"/>
                <w:color w:val="0000FF"/>
              </w:rPr>
            </w:pPr>
            <w:hyperlink w:anchor="page31">
              <w:r>
                <w:rPr>
                  <w:rFonts w:ascii="Arial" w:cs="Arial" w:eastAsia="Arial" w:hAnsi="Arial"/>
                  <w:sz w:val="16"/>
                  <w:szCs w:val="16"/>
                  <w:color w:val="0000FF"/>
                </w:rPr>
                <w:t>32</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6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0" w:type="dxa"/>
            <w:vAlign w:val="bottom"/>
            <w:tcBorders>
              <w:right w:val="single" w:sz="8" w:color="CEFFE7"/>
            </w:tcBorders>
          </w:tcPr>
          <w:p>
            <w:pPr>
              <w:spacing w:after="0"/>
              <w:rPr>
                <w:sz w:val="15"/>
                <w:szCs w:val="15"/>
                <w:color w:val="auto"/>
              </w:rPr>
            </w:pPr>
          </w:p>
        </w:tc>
        <w:tc>
          <w:tcPr>
            <w:tcW w:w="780" w:type="dxa"/>
            <w:vAlign w:val="bottom"/>
            <w:shd w:val="clear" w:color="auto" w:fill="CEFFE7"/>
          </w:tcPr>
          <w:p>
            <w:pPr>
              <w:spacing w:after="0"/>
              <w:rPr>
                <w:sz w:val="15"/>
                <w:szCs w:val="15"/>
                <w:color w:val="auto"/>
              </w:rPr>
            </w:pPr>
          </w:p>
        </w:tc>
        <w:tc>
          <w:tcPr>
            <w:tcW w:w="540" w:type="dxa"/>
            <w:vAlign w:val="bottom"/>
            <w:shd w:val="clear" w:color="auto" w:fill="CEFFE7"/>
          </w:tcPr>
          <w:p>
            <w:pPr>
              <w:spacing w:after="0"/>
              <w:rPr>
                <w:sz w:val="15"/>
                <w:szCs w:val="15"/>
                <w:color w:val="auto"/>
              </w:rPr>
            </w:pPr>
          </w:p>
        </w:tc>
        <w:tc>
          <w:tcPr>
            <w:tcW w:w="100" w:type="dxa"/>
            <w:vAlign w:val="bottom"/>
            <w:shd w:val="clear" w:color="auto" w:fill="CEFFE7"/>
          </w:tcPr>
          <w:p>
            <w:pPr>
              <w:spacing w:after="0"/>
              <w:rPr>
                <w:sz w:val="15"/>
                <w:szCs w:val="15"/>
                <w:color w:val="auto"/>
              </w:rPr>
            </w:pPr>
          </w:p>
        </w:tc>
        <w:tc>
          <w:tcPr>
            <w:tcW w:w="120" w:type="dxa"/>
            <w:vAlign w:val="bottom"/>
            <w:shd w:val="clear" w:color="auto" w:fill="CEFFE7"/>
          </w:tcPr>
          <w:p>
            <w:pPr>
              <w:spacing w:after="0"/>
              <w:rPr>
                <w:sz w:val="15"/>
                <w:szCs w:val="15"/>
                <w:color w:val="auto"/>
              </w:rPr>
            </w:pPr>
          </w:p>
        </w:tc>
        <w:tc>
          <w:tcPr>
            <w:tcW w:w="200" w:type="dxa"/>
            <w:vAlign w:val="bottom"/>
            <w:shd w:val="clear" w:color="auto" w:fill="CEFFE7"/>
          </w:tcPr>
          <w:p>
            <w:pPr>
              <w:spacing w:after="0"/>
              <w:rPr>
                <w:sz w:val="15"/>
                <w:szCs w:val="15"/>
                <w:color w:val="auto"/>
              </w:rPr>
            </w:pPr>
          </w:p>
        </w:tc>
        <w:tc>
          <w:tcPr>
            <w:tcW w:w="7940" w:type="dxa"/>
            <w:vAlign w:val="bottom"/>
            <w:gridSpan w:val="28"/>
            <w:shd w:val="clear" w:color="auto" w:fill="CEFFE7"/>
          </w:tcPr>
          <w:p>
            <w:pPr>
              <w:ind w:left="20"/>
              <w:spacing w:after="0" w:line="175" w:lineRule="exact"/>
              <w:rPr>
                <w:rFonts w:ascii="Arial" w:cs="Arial" w:eastAsia="Arial" w:hAnsi="Arial"/>
                <w:sz w:val="16"/>
                <w:szCs w:val="16"/>
                <w:color w:val="0000FF"/>
              </w:rPr>
            </w:pPr>
            <w:hyperlink w:anchor="page33">
              <w:r>
                <w:rPr>
                  <w:rFonts w:ascii="Arial" w:cs="Arial" w:eastAsia="Arial" w:hAnsi="Arial"/>
                  <w:sz w:val="16"/>
                  <w:szCs w:val="16"/>
                  <w:color w:val="0000FF"/>
                </w:rPr>
                <w:t>Non-GAAP Financial Measure</w:t>
              </w:r>
            </w:hyperlink>
          </w:p>
        </w:tc>
        <w:tc>
          <w:tcPr>
            <w:tcW w:w="1500" w:type="dxa"/>
            <w:vAlign w:val="bottom"/>
            <w:gridSpan w:val="3"/>
            <w:shd w:val="clear" w:color="auto" w:fill="CEFFE7"/>
          </w:tcPr>
          <w:p>
            <w:pPr>
              <w:jc w:val="center"/>
              <w:spacing w:after="0" w:line="175" w:lineRule="exact"/>
              <w:rPr>
                <w:rFonts w:ascii="Arial" w:cs="Arial" w:eastAsia="Arial" w:hAnsi="Arial"/>
                <w:sz w:val="16"/>
                <w:szCs w:val="16"/>
                <w:color w:val="0000FF"/>
              </w:rPr>
            </w:pPr>
            <w:hyperlink w:anchor="page33">
              <w:r>
                <w:rPr>
                  <w:rFonts w:ascii="Arial" w:cs="Arial" w:eastAsia="Arial" w:hAnsi="Arial"/>
                  <w:sz w:val="16"/>
                  <w:szCs w:val="16"/>
                  <w:color w:val="0000FF"/>
                </w:rPr>
                <w:t>33</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0" w:type="dxa"/>
            <w:vAlign w:val="bottom"/>
            <w:tcBorders>
              <w:right w:val="single" w:sz="8" w:color="CEFFE7"/>
            </w:tcBorders>
          </w:tcPr>
          <w:p>
            <w:pPr>
              <w:spacing w:after="0" w:line="20" w:lineRule="exact"/>
              <w:rPr>
                <w:sz w:val="1"/>
                <w:szCs w:val="1"/>
                <w:color w:val="auto"/>
              </w:rPr>
            </w:pPr>
          </w:p>
        </w:tc>
        <w:tc>
          <w:tcPr>
            <w:tcW w:w="780" w:type="dxa"/>
            <w:vAlign w:val="bottom"/>
            <w:tcBorders>
              <w:top w:val="single" w:sz="8" w:color="CEFFE7"/>
            </w:tcBorders>
            <w:shd w:val="clear" w:color="auto" w:fill="CEFFE7"/>
          </w:tcPr>
          <w:p>
            <w:pPr>
              <w:spacing w:after="0" w:line="20" w:lineRule="exact"/>
              <w:rPr>
                <w:sz w:val="1"/>
                <w:szCs w:val="1"/>
                <w:color w:val="auto"/>
              </w:rPr>
            </w:pPr>
          </w:p>
        </w:tc>
        <w:tc>
          <w:tcPr>
            <w:tcW w:w="540" w:type="dxa"/>
            <w:vAlign w:val="bottom"/>
            <w:tcBorders>
              <w:top w:val="single" w:sz="8" w:color="CEFFE7"/>
            </w:tcBorders>
            <w:shd w:val="clear" w:color="auto" w:fill="CEFFE7"/>
          </w:tcPr>
          <w:p>
            <w:pPr>
              <w:spacing w:after="0" w:line="20" w:lineRule="exact"/>
              <w:rPr>
                <w:sz w:val="1"/>
                <w:szCs w:val="1"/>
                <w:color w:val="auto"/>
              </w:rPr>
            </w:pPr>
          </w:p>
        </w:tc>
        <w:tc>
          <w:tcPr>
            <w:tcW w:w="100" w:type="dxa"/>
            <w:vAlign w:val="bottom"/>
            <w:tcBorders>
              <w:top w:val="single" w:sz="8" w:color="CEFFE7"/>
            </w:tcBorders>
            <w:shd w:val="clear" w:color="auto" w:fill="CEFFE7"/>
          </w:tcPr>
          <w:p>
            <w:pPr>
              <w:spacing w:after="0" w:line="20" w:lineRule="exact"/>
              <w:rPr>
                <w:sz w:val="1"/>
                <w:szCs w:val="1"/>
                <w:color w:val="auto"/>
              </w:rPr>
            </w:pPr>
          </w:p>
        </w:tc>
        <w:tc>
          <w:tcPr>
            <w:tcW w:w="120" w:type="dxa"/>
            <w:vAlign w:val="bottom"/>
            <w:tcBorders>
              <w:top w:val="single" w:sz="8" w:color="CEFFE7"/>
            </w:tcBorders>
            <w:shd w:val="clear" w:color="auto" w:fill="CEFFE7"/>
          </w:tcPr>
          <w:p>
            <w:pPr>
              <w:spacing w:after="0" w:line="20" w:lineRule="exact"/>
              <w:rPr>
                <w:sz w:val="1"/>
                <w:szCs w:val="1"/>
                <w:color w:val="auto"/>
              </w:rPr>
            </w:pPr>
          </w:p>
        </w:tc>
        <w:tc>
          <w:tcPr>
            <w:tcW w:w="20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220" w:type="dxa"/>
            <w:vAlign w:val="bottom"/>
            <w:tcBorders>
              <w:top w:val="single" w:sz="8" w:color="0000FF"/>
            </w:tcBorders>
            <w:shd w:val="clear" w:color="auto" w:fill="CEFFE7"/>
          </w:tcPr>
          <w:p>
            <w:pPr>
              <w:spacing w:after="0" w:line="20" w:lineRule="exact"/>
              <w:rPr>
                <w:sz w:val="1"/>
                <w:szCs w:val="1"/>
                <w:color w:val="auto"/>
              </w:rPr>
            </w:pPr>
          </w:p>
        </w:tc>
        <w:tc>
          <w:tcPr>
            <w:tcW w:w="240" w:type="dxa"/>
            <w:vAlign w:val="bottom"/>
            <w:tcBorders>
              <w:top w:val="single" w:sz="8" w:color="0000FF"/>
            </w:tcBorders>
            <w:shd w:val="clear" w:color="auto" w:fill="CEFFE7"/>
          </w:tcPr>
          <w:p>
            <w:pPr>
              <w:spacing w:after="0" w:line="20" w:lineRule="exact"/>
              <w:rPr>
                <w:sz w:val="1"/>
                <w:szCs w:val="1"/>
                <w:color w:val="auto"/>
              </w:rPr>
            </w:pPr>
          </w:p>
        </w:tc>
        <w:tc>
          <w:tcPr>
            <w:tcW w:w="100" w:type="dxa"/>
            <w:vAlign w:val="bottom"/>
            <w:tcBorders>
              <w:top w:val="single" w:sz="8" w:color="0000FF"/>
            </w:tcBorders>
            <w:shd w:val="clear" w:color="auto" w:fill="CEFFE7"/>
          </w:tcPr>
          <w:p>
            <w:pPr>
              <w:spacing w:after="0" w:line="20" w:lineRule="exact"/>
              <w:rPr>
                <w:sz w:val="1"/>
                <w:szCs w:val="1"/>
                <w:color w:val="auto"/>
              </w:rPr>
            </w:pPr>
          </w:p>
        </w:tc>
        <w:tc>
          <w:tcPr>
            <w:tcW w:w="60" w:type="dxa"/>
            <w:vAlign w:val="bottom"/>
            <w:tcBorders>
              <w:top w:val="single" w:sz="8" w:color="0000FF"/>
            </w:tcBorders>
            <w:shd w:val="clear" w:color="auto" w:fill="CEFFE7"/>
          </w:tcPr>
          <w:p>
            <w:pPr>
              <w:spacing w:after="0" w:line="20" w:lineRule="exact"/>
              <w:rPr>
                <w:sz w:val="1"/>
                <w:szCs w:val="1"/>
                <w:color w:val="auto"/>
              </w:rPr>
            </w:pPr>
          </w:p>
        </w:tc>
        <w:tc>
          <w:tcPr>
            <w:tcW w:w="100" w:type="dxa"/>
            <w:vAlign w:val="bottom"/>
            <w:tcBorders>
              <w:top w:val="single" w:sz="8" w:color="0000FF"/>
            </w:tcBorders>
            <w:shd w:val="clear" w:color="auto" w:fill="CEFFE7"/>
          </w:tcPr>
          <w:p>
            <w:pPr>
              <w:spacing w:after="0" w:line="20" w:lineRule="exact"/>
              <w:rPr>
                <w:sz w:val="1"/>
                <w:szCs w:val="1"/>
                <w:color w:val="auto"/>
              </w:rPr>
            </w:pPr>
          </w:p>
        </w:tc>
        <w:tc>
          <w:tcPr>
            <w:tcW w:w="120" w:type="dxa"/>
            <w:vAlign w:val="bottom"/>
            <w:tcBorders>
              <w:top w:val="single" w:sz="8" w:color="0000FF"/>
            </w:tcBorders>
            <w:shd w:val="clear" w:color="auto" w:fill="CEFFE7"/>
          </w:tcPr>
          <w:p>
            <w:pPr>
              <w:spacing w:after="0" w:line="20" w:lineRule="exact"/>
              <w:rPr>
                <w:sz w:val="1"/>
                <w:szCs w:val="1"/>
                <w:color w:val="auto"/>
              </w:rPr>
            </w:pPr>
          </w:p>
        </w:tc>
        <w:tc>
          <w:tcPr>
            <w:tcW w:w="160" w:type="dxa"/>
            <w:vAlign w:val="bottom"/>
            <w:tcBorders>
              <w:top w:val="single" w:sz="8" w:color="0000FF"/>
            </w:tcBorders>
            <w:shd w:val="clear" w:color="auto" w:fill="CEFFE7"/>
          </w:tcPr>
          <w:p>
            <w:pPr>
              <w:spacing w:after="0" w:line="20" w:lineRule="exact"/>
              <w:rPr>
                <w:sz w:val="1"/>
                <w:szCs w:val="1"/>
                <w:color w:val="auto"/>
              </w:rPr>
            </w:pPr>
          </w:p>
        </w:tc>
        <w:tc>
          <w:tcPr>
            <w:tcW w:w="8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100" w:type="dxa"/>
            <w:vAlign w:val="bottom"/>
            <w:tcBorders>
              <w:top w:val="single" w:sz="8" w:color="0000FF"/>
            </w:tcBorders>
            <w:shd w:val="clear" w:color="auto" w:fill="CEFFE7"/>
          </w:tcPr>
          <w:p>
            <w:pPr>
              <w:spacing w:after="0" w:line="20" w:lineRule="exact"/>
              <w:rPr>
                <w:sz w:val="1"/>
                <w:szCs w:val="1"/>
                <w:color w:val="auto"/>
              </w:rPr>
            </w:pPr>
          </w:p>
        </w:tc>
        <w:tc>
          <w:tcPr>
            <w:tcW w:w="60" w:type="dxa"/>
            <w:vAlign w:val="bottom"/>
            <w:tcBorders>
              <w:top w:val="single" w:sz="8" w:color="0000FF"/>
            </w:tcBorders>
            <w:shd w:val="clear" w:color="auto" w:fill="CEFFE7"/>
          </w:tcPr>
          <w:p>
            <w:pPr>
              <w:spacing w:after="0" w:line="20" w:lineRule="exact"/>
              <w:rPr>
                <w:sz w:val="1"/>
                <w:szCs w:val="1"/>
                <w:color w:val="auto"/>
              </w:rPr>
            </w:pPr>
          </w:p>
        </w:tc>
        <w:tc>
          <w:tcPr>
            <w:tcW w:w="6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80" w:type="dxa"/>
            <w:vAlign w:val="bottom"/>
            <w:tcBorders>
              <w:top w:val="single" w:sz="8" w:color="0000FF"/>
            </w:tcBorders>
            <w:shd w:val="clear" w:color="auto" w:fill="CEFFE7"/>
          </w:tcPr>
          <w:p>
            <w:pPr>
              <w:spacing w:after="0" w:line="20" w:lineRule="exact"/>
              <w:rPr>
                <w:sz w:val="1"/>
                <w:szCs w:val="1"/>
                <w:color w:val="auto"/>
              </w:rPr>
            </w:pPr>
          </w:p>
        </w:tc>
        <w:tc>
          <w:tcPr>
            <w:tcW w:w="520" w:type="dxa"/>
            <w:vAlign w:val="bottom"/>
            <w:tcBorders>
              <w:top w:val="single" w:sz="8" w:color="0000FF"/>
            </w:tcBorders>
            <w:shd w:val="clear" w:color="auto" w:fill="CEFFE7"/>
          </w:tcPr>
          <w:p>
            <w:pPr>
              <w:spacing w:after="0" w:line="20" w:lineRule="exact"/>
              <w:rPr>
                <w:sz w:val="1"/>
                <w:szCs w:val="1"/>
                <w:color w:val="auto"/>
              </w:rPr>
            </w:pPr>
          </w:p>
        </w:tc>
        <w:tc>
          <w:tcPr>
            <w:tcW w:w="100" w:type="dxa"/>
            <w:vAlign w:val="bottom"/>
            <w:tcBorders>
              <w:top w:val="single" w:sz="8" w:color="0000FF"/>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1680" w:type="dxa"/>
            <w:vAlign w:val="bottom"/>
            <w:tcBorders>
              <w:top w:val="single" w:sz="8" w:color="CEFFE7"/>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180" w:type="dxa"/>
            <w:vAlign w:val="bottom"/>
            <w:tcBorders>
              <w:top w:val="single" w:sz="8" w:color="CEFFE7"/>
            </w:tcBorders>
            <w:shd w:val="clear" w:color="auto" w:fill="CEFFE7"/>
          </w:tcPr>
          <w:p>
            <w:pPr>
              <w:spacing w:after="0" w:line="20" w:lineRule="exact"/>
              <w:rPr>
                <w:sz w:val="1"/>
                <w:szCs w:val="1"/>
                <w:color w:val="auto"/>
              </w:rPr>
            </w:pPr>
          </w:p>
        </w:tc>
        <w:tc>
          <w:tcPr>
            <w:tcW w:w="1820" w:type="dxa"/>
            <w:vAlign w:val="bottom"/>
            <w:tcBorders>
              <w:top w:val="single" w:sz="8" w:color="CEFFE7"/>
            </w:tcBorders>
            <w:shd w:val="clear" w:color="auto" w:fill="CEFFE7"/>
          </w:tcPr>
          <w:p>
            <w:pPr>
              <w:spacing w:after="0" w:line="20" w:lineRule="exact"/>
              <w:rPr>
                <w:sz w:val="1"/>
                <w:szCs w:val="1"/>
                <w:color w:val="auto"/>
              </w:rPr>
            </w:pPr>
          </w:p>
        </w:tc>
        <w:tc>
          <w:tcPr>
            <w:tcW w:w="1680" w:type="dxa"/>
            <w:vAlign w:val="bottom"/>
            <w:tcBorders>
              <w:top w:val="single" w:sz="8" w:color="CEFFE7"/>
            </w:tcBorders>
            <w:shd w:val="clear" w:color="auto" w:fill="CEFFE7"/>
          </w:tcPr>
          <w:p>
            <w:pPr>
              <w:spacing w:after="0" w:line="20" w:lineRule="exact"/>
              <w:rPr>
                <w:sz w:val="1"/>
                <w:szCs w:val="1"/>
                <w:color w:val="auto"/>
              </w:rPr>
            </w:pPr>
          </w:p>
        </w:tc>
        <w:tc>
          <w:tcPr>
            <w:tcW w:w="220" w:type="dxa"/>
            <w:vAlign w:val="bottom"/>
            <w:tcBorders>
              <w:top w:val="single" w:sz="8" w:color="CEFFE7"/>
            </w:tcBorders>
            <w:shd w:val="clear" w:color="auto" w:fill="CEFFE7"/>
          </w:tcPr>
          <w:p>
            <w:pPr>
              <w:spacing w:after="0" w:line="20" w:lineRule="exact"/>
              <w:rPr>
                <w:sz w:val="1"/>
                <w:szCs w:val="1"/>
                <w:color w:val="auto"/>
              </w:rPr>
            </w:pPr>
          </w:p>
        </w:tc>
        <w:tc>
          <w:tcPr>
            <w:tcW w:w="660" w:type="dxa"/>
            <w:vAlign w:val="bottom"/>
            <w:tcBorders>
              <w:top w:val="single" w:sz="8" w:color="CEFFE7"/>
            </w:tcBorders>
            <w:shd w:val="clear" w:color="auto" w:fill="CEFFE7"/>
          </w:tcPr>
          <w:p>
            <w:pPr>
              <w:spacing w:after="0" w:line="20" w:lineRule="exact"/>
              <w:rPr>
                <w:sz w:val="1"/>
                <w:szCs w:val="1"/>
                <w:color w:val="auto"/>
              </w:rPr>
            </w:pPr>
          </w:p>
        </w:tc>
        <w:tc>
          <w:tcPr>
            <w:tcW w:w="180" w:type="dxa"/>
            <w:vAlign w:val="bottom"/>
            <w:tcBorders>
              <w:top w:val="single" w:sz="8" w:color="0000FF"/>
            </w:tcBorders>
            <w:shd w:val="clear" w:color="auto" w:fill="CEFFE7"/>
          </w:tcPr>
          <w:p>
            <w:pPr>
              <w:spacing w:after="0" w:line="20" w:lineRule="exact"/>
              <w:rPr>
                <w:sz w:val="1"/>
                <w:szCs w:val="1"/>
                <w:color w:val="auto"/>
              </w:rPr>
            </w:pPr>
          </w:p>
        </w:tc>
        <w:tc>
          <w:tcPr>
            <w:tcW w:w="66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940" w:type="dxa"/>
            <w:vAlign w:val="bottom"/>
            <w:gridSpan w:val="28"/>
          </w:tcPr>
          <w:p>
            <w:pPr>
              <w:spacing w:after="0" w:line="175" w:lineRule="exact"/>
              <w:rPr>
                <w:rFonts w:ascii="Arial" w:cs="Arial" w:eastAsia="Arial" w:hAnsi="Arial"/>
                <w:sz w:val="16"/>
                <w:szCs w:val="16"/>
                <w:color w:val="0000FF"/>
              </w:rPr>
            </w:pPr>
            <w:hyperlink w:anchor="page33">
              <w:r>
                <w:rPr>
                  <w:rFonts w:ascii="Arial" w:cs="Arial" w:eastAsia="Arial" w:hAnsi="Arial"/>
                  <w:sz w:val="16"/>
                  <w:szCs w:val="16"/>
                  <w:color w:val="0000FF"/>
                </w:rPr>
                <w:t>Electric Utilities</w:t>
              </w:r>
            </w:hyperlink>
          </w:p>
        </w:tc>
        <w:tc>
          <w:tcPr>
            <w:tcW w:w="1500" w:type="dxa"/>
            <w:vAlign w:val="bottom"/>
            <w:gridSpan w:val="3"/>
          </w:tcPr>
          <w:p>
            <w:pPr>
              <w:jc w:val="center"/>
              <w:spacing w:after="0" w:line="175" w:lineRule="exact"/>
              <w:rPr>
                <w:rFonts w:ascii="Arial" w:cs="Arial" w:eastAsia="Arial" w:hAnsi="Arial"/>
                <w:sz w:val="16"/>
                <w:szCs w:val="16"/>
                <w:color w:val="0000FF"/>
              </w:rPr>
            </w:pPr>
            <w:hyperlink w:anchor="page33">
              <w:r>
                <w:rPr>
                  <w:rFonts w:ascii="Arial" w:cs="Arial" w:eastAsia="Arial" w:hAnsi="Arial"/>
                  <w:sz w:val="16"/>
                  <w:szCs w:val="16"/>
                  <w:color w:val="0000FF"/>
                </w:rPr>
                <w:t>33</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0" w:type="dxa"/>
            <w:vAlign w:val="bottom"/>
            <w:tcBorders>
              <w:right w:val="single" w:sz="8" w:color="CEFFE7"/>
            </w:tcBorders>
          </w:tcPr>
          <w:p>
            <w:pPr>
              <w:spacing w:after="0"/>
              <w:rPr>
                <w:sz w:val="15"/>
                <w:szCs w:val="15"/>
                <w:color w:val="auto"/>
              </w:rPr>
            </w:pPr>
          </w:p>
        </w:tc>
        <w:tc>
          <w:tcPr>
            <w:tcW w:w="780" w:type="dxa"/>
            <w:vAlign w:val="bottom"/>
            <w:shd w:val="clear" w:color="auto" w:fill="CEFFE7"/>
          </w:tcPr>
          <w:p>
            <w:pPr>
              <w:spacing w:after="0"/>
              <w:rPr>
                <w:sz w:val="15"/>
                <w:szCs w:val="15"/>
                <w:color w:val="auto"/>
              </w:rPr>
            </w:pPr>
          </w:p>
        </w:tc>
        <w:tc>
          <w:tcPr>
            <w:tcW w:w="540" w:type="dxa"/>
            <w:vAlign w:val="bottom"/>
            <w:shd w:val="clear" w:color="auto" w:fill="CEFFE7"/>
          </w:tcPr>
          <w:p>
            <w:pPr>
              <w:spacing w:after="0"/>
              <w:rPr>
                <w:sz w:val="15"/>
                <w:szCs w:val="15"/>
                <w:color w:val="auto"/>
              </w:rPr>
            </w:pPr>
          </w:p>
        </w:tc>
        <w:tc>
          <w:tcPr>
            <w:tcW w:w="100" w:type="dxa"/>
            <w:vAlign w:val="bottom"/>
            <w:shd w:val="clear" w:color="auto" w:fill="CEFFE7"/>
          </w:tcPr>
          <w:p>
            <w:pPr>
              <w:spacing w:after="0"/>
              <w:rPr>
                <w:sz w:val="15"/>
                <w:szCs w:val="15"/>
                <w:color w:val="auto"/>
              </w:rPr>
            </w:pPr>
          </w:p>
        </w:tc>
        <w:tc>
          <w:tcPr>
            <w:tcW w:w="120" w:type="dxa"/>
            <w:vAlign w:val="bottom"/>
            <w:shd w:val="clear" w:color="auto" w:fill="CEFFE7"/>
          </w:tcPr>
          <w:p>
            <w:pPr>
              <w:spacing w:after="0"/>
              <w:rPr>
                <w:sz w:val="15"/>
                <w:szCs w:val="15"/>
                <w:color w:val="auto"/>
              </w:rPr>
            </w:pPr>
          </w:p>
        </w:tc>
        <w:tc>
          <w:tcPr>
            <w:tcW w:w="200" w:type="dxa"/>
            <w:vAlign w:val="bottom"/>
            <w:shd w:val="clear" w:color="auto" w:fill="CEFFE7"/>
          </w:tcPr>
          <w:p>
            <w:pPr>
              <w:spacing w:after="0"/>
              <w:rPr>
                <w:sz w:val="15"/>
                <w:szCs w:val="15"/>
                <w:color w:val="auto"/>
              </w:rPr>
            </w:pPr>
          </w:p>
        </w:tc>
        <w:tc>
          <w:tcPr>
            <w:tcW w:w="7940" w:type="dxa"/>
            <w:vAlign w:val="bottom"/>
            <w:gridSpan w:val="28"/>
            <w:shd w:val="clear" w:color="auto" w:fill="CEFFE7"/>
          </w:tcPr>
          <w:p>
            <w:pPr>
              <w:spacing w:after="0" w:line="175" w:lineRule="exact"/>
              <w:rPr>
                <w:rFonts w:ascii="Arial" w:cs="Arial" w:eastAsia="Arial" w:hAnsi="Arial"/>
                <w:sz w:val="16"/>
                <w:szCs w:val="16"/>
                <w:color w:val="0000FF"/>
              </w:rPr>
            </w:pPr>
            <w:hyperlink w:anchor="page36">
              <w:r>
                <w:rPr>
                  <w:rFonts w:ascii="Arial" w:cs="Arial" w:eastAsia="Arial" w:hAnsi="Arial"/>
                  <w:sz w:val="16"/>
                  <w:szCs w:val="16"/>
                  <w:color w:val="0000FF"/>
                </w:rPr>
                <w:t>Gas Utilities</w:t>
              </w:r>
            </w:hyperlink>
          </w:p>
        </w:tc>
        <w:tc>
          <w:tcPr>
            <w:tcW w:w="1500" w:type="dxa"/>
            <w:vAlign w:val="bottom"/>
            <w:gridSpan w:val="3"/>
            <w:shd w:val="clear" w:color="auto" w:fill="CEFFE7"/>
          </w:tcPr>
          <w:p>
            <w:pPr>
              <w:jc w:val="center"/>
              <w:spacing w:after="0" w:line="175" w:lineRule="exact"/>
              <w:rPr>
                <w:rFonts w:ascii="Arial" w:cs="Arial" w:eastAsia="Arial" w:hAnsi="Arial"/>
                <w:sz w:val="16"/>
                <w:szCs w:val="16"/>
                <w:color w:val="0000FF"/>
              </w:rPr>
            </w:pPr>
            <w:hyperlink w:anchor="page36">
              <w:r>
                <w:rPr>
                  <w:rFonts w:ascii="Arial" w:cs="Arial" w:eastAsia="Arial" w:hAnsi="Arial"/>
                  <w:sz w:val="16"/>
                  <w:szCs w:val="16"/>
                  <w:color w:val="0000FF"/>
                </w:rPr>
                <w:t>36</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 w:type="dxa"/>
            <w:vAlign w:val="bottom"/>
            <w:tcBorders>
              <w:right w:val="single" w:sz="8" w:color="CEFFE7"/>
            </w:tcBorders>
          </w:tcPr>
          <w:p>
            <w:pPr>
              <w:spacing w:after="0" w:line="20" w:lineRule="exact"/>
              <w:rPr>
                <w:sz w:val="1"/>
                <w:szCs w:val="1"/>
                <w:color w:val="auto"/>
              </w:rPr>
            </w:pPr>
          </w:p>
        </w:tc>
        <w:tc>
          <w:tcPr>
            <w:tcW w:w="780" w:type="dxa"/>
            <w:vAlign w:val="bottom"/>
            <w:tcBorders>
              <w:top w:val="single" w:sz="8" w:color="CEFFE7"/>
            </w:tcBorders>
            <w:shd w:val="clear" w:color="auto" w:fill="CEFFE7"/>
          </w:tcPr>
          <w:p>
            <w:pPr>
              <w:spacing w:after="0" w:line="20" w:lineRule="exact"/>
              <w:rPr>
                <w:sz w:val="1"/>
                <w:szCs w:val="1"/>
                <w:color w:val="auto"/>
              </w:rPr>
            </w:pPr>
          </w:p>
        </w:tc>
        <w:tc>
          <w:tcPr>
            <w:tcW w:w="540" w:type="dxa"/>
            <w:vAlign w:val="bottom"/>
            <w:tcBorders>
              <w:top w:val="single" w:sz="8" w:color="CEFFE7"/>
            </w:tcBorders>
            <w:shd w:val="clear" w:color="auto" w:fill="CEFFE7"/>
          </w:tcPr>
          <w:p>
            <w:pPr>
              <w:spacing w:after="0" w:line="20" w:lineRule="exact"/>
              <w:rPr>
                <w:sz w:val="1"/>
                <w:szCs w:val="1"/>
                <w:color w:val="auto"/>
              </w:rPr>
            </w:pPr>
          </w:p>
        </w:tc>
        <w:tc>
          <w:tcPr>
            <w:tcW w:w="100" w:type="dxa"/>
            <w:vAlign w:val="bottom"/>
            <w:tcBorders>
              <w:top w:val="single" w:sz="8" w:color="CEFFE7"/>
            </w:tcBorders>
            <w:shd w:val="clear" w:color="auto" w:fill="CEFFE7"/>
          </w:tcPr>
          <w:p>
            <w:pPr>
              <w:spacing w:after="0" w:line="20" w:lineRule="exact"/>
              <w:rPr>
                <w:sz w:val="1"/>
                <w:szCs w:val="1"/>
                <w:color w:val="auto"/>
              </w:rPr>
            </w:pPr>
          </w:p>
        </w:tc>
        <w:tc>
          <w:tcPr>
            <w:tcW w:w="120" w:type="dxa"/>
            <w:vAlign w:val="bottom"/>
            <w:tcBorders>
              <w:top w:val="single" w:sz="8" w:color="CEFFE7"/>
            </w:tcBorders>
            <w:shd w:val="clear" w:color="auto" w:fill="CEFFE7"/>
          </w:tcPr>
          <w:p>
            <w:pPr>
              <w:spacing w:after="0" w:line="20" w:lineRule="exact"/>
              <w:rPr>
                <w:sz w:val="1"/>
                <w:szCs w:val="1"/>
                <w:color w:val="auto"/>
              </w:rPr>
            </w:pPr>
          </w:p>
        </w:tc>
        <w:tc>
          <w:tcPr>
            <w:tcW w:w="20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220" w:type="dxa"/>
            <w:vAlign w:val="bottom"/>
            <w:tcBorders>
              <w:top w:val="single" w:sz="8" w:color="0000FF"/>
            </w:tcBorders>
            <w:shd w:val="clear" w:color="auto" w:fill="CEFFE7"/>
          </w:tcPr>
          <w:p>
            <w:pPr>
              <w:spacing w:after="0" w:line="20" w:lineRule="exact"/>
              <w:rPr>
                <w:sz w:val="1"/>
                <w:szCs w:val="1"/>
                <w:color w:val="auto"/>
              </w:rPr>
            </w:pPr>
          </w:p>
        </w:tc>
        <w:tc>
          <w:tcPr>
            <w:tcW w:w="240" w:type="dxa"/>
            <w:vAlign w:val="bottom"/>
            <w:tcBorders>
              <w:top w:val="single" w:sz="8" w:color="0000FF"/>
            </w:tcBorders>
            <w:shd w:val="clear" w:color="auto" w:fill="CEFFE7"/>
          </w:tcPr>
          <w:p>
            <w:pPr>
              <w:spacing w:after="0" w:line="20" w:lineRule="exact"/>
              <w:rPr>
                <w:sz w:val="1"/>
                <w:szCs w:val="1"/>
                <w:color w:val="auto"/>
              </w:rPr>
            </w:pPr>
          </w:p>
        </w:tc>
        <w:tc>
          <w:tcPr>
            <w:tcW w:w="100" w:type="dxa"/>
            <w:vAlign w:val="bottom"/>
            <w:tcBorders>
              <w:top w:val="single" w:sz="8" w:color="0000FF"/>
            </w:tcBorders>
            <w:shd w:val="clear" w:color="auto" w:fill="CEFFE7"/>
          </w:tcPr>
          <w:p>
            <w:pPr>
              <w:spacing w:after="0" w:line="20" w:lineRule="exact"/>
              <w:rPr>
                <w:sz w:val="1"/>
                <w:szCs w:val="1"/>
                <w:color w:val="auto"/>
              </w:rPr>
            </w:pPr>
          </w:p>
        </w:tc>
        <w:tc>
          <w:tcPr>
            <w:tcW w:w="60" w:type="dxa"/>
            <w:vAlign w:val="bottom"/>
            <w:tcBorders>
              <w:top w:val="single" w:sz="8" w:color="0000FF"/>
            </w:tcBorders>
            <w:shd w:val="clear" w:color="auto" w:fill="CEFFE7"/>
          </w:tcPr>
          <w:p>
            <w:pPr>
              <w:spacing w:after="0" w:line="20" w:lineRule="exact"/>
              <w:rPr>
                <w:sz w:val="1"/>
                <w:szCs w:val="1"/>
                <w:color w:val="auto"/>
              </w:rPr>
            </w:pPr>
          </w:p>
        </w:tc>
        <w:tc>
          <w:tcPr>
            <w:tcW w:w="100" w:type="dxa"/>
            <w:vAlign w:val="bottom"/>
            <w:tcBorders>
              <w:top w:val="single" w:sz="8" w:color="0000FF"/>
            </w:tcBorders>
            <w:shd w:val="clear" w:color="auto" w:fill="CEFFE7"/>
          </w:tcPr>
          <w:p>
            <w:pPr>
              <w:spacing w:after="0" w:line="20" w:lineRule="exact"/>
              <w:rPr>
                <w:sz w:val="1"/>
                <w:szCs w:val="1"/>
                <w:color w:val="auto"/>
              </w:rPr>
            </w:pPr>
          </w:p>
        </w:tc>
        <w:tc>
          <w:tcPr>
            <w:tcW w:w="120" w:type="dxa"/>
            <w:vAlign w:val="bottom"/>
            <w:tcBorders>
              <w:top w:val="single" w:sz="8" w:color="0000FF"/>
            </w:tcBorders>
            <w:shd w:val="clear" w:color="auto" w:fill="CEFFE7"/>
          </w:tcPr>
          <w:p>
            <w:pPr>
              <w:spacing w:after="0" w:line="20" w:lineRule="exact"/>
              <w:rPr>
                <w:sz w:val="1"/>
                <w:szCs w:val="1"/>
                <w:color w:val="auto"/>
              </w:rPr>
            </w:pPr>
          </w:p>
        </w:tc>
        <w:tc>
          <w:tcPr>
            <w:tcW w:w="160" w:type="dxa"/>
            <w:vAlign w:val="bottom"/>
            <w:tcBorders>
              <w:top w:val="single" w:sz="8" w:color="CEFFE7"/>
            </w:tcBorders>
            <w:shd w:val="clear" w:color="auto" w:fill="CEFFE7"/>
          </w:tcPr>
          <w:p>
            <w:pPr>
              <w:spacing w:after="0" w:line="20" w:lineRule="exact"/>
              <w:rPr>
                <w:sz w:val="1"/>
                <w:szCs w:val="1"/>
                <w:color w:val="auto"/>
              </w:rPr>
            </w:pPr>
          </w:p>
        </w:tc>
        <w:tc>
          <w:tcPr>
            <w:tcW w:w="8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100" w:type="dxa"/>
            <w:vAlign w:val="bottom"/>
            <w:tcBorders>
              <w:top w:val="single" w:sz="8" w:color="CEFFE7"/>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80" w:type="dxa"/>
            <w:vAlign w:val="bottom"/>
            <w:tcBorders>
              <w:top w:val="single" w:sz="8" w:color="CEFFE7"/>
            </w:tcBorders>
            <w:shd w:val="clear" w:color="auto" w:fill="CEFFE7"/>
          </w:tcPr>
          <w:p>
            <w:pPr>
              <w:spacing w:after="0" w:line="20" w:lineRule="exact"/>
              <w:rPr>
                <w:sz w:val="1"/>
                <w:szCs w:val="1"/>
                <w:color w:val="auto"/>
              </w:rPr>
            </w:pPr>
          </w:p>
        </w:tc>
        <w:tc>
          <w:tcPr>
            <w:tcW w:w="520" w:type="dxa"/>
            <w:vAlign w:val="bottom"/>
            <w:tcBorders>
              <w:top w:val="single" w:sz="8" w:color="CEFFE7"/>
            </w:tcBorders>
            <w:shd w:val="clear" w:color="auto" w:fill="CEFFE7"/>
          </w:tcPr>
          <w:p>
            <w:pPr>
              <w:spacing w:after="0" w:line="20" w:lineRule="exact"/>
              <w:rPr>
                <w:sz w:val="1"/>
                <w:szCs w:val="1"/>
                <w:color w:val="auto"/>
              </w:rPr>
            </w:pPr>
          </w:p>
        </w:tc>
        <w:tc>
          <w:tcPr>
            <w:tcW w:w="100" w:type="dxa"/>
            <w:vAlign w:val="bottom"/>
            <w:tcBorders>
              <w:top w:val="single" w:sz="8" w:color="CEFFE7"/>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1680" w:type="dxa"/>
            <w:vAlign w:val="bottom"/>
            <w:tcBorders>
              <w:top w:val="single" w:sz="8" w:color="CEFFE7"/>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180" w:type="dxa"/>
            <w:vAlign w:val="bottom"/>
            <w:tcBorders>
              <w:top w:val="single" w:sz="8" w:color="CEFFE7"/>
            </w:tcBorders>
            <w:shd w:val="clear" w:color="auto" w:fill="CEFFE7"/>
          </w:tcPr>
          <w:p>
            <w:pPr>
              <w:spacing w:after="0" w:line="20" w:lineRule="exact"/>
              <w:rPr>
                <w:sz w:val="1"/>
                <w:szCs w:val="1"/>
                <w:color w:val="auto"/>
              </w:rPr>
            </w:pPr>
          </w:p>
        </w:tc>
        <w:tc>
          <w:tcPr>
            <w:tcW w:w="1820" w:type="dxa"/>
            <w:vAlign w:val="bottom"/>
            <w:tcBorders>
              <w:top w:val="single" w:sz="8" w:color="CEFFE7"/>
            </w:tcBorders>
            <w:shd w:val="clear" w:color="auto" w:fill="CEFFE7"/>
          </w:tcPr>
          <w:p>
            <w:pPr>
              <w:spacing w:after="0" w:line="20" w:lineRule="exact"/>
              <w:rPr>
                <w:sz w:val="1"/>
                <w:szCs w:val="1"/>
                <w:color w:val="auto"/>
              </w:rPr>
            </w:pPr>
          </w:p>
        </w:tc>
        <w:tc>
          <w:tcPr>
            <w:tcW w:w="1680" w:type="dxa"/>
            <w:vAlign w:val="bottom"/>
            <w:tcBorders>
              <w:top w:val="single" w:sz="8" w:color="CEFFE7"/>
            </w:tcBorders>
            <w:shd w:val="clear" w:color="auto" w:fill="CEFFE7"/>
          </w:tcPr>
          <w:p>
            <w:pPr>
              <w:spacing w:after="0" w:line="20" w:lineRule="exact"/>
              <w:rPr>
                <w:sz w:val="1"/>
                <w:szCs w:val="1"/>
                <w:color w:val="auto"/>
              </w:rPr>
            </w:pPr>
          </w:p>
        </w:tc>
        <w:tc>
          <w:tcPr>
            <w:tcW w:w="220" w:type="dxa"/>
            <w:vAlign w:val="bottom"/>
            <w:tcBorders>
              <w:top w:val="single" w:sz="8" w:color="CEFFE7"/>
            </w:tcBorders>
            <w:shd w:val="clear" w:color="auto" w:fill="CEFFE7"/>
          </w:tcPr>
          <w:p>
            <w:pPr>
              <w:spacing w:after="0" w:line="20" w:lineRule="exact"/>
              <w:rPr>
                <w:sz w:val="1"/>
                <w:szCs w:val="1"/>
                <w:color w:val="auto"/>
              </w:rPr>
            </w:pPr>
          </w:p>
        </w:tc>
        <w:tc>
          <w:tcPr>
            <w:tcW w:w="660" w:type="dxa"/>
            <w:vAlign w:val="bottom"/>
            <w:tcBorders>
              <w:top w:val="single" w:sz="8" w:color="CEFFE7"/>
            </w:tcBorders>
            <w:shd w:val="clear" w:color="auto" w:fill="CEFFE7"/>
          </w:tcPr>
          <w:p>
            <w:pPr>
              <w:spacing w:after="0" w:line="20" w:lineRule="exact"/>
              <w:rPr>
                <w:sz w:val="1"/>
                <w:szCs w:val="1"/>
                <w:color w:val="auto"/>
              </w:rPr>
            </w:pPr>
          </w:p>
        </w:tc>
        <w:tc>
          <w:tcPr>
            <w:tcW w:w="180" w:type="dxa"/>
            <w:vAlign w:val="bottom"/>
            <w:tcBorders>
              <w:top w:val="single" w:sz="8" w:color="0000FF"/>
            </w:tcBorders>
            <w:shd w:val="clear" w:color="auto" w:fill="CEFFE7"/>
          </w:tcPr>
          <w:p>
            <w:pPr>
              <w:spacing w:after="0" w:line="20" w:lineRule="exact"/>
              <w:rPr>
                <w:sz w:val="1"/>
                <w:szCs w:val="1"/>
                <w:color w:val="auto"/>
              </w:rPr>
            </w:pPr>
          </w:p>
        </w:tc>
        <w:tc>
          <w:tcPr>
            <w:tcW w:w="66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940" w:type="dxa"/>
            <w:vAlign w:val="bottom"/>
            <w:gridSpan w:val="28"/>
          </w:tcPr>
          <w:p>
            <w:pPr>
              <w:spacing w:after="0" w:line="175" w:lineRule="exact"/>
              <w:rPr>
                <w:rFonts w:ascii="Arial" w:cs="Arial" w:eastAsia="Arial" w:hAnsi="Arial"/>
                <w:sz w:val="16"/>
                <w:szCs w:val="16"/>
                <w:color w:val="0000FF"/>
              </w:rPr>
            </w:pPr>
            <w:hyperlink w:anchor="page38">
              <w:r>
                <w:rPr>
                  <w:rFonts w:ascii="Arial" w:cs="Arial" w:eastAsia="Arial" w:hAnsi="Arial"/>
                  <w:sz w:val="16"/>
                  <w:szCs w:val="16"/>
                  <w:color w:val="0000FF"/>
                </w:rPr>
                <w:t>Regulatory Matters</w:t>
              </w:r>
            </w:hyperlink>
          </w:p>
        </w:tc>
        <w:tc>
          <w:tcPr>
            <w:tcW w:w="1500" w:type="dxa"/>
            <w:vAlign w:val="bottom"/>
            <w:gridSpan w:val="3"/>
          </w:tcPr>
          <w:p>
            <w:pPr>
              <w:jc w:val="center"/>
              <w:spacing w:after="0" w:line="175" w:lineRule="exact"/>
              <w:rPr>
                <w:rFonts w:ascii="Arial" w:cs="Arial" w:eastAsia="Arial" w:hAnsi="Arial"/>
                <w:sz w:val="16"/>
                <w:szCs w:val="16"/>
                <w:color w:val="0000FF"/>
              </w:rPr>
            </w:pPr>
            <w:hyperlink w:anchor="page38">
              <w:r>
                <w:rPr>
                  <w:rFonts w:ascii="Arial" w:cs="Arial" w:eastAsia="Arial" w:hAnsi="Arial"/>
                  <w:sz w:val="16"/>
                  <w:szCs w:val="16"/>
                  <w:color w:val="0000FF"/>
                </w:rPr>
                <w:t>38</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0" w:type="dxa"/>
            <w:vAlign w:val="bottom"/>
            <w:tcBorders>
              <w:right w:val="single" w:sz="8" w:color="CEFFE7"/>
            </w:tcBorders>
          </w:tcPr>
          <w:p>
            <w:pPr>
              <w:spacing w:after="0"/>
              <w:rPr>
                <w:sz w:val="15"/>
                <w:szCs w:val="15"/>
                <w:color w:val="auto"/>
              </w:rPr>
            </w:pPr>
          </w:p>
        </w:tc>
        <w:tc>
          <w:tcPr>
            <w:tcW w:w="780" w:type="dxa"/>
            <w:vAlign w:val="bottom"/>
            <w:shd w:val="clear" w:color="auto" w:fill="CEFFE7"/>
          </w:tcPr>
          <w:p>
            <w:pPr>
              <w:spacing w:after="0"/>
              <w:rPr>
                <w:sz w:val="15"/>
                <w:szCs w:val="15"/>
                <w:color w:val="auto"/>
              </w:rPr>
            </w:pPr>
          </w:p>
        </w:tc>
        <w:tc>
          <w:tcPr>
            <w:tcW w:w="540" w:type="dxa"/>
            <w:vAlign w:val="bottom"/>
            <w:shd w:val="clear" w:color="auto" w:fill="CEFFE7"/>
          </w:tcPr>
          <w:p>
            <w:pPr>
              <w:spacing w:after="0"/>
              <w:rPr>
                <w:sz w:val="15"/>
                <w:szCs w:val="15"/>
                <w:color w:val="auto"/>
              </w:rPr>
            </w:pPr>
          </w:p>
        </w:tc>
        <w:tc>
          <w:tcPr>
            <w:tcW w:w="100" w:type="dxa"/>
            <w:vAlign w:val="bottom"/>
            <w:shd w:val="clear" w:color="auto" w:fill="CEFFE7"/>
          </w:tcPr>
          <w:p>
            <w:pPr>
              <w:spacing w:after="0"/>
              <w:rPr>
                <w:sz w:val="15"/>
                <w:szCs w:val="15"/>
                <w:color w:val="auto"/>
              </w:rPr>
            </w:pPr>
          </w:p>
        </w:tc>
        <w:tc>
          <w:tcPr>
            <w:tcW w:w="120" w:type="dxa"/>
            <w:vAlign w:val="bottom"/>
            <w:shd w:val="clear" w:color="auto" w:fill="CEFFE7"/>
          </w:tcPr>
          <w:p>
            <w:pPr>
              <w:spacing w:after="0"/>
              <w:rPr>
                <w:sz w:val="15"/>
                <w:szCs w:val="15"/>
                <w:color w:val="auto"/>
              </w:rPr>
            </w:pPr>
          </w:p>
        </w:tc>
        <w:tc>
          <w:tcPr>
            <w:tcW w:w="200" w:type="dxa"/>
            <w:vAlign w:val="bottom"/>
            <w:shd w:val="clear" w:color="auto" w:fill="CEFFE7"/>
          </w:tcPr>
          <w:p>
            <w:pPr>
              <w:spacing w:after="0"/>
              <w:rPr>
                <w:sz w:val="15"/>
                <w:szCs w:val="15"/>
                <w:color w:val="auto"/>
              </w:rPr>
            </w:pPr>
          </w:p>
        </w:tc>
        <w:tc>
          <w:tcPr>
            <w:tcW w:w="7940" w:type="dxa"/>
            <w:vAlign w:val="bottom"/>
            <w:gridSpan w:val="28"/>
            <w:shd w:val="clear" w:color="auto" w:fill="CEFFE7"/>
          </w:tcPr>
          <w:p>
            <w:pPr>
              <w:spacing w:after="0" w:line="175" w:lineRule="exact"/>
              <w:rPr>
                <w:rFonts w:ascii="Arial" w:cs="Arial" w:eastAsia="Arial" w:hAnsi="Arial"/>
                <w:sz w:val="16"/>
                <w:szCs w:val="16"/>
                <w:color w:val="0000FF"/>
              </w:rPr>
            </w:pPr>
            <w:hyperlink w:anchor="page38">
              <w:r>
                <w:rPr>
                  <w:rFonts w:ascii="Arial" w:cs="Arial" w:eastAsia="Arial" w:hAnsi="Arial"/>
                  <w:sz w:val="16"/>
                  <w:szCs w:val="16"/>
                  <w:color w:val="0000FF"/>
                </w:rPr>
                <w:t>Power Generation</w:t>
              </w:r>
            </w:hyperlink>
          </w:p>
        </w:tc>
        <w:tc>
          <w:tcPr>
            <w:tcW w:w="1500" w:type="dxa"/>
            <w:vAlign w:val="bottom"/>
            <w:gridSpan w:val="3"/>
            <w:shd w:val="clear" w:color="auto" w:fill="CEFFE7"/>
          </w:tcPr>
          <w:p>
            <w:pPr>
              <w:jc w:val="center"/>
              <w:spacing w:after="0" w:line="175" w:lineRule="exact"/>
              <w:rPr>
                <w:rFonts w:ascii="Arial" w:cs="Arial" w:eastAsia="Arial" w:hAnsi="Arial"/>
                <w:sz w:val="16"/>
                <w:szCs w:val="16"/>
                <w:color w:val="0000FF"/>
              </w:rPr>
            </w:pPr>
            <w:hyperlink w:anchor="page38">
              <w:r>
                <w:rPr>
                  <w:rFonts w:ascii="Arial" w:cs="Arial" w:eastAsia="Arial" w:hAnsi="Arial"/>
                  <w:sz w:val="16"/>
                  <w:szCs w:val="16"/>
                  <w:color w:val="0000FF"/>
                </w:rPr>
                <w:t>39</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0" w:type="dxa"/>
            <w:vAlign w:val="bottom"/>
            <w:tcBorders>
              <w:right w:val="single" w:sz="8" w:color="CEFFE7"/>
            </w:tcBorders>
          </w:tcPr>
          <w:p>
            <w:pPr>
              <w:spacing w:after="0" w:line="20" w:lineRule="exact"/>
              <w:rPr>
                <w:sz w:val="1"/>
                <w:szCs w:val="1"/>
                <w:color w:val="auto"/>
              </w:rPr>
            </w:pPr>
          </w:p>
        </w:tc>
        <w:tc>
          <w:tcPr>
            <w:tcW w:w="780" w:type="dxa"/>
            <w:vAlign w:val="bottom"/>
            <w:tcBorders>
              <w:top w:val="single" w:sz="8" w:color="CEFFE7"/>
            </w:tcBorders>
            <w:shd w:val="clear" w:color="auto" w:fill="CEFFE7"/>
          </w:tcPr>
          <w:p>
            <w:pPr>
              <w:spacing w:after="0" w:line="20" w:lineRule="exact"/>
              <w:rPr>
                <w:sz w:val="1"/>
                <w:szCs w:val="1"/>
                <w:color w:val="auto"/>
              </w:rPr>
            </w:pPr>
          </w:p>
        </w:tc>
        <w:tc>
          <w:tcPr>
            <w:tcW w:w="540" w:type="dxa"/>
            <w:vAlign w:val="bottom"/>
            <w:tcBorders>
              <w:top w:val="single" w:sz="8" w:color="CEFFE7"/>
            </w:tcBorders>
            <w:shd w:val="clear" w:color="auto" w:fill="CEFFE7"/>
          </w:tcPr>
          <w:p>
            <w:pPr>
              <w:spacing w:after="0" w:line="20" w:lineRule="exact"/>
              <w:rPr>
                <w:sz w:val="1"/>
                <w:szCs w:val="1"/>
                <w:color w:val="auto"/>
              </w:rPr>
            </w:pPr>
          </w:p>
        </w:tc>
        <w:tc>
          <w:tcPr>
            <w:tcW w:w="100" w:type="dxa"/>
            <w:vAlign w:val="bottom"/>
            <w:tcBorders>
              <w:top w:val="single" w:sz="8" w:color="CEFFE7"/>
            </w:tcBorders>
            <w:shd w:val="clear" w:color="auto" w:fill="CEFFE7"/>
          </w:tcPr>
          <w:p>
            <w:pPr>
              <w:spacing w:after="0" w:line="20" w:lineRule="exact"/>
              <w:rPr>
                <w:sz w:val="1"/>
                <w:szCs w:val="1"/>
                <w:color w:val="auto"/>
              </w:rPr>
            </w:pPr>
          </w:p>
        </w:tc>
        <w:tc>
          <w:tcPr>
            <w:tcW w:w="120" w:type="dxa"/>
            <w:vAlign w:val="bottom"/>
            <w:tcBorders>
              <w:top w:val="single" w:sz="8" w:color="CEFFE7"/>
            </w:tcBorders>
            <w:shd w:val="clear" w:color="auto" w:fill="CEFFE7"/>
          </w:tcPr>
          <w:p>
            <w:pPr>
              <w:spacing w:after="0" w:line="20" w:lineRule="exact"/>
              <w:rPr>
                <w:sz w:val="1"/>
                <w:szCs w:val="1"/>
                <w:color w:val="auto"/>
              </w:rPr>
            </w:pPr>
          </w:p>
        </w:tc>
        <w:tc>
          <w:tcPr>
            <w:tcW w:w="20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220" w:type="dxa"/>
            <w:vAlign w:val="bottom"/>
            <w:tcBorders>
              <w:top w:val="single" w:sz="8" w:color="0000FF"/>
            </w:tcBorders>
            <w:shd w:val="clear" w:color="auto" w:fill="CEFFE7"/>
          </w:tcPr>
          <w:p>
            <w:pPr>
              <w:spacing w:after="0" w:line="20" w:lineRule="exact"/>
              <w:rPr>
                <w:sz w:val="1"/>
                <w:szCs w:val="1"/>
                <w:color w:val="auto"/>
              </w:rPr>
            </w:pPr>
          </w:p>
        </w:tc>
        <w:tc>
          <w:tcPr>
            <w:tcW w:w="240" w:type="dxa"/>
            <w:vAlign w:val="bottom"/>
            <w:tcBorders>
              <w:top w:val="single" w:sz="8" w:color="0000FF"/>
            </w:tcBorders>
            <w:shd w:val="clear" w:color="auto" w:fill="CEFFE7"/>
          </w:tcPr>
          <w:p>
            <w:pPr>
              <w:spacing w:after="0" w:line="20" w:lineRule="exact"/>
              <w:rPr>
                <w:sz w:val="1"/>
                <w:szCs w:val="1"/>
                <w:color w:val="auto"/>
              </w:rPr>
            </w:pPr>
          </w:p>
        </w:tc>
        <w:tc>
          <w:tcPr>
            <w:tcW w:w="100" w:type="dxa"/>
            <w:vAlign w:val="bottom"/>
            <w:tcBorders>
              <w:top w:val="single" w:sz="8" w:color="0000FF"/>
            </w:tcBorders>
            <w:shd w:val="clear" w:color="auto" w:fill="CEFFE7"/>
          </w:tcPr>
          <w:p>
            <w:pPr>
              <w:spacing w:after="0" w:line="20" w:lineRule="exact"/>
              <w:rPr>
                <w:sz w:val="1"/>
                <w:szCs w:val="1"/>
                <w:color w:val="auto"/>
              </w:rPr>
            </w:pPr>
          </w:p>
        </w:tc>
        <w:tc>
          <w:tcPr>
            <w:tcW w:w="60" w:type="dxa"/>
            <w:vAlign w:val="bottom"/>
            <w:tcBorders>
              <w:top w:val="single" w:sz="8" w:color="0000FF"/>
            </w:tcBorders>
            <w:shd w:val="clear" w:color="auto" w:fill="CEFFE7"/>
          </w:tcPr>
          <w:p>
            <w:pPr>
              <w:spacing w:after="0" w:line="20" w:lineRule="exact"/>
              <w:rPr>
                <w:sz w:val="1"/>
                <w:szCs w:val="1"/>
                <w:color w:val="auto"/>
              </w:rPr>
            </w:pPr>
          </w:p>
        </w:tc>
        <w:tc>
          <w:tcPr>
            <w:tcW w:w="100" w:type="dxa"/>
            <w:vAlign w:val="bottom"/>
            <w:tcBorders>
              <w:top w:val="single" w:sz="8" w:color="0000FF"/>
            </w:tcBorders>
            <w:shd w:val="clear" w:color="auto" w:fill="CEFFE7"/>
          </w:tcPr>
          <w:p>
            <w:pPr>
              <w:spacing w:after="0" w:line="20" w:lineRule="exact"/>
              <w:rPr>
                <w:sz w:val="1"/>
                <w:szCs w:val="1"/>
                <w:color w:val="auto"/>
              </w:rPr>
            </w:pPr>
          </w:p>
        </w:tc>
        <w:tc>
          <w:tcPr>
            <w:tcW w:w="120" w:type="dxa"/>
            <w:vAlign w:val="bottom"/>
            <w:tcBorders>
              <w:top w:val="single" w:sz="8" w:color="0000FF"/>
            </w:tcBorders>
            <w:shd w:val="clear" w:color="auto" w:fill="CEFFE7"/>
          </w:tcPr>
          <w:p>
            <w:pPr>
              <w:spacing w:after="0" w:line="20" w:lineRule="exact"/>
              <w:rPr>
                <w:sz w:val="1"/>
                <w:szCs w:val="1"/>
                <w:color w:val="auto"/>
              </w:rPr>
            </w:pPr>
          </w:p>
        </w:tc>
        <w:tc>
          <w:tcPr>
            <w:tcW w:w="160" w:type="dxa"/>
            <w:vAlign w:val="bottom"/>
            <w:tcBorders>
              <w:top w:val="single" w:sz="8" w:color="0000FF"/>
            </w:tcBorders>
            <w:shd w:val="clear" w:color="auto" w:fill="CEFFE7"/>
          </w:tcPr>
          <w:p>
            <w:pPr>
              <w:spacing w:after="0" w:line="20" w:lineRule="exact"/>
              <w:rPr>
                <w:sz w:val="1"/>
                <w:szCs w:val="1"/>
                <w:color w:val="auto"/>
              </w:rPr>
            </w:pPr>
          </w:p>
        </w:tc>
        <w:tc>
          <w:tcPr>
            <w:tcW w:w="8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100" w:type="dxa"/>
            <w:vAlign w:val="bottom"/>
            <w:tcBorders>
              <w:top w:val="single" w:sz="8" w:color="0000FF"/>
            </w:tcBorders>
            <w:shd w:val="clear" w:color="auto" w:fill="CEFFE7"/>
          </w:tcPr>
          <w:p>
            <w:pPr>
              <w:spacing w:after="0" w:line="20" w:lineRule="exact"/>
              <w:rPr>
                <w:sz w:val="1"/>
                <w:szCs w:val="1"/>
                <w:color w:val="auto"/>
              </w:rPr>
            </w:pPr>
          </w:p>
        </w:tc>
        <w:tc>
          <w:tcPr>
            <w:tcW w:w="60" w:type="dxa"/>
            <w:vAlign w:val="bottom"/>
            <w:tcBorders>
              <w:top w:val="single" w:sz="8" w:color="0000FF"/>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80" w:type="dxa"/>
            <w:vAlign w:val="bottom"/>
            <w:tcBorders>
              <w:top w:val="single" w:sz="8" w:color="CEFFE7"/>
            </w:tcBorders>
            <w:shd w:val="clear" w:color="auto" w:fill="CEFFE7"/>
          </w:tcPr>
          <w:p>
            <w:pPr>
              <w:spacing w:after="0" w:line="20" w:lineRule="exact"/>
              <w:rPr>
                <w:sz w:val="1"/>
                <w:szCs w:val="1"/>
                <w:color w:val="auto"/>
              </w:rPr>
            </w:pPr>
          </w:p>
        </w:tc>
        <w:tc>
          <w:tcPr>
            <w:tcW w:w="520" w:type="dxa"/>
            <w:vAlign w:val="bottom"/>
            <w:tcBorders>
              <w:top w:val="single" w:sz="8" w:color="CEFFE7"/>
            </w:tcBorders>
            <w:shd w:val="clear" w:color="auto" w:fill="CEFFE7"/>
          </w:tcPr>
          <w:p>
            <w:pPr>
              <w:spacing w:after="0" w:line="20" w:lineRule="exact"/>
              <w:rPr>
                <w:sz w:val="1"/>
                <w:szCs w:val="1"/>
                <w:color w:val="auto"/>
              </w:rPr>
            </w:pPr>
          </w:p>
        </w:tc>
        <w:tc>
          <w:tcPr>
            <w:tcW w:w="100" w:type="dxa"/>
            <w:vAlign w:val="bottom"/>
            <w:tcBorders>
              <w:top w:val="single" w:sz="8" w:color="CEFFE7"/>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1680" w:type="dxa"/>
            <w:vAlign w:val="bottom"/>
            <w:tcBorders>
              <w:top w:val="single" w:sz="8" w:color="CEFFE7"/>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180" w:type="dxa"/>
            <w:vAlign w:val="bottom"/>
            <w:tcBorders>
              <w:top w:val="single" w:sz="8" w:color="CEFFE7"/>
            </w:tcBorders>
            <w:shd w:val="clear" w:color="auto" w:fill="CEFFE7"/>
          </w:tcPr>
          <w:p>
            <w:pPr>
              <w:spacing w:after="0" w:line="20" w:lineRule="exact"/>
              <w:rPr>
                <w:sz w:val="1"/>
                <w:szCs w:val="1"/>
                <w:color w:val="auto"/>
              </w:rPr>
            </w:pPr>
          </w:p>
        </w:tc>
        <w:tc>
          <w:tcPr>
            <w:tcW w:w="1820" w:type="dxa"/>
            <w:vAlign w:val="bottom"/>
            <w:tcBorders>
              <w:top w:val="single" w:sz="8" w:color="CEFFE7"/>
            </w:tcBorders>
            <w:shd w:val="clear" w:color="auto" w:fill="CEFFE7"/>
          </w:tcPr>
          <w:p>
            <w:pPr>
              <w:spacing w:after="0" w:line="20" w:lineRule="exact"/>
              <w:rPr>
                <w:sz w:val="1"/>
                <w:szCs w:val="1"/>
                <w:color w:val="auto"/>
              </w:rPr>
            </w:pPr>
          </w:p>
        </w:tc>
        <w:tc>
          <w:tcPr>
            <w:tcW w:w="1680" w:type="dxa"/>
            <w:vAlign w:val="bottom"/>
            <w:tcBorders>
              <w:top w:val="single" w:sz="8" w:color="CEFFE7"/>
            </w:tcBorders>
            <w:shd w:val="clear" w:color="auto" w:fill="CEFFE7"/>
          </w:tcPr>
          <w:p>
            <w:pPr>
              <w:spacing w:after="0" w:line="20" w:lineRule="exact"/>
              <w:rPr>
                <w:sz w:val="1"/>
                <w:szCs w:val="1"/>
                <w:color w:val="auto"/>
              </w:rPr>
            </w:pPr>
          </w:p>
        </w:tc>
        <w:tc>
          <w:tcPr>
            <w:tcW w:w="220" w:type="dxa"/>
            <w:vAlign w:val="bottom"/>
            <w:tcBorders>
              <w:top w:val="single" w:sz="8" w:color="CEFFE7"/>
            </w:tcBorders>
            <w:shd w:val="clear" w:color="auto" w:fill="CEFFE7"/>
          </w:tcPr>
          <w:p>
            <w:pPr>
              <w:spacing w:after="0" w:line="20" w:lineRule="exact"/>
              <w:rPr>
                <w:sz w:val="1"/>
                <w:szCs w:val="1"/>
                <w:color w:val="auto"/>
              </w:rPr>
            </w:pPr>
          </w:p>
        </w:tc>
        <w:tc>
          <w:tcPr>
            <w:tcW w:w="660" w:type="dxa"/>
            <w:vAlign w:val="bottom"/>
            <w:tcBorders>
              <w:top w:val="single" w:sz="8" w:color="CEFFE7"/>
            </w:tcBorders>
            <w:shd w:val="clear" w:color="auto" w:fill="CEFFE7"/>
          </w:tcPr>
          <w:p>
            <w:pPr>
              <w:spacing w:after="0" w:line="20" w:lineRule="exact"/>
              <w:rPr>
                <w:sz w:val="1"/>
                <w:szCs w:val="1"/>
                <w:color w:val="auto"/>
              </w:rPr>
            </w:pPr>
          </w:p>
        </w:tc>
        <w:tc>
          <w:tcPr>
            <w:tcW w:w="180" w:type="dxa"/>
            <w:vAlign w:val="bottom"/>
            <w:tcBorders>
              <w:top w:val="single" w:sz="8" w:color="0000FF"/>
            </w:tcBorders>
            <w:shd w:val="clear" w:color="auto" w:fill="CEFFE7"/>
          </w:tcPr>
          <w:p>
            <w:pPr>
              <w:spacing w:after="0" w:line="20" w:lineRule="exact"/>
              <w:rPr>
                <w:sz w:val="1"/>
                <w:szCs w:val="1"/>
                <w:color w:val="auto"/>
              </w:rPr>
            </w:pPr>
          </w:p>
        </w:tc>
        <w:tc>
          <w:tcPr>
            <w:tcW w:w="66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gridSpan w:val="12"/>
          </w:tcPr>
          <w:p>
            <w:pPr>
              <w:spacing w:after="0" w:line="175" w:lineRule="exact"/>
              <w:rPr>
                <w:rFonts w:ascii="Arial" w:cs="Arial" w:eastAsia="Arial" w:hAnsi="Arial"/>
                <w:sz w:val="16"/>
                <w:szCs w:val="16"/>
                <w:color w:val="0000FF"/>
              </w:rPr>
            </w:pPr>
            <w:hyperlink w:anchor="page40">
              <w:r>
                <w:rPr>
                  <w:rFonts w:ascii="Arial" w:cs="Arial" w:eastAsia="Arial" w:hAnsi="Arial"/>
                  <w:sz w:val="16"/>
                  <w:szCs w:val="16"/>
                  <w:color w:val="0000FF"/>
                </w:rPr>
                <w:t>Mining</w:t>
              </w:r>
            </w:hyperlink>
          </w:p>
        </w:tc>
        <w:tc>
          <w:tcPr>
            <w:tcW w:w="6640" w:type="dxa"/>
            <w:vAlign w:val="bottom"/>
            <w:gridSpan w:val="16"/>
          </w:tcPr>
          <w:p>
            <w:pPr>
              <w:spacing w:after="0"/>
              <w:rPr>
                <w:sz w:val="15"/>
                <w:szCs w:val="15"/>
                <w:color w:val="auto"/>
              </w:rPr>
            </w:pPr>
          </w:p>
        </w:tc>
        <w:tc>
          <w:tcPr>
            <w:tcW w:w="660" w:type="dxa"/>
            <w:vAlign w:val="bottom"/>
          </w:tcPr>
          <w:p>
            <w:pPr>
              <w:spacing w:after="0"/>
              <w:rPr>
                <w:sz w:val="15"/>
                <w:szCs w:val="15"/>
                <w:color w:val="auto"/>
              </w:rPr>
            </w:pPr>
          </w:p>
        </w:tc>
        <w:tc>
          <w:tcPr>
            <w:tcW w:w="840" w:type="dxa"/>
            <w:vAlign w:val="bottom"/>
            <w:gridSpan w:val="2"/>
          </w:tcPr>
          <w:p>
            <w:pPr>
              <w:jc w:val="center"/>
              <w:ind w:right="660"/>
              <w:spacing w:after="0" w:line="175" w:lineRule="exact"/>
              <w:rPr>
                <w:rFonts w:ascii="Arial" w:cs="Arial" w:eastAsia="Arial" w:hAnsi="Arial"/>
                <w:sz w:val="16"/>
                <w:szCs w:val="16"/>
                <w:color w:val="0000FF"/>
              </w:rPr>
            </w:pPr>
            <w:hyperlink w:anchor="page40">
              <w:r>
                <w:rPr>
                  <w:rFonts w:ascii="Arial" w:cs="Arial" w:eastAsia="Arial" w:hAnsi="Arial"/>
                  <w:sz w:val="16"/>
                  <w:szCs w:val="16"/>
                  <w:color w:val="0000FF"/>
                </w:rPr>
                <w:t>40</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0" w:type="dxa"/>
            <w:vAlign w:val="bottom"/>
            <w:tcBorders>
              <w:right w:val="single" w:sz="8" w:color="CEFFE7"/>
            </w:tcBorders>
          </w:tcPr>
          <w:p>
            <w:pPr>
              <w:spacing w:after="0"/>
              <w:rPr>
                <w:sz w:val="15"/>
                <w:szCs w:val="15"/>
                <w:color w:val="auto"/>
              </w:rPr>
            </w:pPr>
          </w:p>
        </w:tc>
        <w:tc>
          <w:tcPr>
            <w:tcW w:w="780" w:type="dxa"/>
            <w:vAlign w:val="bottom"/>
            <w:shd w:val="clear" w:color="auto" w:fill="CEFFE7"/>
          </w:tcPr>
          <w:p>
            <w:pPr>
              <w:spacing w:after="0"/>
              <w:rPr>
                <w:sz w:val="15"/>
                <w:szCs w:val="15"/>
                <w:color w:val="auto"/>
              </w:rPr>
            </w:pPr>
          </w:p>
        </w:tc>
        <w:tc>
          <w:tcPr>
            <w:tcW w:w="540" w:type="dxa"/>
            <w:vAlign w:val="bottom"/>
            <w:shd w:val="clear" w:color="auto" w:fill="CEFFE7"/>
          </w:tcPr>
          <w:p>
            <w:pPr>
              <w:spacing w:after="0"/>
              <w:rPr>
                <w:sz w:val="15"/>
                <w:szCs w:val="15"/>
                <w:color w:val="auto"/>
              </w:rPr>
            </w:pPr>
          </w:p>
        </w:tc>
        <w:tc>
          <w:tcPr>
            <w:tcW w:w="100" w:type="dxa"/>
            <w:vAlign w:val="bottom"/>
            <w:shd w:val="clear" w:color="auto" w:fill="CEFFE7"/>
          </w:tcPr>
          <w:p>
            <w:pPr>
              <w:spacing w:after="0"/>
              <w:rPr>
                <w:sz w:val="15"/>
                <w:szCs w:val="15"/>
                <w:color w:val="auto"/>
              </w:rPr>
            </w:pPr>
          </w:p>
        </w:tc>
        <w:tc>
          <w:tcPr>
            <w:tcW w:w="120" w:type="dxa"/>
            <w:vAlign w:val="bottom"/>
            <w:shd w:val="clear" w:color="auto" w:fill="CEFFE7"/>
          </w:tcPr>
          <w:p>
            <w:pPr>
              <w:spacing w:after="0"/>
              <w:rPr>
                <w:sz w:val="15"/>
                <w:szCs w:val="15"/>
                <w:color w:val="auto"/>
              </w:rPr>
            </w:pPr>
          </w:p>
        </w:tc>
        <w:tc>
          <w:tcPr>
            <w:tcW w:w="200" w:type="dxa"/>
            <w:vAlign w:val="bottom"/>
            <w:shd w:val="clear" w:color="auto" w:fill="CEFFE7"/>
          </w:tcPr>
          <w:p>
            <w:pPr>
              <w:spacing w:after="0"/>
              <w:rPr>
                <w:sz w:val="15"/>
                <w:szCs w:val="15"/>
                <w:color w:val="auto"/>
              </w:rPr>
            </w:pPr>
          </w:p>
        </w:tc>
        <w:tc>
          <w:tcPr>
            <w:tcW w:w="7940" w:type="dxa"/>
            <w:vAlign w:val="bottom"/>
            <w:gridSpan w:val="28"/>
            <w:shd w:val="clear" w:color="auto" w:fill="CEFFE7"/>
          </w:tcPr>
          <w:p>
            <w:pPr>
              <w:spacing w:after="0" w:line="175" w:lineRule="exact"/>
              <w:rPr>
                <w:rFonts w:ascii="Arial" w:cs="Arial" w:eastAsia="Arial" w:hAnsi="Arial"/>
                <w:sz w:val="16"/>
                <w:szCs w:val="16"/>
                <w:color w:val="0000FF"/>
              </w:rPr>
            </w:pPr>
            <w:hyperlink w:anchor="page40">
              <w:r>
                <w:rPr>
                  <w:rFonts w:ascii="Arial" w:cs="Arial" w:eastAsia="Arial" w:hAnsi="Arial"/>
                  <w:sz w:val="16"/>
                  <w:szCs w:val="16"/>
                  <w:color w:val="0000FF"/>
                </w:rPr>
                <w:t>Corporate and Other</w:t>
              </w:r>
            </w:hyperlink>
          </w:p>
        </w:tc>
        <w:tc>
          <w:tcPr>
            <w:tcW w:w="1500" w:type="dxa"/>
            <w:vAlign w:val="bottom"/>
            <w:gridSpan w:val="3"/>
            <w:shd w:val="clear" w:color="auto" w:fill="CEFFE7"/>
          </w:tcPr>
          <w:p>
            <w:pPr>
              <w:jc w:val="center"/>
              <w:spacing w:after="0" w:line="175" w:lineRule="exact"/>
              <w:rPr>
                <w:rFonts w:ascii="Arial" w:cs="Arial" w:eastAsia="Arial" w:hAnsi="Arial"/>
                <w:sz w:val="16"/>
                <w:szCs w:val="16"/>
                <w:color w:val="0000FF"/>
              </w:rPr>
            </w:pPr>
            <w:hyperlink w:anchor="page40">
              <w:r>
                <w:rPr>
                  <w:rFonts w:ascii="Arial" w:cs="Arial" w:eastAsia="Arial" w:hAnsi="Arial"/>
                  <w:sz w:val="16"/>
                  <w:szCs w:val="16"/>
                  <w:color w:val="0000FF"/>
                </w:rPr>
                <w:t>41</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0" w:type="dxa"/>
            <w:vAlign w:val="bottom"/>
            <w:tcBorders>
              <w:right w:val="single" w:sz="8" w:color="CEFFE7"/>
            </w:tcBorders>
          </w:tcPr>
          <w:p>
            <w:pPr>
              <w:spacing w:after="0" w:line="20" w:lineRule="exact"/>
              <w:rPr>
                <w:sz w:val="1"/>
                <w:szCs w:val="1"/>
                <w:color w:val="auto"/>
              </w:rPr>
            </w:pPr>
          </w:p>
        </w:tc>
        <w:tc>
          <w:tcPr>
            <w:tcW w:w="780" w:type="dxa"/>
            <w:vAlign w:val="bottom"/>
            <w:tcBorders>
              <w:top w:val="single" w:sz="8" w:color="CEFFE7"/>
            </w:tcBorders>
            <w:shd w:val="clear" w:color="auto" w:fill="CEFFE7"/>
          </w:tcPr>
          <w:p>
            <w:pPr>
              <w:spacing w:after="0" w:line="20" w:lineRule="exact"/>
              <w:rPr>
                <w:sz w:val="1"/>
                <w:szCs w:val="1"/>
                <w:color w:val="auto"/>
              </w:rPr>
            </w:pPr>
          </w:p>
        </w:tc>
        <w:tc>
          <w:tcPr>
            <w:tcW w:w="540" w:type="dxa"/>
            <w:vAlign w:val="bottom"/>
            <w:tcBorders>
              <w:top w:val="single" w:sz="8" w:color="CEFFE7"/>
            </w:tcBorders>
            <w:shd w:val="clear" w:color="auto" w:fill="CEFFE7"/>
          </w:tcPr>
          <w:p>
            <w:pPr>
              <w:spacing w:after="0" w:line="20" w:lineRule="exact"/>
              <w:rPr>
                <w:sz w:val="1"/>
                <w:szCs w:val="1"/>
                <w:color w:val="auto"/>
              </w:rPr>
            </w:pPr>
          </w:p>
        </w:tc>
        <w:tc>
          <w:tcPr>
            <w:tcW w:w="100" w:type="dxa"/>
            <w:vAlign w:val="bottom"/>
            <w:tcBorders>
              <w:top w:val="single" w:sz="8" w:color="CEFFE7"/>
            </w:tcBorders>
            <w:shd w:val="clear" w:color="auto" w:fill="CEFFE7"/>
          </w:tcPr>
          <w:p>
            <w:pPr>
              <w:spacing w:after="0" w:line="20" w:lineRule="exact"/>
              <w:rPr>
                <w:sz w:val="1"/>
                <w:szCs w:val="1"/>
                <w:color w:val="auto"/>
              </w:rPr>
            </w:pPr>
          </w:p>
        </w:tc>
        <w:tc>
          <w:tcPr>
            <w:tcW w:w="120" w:type="dxa"/>
            <w:vAlign w:val="bottom"/>
            <w:tcBorders>
              <w:top w:val="single" w:sz="8" w:color="CEFFE7"/>
            </w:tcBorders>
            <w:shd w:val="clear" w:color="auto" w:fill="CEFFE7"/>
          </w:tcPr>
          <w:p>
            <w:pPr>
              <w:spacing w:after="0" w:line="20" w:lineRule="exact"/>
              <w:rPr>
                <w:sz w:val="1"/>
                <w:szCs w:val="1"/>
                <w:color w:val="auto"/>
              </w:rPr>
            </w:pPr>
          </w:p>
        </w:tc>
        <w:tc>
          <w:tcPr>
            <w:tcW w:w="20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220" w:type="dxa"/>
            <w:vAlign w:val="bottom"/>
            <w:tcBorders>
              <w:top w:val="single" w:sz="8" w:color="0000FF"/>
            </w:tcBorders>
            <w:shd w:val="clear" w:color="auto" w:fill="CEFFE7"/>
          </w:tcPr>
          <w:p>
            <w:pPr>
              <w:spacing w:after="0" w:line="20" w:lineRule="exact"/>
              <w:rPr>
                <w:sz w:val="1"/>
                <w:szCs w:val="1"/>
                <w:color w:val="auto"/>
              </w:rPr>
            </w:pPr>
          </w:p>
        </w:tc>
        <w:tc>
          <w:tcPr>
            <w:tcW w:w="240" w:type="dxa"/>
            <w:vAlign w:val="bottom"/>
            <w:tcBorders>
              <w:top w:val="single" w:sz="8" w:color="0000FF"/>
            </w:tcBorders>
            <w:shd w:val="clear" w:color="auto" w:fill="CEFFE7"/>
          </w:tcPr>
          <w:p>
            <w:pPr>
              <w:spacing w:after="0" w:line="20" w:lineRule="exact"/>
              <w:rPr>
                <w:sz w:val="1"/>
                <w:szCs w:val="1"/>
                <w:color w:val="auto"/>
              </w:rPr>
            </w:pPr>
          </w:p>
        </w:tc>
        <w:tc>
          <w:tcPr>
            <w:tcW w:w="100" w:type="dxa"/>
            <w:vAlign w:val="bottom"/>
            <w:tcBorders>
              <w:top w:val="single" w:sz="8" w:color="0000FF"/>
            </w:tcBorders>
            <w:shd w:val="clear" w:color="auto" w:fill="CEFFE7"/>
          </w:tcPr>
          <w:p>
            <w:pPr>
              <w:spacing w:after="0" w:line="20" w:lineRule="exact"/>
              <w:rPr>
                <w:sz w:val="1"/>
                <w:szCs w:val="1"/>
                <w:color w:val="auto"/>
              </w:rPr>
            </w:pPr>
          </w:p>
        </w:tc>
        <w:tc>
          <w:tcPr>
            <w:tcW w:w="60" w:type="dxa"/>
            <w:vAlign w:val="bottom"/>
            <w:tcBorders>
              <w:top w:val="single" w:sz="8" w:color="0000FF"/>
            </w:tcBorders>
            <w:shd w:val="clear" w:color="auto" w:fill="CEFFE7"/>
          </w:tcPr>
          <w:p>
            <w:pPr>
              <w:spacing w:after="0" w:line="20" w:lineRule="exact"/>
              <w:rPr>
                <w:sz w:val="1"/>
                <w:szCs w:val="1"/>
                <w:color w:val="auto"/>
              </w:rPr>
            </w:pPr>
          </w:p>
        </w:tc>
        <w:tc>
          <w:tcPr>
            <w:tcW w:w="100" w:type="dxa"/>
            <w:vAlign w:val="bottom"/>
            <w:tcBorders>
              <w:top w:val="single" w:sz="8" w:color="0000FF"/>
            </w:tcBorders>
            <w:shd w:val="clear" w:color="auto" w:fill="CEFFE7"/>
          </w:tcPr>
          <w:p>
            <w:pPr>
              <w:spacing w:after="0" w:line="20" w:lineRule="exact"/>
              <w:rPr>
                <w:sz w:val="1"/>
                <w:szCs w:val="1"/>
                <w:color w:val="auto"/>
              </w:rPr>
            </w:pPr>
          </w:p>
        </w:tc>
        <w:tc>
          <w:tcPr>
            <w:tcW w:w="120" w:type="dxa"/>
            <w:vAlign w:val="bottom"/>
            <w:tcBorders>
              <w:top w:val="single" w:sz="8" w:color="0000FF"/>
            </w:tcBorders>
            <w:shd w:val="clear" w:color="auto" w:fill="CEFFE7"/>
          </w:tcPr>
          <w:p>
            <w:pPr>
              <w:spacing w:after="0" w:line="20" w:lineRule="exact"/>
              <w:rPr>
                <w:sz w:val="1"/>
                <w:szCs w:val="1"/>
                <w:color w:val="auto"/>
              </w:rPr>
            </w:pPr>
          </w:p>
        </w:tc>
        <w:tc>
          <w:tcPr>
            <w:tcW w:w="160" w:type="dxa"/>
            <w:vAlign w:val="bottom"/>
            <w:tcBorders>
              <w:top w:val="single" w:sz="8" w:color="0000FF"/>
            </w:tcBorders>
            <w:shd w:val="clear" w:color="auto" w:fill="CEFFE7"/>
          </w:tcPr>
          <w:p>
            <w:pPr>
              <w:spacing w:after="0" w:line="20" w:lineRule="exact"/>
              <w:rPr>
                <w:sz w:val="1"/>
                <w:szCs w:val="1"/>
                <w:color w:val="auto"/>
              </w:rPr>
            </w:pPr>
          </w:p>
        </w:tc>
        <w:tc>
          <w:tcPr>
            <w:tcW w:w="8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100" w:type="dxa"/>
            <w:vAlign w:val="bottom"/>
            <w:tcBorders>
              <w:top w:val="single" w:sz="8" w:color="0000FF"/>
            </w:tcBorders>
            <w:shd w:val="clear" w:color="auto" w:fill="CEFFE7"/>
          </w:tcPr>
          <w:p>
            <w:pPr>
              <w:spacing w:after="0" w:line="20" w:lineRule="exact"/>
              <w:rPr>
                <w:sz w:val="1"/>
                <w:szCs w:val="1"/>
                <w:color w:val="auto"/>
              </w:rPr>
            </w:pPr>
          </w:p>
        </w:tc>
        <w:tc>
          <w:tcPr>
            <w:tcW w:w="60" w:type="dxa"/>
            <w:vAlign w:val="bottom"/>
            <w:tcBorders>
              <w:top w:val="single" w:sz="8" w:color="0000FF"/>
            </w:tcBorders>
            <w:shd w:val="clear" w:color="auto" w:fill="CEFFE7"/>
          </w:tcPr>
          <w:p>
            <w:pPr>
              <w:spacing w:after="0" w:line="20" w:lineRule="exact"/>
              <w:rPr>
                <w:sz w:val="1"/>
                <w:szCs w:val="1"/>
                <w:color w:val="auto"/>
              </w:rPr>
            </w:pPr>
          </w:p>
        </w:tc>
        <w:tc>
          <w:tcPr>
            <w:tcW w:w="6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80" w:type="dxa"/>
            <w:vAlign w:val="bottom"/>
            <w:tcBorders>
              <w:top w:val="single" w:sz="8" w:color="CEFFE7"/>
            </w:tcBorders>
            <w:shd w:val="clear" w:color="auto" w:fill="CEFFE7"/>
          </w:tcPr>
          <w:p>
            <w:pPr>
              <w:spacing w:after="0" w:line="20" w:lineRule="exact"/>
              <w:rPr>
                <w:sz w:val="1"/>
                <w:szCs w:val="1"/>
                <w:color w:val="auto"/>
              </w:rPr>
            </w:pPr>
          </w:p>
        </w:tc>
        <w:tc>
          <w:tcPr>
            <w:tcW w:w="520" w:type="dxa"/>
            <w:vAlign w:val="bottom"/>
            <w:tcBorders>
              <w:top w:val="single" w:sz="8" w:color="CEFFE7"/>
            </w:tcBorders>
            <w:shd w:val="clear" w:color="auto" w:fill="CEFFE7"/>
          </w:tcPr>
          <w:p>
            <w:pPr>
              <w:spacing w:after="0" w:line="20" w:lineRule="exact"/>
              <w:rPr>
                <w:sz w:val="1"/>
                <w:szCs w:val="1"/>
                <w:color w:val="auto"/>
              </w:rPr>
            </w:pPr>
          </w:p>
        </w:tc>
        <w:tc>
          <w:tcPr>
            <w:tcW w:w="100" w:type="dxa"/>
            <w:vAlign w:val="bottom"/>
            <w:tcBorders>
              <w:top w:val="single" w:sz="8" w:color="CEFFE7"/>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1680" w:type="dxa"/>
            <w:vAlign w:val="bottom"/>
            <w:tcBorders>
              <w:top w:val="single" w:sz="8" w:color="CEFFE7"/>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180" w:type="dxa"/>
            <w:vAlign w:val="bottom"/>
            <w:tcBorders>
              <w:top w:val="single" w:sz="8" w:color="CEFFE7"/>
            </w:tcBorders>
            <w:shd w:val="clear" w:color="auto" w:fill="CEFFE7"/>
          </w:tcPr>
          <w:p>
            <w:pPr>
              <w:spacing w:after="0" w:line="20" w:lineRule="exact"/>
              <w:rPr>
                <w:sz w:val="1"/>
                <w:szCs w:val="1"/>
                <w:color w:val="auto"/>
              </w:rPr>
            </w:pPr>
          </w:p>
        </w:tc>
        <w:tc>
          <w:tcPr>
            <w:tcW w:w="1820" w:type="dxa"/>
            <w:vAlign w:val="bottom"/>
            <w:tcBorders>
              <w:top w:val="single" w:sz="8" w:color="CEFFE7"/>
            </w:tcBorders>
            <w:shd w:val="clear" w:color="auto" w:fill="CEFFE7"/>
          </w:tcPr>
          <w:p>
            <w:pPr>
              <w:spacing w:after="0" w:line="20" w:lineRule="exact"/>
              <w:rPr>
                <w:sz w:val="1"/>
                <w:szCs w:val="1"/>
                <w:color w:val="auto"/>
              </w:rPr>
            </w:pPr>
          </w:p>
        </w:tc>
        <w:tc>
          <w:tcPr>
            <w:tcW w:w="1680" w:type="dxa"/>
            <w:vAlign w:val="bottom"/>
            <w:tcBorders>
              <w:top w:val="single" w:sz="8" w:color="CEFFE7"/>
            </w:tcBorders>
            <w:shd w:val="clear" w:color="auto" w:fill="CEFFE7"/>
          </w:tcPr>
          <w:p>
            <w:pPr>
              <w:spacing w:after="0" w:line="20" w:lineRule="exact"/>
              <w:rPr>
                <w:sz w:val="1"/>
                <w:szCs w:val="1"/>
                <w:color w:val="auto"/>
              </w:rPr>
            </w:pPr>
          </w:p>
        </w:tc>
        <w:tc>
          <w:tcPr>
            <w:tcW w:w="220" w:type="dxa"/>
            <w:vAlign w:val="bottom"/>
            <w:tcBorders>
              <w:top w:val="single" w:sz="8" w:color="CEFFE7"/>
            </w:tcBorders>
            <w:shd w:val="clear" w:color="auto" w:fill="CEFFE7"/>
          </w:tcPr>
          <w:p>
            <w:pPr>
              <w:spacing w:after="0" w:line="20" w:lineRule="exact"/>
              <w:rPr>
                <w:sz w:val="1"/>
                <w:szCs w:val="1"/>
                <w:color w:val="auto"/>
              </w:rPr>
            </w:pPr>
          </w:p>
        </w:tc>
        <w:tc>
          <w:tcPr>
            <w:tcW w:w="660" w:type="dxa"/>
            <w:vAlign w:val="bottom"/>
            <w:tcBorders>
              <w:top w:val="single" w:sz="8" w:color="CEFFE7"/>
            </w:tcBorders>
            <w:shd w:val="clear" w:color="auto" w:fill="CEFFE7"/>
          </w:tcPr>
          <w:p>
            <w:pPr>
              <w:spacing w:after="0" w:line="20" w:lineRule="exact"/>
              <w:rPr>
                <w:sz w:val="1"/>
                <w:szCs w:val="1"/>
                <w:color w:val="auto"/>
              </w:rPr>
            </w:pPr>
          </w:p>
        </w:tc>
        <w:tc>
          <w:tcPr>
            <w:tcW w:w="180" w:type="dxa"/>
            <w:vAlign w:val="bottom"/>
            <w:tcBorders>
              <w:top w:val="single" w:sz="8" w:color="0000FF"/>
            </w:tcBorders>
            <w:shd w:val="clear" w:color="auto" w:fill="CEFFE7"/>
          </w:tcPr>
          <w:p>
            <w:pPr>
              <w:spacing w:after="0" w:line="20" w:lineRule="exact"/>
              <w:rPr>
                <w:sz w:val="1"/>
                <w:szCs w:val="1"/>
                <w:color w:val="auto"/>
              </w:rPr>
            </w:pPr>
          </w:p>
        </w:tc>
        <w:tc>
          <w:tcPr>
            <w:tcW w:w="66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940" w:type="dxa"/>
            <w:vAlign w:val="bottom"/>
            <w:gridSpan w:val="28"/>
          </w:tcPr>
          <w:p>
            <w:pPr>
              <w:spacing w:after="0" w:line="175" w:lineRule="exact"/>
              <w:rPr>
                <w:rFonts w:ascii="Arial" w:cs="Arial" w:eastAsia="Arial" w:hAnsi="Arial"/>
                <w:sz w:val="16"/>
                <w:szCs w:val="16"/>
                <w:color w:val="0000FF"/>
              </w:rPr>
            </w:pPr>
            <w:hyperlink w:anchor="page41">
              <w:r>
                <w:rPr>
                  <w:rFonts w:ascii="Arial" w:cs="Arial" w:eastAsia="Arial" w:hAnsi="Arial"/>
                  <w:sz w:val="16"/>
                  <w:szCs w:val="16"/>
                  <w:color w:val="0000FF"/>
                </w:rPr>
                <w:t>Consolidated Interest Expense, Impairment of Investment, Other Income (Expense) and Income Tax Benefit</w:t>
              </w:r>
            </w:hyperlink>
          </w:p>
        </w:tc>
        <w:tc>
          <w:tcPr>
            <w:tcW w:w="1500" w:type="dxa"/>
            <w:vAlign w:val="bottom"/>
            <w:gridSpan w:val="3"/>
            <w:vMerge w:val="restart"/>
          </w:tcPr>
          <w:p>
            <w:pPr>
              <w:jc w:val="center"/>
              <w:spacing w:after="0"/>
              <w:rPr>
                <w:rFonts w:ascii="Arial" w:cs="Arial" w:eastAsia="Arial" w:hAnsi="Arial"/>
                <w:sz w:val="16"/>
                <w:szCs w:val="16"/>
                <w:color w:val="0000FF"/>
              </w:rPr>
            </w:pPr>
            <w:hyperlink w:anchor="page41">
              <w:r>
                <w:rPr>
                  <w:rFonts w:ascii="Arial" w:cs="Arial" w:eastAsia="Arial" w:hAnsi="Arial"/>
                  <w:sz w:val="16"/>
                  <w:szCs w:val="16"/>
                  <w:color w:val="0000FF"/>
                </w:rPr>
                <w:t>41</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720" w:type="dxa"/>
            <w:vAlign w:val="bottom"/>
            <w:tcBorders>
              <w:top w:val="single" w:sz="8" w:color="0000FF"/>
            </w:tcBorders>
            <w:gridSpan w:val="27"/>
          </w:tcPr>
          <w:p>
            <w:pPr>
              <w:spacing w:after="0" w:line="142" w:lineRule="exact"/>
              <w:rPr>
                <w:rFonts w:ascii="Arial" w:cs="Arial" w:eastAsia="Arial" w:hAnsi="Arial"/>
                <w:sz w:val="16"/>
                <w:szCs w:val="16"/>
                <w:color w:val="0000FF"/>
              </w:rPr>
            </w:pPr>
            <w:hyperlink w:anchor="page41">
              <w:r>
                <w:rPr>
                  <w:rFonts w:ascii="Arial" w:cs="Arial" w:eastAsia="Arial" w:hAnsi="Arial"/>
                  <w:sz w:val="16"/>
                  <w:szCs w:val="16"/>
                  <w:color w:val="0000FF"/>
                </w:rPr>
                <w:t>(Expense)</w:t>
              </w:r>
            </w:hyperlink>
          </w:p>
        </w:tc>
        <w:tc>
          <w:tcPr>
            <w:tcW w:w="220" w:type="dxa"/>
            <w:vAlign w:val="bottom"/>
          </w:tcPr>
          <w:p>
            <w:pPr>
              <w:spacing w:after="0"/>
              <w:rPr>
                <w:sz w:val="12"/>
                <w:szCs w:val="12"/>
                <w:color w:val="auto"/>
              </w:rPr>
            </w:pPr>
          </w:p>
        </w:tc>
        <w:tc>
          <w:tcPr>
            <w:tcW w:w="150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0" w:type="dxa"/>
            <w:vAlign w:val="bottom"/>
            <w:tcBorders>
              <w:right w:val="single" w:sz="8" w:color="CEFFE7"/>
            </w:tcBorders>
          </w:tcPr>
          <w:p>
            <w:pPr>
              <w:spacing w:after="0"/>
              <w:rPr>
                <w:sz w:val="15"/>
                <w:szCs w:val="15"/>
                <w:color w:val="auto"/>
              </w:rPr>
            </w:pPr>
          </w:p>
        </w:tc>
        <w:tc>
          <w:tcPr>
            <w:tcW w:w="780" w:type="dxa"/>
            <w:vAlign w:val="bottom"/>
            <w:shd w:val="clear" w:color="auto" w:fill="CEFFE7"/>
          </w:tcPr>
          <w:p>
            <w:pPr>
              <w:spacing w:after="0"/>
              <w:rPr>
                <w:sz w:val="15"/>
                <w:szCs w:val="15"/>
                <w:color w:val="auto"/>
              </w:rPr>
            </w:pPr>
          </w:p>
        </w:tc>
        <w:tc>
          <w:tcPr>
            <w:tcW w:w="540" w:type="dxa"/>
            <w:vAlign w:val="bottom"/>
            <w:shd w:val="clear" w:color="auto" w:fill="CEFFE7"/>
          </w:tcPr>
          <w:p>
            <w:pPr>
              <w:spacing w:after="0"/>
              <w:rPr>
                <w:sz w:val="15"/>
                <w:szCs w:val="15"/>
                <w:color w:val="auto"/>
              </w:rPr>
            </w:pPr>
          </w:p>
        </w:tc>
        <w:tc>
          <w:tcPr>
            <w:tcW w:w="100" w:type="dxa"/>
            <w:vAlign w:val="bottom"/>
            <w:shd w:val="clear" w:color="auto" w:fill="CEFFE7"/>
          </w:tcPr>
          <w:p>
            <w:pPr>
              <w:spacing w:after="0"/>
              <w:rPr>
                <w:sz w:val="15"/>
                <w:szCs w:val="15"/>
                <w:color w:val="auto"/>
              </w:rPr>
            </w:pPr>
          </w:p>
        </w:tc>
        <w:tc>
          <w:tcPr>
            <w:tcW w:w="8260" w:type="dxa"/>
            <w:vAlign w:val="bottom"/>
            <w:gridSpan w:val="30"/>
            <w:shd w:val="clear" w:color="auto" w:fill="CEFFE7"/>
          </w:tcPr>
          <w:p>
            <w:pPr>
              <w:ind w:left="120"/>
              <w:spacing w:after="0" w:line="175" w:lineRule="exact"/>
              <w:rPr>
                <w:rFonts w:ascii="Arial" w:cs="Arial" w:eastAsia="Arial" w:hAnsi="Arial"/>
                <w:sz w:val="16"/>
                <w:szCs w:val="16"/>
                <w:color w:val="0000FF"/>
              </w:rPr>
            </w:pPr>
            <w:hyperlink w:anchor="page41">
              <w:r>
                <w:rPr>
                  <w:rFonts w:ascii="Arial" w:cs="Arial" w:eastAsia="Arial" w:hAnsi="Arial"/>
                  <w:sz w:val="16"/>
                  <w:szCs w:val="16"/>
                  <w:color w:val="0000FF"/>
                </w:rPr>
                <w:t>Liquidity and Capital Resources</w:t>
              </w:r>
            </w:hyperlink>
          </w:p>
        </w:tc>
        <w:tc>
          <w:tcPr>
            <w:tcW w:w="1500" w:type="dxa"/>
            <w:vAlign w:val="bottom"/>
            <w:gridSpan w:val="3"/>
            <w:shd w:val="clear" w:color="auto" w:fill="CEFFE7"/>
          </w:tcPr>
          <w:p>
            <w:pPr>
              <w:jc w:val="center"/>
              <w:spacing w:after="0" w:line="175" w:lineRule="exact"/>
              <w:rPr>
                <w:rFonts w:ascii="Arial" w:cs="Arial" w:eastAsia="Arial" w:hAnsi="Arial"/>
                <w:sz w:val="16"/>
                <w:szCs w:val="16"/>
                <w:color w:val="0000FF"/>
              </w:rPr>
            </w:pPr>
            <w:hyperlink w:anchor="page42">
              <w:r>
                <w:rPr>
                  <w:rFonts w:ascii="Arial" w:cs="Arial" w:eastAsia="Arial" w:hAnsi="Arial"/>
                  <w:sz w:val="16"/>
                  <w:szCs w:val="16"/>
                  <w:color w:val="0000FF"/>
                </w:rPr>
                <w:t>42</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0" w:type="dxa"/>
            <w:vAlign w:val="bottom"/>
            <w:tcBorders>
              <w:right w:val="single" w:sz="8" w:color="CEFFE7"/>
            </w:tcBorders>
          </w:tcPr>
          <w:p>
            <w:pPr>
              <w:spacing w:after="0" w:line="20" w:lineRule="exact"/>
              <w:rPr>
                <w:sz w:val="1"/>
                <w:szCs w:val="1"/>
                <w:color w:val="auto"/>
              </w:rPr>
            </w:pPr>
          </w:p>
        </w:tc>
        <w:tc>
          <w:tcPr>
            <w:tcW w:w="780" w:type="dxa"/>
            <w:vAlign w:val="bottom"/>
            <w:tcBorders>
              <w:top w:val="single" w:sz="8" w:color="CEFFE7"/>
            </w:tcBorders>
            <w:shd w:val="clear" w:color="auto" w:fill="CEFFE7"/>
          </w:tcPr>
          <w:p>
            <w:pPr>
              <w:spacing w:after="0" w:line="20" w:lineRule="exact"/>
              <w:rPr>
                <w:sz w:val="1"/>
                <w:szCs w:val="1"/>
                <w:color w:val="auto"/>
              </w:rPr>
            </w:pPr>
          </w:p>
        </w:tc>
        <w:tc>
          <w:tcPr>
            <w:tcW w:w="540" w:type="dxa"/>
            <w:vAlign w:val="bottom"/>
            <w:tcBorders>
              <w:top w:val="single" w:sz="8" w:color="CEFFE7"/>
            </w:tcBorders>
            <w:shd w:val="clear" w:color="auto" w:fill="CEFFE7"/>
          </w:tcPr>
          <w:p>
            <w:pPr>
              <w:spacing w:after="0" w:line="20" w:lineRule="exact"/>
              <w:rPr>
                <w:sz w:val="1"/>
                <w:szCs w:val="1"/>
                <w:color w:val="auto"/>
              </w:rPr>
            </w:pPr>
          </w:p>
        </w:tc>
        <w:tc>
          <w:tcPr>
            <w:tcW w:w="100" w:type="dxa"/>
            <w:vAlign w:val="bottom"/>
            <w:tcBorders>
              <w:top w:val="single" w:sz="8" w:color="CEFFE7"/>
            </w:tcBorders>
            <w:shd w:val="clear" w:color="auto" w:fill="CEFFE7"/>
          </w:tcPr>
          <w:p>
            <w:pPr>
              <w:spacing w:after="0" w:line="20" w:lineRule="exact"/>
              <w:rPr>
                <w:sz w:val="1"/>
                <w:szCs w:val="1"/>
                <w:color w:val="auto"/>
              </w:rPr>
            </w:pPr>
          </w:p>
        </w:tc>
        <w:tc>
          <w:tcPr>
            <w:tcW w:w="120" w:type="dxa"/>
            <w:vAlign w:val="bottom"/>
            <w:tcBorders>
              <w:top w:val="single" w:sz="8" w:color="CEFFE7"/>
            </w:tcBorders>
            <w:shd w:val="clear" w:color="auto" w:fill="CEFFE7"/>
          </w:tcPr>
          <w:p>
            <w:pPr>
              <w:spacing w:after="0" w:line="20" w:lineRule="exact"/>
              <w:rPr>
                <w:sz w:val="1"/>
                <w:szCs w:val="1"/>
                <w:color w:val="auto"/>
              </w:rPr>
            </w:pPr>
          </w:p>
        </w:tc>
        <w:tc>
          <w:tcPr>
            <w:tcW w:w="20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220" w:type="dxa"/>
            <w:vAlign w:val="bottom"/>
            <w:tcBorders>
              <w:top w:val="single" w:sz="8" w:color="0000FF"/>
            </w:tcBorders>
            <w:shd w:val="clear" w:color="auto" w:fill="CEFFE7"/>
          </w:tcPr>
          <w:p>
            <w:pPr>
              <w:spacing w:after="0" w:line="20" w:lineRule="exact"/>
              <w:rPr>
                <w:sz w:val="1"/>
                <w:szCs w:val="1"/>
                <w:color w:val="auto"/>
              </w:rPr>
            </w:pPr>
          </w:p>
        </w:tc>
        <w:tc>
          <w:tcPr>
            <w:tcW w:w="240" w:type="dxa"/>
            <w:vAlign w:val="bottom"/>
            <w:tcBorders>
              <w:top w:val="single" w:sz="8" w:color="0000FF"/>
            </w:tcBorders>
            <w:shd w:val="clear" w:color="auto" w:fill="CEFFE7"/>
          </w:tcPr>
          <w:p>
            <w:pPr>
              <w:spacing w:after="0" w:line="20" w:lineRule="exact"/>
              <w:rPr>
                <w:sz w:val="1"/>
                <w:szCs w:val="1"/>
                <w:color w:val="auto"/>
              </w:rPr>
            </w:pPr>
          </w:p>
        </w:tc>
        <w:tc>
          <w:tcPr>
            <w:tcW w:w="100" w:type="dxa"/>
            <w:vAlign w:val="bottom"/>
            <w:tcBorders>
              <w:top w:val="single" w:sz="8" w:color="0000FF"/>
            </w:tcBorders>
            <w:shd w:val="clear" w:color="auto" w:fill="CEFFE7"/>
          </w:tcPr>
          <w:p>
            <w:pPr>
              <w:spacing w:after="0" w:line="20" w:lineRule="exact"/>
              <w:rPr>
                <w:sz w:val="1"/>
                <w:szCs w:val="1"/>
                <w:color w:val="auto"/>
              </w:rPr>
            </w:pPr>
          </w:p>
        </w:tc>
        <w:tc>
          <w:tcPr>
            <w:tcW w:w="60" w:type="dxa"/>
            <w:vAlign w:val="bottom"/>
            <w:tcBorders>
              <w:top w:val="single" w:sz="8" w:color="0000FF"/>
            </w:tcBorders>
            <w:shd w:val="clear" w:color="auto" w:fill="CEFFE7"/>
          </w:tcPr>
          <w:p>
            <w:pPr>
              <w:spacing w:after="0" w:line="20" w:lineRule="exact"/>
              <w:rPr>
                <w:sz w:val="1"/>
                <w:szCs w:val="1"/>
                <w:color w:val="auto"/>
              </w:rPr>
            </w:pPr>
          </w:p>
        </w:tc>
        <w:tc>
          <w:tcPr>
            <w:tcW w:w="100" w:type="dxa"/>
            <w:vAlign w:val="bottom"/>
            <w:tcBorders>
              <w:top w:val="single" w:sz="8" w:color="0000FF"/>
            </w:tcBorders>
            <w:shd w:val="clear" w:color="auto" w:fill="CEFFE7"/>
          </w:tcPr>
          <w:p>
            <w:pPr>
              <w:spacing w:after="0" w:line="20" w:lineRule="exact"/>
              <w:rPr>
                <w:sz w:val="1"/>
                <w:szCs w:val="1"/>
                <w:color w:val="auto"/>
              </w:rPr>
            </w:pPr>
          </w:p>
        </w:tc>
        <w:tc>
          <w:tcPr>
            <w:tcW w:w="120" w:type="dxa"/>
            <w:vAlign w:val="bottom"/>
            <w:tcBorders>
              <w:top w:val="single" w:sz="8" w:color="0000FF"/>
            </w:tcBorders>
            <w:shd w:val="clear" w:color="auto" w:fill="CEFFE7"/>
          </w:tcPr>
          <w:p>
            <w:pPr>
              <w:spacing w:after="0" w:line="20" w:lineRule="exact"/>
              <w:rPr>
                <w:sz w:val="1"/>
                <w:szCs w:val="1"/>
                <w:color w:val="auto"/>
              </w:rPr>
            </w:pPr>
          </w:p>
        </w:tc>
        <w:tc>
          <w:tcPr>
            <w:tcW w:w="160" w:type="dxa"/>
            <w:vAlign w:val="bottom"/>
            <w:tcBorders>
              <w:top w:val="single" w:sz="8" w:color="0000FF"/>
            </w:tcBorders>
            <w:shd w:val="clear" w:color="auto" w:fill="CEFFE7"/>
          </w:tcPr>
          <w:p>
            <w:pPr>
              <w:spacing w:after="0" w:line="20" w:lineRule="exact"/>
              <w:rPr>
                <w:sz w:val="1"/>
                <w:szCs w:val="1"/>
                <w:color w:val="auto"/>
              </w:rPr>
            </w:pPr>
          </w:p>
        </w:tc>
        <w:tc>
          <w:tcPr>
            <w:tcW w:w="8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100" w:type="dxa"/>
            <w:vAlign w:val="bottom"/>
            <w:tcBorders>
              <w:top w:val="single" w:sz="8" w:color="0000FF"/>
            </w:tcBorders>
            <w:shd w:val="clear" w:color="auto" w:fill="CEFFE7"/>
          </w:tcPr>
          <w:p>
            <w:pPr>
              <w:spacing w:after="0" w:line="20" w:lineRule="exact"/>
              <w:rPr>
                <w:sz w:val="1"/>
                <w:szCs w:val="1"/>
                <w:color w:val="auto"/>
              </w:rPr>
            </w:pPr>
          </w:p>
        </w:tc>
        <w:tc>
          <w:tcPr>
            <w:tcW w:w="60" w:type="dxa"/>
            <w:vAlign w:val="bottom"/>
            <w:tcBorders>
              <w:top w:val="single" w:sz="8" w:color="0000FF"/>
            </w:tcBorders>
            <w:shd w:val="clear" w:color="auto" w:fill="CEFFE7"/>
          </w:tcPr>
          <w:p>
            <w:pPr>
              <w:spacing w:after="0" w:line="20" w:lineRule="exact"/>
              <w:rPr>
                <w:sz w:val="1"/>
                <w:szCs w:val="1"/>
                <w:color w:val="auto"/>
              </w:rPr>
            </w:pPr>
          </w:p>
        </w:tc>
        <w:tc>
          <w:tcPr>
            <w:tcW w:w="6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80" w:type="dxa"/>
            <w:vAlign w:val="bottom"/>
            <w:tcBorders>
              <w:top w:val="single" w:sz="8" w:color="0000FF"/>
            </w:tcBorders>
            <w:shd w:val="clear" w:color="auto" w:fill="CEFFE7"/>
          </w:tcPr>
          <w:p>
            <w:pPr>
              <w:spacing w:after="0" w:line="20" w:lineRule="exact"/>
              <w:rPr>
                <w:sz w:val="1"/>
                <w:szCs w:val="1"/>
                <w:color w:val="auto"/>
              </w:rPr>
            </w:pPr>
          </w:p>
        </w:tc>
        <w:tc>
          <w:tcPr>
            <w:tcW w:w="520" w:type="dxa"/>
            <w:vAlign w:val="bottom"/>
            <w:tcBorders>
              <w:top w:val="single" w:sz="8" w:color="0000FF"/>
            </w:tcBorders>
            <w:shd w:val="clear" w:color="auto" w:fill="CEFFE7"/>
          </w:tcPr>
          <w:p>
            <w:pPr>
              <w:spacing w:after="0" w:line="20" w:lineRule="exact"/>
              <w:rPr>
                <w:sz w:val="1"/>
                <w:szCs w:val="1"/>
                <w:color w:val="auto"/>
              </w:rPr>
            </w:pPr>
          </w:p>
        </w:tc>
        <w:tc>
          <w:tcPr>
            <w:tcW w:w="100" w:type="dxa"/>
            <w:vAlign w:val="bottom"/>
            <w:tcBorders>
              <w:top w:val="single" w:sz="8" w:color="CEFFE7"/>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1680" w:type="dxa"/>
            <w:vAlign w:val="bottom"/>
            <w:tcBorders>
              <w:top w:val="single" w:sz="8" w:color="CEFFE7"/>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180" w:type="dxa"/>
            <w:vAlign w:val="bottom"/>
            <w:tcBorders>
              <w:top w:val="single" w:sz="8" w:color="CEFFE7"/>
            </w:tcBorders>
            <w:shd w:val="clear" w:color="auto" w:fill="CEFFE7"/>
          </w:tcPr>
          <w:p>
            <w:pPr>
              <w:spacing w:after="0" w:line="20" w:lineRule="exact"/>
              <w:rPr>
                <w:sz w:val="1"/>
                <w:szCs w:val="1"/>
                <w:color w:val="auto"/>
              </w:rPr>
            </w:pPr>
          </w:p>
        </w:tc>
        <w:tc>
          <w:tcPr>
            <w:tcW w:w="1820" w:type="dxa"/>
            <w:vAlign w:val="bottom"/>
            <w:tcBorders>
              <w:top w:val="single" w:sz="8" w:color="CEFFE7"/>
            </w:tcBorders>
            <w:shd w:val="clear" w:color="auto" w:fill="CEFFE7"/>
          </w:tcPr>
          <w:p>
            <w:pPr>
              <w:spacing w:after="0" w:line="20" w:lineRule="exact"/>
              <w:rPr>
                <w:sz w:val="1"/>
                <w:szCs w:val="1"/>
                <w:color w:val="auto"/>
              </w:rPr>
            </w:pPr>
          </w:p>
        </w:tc>
        <w:tc>
          <w:tcPr>
            <w:tcW w:w="1680" w:type="dxa"/>
            <w:vAlign w:val="bottom"/>
            <w:tcBorders>
              <w:top w:val="single" w:sz="8" w:color="CEFFE7"/>
            </w:tcBorders>
            <w:shd w:val="clear" w:color="auto" w:fill="CEFFE7"/>
          </w:tcPr>
          <w:p>
            <w:pPr>
              <w:spacing w:after="0" w:line="20" w:lineRule="exact"/>
              <w:rPr>
                <w:sz w:val="1"/>
                <w:szCs w:val="1"/>
                <w:color w:val="auto"/>
              </w:rPr>
            </w:pPr>
          </w:p>
        </w:tc>
        <w:tc>
          <w:tcPr>
            <w:tcW w:w="220" w:type="dxa"/>
            <w:vAlign w:val="bottom"/>
            <w:tcBorders>
              <w:top w:val="single" w:sz="8" w:color="CEFFE7"/>
            </w:tcBorders>
            <w:shd w:val="clear" w:color="auto" w:fill="CEFFE7"/>
          </w:tcPr>
          <w:p>
            <w:pPr>
              <w:spacing w:after="0" w:line="20" w:lineRule="exact"/>
              <w:rPr>
                <w:sz w:val="1"/>
                <w:szCs w:val="1"/>
                <w:color w:val="auto"/>
              </w:rPr>
            </w:pPr>
          </w:p>
        </w:tc>
        <w:tc>
          <w:tcPr>
            <w:tcW w:w="660" w:type="dxa"/>
            <w:vAlign w:val="bottom"/>
            <w:tcBorders>
              <w:top w:val="single" w:sz="8" w:color="CEFFE7"/>
            </w:tcBorders>
            <w:shd w:val="clear" w:color="auto" w:fill="CEFFE7"/>
          </w:tcPr>
          <w:p>
            <w:pPr>
              <w:spacing w:after="0" w:line="20" w:lineRule="exact"/>
              <w:rPr>
                <w:sz w:val="1"/>
                <w:szCs w:val="1"/>
                <w:color w:val="auto"/>
              </w:rPr>
            </w:pPr>
          </w:p>
        </w:tc>
        <w:tc>
          <w:tcPr>
            <w:tcW w:w="180" w:type="dxa"/>
            <w:vAlign w:val="bottom"/>
            <w:tcBorders>
              <w:top w:val="single" w:sz="8" w:color="0000FF"/>
            </w:tcBorders>
            <w:shd w:val="clear" w:color="auto" w:fill="CEFFE7"/>
          </w:tcPr>
          <w:p>
            <w:pPr>
              <w:spacing w:after="0" w:line="20" w:lineRule="exact"/>
              <w:rPr>
                <w:sz w:val="1"/>
                <w:szCs w:val="1"/>
                <w:color w:val="auto"/>
              </w:rPr>
            </w:pPr>
          </w:p>
        </w:tc>
        <w:tc>
          <w:tcPr>
            <w:tcW w:w="66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80" w:type="dxa"/>
            <w:vAlign w:val="bottom"/>
            <w:gridSpan w:val="19"/>
          </w:tcPr>
          <w:p>
            <w:pPr>
              <w:spacing w:after="0" w:line="175" w:lineRule="exact"/>
              <w:rPr>
                <w:rFonts w:ascii="Arial" w:cs="Arial" w:eastAsia="Arial" w:hAnsi="Arial"/>
                <w:sz w:val="16"/>
                <w:szCs w:val="16"/>
                <w:color w:val="0000FF"/>
              </w:rPr>
            </w:pPr>
            <w:hyperlink w:anchor="page42">
              <w:r>
                <w:rPr>
                  <w:rFonts w:ascii="Arial" w:cs="Arial" w:eastAsia="Arial" w:hAnsi="Arial"/>
                  <w:sz w:val="16"/>
                  <w:szCs w:val="16"/>
                  <w:color w:val="0000FF"/>
                </w:rPr>
                <w:t>Cash Flow Activities</w:t>
              </w:r>
            </w:hyperlink>
          </w:p>
        </w:tc>
        <w:tc>
          <w:tcPr>
            <w:tcW w:w="5860" w:type="dxa"/>
            <w:vAlign w:val="bottom"/>
            <w:gridSpan w:val="9"/>
          </w:tcPr>
          <w:p>
            <w:pPr>
              <w:spacing w:after="0"/>
              <w:rPr>
                <w:sz w:val="15"/>
                <w:szCs w:val="15"/>
                <w:color w:val="auto"/>
              </w:rPr>
            </w:pPr>
          </w:p>
        </w:tc>
        <w:tc>
          <w:tcPr>
            <w:tcW w:w="660" w:type="dxa"/>
            <w:vAlign w:val="bottom"/>
          </w:tcPr>
          <w:p>
            <w:pPr>
              <w:spacing w:after="0"/>
              <w:rPr>
                <w:sz w:val="15"/>
                <w:szCs w:val="15"/>
                <w:color w:val="auto"/>
              </w:rPr>
            </w:pPr>
          </w:p>
        </w:tc>
        <w:tc>
          <w:tcPr>
            <w:tcW w:w="840" w:type="dxa"/>
            <w:vAlign w:val="bottom"/>
            <w:gridSpan w:val="2"/>
          </w:tcPr>
          <w:p>
            <w:pPr>
              <w:jc w:val="center"/>
              <w:ind w:right="660"/>
              <w:spacing w:after="0" w:line="175" w:lineRule="exact"/>
              <w:rPr>
                <w:rFonts w:ascii="Arial" w:cs="Arial" w:eastAsia="Arial" w:hAnsi="Arial"/>
                <w:sz w:val="16"/>
                <w:szCs w:val="16"/>
                <w:color w:val="0000FF"/>
              </w:rPr>
            </w:pPr>
            <w:hyperlink w:anchor="page42">
              <w:r>
                <w:rPr>
                  <w:rFonts w:ascii="Arial" w:cs="Arial" w:eastAsia="Arial" w:hAnsi="Arial"/>
                  <w:sz w:val="16"/>
                  <w:szCs w:val="16"/>
                  <w:color w:val="0000FF"/>
                </w:rPr>
                <w:t>42</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0" w:type="dxa"/>
            <w:vAlign w:val="bottom"/>
            <w:tcBorders>
              <w:right w:val="single" w:sz="8" w:color="CEFFE7"/>
            </w:tcBorders>
          </w:tcPr>
          <w:p>
            <w:pPr>
              <w:spacing w:after="0"/>
              <w:rPr>
                <w:sz w:val="15"/>
                <w:szCs w:val="15"/>
                <w:color w:val="auto"/>
              </w:rPr>
            </w:pPr>
          </w:p>
        </w:tc>
        <w:tc>
          <w:tcPr>
            <w:tcW w:w="780" w:type="dxa"/>
            <w:vAlign w:val="bottom"/>
            <w:shd w:val="clear" w:color="auto" w:fill="CEFFE7"/>
          </w:tcPr>
          <w:p>
            <w:pPr>
              <w:spacing w:after="0"/>
              <w:rPr>
                <w:sz w:val="15"/>
                <w:szCs w:val="15"/>
                <w:color w:val="auto"/>
              </w:rPr>
            </w:pPr>
          </w:p>
        </w:tc>
        <w:tc>
          <w:tcPr>
            <w:tcW w:w="540" w:type="dxa"/>
            <w:vAlign w:val="bottom"/>
            <w:shd w:val="clear" w:color="auto" w:fill="CEFFE7"/>
          </w:tcPr>
          <w:p>
            <w:pPr>
              <w:spacing w:after="0"/>
              <w:rPr>
                <w:sz w:val="15"/>
                <w:szCs w:val="15"/>
                <w:color w:val="auto"/>
              </w:rPr>
            </w:pPr>
          </w:p>
        </w:tc>
        <w:tc>
          <w:tcPr>
            <w:tcW w:w="100" w:type="dxa"/>
            <w:vAlign w:val="bottom"/>
            <w:shd w:val="clear" w:color="auto" w:fill="CEFFE7"/>
          </w:tcPr>
          <w:p>
            <w:pPr>
              <w:spacing w:after="0"/>
              <w:rPr>
                <w:sz w:val="15"/>
                <w:szCs w:val="15"/>
                <w:color w:val="auto"/>
              </w:rPr>
            </w:pPr>
          </w:p>
        </w:tc>
        <w:tc>
          <w:tcPr>
            <w:tcW w:w="120" w:type="dxa"/>
            <w:vAlign w:val="bottom"/>
            <w:shd w:val="clear" w:color="auto" w:fill="CEFFE7"/>
          </w:tcPr>
          <w:p>
            <w:pPr>
              <w:spacing w:after="0"/>
              <w:rPr>
                <w:sz w:val="15"/>
                <w:szCs w:val="15"/>
                <w:color w:val="auto"/>
              </w:rPr>
            </w:pPr>
          </w:p>
        </w:tc>
        <w:tc>
          <w:tcPr>
            <w:tcW w:w="200" w:type="dxa"/>
            <w:vAlign w:val="bottom"/>
            <w:shd w:val="clear" w:color="auto" w:fill="CEFFE7"/>
          </w:tcPr>
          <w:p>
            <w:pPr>
              <w:spacing w:after="0"/>
              <w:rPr>
                <w:sz w:val="15"/>
                <w:szCs w:val="15"/>
                <w:color w:val="auto"/>
              </w:rPr>
            </w:pPr>
          </w:p>
        </w:tc>
        <w:tc>
          <w:tcPr>
            <w:tcW w:w="7940" w:type="dxa"/>
            <w:vAlign w:val="bottom"/>
            <w:gridSpan w:val="28"/>
            <w:shd w:val="clear" w:color="auto" w:fill="CEFFE7"/>
          </w:tcPr>
          <w:p>
            <w:pPr>
              <w:spacing w:after="0" w:line="175" w:lineRule="exact"/>
              <w:rPr>
                <w:rFonts w:ascii="Arial" w:cs="Arial" w:eastAsia="Arial" w:hAnsi="Arial"/>
                <w:sz w:val="16"/>
                <w:szCs w:val="16"/>
                <w:color w:val="0000FF"/>
              </w:rPr>
            </w:pPr>
            <w:hyperlink w:anchor="page43">
              <w:r>
                <w:rPr>
                  <w:rFonts w:ascii="Arial" w:cs="Arial" w:eastAsia="Arial" w:hAnsi="Arial"/>
                  <w:sz w:val="16"/>
                  <w:szCs w:val="16"/>
                  <w:color w:val="0000FF"/>
                </w:rPr>
                <w:t>Capital Sources</w:t>
              </w:r>
            </w:hyperlink>
          </w:p>
        </w:tc>
        <w:tc>
          <w:tcPr>
            <w:tcW w:w="1500" w:type="dxa"/>
            <w:vAlign w:val="bottom"/>
            <w:gridSpan w:val="3"/>
            <w:shd w:val="clear" w:color="auto" w:fill="CEFFE7"/>
          </w:tcPr>
          <w:p>
            <w:pPr>
              <w:jc w:val="center"/>
              <w:spacing w:after="0" w:line="175" w:lineRule="exact"/>
              <w:rPr>
                <w:rFonts w:ascii="Arial" w:cs="Arial" w:eastAsia="Arial" w:hAnsi="Arial"/>
                <w:sz w:val="16"/>
                <w:szCs w:val="16"/>
                <w:color w:val="0000FF"/>
              </w:rPr>
            </w:pPr>
            <w:hyperlink w:anchor="page43">
              <w:r>
                <w:rPr>
                  <w:rFonts w:ascii="Arial" w:cs="Arial" w:eastAsia="Arial" w:hAnsi="Arial"/>
                  <w:sz w:val="16"/>
                  <w:szCs w:val="16"/>
                  <w:color w:val="0000FF"/>
                </w:rPr>
                <w:t>43</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 w:type="dxa"/>
            <w:vAlign w:val="bottom"/>
            <w:tcBorders>
              <w:right w:val="single" w:sz="8" w:color="CEFFE7"/>
            </w:tcBorders>
          </w:tcPr>
          <w:p>
            <w:pPr>
              <w:spacing w:after="0" w:line="20" w:lineRule="exact"/>
              <w:rPr>
                <w:sz w:val="1"/>
                <w:szCs w:val="1"/>
                <w:color w:val="auto"/>
              </w:rPr>
            </w:pPr>
          </w:p>
        </w:tc>
        <w:tc>
          <w:tcPr>
            <w:tcW w:w="780" w:type="dxa"/>
            <w:vAlign w:val="bottom"/>
            <w:tcBorders>
              <w:top w:val="single" w:sz="8" w:color="CEFFE7"/>
            </w:tcBorders>
            <w:shd w:val="clear" w:color="auto" w:fill="CEFFE7"/>
          </w:tcPr>
          <w:p>
            <w:pPr>
              <w:spacing w:after="0" w:line="20" w:lineRule="exact"/>
              <w:rPr>
                <w:sz w:val="1"/>
                <w:szCs w:val="1"/>
                <w:color w:val="auto"/>
              </w:rPr>
            </w:pPr>
          </w:p>
        </w:tc>
        <w:tc>
          <w:tcPr>
            <w:tcW w:w="540" w:type="dxa"/>
            <w:vAlign w:val="bottom"/>
            <w:tcBorders>
              <w:top w:val="single" w:sz="8" w:color="CEFFE7"/>
            </w:tcBorders>
            <w:shd w:val="clear" w:color="auto" w:fill="CEFFE7"/>
          </w:tcPr>
          <w:p>
            <w:pPr>
              <w:spacing w:after="0" w:line="20" w:lineRule="exact"/>
              <w:rPr>
                <w:sz w:val="1"/>
                <w:szCs w:val="1"/>
                <w:color w:val="auto"/>
              </w:rPr>
            </w:pPr>
          </w:p>
        </w:tc>
        <w:tc>
          <w:tcPr>
            <w:tcW w:w="100" w:type="dxa"/>
            <w:vAlign w:val="bottom"/>
            <w:tcBorders>
              <w:top w:val="single" w:sz="8" w:color="CEFFE7"/>
            </w:tcBorders>
            <w:shd w:val="clear" w:color="auto" w:fill="CEFFE7"/>
          </w:tcPr>
          <w:p>
            <w:pPr>
              <w:spacing w:after="0" w:line="20" w:lineRule="exact"/>
              <w:rPr>
                <w:sz w:val="1"/>
                <w:szCs w:val="1"/>
                <w:color w:val="auto"/>
              </w:rPr>
            </w:pPr>
          </w:p>
        </w:tc>
        <w:tc>
          <w:tcPr>
            <w:tcW w:w="120" w:type="dxa"/>
            <w:vAlign w:val="bottom"/>
            <w:tcBorders>
              <w:top w:val="single" w:sz="8" w:color="CEFFE7"/>
            </w:tcBorders>
            <w:shd w:val="clear" w:color="auto" w:fill="CEFFE7"/>
          </w:tcPr>
          <w:p>
            <w:pPr>
              <w:spacing w:after="0" w:line="20" w:lineRule="exact"/>
              <w:rPr>
                <w:sz w:val="1"/>
                <w:szCs w:val="1"/>
                <w:color w:val="auto"/>
              </w:rPr>
            </w:pPr>
          </w:p>
        </w:tc>
        <w:tc>
          <w:tcPr>
            <w:tcW w:w="20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220" w:type="dxa"/>
            <w:vAlign w:val="bottom"/>
            <w:tcBorders>
              <w:top w:val="single" w:sz="8" w:color="0000FF"/>
            </w:tcBorders>
            <w:shd w:val="clear" w:color="auto" w:fill="CEFFE7"/>
          </w:tcPr>
          <w:p>
            <w:pPr>
              <w:spacing w:after="0" w:line="20" w:lineRule="exact"/>
              <w:rPr>
                <w:sz w:val="1"/>
                <w:szCs w:val="1"/>
                <w:color w:val="auto"/>
              </w:rPr>
            </w:pPr>
          </w:p>
        </w:tc>
        <w:tc>
          <w:tcPr>
            <w:tcW w:w="240" w:type="dxa"/>
            <w:vAlign w:val="bottom"/>
            <w:tcBorders>
              <w:top w:val="single" w:sz="8" w:color="0000FF"/>
            </w:tcBorders>
            <w:shd w:val="clear" w:color="auto" w:fill="CEFFE7"/>
          </w:tcPr>
          <w:p>
            <w:pPr>
              <w:spacing w:after="0" w:line="20" w:lineRule="exact"/>
              <w:rPr>
                <w:sz w:val="1"/>
                <w:szCs w:val="1"/>
                <w:color w:val="auto"/>
              </w:rPr>
            </w:pPr>
          </w:p>
        </w:tc>
        <w:tc>
          <w:tcPr>
            <w:tcW w:w="100" w:type="dxa"/>
            <w:vAlign w:val="bottom"/>
            <w:tcBorders>
              <w:top w:val="single" w:sz="8" w:color="0000FF"/>
            </w:tcBorders>
            <w:shd w:val="clear" w:color="auto" w:fill="CEFFE7"/>
          </w:tcPr>
          <w:p>
            <w:pPr>
              <w:spacing w:after="0" w:line="20" w:lineRule="exact"/>
              <w:rPr>
                <w:sz w:val="1"/>
                <w:szCs w:val="1"/>
                <w:color w:val="auto"/>
              </w:rPr>
            </w:pPr>
          </w:p>
        </w:tc>
        <w:tc>
          <w:tcPr>
            <w:tcW w:w="60" w:type="dxa"/>
            <w:vAlign w:val="bottom"/>
            <w:tcBorders>
              <w:top w:val="single" w:sz="8" w:color="0000FF"/>
            </w:tcBorders>
            <w:shd w:val="clear" w:color="auto" w:fill="CEFFE7"/>
          </w:tcPr>
          <w:p>
            <w:pPr>
              <w:spacing w:after="0" w:line="20" w:lineRule="exact"/>
              <w:rPr>
                <w:sz w:val="1"/>
                <w:szCs w:val="1"/>
                <w:color w:val="auto"/>
              </w:rPr>
            </w:pPr>
          </w:p>
        </w:tc>
        <w:tc>
          <w:tcPr>
            <w:tcW w:w="100" w:type="dxa"/>
            <w:vAlign w:val="bottom"/>
            <w:tcBorders>
              <w:top w:val="single" w:sz="8" w:color="0000FF"/>
            </w:tcBorders>
            <w:shd w:val="clear" w:color="auto" w:fill="CEFFE7"/>
          </w:tcPr>
          <w:p>
            <w:pPr>
              <w:spacing w:after="0" w:line="20" w:lineRule="exact"/>
              <w:rPr>
                <w:sz w:val="1"/>
                <w:szCs w:val="1"/>
                <w:color w:val="auto"/>
              </w:rPr>
            </w:pPr>
          </w:p>
        </w:tc>
        <w:tc>
          <w:tcPr>
            <w:tcW w:w="120" w:type="dxa"/>
            <w:vAlign w:val="bottom"/>
            <w:tcBorders>
              <w:top w:val="single" w:sz="8" w:color="0000FF"/>
            </w:tcBorders>
            <w:shd w:val="clear" w:color="auto" w:fill="CEFFE7"/>
          </w:tcPr>
          <w:p>
            <w:pPr>
              <w:spacing w:after="0" w:line="20" w:lineRule="exact"/>
              <w:rPr>
                <w:sz w:val="1"/>
                <w:szCs w:val="1"/>
                <w:color w:val="auto"/>
              </w:rPr>
            </w:pPr>
          </w:p>
        </w:tc>
        <w:tc>
          <w:tcPr>
            <w:tcW w:w="160" w:type="dxa"/>
            <w:vAlign w:val="bottom"/>
            <w:tcBorders>
              <w:top w:val="single" w:sz="8" w:color="0000FF"/>
            </w:tcBorders>
            <w:shd w:val="clear" w:color="auto" w:fill="CEFFE7"/>
          </w:tcPr>
          <w:p>
            <w:pPr>
              <w:spacing w:after="0" w:line="20" w:lineRule="exact"/>
              <w:rPr>
                <w:sz w:val="1"/>
                <w:szCs w:val="1"/>
                <w:color w:val="auto"/>
              </w:rPr>
            </w:pPr>
          </w:p>
        </w:tc>
        <w:tc>
          <w:tcPr>
            <w:tcW w:w="8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100" w:type="dxa"/>
            <w:vAlign w:val="bottom"/>
            <w:tcBorders>
              <w:top w:val="single" w:sz="8" w:color="CEFFE7"/>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80" w:type="dxa"/>
            <w:vAlign w:val="bottom"/>
            <w:tcBorders>
              <w:top w:val="single" w:sz="8" w:color="CEFFE7"/>
            </w:tcBorders>
            <w:shd w:val="clear" w:color="auto" w:fill="CEFFE7"/>
          </w:tcPr>
          <w:p>
            <w:pPr>
              <w:spacing w:after="0" w:line="20" w:lineRule="exact"/>
              <w:rPr>
                <w:sz w:val="1"/>
                <w:szCs w:val="1"/>
                <w:color w:val="auto"/>
              </w:rPr>
            </w:pPr>
          </w:p>
        </w:tc>
        <w:tc>
          <w:tcPr>
            <w:tcW w:w="520" w:type="dxa"/>
            <w:vAlign w:val="bottom"/>
            <w:tcBorders>
              <w:top w:val="single" w:sz="8" w:color="CEFFE7"/>
            </w:tcBorders>
            <w:shd w:val="clear" w:color="auto" w:fill="CEFFE7"/>
          </w:tcPr>
          <w:p>
            <w:pPr>
              <w:spacing w:after="0" w:line="20" w:lineRule="exact"/>
              <w:rPr>
                <w:sz w:val="1"/>
                <w:szCs w:val="1"/>
                <w:color w:val="auto"/>
              </w:rPr>
            </w:pPr>
          </w:p>
        </w:tc>
        <w:tc>
          <w:tcPr>
            <w:tcW w:w="100" w:type="dxa"/>
            <w:vAlign w:val="bottom"/>
            <w:tcBorders>
              <w:top w:val="single" w:sz="8" w:color="CEFFE7"/>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1680" w:type="dxa"/>
            <w:vAlign w:val="bottom"/>
            <w:tcBorders>
              <w:top w:val="single" w:sz="8" w:color="CEFFE7"/>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180" w:type="dxa"/>
            <w:vAlign w:val="bottom"/>
            <w:tcBorders>
              <w:top w:val="single" w:sz="8" w:color="CEFFE7"/>
            </w:tcBorders>
            <w:shd w:val="clear" w:color="auto" w:fill="CEFFE7"/>
          </w:tcPr>
          <w:p>
            <w:pPr>
              <w:spacing w:after="0" w:line="20" w:lineRule="exact"/>
              <w:rPr>
                <w:sz w:val="1"/>
                <w:szCs w:val="1"/>
                <w:color w:val="auto"/>
              </w:rPr>
            </w:pPr>
          </w:p>
        </w:tc>
        <w:tc>
          <w:tcPr>
            <w:tcW w:w="1820" w:type="dxa"/>
            <w:vAlign w:val="bottom"/>
            <w:tcBorders>
              <w:top w:val="single" w:sz="8" w:color="CEFFE7"/>
            </w:tcBorders>
            <w:shd w:val="clear" w:color="auto" w:fill="CEFFE7"/>
          </w:tcPr>
          <w:p>
            <w:pPr>
              <w:spacing w:after="0" w:line="20" w:lineRule="exact"/>
              <w:rPr>
                <w:sz w:val="1"/>
                <w:szCs w:val="1"/>
                <w:color w:val="auto"/>
              </w:rPr>
            </w:pPr>
          </w:p>
        </w:tc>
        <w:tc>
          <w:tcPr>
            <w:tcW w:w="1680" w:type="dxa"/>
            <w:vAlign w:val="bottom"/>
            <w:tcBorders>
              <w:top w:val="single" w:sz="8" w:color="CEFFE7"/>
            </w:tcBorders>
            <w:shd w:val="clear" w:color="auto" w:fill="CEFFE7"/>
          </w:tcPr>
          <w:p>
            <w:pPr>
              <w:spacing w:after="0" w:line="20" w:lineRule="exact"/>
              <w:rPr>
                <w:sz w:val="1"/>
                <w:szCs w:val="1"/>
                <w:color w:val="auto"/>
              </w:rPr>
            </w:pPr>
          </w:p>
        </w:tc>
        <w:tc>
          <w:tcPr>
            <w:tcW w:w="220" w:type="dxa"/>
            <w:vAlign w:val="bottom"/>
            <w:tcBorders>
              <w:top w:val="single" w:sz="8" w:color="CEFFE7"/>
            </w:tcBorders>
            <w:shd w:val="clear" w:color="auto" w:fill="CEFFE7"/>
          </w:tcPr>
          <w:p>
            <w:pPr>
              <w:spacing w:after="0" w:line="20" w:lineRule="exact"/>
              <w:rPr>
                <w:sz w:val="1"/>
                <w:szCs w:val="1"/>
                <w:color w:val="auto"/>
              </w:rPr>
            </w:pPr>
          </w:p>
        </w:tc>
        <w:tc>
          <w:tcPr>
            <w:tcW w:w="660" w:type="dxa"/>
            <w:vAlign w:val="bottom"/>
            <w:tcBorders>
              <w:top w:val="single" w:sz="8" w:color="CEFFE7"/>
            </w:tcBorders>
            <w:shd w:val="clear" w:color="auto" w:fill="CEFFE7"/>
          </w:tcPr>
          <w:p>
            <w:pPr>
              <w:spacing w:after="0" w:line="20" w:lineRule="exact"/>
              <w:rPr>
                <w:sz w:val="1"/>
                <w:szCs w:val="1"/>
                <w:color w:val="auto"/>
              </w:rPr>
            </w:pPr>
          </w:p>
        </w:tc>
        <w:tc>
          <w:tcPr>
            <w:tcW w:w="180" w:type="dxa"/>
            <w:vAlign w:val="bottom"/>
            <w:tcBorders>
              <w:top w:val="single" w:sz="8" w:color="0000FF"/>
            </w:tcBorders>
            <w:shd w:val="clear" w:color="auto" w:fill="CEFFE7"/>
          </w:tcPr>
          <w:p>
            <w:pPr>
              <w:spacing w:after="0" w:line="20" w:lineRule="exact"/>
              <w:rPr>
                <w:sz w:val="1"/>
                <w:szCs w:val="1"/>
                <w:color w:val="auto"/>
              </w:rPr>
            </w:pPr>
          </w:p>
        </w:tc>
        <w:tc>
          <w:tcPr>
            <w:tcW w:w="66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gridSpan w:val="10"/>
          </w:tcPr>
          <w:p>
            <w:pPr>
              <w:spacing w:after="0" w:line="175" w:lineRule="exact"/>
              <w:rPr>
                <w:rFonts w:ascii="Arial" w:cs="Arial" w:eastAsia="Arial" w:hAnsi="Arial"/>
                <w:sz w:val="16"/>
                <w:szCs w:val="16"/>
                <w:color w:val="0000FF"/>
              </w:rPr>
            </w:pPr>
            <w:hyperlink w:anchor="page43">
              <w:r>
                <w:rPr>
                  <w:rFonts w:ascii="Arial" w:cs="Arial" w:eastAsia="Arial" w:hAnsi="Arial"/>
                  <w:sz w:val="16"/>
                  <w:szCs w:val="16"/>
                  <w:color w:val="0000FF"/>
                </w:rPr>
                <w:t>Credit Ratings</w:t>
              </w:r>
            </w:hyperlink>
          </w:p>
        </w:tc>
        <w:tc>
          <w:tcPr>
            <w:tcW w:w="6800" w:type="dxa"/>
            <w:vAlign w:val="bottom"/>
            <w:gridSpan w:val="18"/>
          </w:tcPr>
          <w:p>
            <w:pPr>
              <w:spacing w:after="0"/>
              <w:rPr>
                <w:sz w:val="15"/>
                <w:szCs w:val="15"/>
                <w:color w:val="auto"/>
              </w:rPr>
            </w:pPr>
          </w:p>
        </w:tc>
        <w:tc>
          <w:tcPr>
            <w:tcW w:w="660" w:type="dxa"/>
            <w:vAlign w:val="bottom"/>
          </w:tcPr>
          <w:p>
            <w:pPr>
              <w:spacing w:after="0"/>
              <w:rPr>
                <w:sz w:val="15"/>
                <w:szCs w:val="15"/>
                <w:color w:val="auto"/>
              </w:rPr>
            </w:pPr>
          </w:p>
        </w:tc>
        <w:tc>
          <w:tcPr>
            <w:tcW w:w="840" w:type="dxa"/>
            <w:vAlign w:val="bottom"/>
            <w:gridSpan w:val="2"/>
          </w:tcPr>
          <w:p>
            <w:pPr>
              <w:jc w:val="center"/>
              <w:ind w:right="660"/>
              <w:spacing w:after="0" w:line="175" w:lineRule="exact"/>
              <w:rPr>
                <w:rFonts w:ascii="Arial" w:cs="Arial" w:eastAsia="Arial" w:hAnsi="Arial"/>
                <w:sz w:val="16"/>
                <w:szCs w:val="16"/>
                <w:color w:val="0000FF"/>
              </w:rPr>
            </w:pPr>
            <w:hyperlink w:anchor="page43">
              <w:r>
                <w:rPr>
                  <w:rFonts w:ascii="Arial" w:cs="Arial" w:eastAsia="Arial" w:hAnsi="Arial"/>
                  <w:sz w:val="16"/>
                  <w:szCs w:val="16"/>
                  <w:color w:val="0000FF"/>
                </w:rPr>
                <w:t>43</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0" w:type="dxa"/>
            <w:vAlign w:val="bottom"/>
            <w:tcBorders>
              <w:right w:val="single" w:sz="8" w:color="CEFFE7"/>
            </w:tcBorders>
          </w:tcPr>
          <w:p>
            <w:pPr>
              <w:spacing w:after="0"/>
              <w:rPr>
                <w:sz w:val="15"/>
                <w:szCs w:val="15"/>
                <w:color w:val="auto"/>
              </w:rPr>
            </w:pPr>
          </w:p>
        </w:tc>
        <w:tc>
          <w:tcPr>
            <w:tcW w:w="780" w:type="dxa"/>
            <w:vAlign w:val="bottom"/>
            <w:shd w:val="clear" w:color="auto" w:fill="CEFFE7"/>
          </w:tcPr>
          <w:p>
            <w:pPr>
              <w:spacing w:after="0"/>
              <w:rPr>
                <w:sz w:val="15"/>
                <w:szCs w:val="15"/>
                <w:color w:val="auto"/>
              </w:rPr>
            </w:pPr>
          </w:p>
        </w:tc>
        <w:tc>
          <w:tcPr>
            <w:tcW w:w="540" w:type="dxa"/>
            <w:vAlign w:val="bottom"/>
            <w:shd w:val="clear" w:color="auto" w:fill="CEFFE7"/>
          </w:tcPr>
          <w:p>
            <w:pPr>
              <w:spacing w:after="0"/>
              <w:rPr>
                <w:sz w:val="15"/>
                <w:szCs w:val="15"/>
                <w:color w:val="auto"/>
              </w:rPr>
            </w:pPr>
          </w:p>
        </w:tc>
        <w:tc>
          <w:tcPr>
            <w:tcW w:w="100" w:type="dxa"/>
            <w:vAlign w:val="bottom"/>
            <w:shd w:val="clear" w:color="auto" w:fill="CEFFE7"/>
          </w:tcPr>
          <w:p>
            <w:pPr>
              <w:spacing w:after="0"/>
              <w:rPr>
                <w:sz w:val="15"/>
                <w:szCs w:val="15"/>
                <w:color w:val="auto"/>
              </w:rPr>
            </w:pPr>
          </w:p>
        </w:tc>
        <w:tc>
          <w:tcPr>
            <w:tcW w:w="120" w:type="dxa"/>
            <w:vAlign w:val="bottom"/>
            <w:shd w:val="clear" w:color="auto" w:fill="CEFFE7"/>
          </w:tcPr>
          <w:p>
            <w:pPr>
              <w:spacing w:after="0"/>
              <w:rPr>
                <w:sz w:val="15"/>
                <w:szCs w:val="15"/>
                <w:color w:val="auto"/>
              </w:rPr>
            </w:pPr>
          </w:p>
        </w:tc>
        <w:tc>
          <w:tcPr>
            <w:tcW w:w="200" w:type="dxa"/>
            <w:vAlign w:val="bottom"/>
            <w:shd w:val="clear" w:color="auto" w:fill="CEFFE7"/>
          </w:tcPr>
          <w:p>
            <w:pPr>
              <w:spacing w:after="0"/>
              <w:rPr>
                <w:sz w:val="15"/>
                <w:szCs w:val="15"/>
                <w:color w:val="auto"/>
              </w:rPr>
            </w:pPr>
          </w:p>
        </w:tc>
        <w:tc>
          <w:tcPr>
            <w:tcW w:w="1560" w:type="dxa"/>
            <w:vAlign w:val="bottom"/>
            <w:gridSpan w:val="18"/>
            <w:shd w:val="clear" w:color="auto" w:fill="CEFFE7"/>
          </w:tcPr>
          <w:p>
            <w:pPr>
              <w:spacing w:after="0" w:line="175" w:lineRule="exact"/>
              <w:rPr>
                <w:rFonts w:ascii="Arial" w:cs="Arial" w:eastAsia="Arial" w:hAnsi="Arial"/>
                <w:sz w:val="16"/>
                <w:szCs w:val="16"/>
                <w:color w:val="0000FF"/>
              </w:rPr>
            </w:pPr>
            <w:hyperlink w:anchor="page44">
              <w:r>
                <w:rPr>
                  <w:rFonts w:ascii="Arial" w:cs="Arial" w:eastAsia="Arial" w:hAnsi="Arial"/>
                  <w:sz w:val="16"/>
                  <w:szCs w:val="16"/>
                  <w:color w:val="0000FF"/>
                </w:rPr>
                <w:t>Capital Requirements</w:t>
              </w:r>
            </w:hyperlink>
          </w:p>
        </w:tc>
        <w:tc>
          <w:tcPr>
            <w:tcW w:w="6380" w:type="dxa"/>
            <w:vAlign w:val="bottom"/>
            <w:gridSpan w:val="10"/>
            <w:shd w:val="clear" w:color="auto" w:fill="CEFFE7"/>
          </w:tcPr>
          <w:p>
            <w:pPr>
              <w:spacing w:after="0"/>
              <w:rPr>
                <w:sz w:val="15"/>
                <w:szCs w:val="15"/>
                <w:color w:val="auto"/>
              </w:rPr>
            </w:pPr>
          </w:p>
        </w:tc>
        <w:tc>
          <w:tcPr>
            <w:tcW w:w="660" w:type="dxa"/>
            <w:vAlign w:val="bottom"/>
            <w:shd w:val="clear" w:color="auto" w:fill="CEFFE7"/>
          </w:tcPr>
          <w:p>
            <w:pPr>
              <w:spacing w:after="0"/>
              <w:rPr>
                <w:sz w:val="15"/>
                <w:szCs w:val="15"/>
                <w:color w:val="auto"/>
              </w:rPr>
            </w:pPr>
          </w:p>
        </w:tc>
        <w:tc>
          <w:tcPr>
            <w:tcW w:w="840" w:type="dxa"/>
            <w:vAlign w:val="bottom"/>
            <w:gridSpan w:val="2"/>
            <w:shd w:val="clear" w:color="auto" w:fill="CEFFE7"/>
          </w:tcPr>
          <w:p>
            <w:pPr>
              <w:jc w:val="center"/>
              <w:ind w:right="660"/>
              <w:spacing w:after="0" w:line="175" w:lineRule="exact"/>
              <w:rPr>
                <w:rFonts w:ascii="Arial" w:cs="Arial" w:eastAsia="Arial" w:hAnsi="Arial"/>
                <w:sz w:val="16"/>
                <w:szCs w:val="16"/>
                <w:color w:val="0000FF"/>
              </w:rPr>
            </w:pPr>
            <w:hyperlink w:anchor="page44">
              <w:r>
                <w:rPr>
                  <w:rFonts w:ascii="Arial" w:cs="Arial" w:eastAsia="Arial" w:hAnsi="Arial"/>
                  <w:sz w:val="16"/>
                  <w:szCs w:val="16"/>
                  <w:color w:val="0000FF"/>
                </w:rPr>
                <w:t>44</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0" w:type="dxa"/>
            <w:vAlign w:val="bottom"/>
            <w:tcBorders>
              <w:right w:val="single" w:sz="8" w:color="CEFFE7"/>
            </w:tcBorders>
          </w:tcPr>
          <w:p>
            <w:pPr>
              <w:spacing w:after="0" w:line="20" w:lineRule="exact"/>
              <w:rPr>
                <w:sz w:val="1"/>
                <w:szCs w:val="1"/>
                <w:color w:val="auto"/>
              </w:rPr>
            </w:pPr>
          </w:p>
        </w:tc>
        <w:tc>
          <w:tcPr>
            <w:tcW w:w="780" w:type="dxa"/>
            <w:vAlign w:val="bottom"/>
            <w:tcBorders>
              <w:top w:val="single" w:sz="8" w:color="CEFFE7"/>
            </w:tcBorders>
            <w:shd w:val="clear" w:color="auto" w:fill="CEFFE7"/>
          </w:tcPr>
          <w:p>
            <w:pPr>
              <w:spacing w:after="0" w:line="20" w:lineRule="exact"/>
              <w:rPr>
                <w:sz w:val="1"/>
                <w:szCs w:val="1"/>
                <w:color w:val="auto"/>
              </w:rPr>
            </w:pPr>
          </w:p>
        </w:tc>
        <w:tc>
          <w:tcPr>
            <w:tcW w:w="540" w:type="dxa"/>
            <w:vAlign w:val="bottom"/>
            <w:tcBorders>
              <w:top w:val="single" w:sz="8" w:color="CEFFE7"/>
            </w:tcBorders>
            <w:shd w:val="clear" w:color="auto" w:fill="CEFFE7"/>
          </w:tcPr>
          <w:p>
            <w:pPr>
              <w:spacing w:after="0" w:line="20" w:lineRule="exact"/>
              <w:rPr>
                <w:sz w:val="1"/>
                <w:szCs w:val="1"/>
                <w:color w:val="auto"/>
              </w:rPr>
            </w:pPr>
          </w:p>
        </w:tc>
        <w:tc>
          <w:tcPr>
            <w:tcW w:w="100" w:type="dxa"/>
            <w:vAlign w:val="bottom"/>
            <w:tcBorders>
              <w:top w:val="single" w:sz="8" w:color="CEFFE7"/>
            </w:tcBorders>
            <w:shd w:val="clear" w:color="auto" w:fill="CEFFE7"/>
          </w:tcPr>
          <w:p>
            <w:pPr>
              <w:spacing w:after="0" w:line="20" w:lineRule="exact"/>
              <w:rPr>
                <w:sz w:val="1"/>
                <w:szCs w:val="1"/>
                <w:color w:val="auto"/>
              </w:rPr>
            </w:pPr>
          </w:p>
        </w:tc>
        <w:tc>
          <w:tcPr>
            <w:tcW w:w="120" w:type="dxa"/>
            <w:vAlign w:val="bottom"/>
            <w:tcBorders>
              <w:top w:val="single" w:sz="8" w:color="CEFFE7"/>
            </w:tcBorders>
            <w:shd w:val="clear" w:color="auto" w:fill="CEFFE7"/>
          </w:tcPr>
          <w:p>
            <w:pPr>
              <w:spacing w:after="0" w:line="20" w:lineRule="exact"/>
              <w:rPr>
                <w:sz w:val="1"/>
                <w:szCs w:val="1"/>
                <w:color w:val="auto"/>
              </w:rPr>
            </w:pPr>
          </w:p>
        </w:tc>
        <w:tc>
          <w:tcPr>
            <w:tcW w:w="20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220" w:type="dxa"/>
            <w:vAlign w:val="bottom"/>
            <w:tcBorders>
              <w:top w:val="single" w:sz="8" w:color="0000FF"/>
            </w:tcBorders>
            <w:shd w:val="clear" w:color="auto" w:fill="CEFFE7"/>
          </w:tcPr>
          <w:p>
            <w:pPr>
              <w:spacing w:after="0" w:line="20" w:lineRule="exact"/>
              <w:rPr>
                <w:sz w:val="1"/>
                <w:szCs w:val="1"/>
                <w:color w:val="auto"/>
              </w:rPr>
            </w:pPr>
          </w:p>
        </w:tc>
        <w:tc>
          <w:tcPr>
            <w:tcW w:w="240" w:type="dxa"/>
            <w:vAlign w:val="bottom"/>
            <w:tcBorders>
              <w:top w:val="single" w:sz="8" w:color="0000FF"/>
            </w:tcBorders>
            <w:shd w:val="clear" w:color="auto" w:fill="CEFFE7"/>
          </w:tcPr>
          <w:p>
            <w:pPr>
              <w:spacing w:after="0" w:line="20" w:lineRule="exact"/>
              <w:rPr>
                <w:sz w:val="1"/>
                <w:szCs w:val="1"/>
                <w:color w:val="auto"/>
              </w:rPr>
            </w:pPr>
          </w:p>
        </w:tc>
        <w:tc>
          <w:tcPr>
            <w:tcW w:w="100" w:type="dxa"/>
            <w:vAlign w:val="bottom"/>
            <w:tcBorders>
              <w:top w:val="single" w:sz="8" w:color="0000FF"/>
            </w:tcBorders>
            <w:shd w:val="clear" w:color="auto" w:fill="CEFFE7"/>
          </w:tcPr>
          <w:p>
            <w:pPr>
              <w:spacing w:after="0" w:line="20" w:lineRule="exact"/>
              <w:rPr>
                <w:sz w:val="1"/>
                <w:szCs w:val="1"/>
                <w:color w:val="auto"/>
              </w:rPr>
            </w:pPr>
          </w:p>
        </w:tc>
        <w:tc>
          <w:tcPr>
            <w:tcW w:w="60" w:type="dxa"/>
            <w:vAlign w:val="bottom"/>
            <w:tcBorders>
              <w:top w:val="single" w:sz="8" w:color="0000FF"/>
            </w:tcBorders>
            <w:shd w:val="clear" w:color="auto" w:fill="CEFFE7"/>
          </w:tcPr>
          <w:p>
            <w:pPr>
              <w:spacing w:after="0" w:line="20" w:lineRule="exact"/>
              <w:rPr>
                <w:sz w:val="1"/>
                <w:szCs w:val="1"/>
                <w:color w:val="auto"/>
              </w:rPr>
            </w:pPr>
          </w:p>
        </w:tc>
        <w:tc>
          <w:tcPr>
            <w:tcW w:w="100" w:type="dxa"/>
            <w:vAlign w:val="bottom"/>
            <w:tcBorders>
              <w:top w:val="single" w:sz="8" w:color="0000FF"/>
            </w:tcBorders>
            <w:shd w:val="clear" w:color="auto" w:fill="CEFFE7"/>
          </w:tcPr>
          <w:p>
            <w:pPr>
              <w:spacing w:after="0" w:line="20" w:lineRule="exact"/>
              <w:rPr>
                <w:sz w:val="1"/>
                <w:szCs w:val="1"/>
                <w:color w:val="auto"/>
              </w:rPr>
            </w:pPr>
          </w:p>
        </w:tc>
        <w:tc>
          <w:tcPr>
            <w:tcW w:w="120" w:type="dxa"/>
            <w:vAlign w:val="bottom"/>
            <w:tcBorders>
              <w:top w:val="single" w:sz="8" w:color="0000FF"/>
            </w:tcBorders>
            <w:shd w:val="clear" w:color="auto" w:fill="CEFFE7"/>
          </w:tcPr>
          <w:p>
            <w:pPr>
              <w:spacing w:after="0" w:line="20" w:lineRule="exact"/>
              <w:rPr>
                <w:sz w:val="1"/>
                <w:szCs w:val="1"/>
                <w:color w:val="auto"/>
              </w:rPr>
            </w:pPr>
          </w:p>
        </w:tc>
        <w:tc>
          <w:tcPr>
            <w:tcW w:w="160" w:type="dxa"/>
            <w:vAlign w:val="bottom"/>
            <w:tcBorders>
              <w:top w:val="single" w:sz="8" w:color="0000FF"/>
            </w:tcBorders>
            <w:shd w:val="clear" w:color="auto" w:fill="CEFFE7"/>
          </w:tcPr>
          <w:p>
            <w:pPr>
              <w:spacing w:after="0" w:line="20" w:lineRule="exact"/>
              <w:rPr>
                <w:sz w:val="1"/>
                <w:szCs w:val="1"/>
                <w:color w:val="auto"/>
              </w:rPr>
            </w:pPr>
          </w:p>
        </w:tc>
        <w:tc>
          <w:tcPr>
            <w:tcW w:w="8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100" w:type="dxa"/>
            <w:vAlign w:val="bottom"/>
            <w:tcBorders>
              <w:top w:val="single" w:sz="8" w:color="0000FF"/>
            </w:tcBorders>
            <w:shd w:val="clear" w:color="auto" w:fill="CEFFE7"/>
          </w:tcPr>
          <w:p>
            <w:pPr>
              <w:spacing w:after="0" w:line="20" w:lineRule="exact"/>
              <w:rPr>
                <w:sz w:val="1"/>
                <w:szCs w:val="1"/>
                <w:color w:val="auto"/>
              </w:rPr>
            </w:pPr>
          </w:p>
        </w:tc>
        <w:tc>
          <w:tcPr>
            <w:tcW w:w="60" w:type="dxa"/>
            <w:vAlign w:val="bottom"/>
            <w:tcBorders>
              <w:top w:val="single" w:sz="8" w:color="0000FF"/>
            </w:tcBorders>
            <w:shd w:val="clear" w:color="auto" w:fill="CEFFE7"/>
          </w:tcPr>
          <w:p>
            <w:pPr>
              <w:spacing w:after="0" w:line="20" w:lineRule="exact"/>
              <w:rPr>
                <w:sz w:val="1"/>
                <w:szCs w:val="1"/>
                <w:color w:val="auto"/>
              </w:rPr>
            </w:pPr>
          </w:p>
        </w:tc>
        <w:tc>
          <w:tcPr>
            <w:tcW w:w="6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80" w:type="dxa"/>
            <w:vAlign w:val="bottom"/>
            <w:tcBorders>
              <w:top w:val="single" w:sz="8" w:color="0000FF"/>
            </w:tcBorders>
            <w:shd w:val="clear" w:color="auto" w:fill="CEFFE7"/>
          </w:tcPr>
          <w:p>
            <w:pPr>
              <w:spacing w:after="0" w:line="20" w:lineRule="exact"/>
              <w:rPr>
                <w:sz w:val="1"/>
                <w:szCs w:val="1"/>
                <w:color w:val="auto"/>
              </w:rPr>
            </w:pPr>
          </w:p>
        </w:tc>
        <w:tc>
          <w:tcPr>
            <w:tcW w:w="520" w:type="dxa"/>
            <w:vAlign w:val="bottom"/>
            <w:tcBorders>
              <w:top w:val="single" w:sz="8" w:color="CEFFE7"/>
            </w:tcBorders>
            <w:shd w:val="clear" w:color="auto" w:fill="CEFFE7"/>
          </w:tcPr>
          <w:p>
            <w:pPr>
              <w:spacing w:after="0" w:line="20" w:lineRule="exact"/>
              <w:rPr>
                <w:sz w:val="1"/>
                <w:szCs w:val="1"/>
                <w:color w:val="auto"/>
              </w:rPr>
            </w:pPr>
          </w:p>
        </w:tc>
        <w:tc>
          <w:tcPr>
            <w:tcW w:w="100" w:type="dxa"/>
            <w:vAlign w:val="bottom"/>
            <w:tcBorders>
              <w:top w:val="single" w:sz="8" w:color="CEFFE7"/>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1680" w:type="dxa"/>
            <w:vAlign w:val="bottom"/>
            <w:tcBorders>
              <w:top w:val="single" w:sz="8" w:color="CEFFE7"/>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180" w:type="dxa"/>
            <w:vAlign w:val="bottom"/>
            <w:tcBorders>
              <w:top w:val="single" w:sz="8" w:color="CEFFE7"/>
            </w:tcBorders>
            <w:shd w:val="clear" w:color="auto" w:fill="CEFFE7"/>
          </w:tcPr>
          <w:p>
            <w:pPr>
              <w:spacing w:after="0" w:line="20" w:lineRule="exact"/>
              <w:rPr>
                <w:sz w:val="1"/>
                <w:szCs w:val="1"/>
                <w:color w:val="auto"/>
              </w:rPr>
            </w:pPr>
          </w:p>
        </w:tc>
        <w:tc>
          <w:tcPr>
            <w:tcW w:w="1820" w:type="dxa"/>
            <w:vAlign w:val="bottom"/>
            <w:tcBorders>
              <w:top w:val="single" w:sz="8" w:color="CEFFE7"/>
            </w:tcBorders>
            <w:shd w:val="clear" w:color="auto" w:fill="CEFFE7"/>
          </w:tcPr>
          <w:p>
            <w:pPr>
              <w:spacing w:after="0" w:line="20" w:lineRule="exact"/>
              <w:rPr>
                <w:sz w:val="1"/>
                <w:szCs w:val="1"/>
                <w:color w:val="auto"/>
              </w:rPr>
            </w:pPr>
          </w:p>
        </w:tc>
        <w:tc>
          <w:tcPr>
            <w:tcW w:w="1680" w:type="dxa"/>
            <w:vAlign w:val="bottom"/>
            <w:tcBorders>
              <w:top w:val="single" w:sz="8" w:color="CEFFE7"/>
            </w:tcBorders>
            <w:shd w:val="clear" w:color="auto" w:fill="CEFFE7"/>
          </w:tcPr>
          <w:p>
            <w:pPr>
              <w:spacing w:after="0" w:line="20" w:lineRule="exact"/>
              <w:rPr>
                <w:sz w:val="1"/>
                <w:szCs w:val="1"/>
                <w:color w:val="auto"/>
              </w:rPr>
            </w:pPr>
          </w:p>
        </w:tc>
        <w:tc>
          <w:tcPr>
            <w:tcW w:w="220" w:type="dxa"/>
            <w:vAlign w:val="bottom"/>
            <w:tcBorders>
              <w:top w:val="single" w:sz="8" w:color="CEFFE7"/>
            </w:tcBorders>
            <w:shd w:val="clear" w:color="auto" w:fill="CEFFE7"/>
          </w:tcPr>
          <w:p>
            <w:pPr>
              <w:spacing w:after="0" w:line="20" w:lineRule="exact"/>
              <w:rPr>
                <w:sz w:val="1"/>
                <w:szCs w:val="1"/>
                <w:color w:val="auto"/>
              </w:rPr>
            </w:pPr>
          </w:p>
        </w:tc>
        <w:tc>
          <w:tcPr>
            <w:tcW w:w="660" w:type="dxa"/>
            <w:vAlign w:val="bottom"/>
            <w:tcBorders>
              <w:top w:val="single" w:sz="8" w:color="CEFFE7"/>
            </w:tcBorders>
            <w:shd w:val="clear" w:color="auto" w:fill="CEFFE7"/>
          </w:tcPr>
          <w:p>
            <w:pPr>
              <w:spacing w:after="0" w:line="20" w:lineRule="exact"/>
              <w:rPr>
                <w:sz w:val="1"/>
                <w:szCs w:val="1"/>
                <w:color w:val="auto"/>
              </w:rPr>
            </w:pPr>
          </w:p>
        </w:tc>
        <w:tc>
          <w:tcPr>
            <w:tcW w:w="180" w:type="dxa"/>
            <w:vAlign w:val="bottom"/>
            <w:tcBorders>
              <w:top w:val="single" w:sz="8" w:color="0000FF"/>
            </w:tcBorders>
            <w:shd w:val="clear" w:color="auto" w:fill="CEFFE7"/>
          </w:tcPr>
          <w:p>
            <w:pPr>
              <w:spacing w:after="0" w:line="20" w:lineRule="exact"/>
              <w:rPr>
                <w:sz w:val="1"/>
                <w:szCs w:val="1"/>
                <w:color w:val="auto"/>
              </w:rPr>
            </w:pPr>
          </w:p>
        </w:tc>
        <w:tc>
          <w:tcPr>
            <w:tcW w:w="66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60" w:type="dxa"/>
            <w:vAlign w:val="bottom"/>
            <w:gridSpan w:val="30"/>
          </w:tcPr>
          <w:p>
            <w:pPr>
              <w:ind w:left="120"/>
              <w:spacing w:after="0" w:line="175" w:lineRule="exact"/>
              <w:rPr>
                <w:rFonts w:ascii="Arial" w:cs="Arial" w:eastAsia="Arial" w:hAnsi="Arial"/>
                <w:sz w:val="16"/>
                <w:szCs w:val="16"/>
                <w:color w:val="0000FF"/>
              </w:rPr>
            </w:pPr>
            <w:hyperlink w:anchor="page45">
              <w:r>
                <w:rPr>
                  <w:rFonts w:ascii="Arial" w:cs="Arial" w:eastAsia="Arial" w:hAnsi="Arial"/>
                  <w:sz w:val="16"/>
                  <w:szCs w:val="16"/>
                  <w:color w:val="0000FF"/>
                </w:rPr>
                <w:t>Critical Accounting Policies Involving Significant Estimates</w:t>
              </w:r>
            </w:hyperlink>
          </w:p>
        </w:tc>
        <w:tc>
          <w:tcPr>
            <w:tcW w:w="1500" w:type="dxa"/>
            <w:vAlign w:val="bottom"/>
            <w:gridSpan w:val="3"/>
          </w:tcPr>
          <w:p>
            <w:pPr>
              <w:jc w:val="center"/>
              <w:spacing w:after="0" w:line="175" w:lineRule="exact"/>
              <w:rPr>
                <w:rFonts w:ascii="Arial" w:cs="Arial" w:eastAsia="Arial" w:hAnsi="Arial"/>
                <w:sz w:val="16"/>
                <w:szCs w:val="16"/>
                <w:color w:val="0000FF"/>
              </w:rPr>
            </w:pPr>
            <w:hyperlink w:anchor="page45">
              <w:r>
                <w:rPr>
                  <w:rFonts w:ascii="Arial" w:cs="Arial" w:eastAsia="Arial" w:hAnsi="Arial"/>
                  <w:sz w:val="16"/>
                  <w:szCs w:val="16"/>
                  <w:color w:val="0000FF"/>
                </w:rPr>
                <w:t>45</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6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 w:type="dxa"/>
            <w:vAlign w:val="bottom"/>
            <w:tcBorders>
              <w:right w:val="single" w:sz="8" w:color="CEFFE7"/>
            </w:tcBorders>
          </w:tcPr>
          <w:p>
            <w:pPr>
              <w:spacing w:after="0"/>
              <w:rPr>
                <w:sz w:val="17"/>
                <w:szCs w:val="17"/>
                <w:color w:val="auto"/>
              </w:rPr>
            </w:pPr>
          </w:p>
        </w:tc>
        <w:tc>
          <w:tcPr>
            <w:tcW w:w="780" w:type="dxa"/>
            <w:vAlign w:val="bottom"/>
            <w:shd w:val="clear" w:color="auto" w:fill="CEFFE7"/>
          </w:tcPr>
          <w:p>
            <w:pPr>
              <w:spacing w:after="0"/>
              <w:rPr>
                <w:sz w:val="17"/>
                <w:szCs w:val="17"/>
                <w:color w:val="auto"/>
              </w:rPr>
            </w:pPr>
          </w:p>
        </w:tc>
        <w:tc>
          <w:tcPr>
            <w:tcW w:w="540" w:type="dxa"/>
            <w:vAlign w:val="bottom"/>
            <w:shd w:val="clear" w:color="auto" w:fill="CEFFE7"/>
          </w:tcPr>
          <w:p>
            <w:pPr>
              <w:spacing w:after="0"/>
              <w:rPr>
                <w:sz w:val="17"/>
                <w:szCs w:val="17"/>
                <w:color w:val="auto"/>
              </w:rPr>
            </w:pPr>
          </w:p>
        </w:tc>
        <w:tc>
          <w:tcPr>
            <w:tcW w:w="100" w:type="dxa"/>
            <w:vAlign w:val="bottom"/>
            <w:shd w:val="clear" w:color="auto" w:fill="CEFFE7"/>
          </w:tcPr>
          <w:p>
            <w:pPr>
              <w:spacing w:after="0"/>
              <w:rPr>
                <w:sz w:val="17"/>
                <w:szCs w:val="17"/>
                <w:color w:val="auto"/>
              </w:rPr>
            </w:pPr>
          </w:p>
        </w:tc>
        <w:tc>
          <w:tcPr>
            <w:tcW w:w="8260" w:type="dxa"/>
            <w:vAlign w:val="bottom"/>
            <w:gridSpan w:val="30"/>
            <w:shd w:val="clear" w:color="auto" w:fill="CEFFE7"/>
          </w:tcPr>
          <w:p>
            <w:pPr>
              <w:ind w:left="120"/>
              <w:spacing w:after="0" w:line="175" w:lineRule="exact"/>
              <w:rPr>
                <w:rFonts w:ascii="Arial" w:cs="Arial" w:eastAsia="Arial" w:hAnsi="Arial"/>
                <w:sz w:val="16"/>
                <w:szCs w:val="16"/>
                <w:color w:val="0000FF"/>
              </w:rPr>
            </w:pPr>
            <w:hyperlink w:anchor="page45">
              <w:r>
                <w:rPr>
                  <w:rFonts w:ascii="Arial" w:cs="Arial" w:eastAsia="Arial" w:hAnsi="Arial"/>
                  <w:sz w:val="16"/>
                  <w:szCs w:val="16"/>
                  <w:color w:val="0000FF"/>
                </w:rPr>
                <w:t>New Accounting Pronouncements</w:t>
              </w:r>
            </w:hyperlink>
          </w:p>
        </w:tc>
        <w:tc>
          <w:tcPr>
            <w:tcW w:w="1500" w:type="dxa"/>
            <w:vAlign w:val="bottom"/>
            <w:gridSpan w:val="3"/>
            <w:shd w:val="clear" w:color="auto" w:fill="CEFFE7"/>
          </w:tcPr>
          <w:p>
            <w:pPr>
              <w:jc w:val="center"/>
              <w:spacing w:after="0" w:line="175" w:lineRule="exact"/>
              <w:rPr>
                <w:rFonts w:ascii="Arial" w:cs="Arial" w:eastAsia="Arial" w:hAnsi="Arial"/>
                <w:sz w:val="16"/>
                <w:szCs w:val="16"/>
                <w:color w:val="0000FF"/>
              </w:rPr>
            </w:pPr>
            <w:hyperlink w:anchor="page45">
              <w:r>
                <w:rPr>
                  <w:rFonts w:ascii="Arial" w:cs="Arial" w:eastAsia="Arial" w:hAnsi="Arial"/>
                  <w:sz w:val="16"/>
                  <w:szCs w:val="16"/>
                  <w:color w:val="0000FF"/>
                </w:rPr>
                <w:t>45</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780" w:type="dxa"/>
            <w:vAlign w:val="bottom"/>
            <w:tcBorders>
              <w:top w:val="single" w:sz="8" w:color="CEFFE7"/>
            </w:tcBorders>
          </w:tcPr>
          <w:p>
            <w:pPr>
              <w:spacing w:after="0"/>
              <w:rPr>
                <w:sz w:val="23"/>
                <w:szCs w:val="23"/>
                <w:color w:val="auto"/>
              </w:rPr>
            </w:pPr>
          </w:p>
        </w:tc>
        <w:tc>
          <w:tcPr>
            <w:tcW w:w="640" w:type="dxa"/>
            <w:vAlign w:val="bottom"/>
            <w:tcBorders>
              <w:top w:val="single" w:sz="8" w:color="CEFFE7"/>
            </w:tcBorders>
            <w:gridSpan w:val="2"/>
          </w:tcPr>
          <w:p>
            <w:pPr>
              <w:spacing w:after="0"/>
              <w:rPr>
                <w:sz w:val="23"/>
                <w:szCs w:val="23"/>
                <w:color w:val="auto"/>
              </w:rPr>
            </w:pPr>
          </w:p>
        </w:tc>
        <w:tc>
          <w:tcPr>
            <w:tcW w:w="120" w:type="dxa"/>
            <w:vAlign w:val="bottom"/>
            <w:tcBorders>
              <w:top w:val="single" w:sz="8" w:color="CEFFE7"/>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120" w:type="dxa"/>
            <w:vAlign w:val="bottom"/>
            <w:tcBorders>
              <w:top w:val="single" w:sz="8" w:color="0000FF"/>
            </w:tcBorders>
          </w:tcPr>
          <w:p>
            <w:pPr>
              <w:spacing w:after="0"/>
              <w:rPr>
                <w:sz w:val="23"/>
                <w:szCs w:val="23"/>
                <w:color w:val="auto"/>
              </w:rPr>
            </w:pPr>
          </w:p>
        </w:tc>
        <w:tc>
          <w:tcPr>
            <w:tcW w:w="16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52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1680" w:type="dxa"/>
            <w:vAlign w:val="bottom"/>
            <w:tcBorders>
              <w:top w:val="single" w:sz="8" w:color="CEFFE7"/>
            </w:tcBorders>
          </w:tcPr>
          <w:p>
            <w:pPr>
              <w:spacing w:after="0"/>
              <w:rPr>
                <w:sz w:val="23"/>
                <w:szCs w:val="23"/>
                <w:color w:val="auto"/>
              </w:rPr>
            </w:pPr>
          </w:p>
        </w:tc>
        <w:tc>
          <w:tcPr>
            <w:tcW w:w="60" w:type="dxa"/>
            <w:vAlign w:val="bottom"/>
            <w:tcBorders>
              <w:top w:val="single" w:sz="8" w:color="CEFFE7"/>
            </w:tcBorders>
          </w:tcPr>
          <w:p>
            <w:pPr>
              <w:spacing w:after="0"/>
              <w:rPr>
                <w:sz w:val="23"/>
                <w:szCs w:val="23"/>
                <w:color w:val="auto"/>
              </w:rPr>
            </w:pPr>
          </w:p>
        </w:tc>
        <w:tc>
          <w:tcPr>
            <w:tcW w:w="60" w:type="dxa"/>
            <w:vAlign w:val="bottom"/>
            <w:tcBorders>
              <w:top w:val="single" w:sz="8" w:color="CEFFE7"/>
            </w:tcBorders>
          </w:tcPr>
          <w:p>
            <w:pPr>
              <w:spacing w:after="0"/>
              <w:rPr>
                <w:sz w:val="23"/>
                <w:szCs w:val="23"/>
                <w:color w:val="auto"/>
              </w:rPr>
            </w:pPr>
          </w:p>
        </w:tc>
        <w:tc>
          <w:tcPr>
            <w:tcW w:w="180" w:type="dxa"/>
            <w:vAlign w:val="bottom"/>
            <w:tcBorders>
              <w:top w:val="single" w:sz="8" w:color="CEFFE7"/>
            </w:tcBorders>
          </w:tcPr>
          <w:p>
            <w:pPr>
              <w:spacing w:after="0"/>
              <w:rPr>
                <w:sz w:val="23"/>
                <w:szCs w:val="23"/>
                <w:color w:val="auto"/>
              </w:rPr>
            </w:pPr>
          </w:p>
        </w:tc>
        <w:tc>
          <w:tcPr>
            <w:tcW w:w="1820" w:type="dxa"/>
            <w:vAlign w:val="bottom"/>
            <w:tcBorders>
              <w:top w:val="single" w:sz="8" w:color="CEFFE7"/>
            </w:tcBorders>
          </w:tcPr>
          <w:p>
            <w:pPr>
              <w:spacing w:after="0"/>
              <w:rPr>
                <w:sz w:val="23"/>
                <w:szCs w:val="23"/>
                <w:color w:val="auto"/>
              </w:rPr>
            </w:pPr>
          </w:p>
        </w:tc>
        <w:tc>
          <w:tcPr>
            <w:tcW w:w="1680" w:type="dxa"/>
            <w:vAlign w:val="bottom"/>
            <w:tcBorders>
              <w:top w:val="single" w:sz="8" w:color="CEFFE7"/>
            </w:tcBorders>
          </w:tcPr>
          <w:p>
            <w:pPr>
              <w:spacing w:after="0"/>
              <w:rPr>
                <w:sz w:val="23"/>
                <w:szCs w:val="23"/>
                <w:color w:val="auto"/>
              </w:rPr>
            </w:pPr>
          </w:p>
        </w:tc>
        <w:tc>
          <w:tcPr>
            <w:tcW w:w="220" w:type="dxa"/>
            <w:vAlign w:val="bottom"/>
            <w:tcBorders>
              <w:top w:val="single" w:sz="8" w:color="CEFFE7"/>
            </w:tcBorders>
          </w:tcPr>
          <w:p>
            <w:pPr>
              <w:spacing w:after="0"/>
              <w:rPr>
                <w:sz w:val="23"/>
                <w:szCs w:val="23"/>
                <w:color w:val="auto"/>
              </w:rPr>
            </w:pPr>
          </w:p>
        </w:tc>
        <w:tc>
          <w:tcPr>
            <w:tcW w:w="660" w:type="dxa"/>
            <w:vAlign w:val="bottom"/>
            <w:tcBorders>
              <w:top w:val="single" w:sz="8" w:color="CEFFE7"/>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660" w:type="dxa"/>
            <w:vAlign w:val="bottom"/>
            <w:tcBorders>
              <w:top w:val="single" w:sz="8" w:color="CEFFE7"/>
            </w:tcBorders>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40" w:type="dxa"/>
            <w:vAlign w:val="bottom"/>
            <w:tcBorders>
              <w:right w:val="single" w:sz="8" w:color="CEFFE7"/>
            </w:tcBorders>
          </w:tcPr>
          <w:p>
            <w:pPr>
              <w:spacing w:after="0"/>
              <w:rPr>
                <w:sz w:val="15"/>
                <w:szCs w:val="15"/>
                <w:color w:val="auto"/>
              </w:rPr>
            </w:pPr>
          </w:p>
        </w:tc>
        <w:tc>
          <w:tcPr>
            <w:tcW w:w="1420" w:type="dxa"/>
            <w:vAlign w:val="bottom"/>
            <w:gridSpan w:val="3"/>
            <w:shd w:val="clear" w:color="auto" w:fill="CEFFE7"/>
          </w:tcPr>
          <w:p>
            <w:pPr>
              <w:spacing w:after="0" w:line="175" w:lineRule="exact"/>
              <w:rPr>
                <w:sz w:val="20"/>
                <w:szCs w:val="20"/>
                <w:color w:val="auto"/>
              </w:rPr>
            </w:pPr>
            <w:r>
              <w:rPr>
                <w:rFonts w:ascii="Arial" w:cs="Arial" w:eastAsia="Arial" w:hAnsi="Arial"/>
                <w:sz w:val="16"/>
                <w:szCs w:val="16"/>
                <w:color w:val="auto"/>
              </w:rPr>
              <w:t>Item 3.</w:t>
            </w:r>
          </w:p>
        </w:tc>
        <w:tc>
          <w:tcPr>
            <w:tcW w:w="4240" w:type="dxa"/>
            <w:vAlign w:val="bottom"/>
            <w:gridSpan w:val="24"/>
            <w:shd w:val="clear" w:color="auto" w:fill="CEFFE7"/>
          </w:tcPr>
          <w:p>
            <w:pPr>
              <w:spacing w:after="0" w:line="175" w:lineRule="exact"/>
              <w:rPr>
                <w:rFonts w:ascii="Arial" w:cs="Arial" w:eastAsia="Arial" w:hAnsi="Arial"/>
                <w:sz w:val="16"/>
                <w:szCs w:val="16"/>
                <w:color w:val="0000FF"/>
              </w:rPr>
            </w:pPr>
            <w:hyperlink w:anchor="page45">
              <w:r>
                <w:rPr>
                  <w:rFonts w:ascii="Arial" w:cs="Arial" w:eastAsia="Arial" w:hAnsi="Arial"/>
                  <w:sz w:val="16"/>
                  <w:szCs w:val="16"/>
                  <w:color w:val="0000FF"/>
                </w:rPr>
                <w:t>Quantitative and Qualitative Disclosures About Market Risk</w:t>
              </w:r>
            </w:hyperlink>
          </w:p>
        </w:tc>
        <w:tc>
          <w:tcPr>
            <w:tcW w:w="4020" w:type="dxa"/>
            <w:vAlign w:val="bottom"/>
            <w:gridSpan w:val="6"/>
            <w:shd w:val="clear" w:color="auto" w:fill="CEFFE7"/>
          </w:tcPr>
          <w:p>
            <w:pPr>
              <w:spacing w:after="0"/>
              <w:rPr>
                <w:sz w:val="15"/>
                <w:szCs w:val="15"/>
                <w:color w:val="auto"/>
              </w:rPr>
            </w:pPr>
          </w:p>
        </w:tc>
        <w:tc>
          <w:tcPr>
            <w:tcW w:w="660" w:type="dxa"/>
            <w:vAlign w:val="bottom"/>
            <w:shd w:val="clear" w:color="auto" w:fill="CEFFE7"/>
          </w:tcPr>
          <w:p>
            <w:pPr>
              <w:spacing w:after="0"/>
              <w:rPr>
                <w:sz w:val="15"/>
                <w:szCs w:val="15"/>
                <w:color w:val="auto"/>
              </w:rPr>
            </w:pPr>
          </w:p>
        </w:tc>
        <w:tc>
          <w:tcPr>
            <w:tcW w:w="840" w:type="dxa"/>
            <w:vAlign w:val="bottom"/>
            <w:gridSpan w:val="2"/>
            <w:shd w:val="clear" w:color="auto" w:fill="CEFFE7"/>
          </w:tcPr>
          <w:p>
            <w:pPr>
              <w:jc w:val="center"/>
              <w:ind w:right="660"/>
              <w:spacing w:after="0" w:line="175" w:lineRule="exact"/>
              <w:rPr>
                <w:rFonts w:ascii="Arial" w:cs="Arial" w:eastAsia="Arial" w:hAnsi="Arial"/>
                <w:sz w:val="16"/>
                <w:szCs w:val="16"/>
                <w:color w:val="0000FF"/>
              </w:rPr>
            </w:pPr>
            <w:hyperlink w:anchor="page45">
              <w:r>
                <w:rPr>
                  <w:rFonts w:ascii="Arial" w:cs="Arial" w:eastAsia="Arial" w:hAnsi="Arial"/>
                  <w:sz w:val="16"/>
                  <w:szCs w:val="16"/>
                  <w:color w:val="0000FF"/>
                </w:rPr>
                <w:t>45</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0" w:type="dxa"/>
            <w:vAlign w:val="bottom"/>
            <w:tcBorders>
              <w:right w:val="single" w:sz="8" w:color="CEFFE7"/>
            </w:tcBorders>
          </w:tcPr>
          <w:p>
            <w:pPr>
              <w:spacing w:after="0" w:line="20" w:lineRule="exact"/>
              <w:rPr>
                <w:sz w:val="1"/>
                <w:szCs w:val="1"/>
                <w:color w:val="auto"/>
              </w:rPr>
            </w:pPr>
          </w:p>
        </w:tc>
        <w:tc>
          <w:tcPr>
            <w:tcW w:w="780" w:type="dxa"/>
            <w:vAlign w:val="bottom"/>
            <w:tcBorders>
              <w:top w:val="single" w:sz="8" w:color="CEFFE7"/>
            </w:tcBorders>
            <w:shd w:val="clear" w:color="auto" w:fill="CEFFE7"/>
          </w:tcPr>
          <w:p>
            <w:pPr>
              <w:spacing w:after="0" w:line="20" w:lineRule="exact"/>
              <w:rPr>
                <w:sz w:val="1"/>
                <w:szCs w:val="1"/>
                <w:color w:val="auto"/>
              </w:rPr>
            </w:pPr>
          </w:p>
        </w:tc>
        <w:tc>
          <w:tcPr>
            <w:tcW w:w="540" w:type="dxa"/>
            <w:vAlign w:val="bottom"/>
            <w:tcBorders>
              <w:top w:val="single" w:sz="8" w:color="CEFFE7"/>
            </w:tcBorders>
            <w:shd w:val="clear" w:color="auto" w:fill="CEFFE7"/>
          </w:tcPr>
          <w:p>
            <w:pPr>
              <w:spacing w:after="0" w:line="20" w:lineRule="exact"/>
              <w:rPr>
                <w:sz w:val="1"/>
                <w:szCs w:val="1"/>
                <w:color w:val="auto"/>
              </w:rPr>
            </w:pPr>
          </w:p>
        </w:tc>
        <w:tc>
          <w:tcPr>
            <w:tcW w:w="100" w:type="dxa"/>
            <w:vAlign w:val="bottom"/>
            <w:tcBorders>
              <w:top w:val="single" w:sz="8" w:color="CEFFE7"/>
            </w:tcBorders>
            <w:shd w:val="clear" w:color="auto" w:fill="CEFFE7"/>
          </w:tcPr>
          <w:p>
            <w:pPr>
              <w:spacing w:after="0" w:line="20" w:lineRule="exact"/>
              <w:rPr>
                <w:sz w:val="1"/>
                <w:szCs w:val="1"/>
                <w:color w:val="auto"/>
              </w:rPr>
            </w:pPr>
          </w:p>
        </w:tc>
        <w:tc>
          <w:tcPr>
            <w:tcW w:w="120" w:type="dxa"/>
            <w:vAlign w:val="bottom"/>
            <w:tcBorders>
              <w:top w:val="single" w:sz="8" w:color="0000FF"/>
            </w:tcBorders>
            <w:shd w:val="clear" w:color="auto" w:fill="CEFFE7"/>
          </w:tcPr>
          <w:p>
            <w:pPr>
              <w:spacing w:after="0" w:line="20" w:lineRule="exact"/>
              <w:rPr>
                <w:sz w:val="1"/>
                <w:szCs w:val="1"/>
                <w:color w:val="auto"/>
              </w:rPr>
            </w:pPr>
          </w:p>
        </w:tc>
        <w:tc>
          <w:tcPr>
            <w:tcW w:w="20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220" w:type="dxa"/>
            <w:vAlign w:val="bottom"/>
            <w:tcBorders>
              <w:top w:val="single" w:sz="8" w:color="0000FF"/>
            </w:tcBorders>
            <w:shd w:val="clear" w:color="auto" w:fill="CEFFE7"/>
          </w:tcPr>
          <w:p>
            <w:pPr>
              <w:spacing w:after="0" w:line="20" w:lineRule="exact"/>
              <w:rPr>
                <w:sz w:val="1"/>
                <w:szCs w:val="1"/>
                <w:color w:val="auto"/>
              </w:rPr>
            </w:pPr>
          </w:p>
        </w:tc>
        <w:tc>
          <w:tcPr>
            <w:tcW w:w="240" w:type="dxa"/>
            <w:vAlign w:val="bottom"/>
            <w:tcBorders>
              <w:top w:val="single" w:sz="8" w:color="0000FF"/>
            </w:tcBorders>
            <w:shd w:val="clear" w:color="auto" w:fill="CEFFE7"/>
          </w:tcPr>
          <w:p>
            <w:pPr>
              <w:spacing w:after="0" w:line="20" w:lineRule="exact"/>
              <w:rPr>
                <w:sz w:val="1"/>
                <w:szCs w:val="1"/>
                <w:color w:val="auto"/>
              </w:rPr>
            </w:pPr>
          </w:p>
        </w:tc>
        <w:tc>
          <w:tcPr>
            <w:tcW w:w="100" w:type="dxa"/>
            <w:vAlign w:val="bottom"/>
            <w:tcBorders>
              <w:top w:val="single" w:sz="8" w:color="0000FF"/>
            </w:tcBorders>
            <w:shd w:val="clear" w:color="auto" w:fill="CEFFE7"/>
          </w:tcPr>
          <w:p>
            <w:pPr>
              <w:spacing w:after="0" w:line="20" w:lineRule="exact"/>
              <w:rPr>
                <w:sz w:val="1"/>
                <w:szCs w:val="1"/>
                <w:color w:val="auto"/>
              </w:rPr>
            </w:pPr>
          </w:p>
        </w:tc>
        <w:tc>
          <w:tcPr>
            <w:tcW w:w="60" w:type="dxa"/>
            <w:vAlign w:val="bottom"/>
            <w:tcBorders>
              <w:top w:val="single" w:sz="8" w:color="0000FF"/>
            </w:tcBorders>
            <w:shd w:val="clear" w:color="auto" w:fill="CEFFE7"/>
          </w:tcPr>
          <w:p>
            <w:pPr>
              <w:spacing w:after="0" w:line="20" w:lineRule="exact"/>
              <w:rPr>
                <w:sz w:val="1"/>
                <w:szCs w:val="1"/>
                <w:color w:val="auto"/>
              </w:rPr>
            </w:pPr>
          </w:p>
        </w:tc>
        <w:tc>
          <w:tcPr>
            <w:tcW w:w="100" w:type="dxa"/>
            <w:vAlign w:val="bottom"/>
            <w:tcBorders>
              <w:top w:val="single" w:sz="8" w:color="0000FF"/>
            </w:tcBorders>
            <w:shd w:val="clear" w:color="auto" w:fill="CEFFE7"/>
          </w:tcPr>
          <w:p>
            <w:pPr>
              <w:spacing w:after="0" w:line="20" w:lineRule="exact"/>
              <w:rPr>
                <w:sz w:val="1"/>
                <w:szCs w:val="1"/>
                <w:color w:val="auto"/>
              </w:rPr>
            </w:pPr>
          </w:p>
        </w:tc>
        <w:tc>
          <w:tcPr>
            <w:tcW w:w="120" w:type="dxa"/>
            <w:vAlign w:val="bottom"/>
            <w:tcBorders>
              <w:top w:val="single" w:sz="8" w:color="0000FF"/>
            </w:tcBorders>
            <w:shd w:val="clear" w:color="auto" w:fill="CEFFE7"/>
          </w:tcPr>
          <w:p>
            <w:pPr>
              <w:spacing w:after="0" w:line="20" w:lineRule="exact"/>
              <w:rPr>
                <w:sz w:val="1"/>
                <w:szCs w:val="1"/>
                <w:color w:val="auto"/>
              </w:rPr>
            </w:pPr>
          </w:p>
        </w:tc>
        <w:tc>
          <w:tcPr>
            <w:tcW w:w="160" w:type="dxa"/>
            <w:vAlign w:val="bottom"/>
            <w:tcBorders>
              <w:top w:val="single" w:sz="8" w:color="0000FF"/>
            </w:tcBorders>
            <w:shd w:val="clear" w:color="auto" w:fill="CEFFE7"/>
          </w:tcPr>
          <w:p>
            <w:pPr>
              <w:spacing w:after="0" w:line="20" w:lineRule="exact"/>
              <w:rPr>
                <w:sz w:val="1"/>
                <w:szCs w:val="1"/>
                <w:color w:val="auto"/>
              </w:rPr>
            </w:pPr>
          </w:p>
        </w:tc>
        <w:tc>
          <w:tcPr>
            <w:tcW w:w="8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100" w:type="dxa"/>
            <w:vAlign w:val="bottom"/>
            <w:tcBorders>
              <w:top w:val="single" w:sz="8" w:color="0000FF"/>
            </w:tcBorders>
            <w:shd w:val="clear" w:color="auto" w:fill="CEFFE7"/>
          </w:tcPr>
          <w:p>
            <w:pPr>
              <w:spacing w:after="0" w:line="20" w:lineRule="exact"/>
              <w:rPr>
                <w:sz w:val="1"/>
                <w:szCs w:val="1"/>
                <w:color w:val="auto"/>
              </w:rPr>
            </w:pPr>
          </w:p>
        </w:tc>
        <w:tc>
          <w:tcPr>
            <w:tcW w:w="60" w:type="dxa"/>
            <w:vAlign w:val="bottom"/>
            <w:tcBorders>
              <w:top w:val="single" w:sz="8" w:color="0000FF"/>
            </w:tcBorders>
            <w:shd w:val="clear" w:color="auto" w:fill="CEFFE7"/>
          </w:tcPr>
          <w:p>
            <w:pPr>
              <w:spacing w:after="0" w:line="20" w:lineRule="exact"/>
              <w:rPr>
                <w:sz w:val="1"/>
                <w:szCs w:val="1"/>
                <w:color w:val="auto"/>
              </w:rPr>
            </w:pPr>
          </w:p>
        </w:tc>
        <w:tc>
          <w:tcPr>
            <w:tcW w:w="6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80" w:type="dxa"/>
            <w:vAlign w:val="bottom"/>
            <w:tcBorders>
              <w:top w:val="single" w:sz="8" w:color="0000FF"/>
            </w:tcBorders>
            <w:shd w:val="clear" w:color="auto" w:fill="CEFFE7"/>
          </w:tcPr>
          <w:p>
            <w:pPr>
              <w:spacing w:after="0" w:line="20" w:lineRule="exact"/>
              <w:rPr>
                <w:sz w:val="1"/>
                <w:szCs w:val="1"/>
                <w:color w:val="auto"/>
              </w:rPr>
            </w:pPr>
          </w:p>
        </w:tc>
        <w:tc>
          <w:tcPr>
            <w:tcW w:w="520" w:type="dxa"/>
            <w:vAlign w:val="bottom"/>
            <w:tcBorders>
              <w:top w:val="single" w:sz="8" w:color="0000FF"/>
            </w:tcBorders>
            <w:shd w:val="clear" w:color="auto" w:fill="CEFFE7"/>
          </w:tcPr>
          <w:p>
            <w:pPr>
              <w:spacing w:after="0" w:line="20" w:lineRule="exact"/>
              <w:rPr>
                <w:sz w:val="1"/>
                <w:szCs w:val="1"/>
                <w:color w:val="auto"/>
              </w:rPr>
            </w:pPr>
          </w:p>
        </w:tc>
        <w:tc>
          <w:tcPr>
            <w:tcW w:w="100" w:type="dxa"/>
            <w:vAlign w:val="bottom"/>
            <w:tcBorders>
              <w:top w:val="single" w:sz="8" w:color="0000FF"/>
            </w:tcBorders>
            <w:shd w:val="clear" w:color="auto" w:fill="CEFFE7"/>
          </w:tcPr>
          <w:p>
            <w:pPr>
              <w:spacing w:after="0" w:line="20" w:lineRule="exact"/>
              <w:rPr>
                <w:sz w:val="1"/>
                <w:szCs w:val="1"/>
                <w:color w:val="auto"/>
              </w:rPr>
            </w:pPr>
          </w:p>
        </w:tc>
        <w:tc>
          <w:tcPr>
            <w:tcW w:w="60" w:type="dxa"/>
            <w:vAlign w:val="bottom"/>
            <w:tcBorders>
              <w:top w:val="single" w:sz="8" w:color="0000FF"/>
            </w:tcBorders>
            <w:shd w:val="clear" w:color="auto" w:fill="CEFFE7"/>
          </w:tcPr>
          <w:p>
            <w:pPr>
              <w:spacing w:after="0" w:line="20" w:lineRule="exact"/>
              <w:rPr>
                <w:sz w:val="1"/>
                <w:szCs w:val="1"/>
                <w:color w:val="auto"/>
              </w:rPr>
            </w:pPr>
          </w:p>
        </w:tc>
        <w:tc>
          <w:tcPr>
            <w:tcW w:w="1680" w:type="dxa"/>
            <w:vAlign w:val="bottom"/>
            <w:tcBorders>
              <w:top w:val="single" w:sz="8" w:color="0000FF"/>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180" w:type="dxa"/>
            <w:vAlign w:val="bottom"/>
            <w:tcBorders>
              <w:top w:val="single" w:sz="8" w:color="CEFFE7"/>
            </w:tcBorders>
            <w:shd w:val="clear" w:color="auto" w:fill="CEFFE7"/>
          </w:tcPr>
          <w:p>
            <w:pPr>
              <w:spacing w:after="0" w:line="20" w:lineRule="exact"/>
              <w:rPr>
                <w:sz w:val="1"/>
                <w:szCs w:val="1"/>
                <w:color w:val="auto"/>
              </w:rPr>
            </w:pPr>
          </w:p>
        </w:tc>
        <w:tc>
          <w:tcPr>
            <w:tcW w:w="1820" w:type="dxa"/>
            <w:vAlign w:val="bottom"/>
            <w:tcBorders>
              <w:top w:val="single" w:sz="8" w:color="CEFFE7"/>
            </w:tcBorders>
            <w:shd w:val="clear" w:color="auto" w:fill="CEFFE7"/>
          </w:tcPr>
          <w:p>
            <w:pPr>
              <w:spacing w:after="0" w:line="20" w:lineRule="exact"/>
              <w:rPr>
                <w:sz w:val="1"/>
                <w:szCs w:val="1"/>
                <w:color w:val="auto"/>
              </w:rPr>
            </w:pPr>
          </w:p>
        </w:tc>
        <w:tc>
          <w:tcPr>
            <w:tcW w:w="1680" w:type="dxa"/>
            <w:vAlign w:val="bottom"/>
            <w:tcBorders>
              <w:top w:val="single" w:sz="8" w:color="CEFFE7"/>
            </w:tcBorders>
            <w:shd w:val="clear" w:color="auto" w:fill="CEFFE7"/>
          </w:tcPr>
          <w:p>
            <w:pPr>
              <w:spacing w:after="0" w:line="20" w:lineRule="exact"/>
              <w:rPr>
                <w:sz w:val="1"/>
                <w:szCs w:val="1"/>
                <w:color w:val="auto"/>
              </w:rPr>
            </w:pPr>
          </w:p>
        </w:tc>
        <w:tc>
          <w:tcPr>
            <w:tcW w:w="220" w:type="dxa"/>
            <w:vAlign w:val="bottom"/>
            <w:tcBorders>
              <w:top w:val="single" w:sz="8" w:color="CEFFE7"/>
            </w:tcBorders>
            <w:shd w:val="clear" w:color="auto" w:fill="CEFFE7"/>
          </w:tcPr>
          <w:p>
            <w:pPr>
              <w:spacing w:after="0" w:line="20" w:lineRule="exact"/>
              <w:rPr>
                <w:sz w:val="1"/>
                <w:szCs w:val="1"/>
                <w:color w:val="auto"/>
              </w:rPr>
            </w:pPr>
          </w:p>
        </w:tc>
        <w:tc>
          <w:tcPr>
            <w:tcW w:w="660" w:type="dxa"/>
            <w:vAlign w:val="bottom"/>
            <w:tcBorders>
              <w:top w:val="single" w:sz="8" w:color="CEFFE7"/>
            </w:tcBorders>
            <w:shd w:val="clear" w:color="auto" w:fill="CEFFE7"/>
          </w:tcPr>
          <w:p>
            <w:pPr>
              <w:spacing w:after="0" w:line="20" w:lineRule="exact"/>
              <w:rPr>
                <w:sz w:val="1"/>
                <w:szCs w:val="1"/>
                <w:color w:val="auto"/>
              </w:rPr>
            </w:pPr>
          </w:p>
        </w:tc>
        <w:tc>
          <w:tcPr>
            <w:tcW w:w="180" w:type="dxa"/>
            <w:vAlign w:val="bottom"/>
            <w:tcBorders>
              <w:top w:val="single" w:sz="8" w:color="0000FF"/>
            </w:tcBorders>
            <w:shd w:val="clear" w:color="auto" w:fill="CEFFE7"/>
          </w:tcPr>
          <w:p>
            <w:pPr>
              <w:spacing w:after="0" w:line="20" w:lineRule="exact"/>
              <w:rPr>
                <w:sz w:val="1"/>
                <w:szCs w:val="1"/>
                <w:color w:val="auto"/>
              </w:rPr>
            </w:pPr>
          </w:p>
        </w:tc>
        <w:tc>
          <w:tcPr>
            <w:tcW w:w="66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0" w:type="dxa"/>
            <w:vAlign w:val="bottom"/>
          </w:tcPr>
          <w:p>
            <w:pPr>
              <w:spacing w:after="0"/>
              <w:rPr>
                <w:sz w:val="15"/>
                <w:szCs w:val="15"/>
                <w:color w:val="auto"/>
              </w:rPr>
            </w:pPr>
          </w:p>
        </w:tc>
        <w:tc>
          <w:tcPr>
            <w:tcW w:w="1420" w:type="dxa"/>
            <w:vAlign w:val="bottom"/>
            <w:gridSpan w:val="3"/>
          </w:tcPr>
          <w:p>
            <w:pPr>
              <w:spacing w:after="0" w:line="175" w:lineRule="exact"/>
              <w:rPr>
                <w:sz w:val="20"/>
                <w:szCs w:val="20"/>
                <w:color w:val="auto"/>
              </w:rPr>
            </w:pPr>
            <w:r>
              <w:rPr>
                <w:rFonts w:ascii="Arial" w:cs="Arial" w:eastAsia="Arial" w:hAnsi="Arial"/>
                <w:sz w:val="16"/>
                <w:szCs w:val="16"/>
                <w:color w:val="auto"/>
              </w:rPr>
              <w:t>Item 4.</w:t>
            </w:r>
          </w:p>
        </w:tc>
        <w:tc>
          <w:tcPr>
            <w:tcW w:w="4240" w:type="dxa"/>
            <w:vAlign w:val="bottom"/>
            <w:gridSpan w:val="24"/>
          </w:tcPr>
          <w:p>
            <w:pPr>
              <w:spacing w:after="0" w:line="175" w:lineRule="exact"/>
              <w:rPr>
                <w:rFonts w:ascii="Arial" w:cs="Arial" w:eastAsia="Arial" w:hAnsi="Arial"/>
                <w:sz w:val="16"/>
                <w:szCs w:val="16"/>
                <w:color w:val="0000FF"/>
              </w:rPr>
            </w:pPr>
            <w:hyperlink w:anchor="page45">
              <w:r>
                <w:rPr>
                  <w:rFonts w:ascii="Arial" w:cs="Arial" w:eastAsia="Arial" w:hAnsi="Arial"/>
                  <w:sz w:val="16"/>
                  <w:szCs w:val="16"/>
                  <w:color w:val="0000FF"/>
                </w:rPr>
                <w:t>Controls and Procedures</w:t>
              </w:r>
            </w:hyperlink>
          </w:p>
        </w:tc>
        <w:tc>
          <w:tcPr>
            <w:tcW w:w="4020" w:type="dxa"/>
            <w:vAlign w:val="bottom"/>
            <w:gridSpan w:val="6"/>
          </w:tcPr>
          <w:p>
            <w:pPr>
              <w:spacing w:after="0"/>
              <w:rPr>
                <w:sz w:val="15"/>
                <w:szCs w:val="15"/>
                <w:color w:val="auto"/>
              </w:rPr>
            </w:pPr>
          </w:p>
        </w:tc>
        <w:tc>
          <w:tcPr>
            <w:tcW w:w="660" w:type="dxa"/>
            <w:vAlign w:val="bottom"/>
          </w:tcPr>
          <w:p>
            <w:pPr>
              <w:spacing w:after="0"/>
              <w:rPr>
                <w:sz w:val="15"/>
                <w:szCs w:val="15"/>
                <w:color w:val="auto"/>
              </w:rPr>
            </w:pPr>
          </w:p>
        </w:tc>
        <w:tc>
          <w:tcPr>
            <w:tcW w:w="840" w:type="dxa"/>
            <w:vAlign w:val="bottom"/>
            <w:gridSpan w:val="2"/>
          </w:tcPr>
          <w:p>
            <w:pPr>
              <w:jc w:val="center"/>
              <w:ind w:right="660"/>
              <w:spacing w:after="0" w:line="175" w:lineRule="exact"/>
              <w:rPr>
                <w:rFonts w:ascii="Arial" w:cs="Arial" w:eastAsia="Arial" w:hAnsi="Arial"/>
                <w:sz w:val="16"/>
                <w:szCs w:val="16"/>
                <w:color w:val="0000FF"/>
              </w:rPr>
            </w:pPr>
            <w:hyperlink w:anchor="page45">
              <w:r>
                <w:rPr>
                  <w:rFonts w:ascii="Arial" w:cs="Arial" w:eastAsia="Arial" w:hAnsi="Arial"/>
                  <w:sz w:val="16"/>
                  <w:szCs w:val="16"/>
                  <w:color w:val="0000FF"/>
                </w:rPr>
                <w:t>46</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right w:val="single" w:sz="8" w:color="CEFFE7"/>
            </w:tcBorders>
          </w:tcPr>
          <w:p>
            <w:pPr>
              <w:spacing w:after="0"/>
              <w:rPr>
                <w:sz w:val="23"/>
                <w:szCs w:val="23"/>
                <w:color w:val="auto"/>
              </w:rPr>
            </w:pPr>
          </w:p>
        </w:tc>
        <w:tc>
          <w:tcPr>
            <w:tcW w:w="780" w:type="dxa"/>
            <w:vAlign w:val="bottom"/>
            <w:shd w:val="clear" w:color="auto" w:fill="CEFFE7"/>
          </w:tcPr>
          <w:p>
            <w:pPr>
              <w:spacing w:after="0"/>
              <w:rPr>
                <w:sz w:val="23"/>
                <w:szCs w:val="23"/>
                <w:color w:val="auto"/>
              </w:rPr>
            </w:pPr>
          </w:p>
        </w:tc>
        <w:tc>
          <w:tcPr>
            <w:tcW w:w="760" w:type="dxa"/>
            <w:vAlign w:val="bottom"/>
            <w:gridSpan w:val="3"/>
            <w:shd w:val="clear" w:color="auto" w:fill="CEFFE7"/>
          </w:tcPr>
          <w:p>
            <w:pPr>
              <w:spacing w:after="0"/>
              <w:rPr>
                <w:sz w:val="23"/>
                <w:szCs w:val="23"/>
                <w:color w:val="auto"/>
              </w:rPr>
            </w:pPr>
          </w:p>
        </w:tc>
        <w:tc>
          <w:tcPr>
            <w:tcW w:w="200" w:type="dxa"/>
            <w:vAlign w:val="bottom"/>
            <w:shd w:val="clear" w:color="auto" w:fill="CEFFE7"/>
          </w:tcPr>
          <w:p>
            <w:pPr>
              <w:spacing w:after="0"/>
              <w:rPr>
                <w:sz w:val="23"/>
                <w:szCs w:val="23"/>
                <w:color w:val="auto"/>
              </w:rPr>
            </w:pPr>
          </w:p>
        </w:tc>
        <w:tc>
          <w:tcPr>
            <w:tcW w:w="20" w:type="dxa"/>
            <w:vAlign w:val="bottom"/>
            <w:shd w:val="clear" w:color="auto" w:fill="CEFFE7"/>
          </w:tcPr>
          <w:p>
            <w:pPr>
              <w:spacing w:after="0"/>
              <w:rPr>
                <w:sz w:val="23"/>
                <w:szCs w:val="23"/>
                <w:color w:val="auto"/>
              </w:rPr>
            </w:pPr>
          </w:p>
        </w:tc>
        <w:tc>
          <w:tcPr>
            <w:tcW w:w="220" w:type="dxa"/>
            <w:vAlign w:val="bottom"/>
            <w:shd w:val="clear" w:color="auto" w:fill="CEFFE7"/>
          </w:tcPr>
          <w:p>
            <w:pPr>
              <w:spacing w:after="0"/>
              <w:rPr>
                <w:sz w:val="23"/>
                <w:szCs w:val="23"/>
                <w:color w:val="auto"/>
              </w:rPr>
            </w:pPr>
          </w:p>
        </w:tc>
        <w:tc>
          <w:tcPr>
            <w:tcW w:w="240" w:type="dxa"/>
            <w:vAlign w:val="bottom"/>
            <w:shd w:val="clear" w:color="auto" w:fill="CEFFE7"/>
          </w:tcPr>
          <w:p>
            <w:pPr>
              <w:spacing w:after="0"/>
              <w:rPr>
                <w:sz w:val="23"/>
                <w:szCs w:val="23"/>
                <w:color w:val="auto"/>
              </w:rPr>
            </w:pPr>
          </w:p>
        </w:tc>
        <w:tc>
          <w:tcPr>
            <w:tcW w:w="100" w:type="dxa"/>
            <w:vAlign w:val="bottom"/>
            <w:shd w:val="clear" w:color="auto" w:fill="CEFFE7"/>
          </w:tcPr>
          <w:p>
            <w:pPr>
              <w:spacing w:after="0"/>
              <w:rPr>
                <w:sz w:val="23"/>
                <w:szCs w:val="23"/>
                <w:color w:val="auto"/>
              </w:rPr>
            </w:pPr>
          </w:p>
        </w:tc>
        <w:tc>
          <w:tcPr>
            <w:tcW w:w="60" w:type="dxa"/>
            <w:vAlign w:val="bottom"/>
            <w:shd w:val="clear" w:color="auto" w:fill="CEFFE7"/>
          </w:tcPr>
          <w:p>
            <w:pPr>
              <w:spacing w:after="0"/>
              <w:rPr>
                <w:sz w:val="23"/>
                <w:szCs w:val="23"/>
                <w:color w:val="auto"/>
              </w:rPr>
            </w:pPr>
          </w:p>
        </w:tc>
        <w:tc>
          <w:tcPr>
            <w:tcW w:w="100" w:type="dxa"/>
            <w:vAlign w:val="bottom"/>
            <w:shd w:val="clear" w:color="auto" w:fill="CEFFE7"/>
          </w:tcPr>
          <w:p>
            <w:pPr>
              <w:spacing w:after="0"/>
              <w:rPr>
                <w:sz w:val="23"/>
                <w:szCs w:val="23"/>
                <w:color w:val="auto"/>
              </w:rPr>
            </w:pPr>
          </w:p>
        </w:tc>
        <w:tc>
          <w:tcPr>
            <w:tcW w:w="120" w:type="dxa"/>
            <w:vAlign w:val="bottom"/>
            <w:shd w:val="clear" w:color="auto" w:fill="CEFFE7"/>
          </w:tcPr>
          <w:p>
            <w:pPr>
              <w:spacing w:after="0"/>
              <w:rPr>
                <w:sz w:val="23"/>
                <w:szCs w:val="23"/>
                <w:color w:val="auto"/>
              </w:rPr>
            </w:pPr>
          </w:p>
        </w:tc>
        <w:tc>
          <w:tcPr>
            <w:tcW w:w="160" w:type="dxa"/>
            <w:vAlign w:val="bottom"/>
            <w:shd w:val="clear" w:color="auto" w:fill="CEFFE7"/>
          </w:tcPr>
          <w:p>
            <w:pPr>
              <w:spacing w:after="0"/>
              <w:rPr>
                <w:sz w:val="23"/>
                <w:szCs w:val="23"/>
                <w:color w:val="auto"/>
              </w:rPr>
            </w:pPr>
          </w:p>
        </w:tc>
        <w:tc>
          <w:tcPr>
            <w:tcW w:w="80" w:type="dxa"/>
            <w:vAlign w:val="bottom"/>
            <w:shd w:val="clear" w:color="auto" w:fill="CEFFE7"/>
          </w:tcPr>
          <w:p>
            <w:pPr>
              <w:spacing w:after="0"/>
              <w:rPr>
                <w:sz w:val="23"/>
                <w:szCs w:val="23"/>
                <w:color w:val="auto"/>
              </w:rPr>
            </w:pPr>
          </w:p>
        </w:tc>
        <w:tc>
          <w:tcPr>
            <w:tcW w:w="40" w:type="dxa"/>
            <w:vAlign w:val="bottom"/>
            <w:shd w:val="clear" w:color="auto" w:fill="CEFFE7"/>
          </w:tcPr>
          <w:p>
            <w:pPr>
              <w:spacing w:after="0"/>
              <w:rPr>
                <w:sz w:val="23"/>
                <w:szCs w:val="23"/>
                <w:color w:val="auto"/>
              </w:rPr>
            </w:pPr>
          </w:p>
        </w:tc>
        <w:tc>
          <w:tcPr>
            <w:tcW w:w="100" w:type="dxa"/>
            <w:vAlign w:val="bottom"/>
            <w:shd w:val="clear" w:color="auto" w:fill="CEFFE7"/>
          </w:tcPr>
          <w:p>
            <w:pPr>
              <w:spacing w:after="0"/>
              <w:rPr>
                <w:sz w:val="23"/>
                <w:szCs w:val="23"/>
                <w:color w:val="auto"/>
              </w:rPr>
            </w:pPr>
          </w:p>
        </w:tc>
        <w:tc>
          <w:tcPr>
            <w:tcW w:w="60" w:type="dxa"/>
            <w:vAlign w:val="bottom"/>
            <w:shd w:val="clear" w:color="auto" w:fill="CEFFE7"/>
          </w:tcPr>
          <w:p>
            <w:pPr>
              <w:spacing w:after="0"/>
              <w:rPr>
                <w:sz w:val="23"/>
                <w:szCs w:val="23"/>
                <w:color w:val="auto"/>
              </w:rPr>
            </w:pPr>
          </w:p>
        </w:tc>
        <w:tc>
          <w:tcPr>
            <w:tcW w:w="60" w:type="dxa"/>
            <w:vAlign w:val="bottom"/>
            <w:shd w:val="clear" w:color="auto" w:fill="CEFFE7"/>
          </w:tcPr>
          <w:p>
            <w:pPr>
              <w:spacing w:after="0"/>
              <w:rPr>
                <w:sz w:val="23"/>
                <w:szCs w:val="23"/>
                <w:color w:val="auto"/>
              </w:rPr>
            </w:pPr>
          </w:p>
        </w:tc>
        <w:tc>
          <w:tcPr>
            <w:tcW w:w="40" w:type="dxa"/>
            <w:vAlign w:val="bottom"/>
            <w:shd w:val="clear" w:color="auto" w:fill="CEFFE7"/>
          </w:tcPr>
          <w:p>
            <w:pPr>
              <w:spacing w:after="0"/>
              <w:rPr>
                <w:sz w:val="23"/>
                <w:szCs w:val="23"/>
                <w:color w:val="auto"/>
              </w:rPr>
            </w:pPr>
          </w:p>
        </w:tc>
        <w:tc>
          <w:tcPr>
            <w:tcW w:w="20" w:type="dxa"/>
            <w:vAlign w:val="bottom"/>
            <w:shd w:val="clear" w:color="auto" w:fill="CEFFE7"/>
          </w:tcPr>
          <w:p>
            <w:pPr>
              <w:spacing w:after="0"/>
              <w:rPr>
                <w:sz w:val="23"/>
                <w:szCs w:val="23"/>
                <w:color w:val="auto"/>
              </w:rPr>
            </w:pPr>
          </w:p>
        </w:tc>
        <w:tc>
          <w:tcPr>
            <w:tcW w:w="40" w:type="dxa"/>
            <w:vAlign w:val="bottom"/>
            <w:shd w:val="clear" w:color="auto" w:fill="CEFFE7"/>
          </w:tcPr>
          <w:p>
            <w:pPr>
              <w:spacing w:after="0"/>
              <w:rPr>
                <w:sz w:val="23"/>
                <w:szCs w:val="23"/>
                <w:color w:val="auto"/>
              </w:rPr>
            </w:pPr>
          </w:p>
        </w:tc>
        <w:tc>
          <w:tcPr>
            <w:tcW w:w="20" w:type="dxa"/>
            <w:vAlign w:val="bottom"/>
            <w:shd w:val="clear" w:color="auto" w:fill="CEFFE7"/>
          </w:tcPr>
          <w:p>
            <w:pPr>
              <w:spacing w:after="0"/>
              <w:rPr>
                <w:sz w:val="23"/>
                <w:szCs w:val="23"/>
                <w:color w:val="auto"/>
              </w:rPr>
            </w:pPr>
          </w:p>
        </w:tc>
        <w:tc>
          <w:tcPr>
            <w:tcW w:w="80" w:type="dxa"/>
            <w:vAlign w:val="bottom"/>
            <w:shd w:val="clear" w:color="auto" w:fill="CEFFE7"/>
          </w:tcPr>
          <w:p>
            <w:pPr>
              <w:spacing w:after="0"/>
              <w:rPr>
                <w:sz w:val="23"/>
                <w:szCs w:val="23"/>
                <w:color w:val="auto"/>
              </w:rPr>
            </w:pPr>
          </w:p>
        </w:tc>
        <w:tc>
          <w:tcPr>
            <w:tcW w:w="520" w:type="dxa"/>
            <w:vAlign w:val="bottom"/>
            <w:shd w:val="clear" w:color="auto" w:fill="CEFFE7"/>
          </w:tcPr>
          <w:p>
            <w:pPr>
              <w:spacing w:after="0"/>
              <w:rPr>
                <w:sz w:val="23"/>
                <w:szCs w:val="23"/>
                <w:color w:val="auto"/>
              </w:rPr>
            </w:pPr>
          </w:p>
        </w:tc>
        <w:tc>
          <w:tcPr>
            <w:tcW w:w="100" w:type="dxa"/>
            <w:vAlign w:val="bottom"/>
            <w:shd w:val="clear" w:color="auto" w:fill="CEFFE7"/>
          </w:tcPr>
          <w:p>
            <w:pPr>
              <w:spacing w:after="0"/>
              <w:rPr>
                <w:sz w:val="23"/>
                <w:szCs w:val="23"/>
                <w:color w:val="auto"/>
              </w:rPr>
            </w:pPr>
          </w:p>
        </w:tc>
        <w:tc>
          <w:tcPr>
            <w:tcW w:w="60" w:type="dxa"/>
            <w:vAlign w:val="bottom"/>
            <w:shd w:val="clear" w:color="auto" w:fill="CEFFE7"/>
          </w:tcPr>
          <w:p>
            <w:pPr>
              <w:spacing w:after="0"/>
              <w:rPr>
                <w:sz w:val="23"/>
                <w:szCs w:val="23"/>
                <w:color w:val="auto"/>
              </w:rPr>
            </w:pPr>
          </w:p>
        </w:tc>
        <w:tc>
          <w:tcPr>
            <w:tcW w:w="1680" w:type="dxa"/>
            <w:vAlign w:val="bottom"/>
            <w:shd w:val="clear" w:color="auto" w:fill="CEFFE7"/>
          </w:tcPr>
          <w:p>
            <w:pPr>
              <w:spacing w:after="0"/>
              <w:rPr>
                <w:sz w:val="23"/>
                <w:szCs w:val="23"/>
                <w:color w:val="auto"/>
              </w:rPr>
            </w:pPr>
          </w:p>
        </w:tc>
        <w:tc>
          <w:tcPr>
            <w:tcW w:w="60" w:type="dxa"/>
            <w:vAlign w:val="bottom"/>
            <w:shd w:val="clear" w:color="auto" w:fill="CEFFE7"/>
          </w:tcPr>
          <w:p>
            <w:pPr>
              <w:spacing w:after="0"/>
              <w:rPr>
                <w:sz w:val="23"/>
                <w:szCs w:val="23"/>
                <w:color w:val="auto"/>
              </w:rPr>
            </w:pPr>
          </w:p>
        </w:tc>
        <w:tc>
          <w:tcPr>
            <w:tcW w:w="60" w:type="dxa"/>
            <w:vAlign w:val="bottom"/>
            <w:shd w:val="clear" w:color="auto" w:fill="CEFFE7"/>
          </w:tcPr>
          <w:p>
            <w:pPr>
              <w:spacing w:after="0"/>
              <w:rPr>
                <w:sz w:val="23"/>
                <w:szCs w:val="23"/>
                <w:color w:val="auto"/>
              </w:rPr>
            </w:pPr>
          </w:p>
        </w:tc>
        <w:tc>
          <w:tcPr>
            <w:tcW w:w="180" w:type="dxa"/>
            <w:vAlign w:val="bottom"/>
            <w:shd w:val="clear" w:color="auto" w:fill="CEFFE7"/>
          </w:tcPr>
          <w:p>
            <w:pPr>
              <w:spacing w:after="0"/>
              <w:rPr>
                <w:sz w:val="23"/>
                <w:szCs w:val="23"/>
                <w:color w:val="auto"/>
              </w:rPr>
            </w:pPr>
          </w:p>
        </w:tc>
        <w:tc>
          <w:tcPr>
            <w:tcW w:w="1820" w:type="dxa"/>
            <w:vAlign w:val="bottom"/>
            <w:shd w:val="clear" w:color="auto" w:fill="CEFFE7"/>
          </w:tcPr>
          <w:p>
            <w:pPr>
              <w:spacing w:after="0"/>
              <w:rPr>
                <w:sz w:val="23"/>
                <w:szCs w:val="23"/>
                <w:color w:val="auto"/>
              </w:rPr>
            </w:pPr>
          </w:p>
        </w:tc>
        <w:tc>
          <w:tcPr>
            <w:tcW w:w="1680" w:type="dxa"/>
            <w:vAlign w:val="bottom"/>
            <w:shd w:val="clear" w:color="auto" w:fill="CEFFE7"/>
          </w:tcPr>
          <w:p>
            <w:pPr>
              <w:spacing w:after="0"/>
              <w:rPr>
                <w:sz w:val="23"/>
                <w:szCs w:val="23"/>
                <w:color w:val="auto"/>
              </w:rPr>
            </w:pPr>
          </w:p>
        </w:tc>
        <w:tc>
          <w:tcPr>
            <w:tcW w:w="220" w:type="dxa"/>
            <w:vAlign w:val="bottom"/>
            <w:shd w:val="clear" w:color="auto" w:fill="CEFFE7"/>
          </w:tcPr>
          <w:p>
            <w:pPr>
              <w:spacing w:after="0"/>
              <w:rPr>
                <w:sz w:val="23"/>
                <w:szCs w:val="23"/>
                <w:color w:val="auto"/>
              </w:rPr>
            </w:pPr>
          </w:p>
        </w:tc>
        <w:tc>
          <w:tcPr>
            <w:tcW w:w="660" w:type="dxa"/>
            <w:vAlign w:val="bottom"/>
            <w:shd w:val="clear" w:color="auto" w:fill="CEFFE7"/>
          </w:tcPr>
          <w:p>
            <w:pPr>
              <w:spacing w:after="0"/>
              <w:rPr>
                <w:sz w:val="23"/>
                <w:szCs w:val="23"/>
                <w:color w:val="auto"/>
              </w:rPr>
            </w:pPr>
          </w:p>
        </w:tc>
        <w:tc>
          <w:tcPr>
            <w:tcW w:w="180" w:type="dxa"/>
            <w:vAlign w:val="bottom"/>
            <w:shd w:val="clear" w:color="auto" w:fill="CEFFE7"/>
          </w:tcPr>
          <w:p>
            <w:pPr>
              <w:spacing w:after="0"/>
              <w:rPr>
                <w:sz w:val="23"/>
                <w:szCs w:val="23"/>
                <w:color w:val="auto"/>
              </w:rPr>
            </w:pPr>
          </w:p>
        </w:tc>
        <w:tc>
          <w:tcPr>
            <w:tcW w:w="660" w:type="dxa"/>
            <w:vAlign w:val="bottom"/>
            <w:shd w:val="clear" w:color="auto" w:fill="CEFFE7"/>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9680" w:type="dxa"/>
            <w:vAlign w:val="bottom"/>
            <w:gridSpan w:val="33"/>
          </w:tcPr>
          <w:p>
            <w:pPr>
              <w:spacing w:after="0" w:line="175" w:lineRule="exact"/>
              <w:rPr>
                <w:rFonts w:ascii="Arial" w:cs="Arial" w:eastAsia="Arial" w:hAnsi="Arial"/>
                <w:sz w:val="16"/>
                <w:szCs w:val="16"/>
                <w:color w:val="0000FF"/>
              </w:rPr>
            </w:pPr>
            <w:hyperlink w:anchor="page45">
              <w:r>
                <w:rPr>
                  <w:rFonts w:ascii="Arial" w:cs="Arial" w:eastAsia="Arial" w:hAnsi="Arial"/>
                  <w:sz w:val="16"/>
                  <w:szCs w:val="16"/>
                  <w:color w:val="0000FF"/>
                </w:rPr>
                <w:t>PART II. OTHER INFORMATION</w:t>
              </w:r>
            </w:hyperlink>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0" w:type="dxa"/>
            <w:vAlign w:val="bottom"/>
            <w:tcBorders>
              <w:right w:val="single" w:sz="8" w:color="CEFFE7"/>
            </w:tcBorders>
          </w:tcPr>
          <w:p>
            <w:pPr>
              <w:spacing w:after="0"/>
              <w:rPr>
                <w:sz w:val="15"/>
                <w:szCs w:val="15"/>
                <w:color w:val="auto"/>
              </w:rPr>
            </w:pPr>
          </w:p>
        </w:tc>
        <w:tc>
          <w:tcPr>
            <w:tcW w:w="1420" w:type="dxa"/>
            <w:vAlign w:val="bottom"/>
            <w:gridSpan w:val="3"/>
            <w:shd w:val="clear" w:color="auto" w:fill="CEFFE7"/>
          </w:tcPr>
          <w:p>
            <w:pPr>
              <w:spacing w:after="0" w:line="175" w:lineRule="exact"/>
              <w:rPr>
                <w:sz w:val="20"/>
                <w:szCs w:val="20"/>
                <w:color w:val="auto"/>
              </w:rPr>
            </w:pPr>
            <w:r>
              <w:rPr>
                <w:rFonts w:ascii="Arial" w:cs="Arial" w:eastAsia="Arial" w:hAnsi="Arial"/>
                <w:sz w:val="16"/>
                <w:szCs w:val="16"/>
                <w:color w:val="auto"/>
              </w:rPr>
              <w:t>Item 1.</w:t>
            </w:r>
          </w:p>
        </w:tc>
        <w:tc>
          <w:tcPr>
            <w:tcW w:w="1340" w:type="dxa"/>
            <w:vAlign w:val="bottom"/>
            <w:gridSpan w:val="10"/>
            <w:shd w:val="clear" w:color="auto" w:fill="CEFFE7"/>
          </w:tcPr>
          <w:p>
            <w:pPr>
              <w:spacing w:after="0" w:line="175" w:lineRule="exact"/>
              <w:rPr>
                <w:rFonts w:ascii="Arial" w:cs="Arial" w:eastAsia="Arial" w:hAnsi="Arial"/>
                <w:sz w:val="16"/>
                <w:szCs w:val="16"/>
                <w:color w:val="0000FF"/>
                <w:w w:val="99"/>
              </w:rPr>
            </w:pPr>
            <w:hyperlink w:anchor="page46">
              <w:r>
                <w:rPr>
                  <w:rFonts w:ascii="Arial" w:cs="Arial" w:eastAsia="Arial" w:hAnsi="Arial"/>
                  <w:sz w:val="16"/>
                  <w:szCs w:val="16"/>
                  <w:color w:val="0000FF"/>
                  <w:w w:val="99"/>
                </w:rPr>
                <w:t>Legal Proceedings</w:t>
              </w:r>
            </w:hyperlink>
          </w:p>
        </w:tc>
        <w:tc>
          <w:tcPr>
            <w:tcW w:w="6920" w:type="dxa"/>
            <w:vAlign w:val="bottom"/>
            <w:gridSpan w:val="20"/>
            <w:shd w:val="clear" w:color="auto" w:fill="CEFFE7"/>
          </w:tcPr>
          <w:p>
            <w:pPr>
              <w:spacing w:after="0"/>
              <w:rPr>
                <w:sz w:val="15"/>
                <w:szCs w:val="15"/>
                <w:color w:val="auto"/>
              </w:rPr>
            </w:pPr>
          </w:p>
        </w:tc>
        <w:tc>
          <w:tcPr>
            <w:tcW w:w="660" w:type="dxa"/>
            <w:vAlign w:val="bottom"/>
            <w:shd w:val="clear" w:color="auto" w:fill="CEFFE7"/>
          </w:tcPr>
          <w:p>
            <w:pPr>
              <w:spacing w:after="0"/>
              <w:rPr>
                <w:sz w:val="15"/>
                <w:szCs w:val="15"/>
                <w:color w:val="auto"/>
              </w:rPr>
            </w:pPr>
          </w:p>
        </w:tc>
        <w:tc>
          <w:tcPr>
            <w:tcW w:w="840" w:type="dxa"/>
            <w:vAlign w:val="bottom"/>
            <w:gridSpan w:val="2"/>
            <w:shd w:val="clear" w:color="auto" w:fill="CEFFE7"/>
          </w:tcPr>
          <w:p>
            <w:pPr>
              <w:jc w:val="center"/>
              <w:ind w:right="660"/>
              <w:spacing w:after="0" w:line="175" w:lineRule="exact"/>
              <w:rPr>
                <w:rFonts w:ascii="Arial" w:cs="Arial" w:eastAsia="Arial" w:hAnsi="Arial"/>
                <w:sz w:val="16"/>
                <w:szCs w:val="16"/>
                <w:color w:val="0000FF"/>
              </w:rPr>
            </w:pPr>
            <w:hyperlink w:anchor="page46">
              <w:r>
                <w:rPr>
                  <w:rFonts w:ascii="Arial" w:cs="Arial" w:eastAsia="Arial" w:hAnsi="Arial"/>
                  <w:sz w:val="16"/>
                  <w:szCs w:val="16"/>
                  <w:color w:val="0000FF"/>
                </w:rPr>
                <w:t>46</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 w:type="dxa"/>
            <w:vAlign w:val="bottom"/>
            <w:tcBorders>
              <w:right w:val="single" w:sz="8" w:color="CEFFE7"/>
            </w:tcBorders>
          </w:tcPr>
          <w:p>
            <w:pPr>
              <w:spacing w:after="0" w:line="20" w:lineRule="exact"/>
              <w:rPr>
                <w:sz w:val="1"/>
                <w:szCs w:val="1"/>
                <w:color w:val="auto"/>
              </w:rPr>
            </w:pPr>
          </w:p>
        </w:tc>
        <w:tc>
          <w:tcPr>
            <w:tcW w:w="780" w:type="dxa"/>
            <w:vAlign w:val="bottom"/>
            <w:tcBorders>
              <w:top w:val="single" w:sz="8" w:color="CEFFE7"/>
            </w:tcBorders>
            <w:shd w:val="clear" w:color="auto" w:fill="CEFFE7"/>
          </w:tcPr>
          <w:p>
            <w:pPr>
              <w:spacing w:after="0" w:line="20" w:lineRule="exact"/>
              <w:rPr>
                <w:sz w:val="1"/>
                <w:szCs w:val="1"/>
                <w:color w:val="auto"/>
              </w:rPr>
            </w:pPr>
          </w:p>
        </w:tc>
        <w:tc>
          <w:tcPr>
            <w:tcW w:w="540" w:type="dxa"/>
            <w:vAlign w:val="bottom"/>
            <w:tcBorders>
              <w:top w:val="single" w:sz="8" w:color="CEFFE7"/>
            </w:tcBorders>
            <w:shd w:val="clear" w:color="auto" w:fill="CEFFE7"/>
          </w:tcPr>
          <w:p>
            <w:pPr>
              <w:spacing w:after="0" w:line="20" w:lineRule="exact"/>
              <w:rPr>
                <w:sz w:val="1"/>
                <w:szCs w:val="1"/>
                <w:color w:val="auto"/>
              </w:rPr>
            </w:pPr>
          </w:p>
        </w:tc>
        <w:tc>
          <w:tcPr>
            <w:tcW w:w="100" w:type="dxa"/>
            <w:vAlign w:val="bottom"/>
            <w:tcBorders>
              <w:top w:val="single" w:sz="8" w:color="CEFFE7"/>
            </w:tcBorders>
            <w:shd w:val="clear" w:color="auto" w:fill="CEFFE7"/>
          </w:tcPr>
          <w:p>
            <w:pPr>
              <w:spacing w:after="0" w:line="20" w:lineRule="exact"/>
              <w:rPr>
                <w:sz w:val="1"/>
                <w:szCs w:val="1"/>
                <w:color w:val="auto"/>
              </w:rPr>
            </w:pPr>
          </w:p>
        </w:tc>
        <w:tc>
          <w:tcPr>
            <w:tcW w:w="120" w:type="dxa"/>
            <w:vAlign w:val="bottom"/>
            <w:tcBorders>
              <w:top w:val="single" w:sz="8" w:color="0000FF"/>
            </w:tcBorders>
            <w:shd w:val="clear" w:color="auto" w:fill="CEFFE7"/>
          </w:tcPr>
          <w:p>
            <w:pPr>
              <w:spacing w:after="0" w:line="20" w:lineRule="exact"/>
              <w:rPr>
                <w:sz w:val="1"/>
                <w:szCs w:val="1"/>
                <w:color w:val="auto"/>
              </w:rPr>
            </w:pPr>
          </w:p>
        </w:tc>
        <w:tc>
          <w:tcPr>
            <w:tcW w:w="20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220" w:type="dxa"/>
            <w:vAlign w:val="bottom"/>
            <w:tcBorders>
              <w:top w:val="single" w:sz="8" w:color="0000FF"/>
            </w:tcBorders>
            <w:shd w:val="clear" w:color="auto" w:fill="CEFFE7"/>
          </w:tcPr>
          <w:p>
            <w:pPr>
              <w:spacing w:after="0" w:line="20" w:lineRule="exact"/>
              <w:rPr>
                <w:sz w:val="1"/>
                <w:szCs w:val="1"/>
                <w:color w:val="auto"/>
              </w:rPr>
            </w:pPr>
          </w:p>
        </w:tc>
        <w:tc>
          <w:tcPr>
            <w:tcW w:w="240" w:type="dxa"/>
            <w:vAlign w:val="bottom"/>
            <w:tcBorders>
              <w:top w:val="single" w:sz="8" w:color="0000FF"/>
            </w:tcBorders>
            <w:shd w:val="clear" w:color="auto" w:fill="CEFFE7"/>
          </w:tcPr>
          <w:p>
            <w:pPr>
              <w:spacing w:after="0" w:line="20" w:lineRule="exact"/>
              <w:rPr>
                <w:sz w:val="1"/>
                <w:szCs w:val="1"/>
                <w:color w:val="auto"/>
              </w:rPr>
            </w:pPr>
          </w:p>
        </w:tc>
        <w:tc>
          <w:tcPr>
            <w:tcW w:w="100" w:type="dxa"/>
            <w:vAlign w:val="bottom"/>
            <w:tcBorders>
              <w:top w:val="single" w:sz="8" w:color="0000FF"/>
            </w:tcBorders>
            <w:shd w:val="clear" w:color="auto" w:fill="CEFFE7"/>
          </w:tcPr>
          <w:p>
            <w:pPr>
              <w:spacing w:after="0" w:line="20" w:lineRule="exact"/>
              <w:rPr>
                <w:sz w:val="1"/>
                <w:szCs w:val="1"/>
                <w:color w:val="auto"/>
              </w:rPr>
            </w:pPr>
          </w:p>
        </w:tc>
        <w:tc>
          <w:tcPr>
            <w:tcW w:w="60" w:type="dxa"/>
            <w:vAlign w:val="bottom"/>
            <w:tcBorders>
              <w:top w:val="single" w:sz="8" w:color="0000FF"/>
            </w:tcBorders>
            <w:shd w:val="clear" w:color="auto" w:fill="CEFFE7"/>
          </w:tcPr>
          <w:p>
            <w:pPr>
              <w:spacing w:after="0" w:line="20" w:lineRule="exact"/>
              <w:rPr>
                <w:sz w:val="1"/>
                <w:szCs w:val="1"/>
                <w:color w:val="auto"/>
              </w:rPr>
            </w:pPr>
          </w:p>
        </w:tc>
        <w:tc>
          <w:tcPr>
            <w:tcW w:w="100" w:type="dxa"/>
            <w:vAlign w:val="bottom"/>
            <w:tcBorders>
              <w:top w:val="single" w:sz="8" w:color="0000FF"/>
            </w:tcBorders>
            <w:shd w:val="clear" w:color="auto" w:fill="CEFFE7"/>
          </w:tcPr>
          <w:p>
            <w:pPr>
              <w:spacing w:after="0" w:line="20" w:lineRule="exact"/>
              <w:rPr>
                <w:sz w:val="1"/>
                <w:szCs w:val="1"/>
                <w:color w:val="auto"/>
              </w:rPr>
            </w:pPr>
          </w:p>
        </w:tc>
        <w:tc>
          <w:tcPr>
            <w:tcW w:w="120" w:type="dxa"/>
            <w:vAlign w:val="bottom"/>
            <w:tcBorders>
              <w:top w:val="single" w:sz="8" w:color="0000FF"/>
            </w:tcBorders>
            <w:shd w:val="clear" w:color="auto" w:fill="CEFFE7"/>
          </w:tcPr>
          <w:p>
            <w:pPr>
              <w:spacing w:after="0" w:line="20" w:lineRule="exact"/>
              <w:rPr>
                <w:sz w:val="1"/>
                <w:szCs w:val="1"/>
                <w:color w:val="auto"/>
              </w:rPr>
            </w:pPr>
          </w:p>
        </w:tc>
        <w:tc>
          <w:tcPr>
            <w:tcW w:w="160" w:type="dxa"/>
            <w:vAlign w:val="bottom"/>
            <w:tcBorders>
              <w:top w:val="single" w:sz="8" w:color="0000FF"/>
            </w:tcBorders>
            <w:shd w:val="clear" w:color="auto" w:fill="CEFFE7"/>
          </w:tcPr>
          <w:p>
            <w:pPr>
              <w:spacing w:after="0" w:line="20" w:lineRule="exact"/>
              <w:rPr>
                <w:sz w:val="1"/>
                <w:szCs w:val="1"/>
                <w:color w:val="auto"/>
              </w:rPr>
            </w:pPr>
          </w:p>
        </w:tc>
        <w:tc>
          <w:tcPr>
            <w:tcW w:w="8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100" w:type="dxa"/>
            <w:vAlign w:val="bottom"/>
            <w:tcBorders>
              <w:top w:val="single" w:sz="8" w:color="CEFFE7"/>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80" w:type="dxa"/>
            <w:vAlign w:val="bottom"/>
            <w:tcBorders>
              <w:top w:val="single" w:sz="8" w:color="CEFFE7"/>
            </w:tcBorders>
            <w:shd w:val="clear" w:color="auto" w:fill="CEFFE7"/>
          </w:tcPr>
          <w:p>
            <w:pPr>
              <w:spacing w:after="0" w:line="20" w:lineRule="exact"/>
              <w:rPr>
                <w:sz w:val="1"/>
                <w:szCs w:val="1"/>
                <w:color w:val="auto"/>
              </w:rPr>
            </w:pPr>
          </w:p>
        </w:tc>
        <w:tc>
          <w:tcPr>
            <w:tcW w:w="520" w:type="dxa"/>
            <w:vAlign w:val="bottom"/>
            <w:tcBorders>
              <w:top w:val="single" w:sz="8" w:color="CEFFE7"/>
            </w:tcBorders>
            <w:shd w:val="clear" w:color="auto" w:fill="CEFFE7"/>
          </w:tcPr>
          <w:p>
            <w:pPr>
              <w:spacing w:after="0" w:line="20" w:lineRule="exact"/>
              <w:rPr>
                <w:sz w:val="1"/>
                <w:szCs w:val="1"/>
                <w:color w:val="auto"/>
              </w:rPr>
            </w:pPr>
          </w:p>
        </w:tc>
        <w:tc>
          <w:tcPr>
            <w:tcW w:w="100" w:type="dxa"/>
            <w:vAlign w:val="bottom"/>
            <w:tcBorders>
              <w:top w:val="single" w:sz="8" w:color="CEFFE7"/>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1680" w:type="dxa"/>
            <w:vAlign w:val="bottom"/>
            <w:tcBorders>
              <w:top w:val="single" w:sz="8" w:color="CEFFE7"/>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180" w:type="dxa"/>
            <w:vAlign w:val="bottom"/>
            <w:tcBorders>
              <w:top w:val="single" w:sz="8" w:color="CEFFE7"/>
            </w:tcBorders>
            <w:shd w:val="clear" w:color="auto" w:fill="CEFFE7"/>
          </w:tcPr>
          <w:p>
            <w:pPr>
              <w:spacing w:after="0" w:line="20" w:lineRule="exact"/>
              <w:rPr>
                <w:sz w:val="1"/>
                <w:szCs w:val="1"/>
                <w:color w:val="auto"/>
              </w:rPr>
            </w:pPr>
          </w:p>
        </w:tc>
        <w:tc>
          <w:tcPr>
            <w:tcW w:w="1820" w:type="dxa"/>
            <w:vAlign w:val="bottom"/>
            <w:tcBorders>
              <w:top w:val="single" w:sz="8" w:color="CEFFE7"/>
            </w:tcBorders>
            <w:shd w:val="clear" w:color="auto" w:fill="CEFFE7"/>
          </w:tcPr>
          <w:p>
            <w:pPr>
              <w:spacing w:after="0" w:line="20" w:lineRule="exact"/>
              <w:rPr>
                <w:sz w:val="1"/>
                <w:szCs w:val="1"/>
                <w:color w:val="auto"/>
              </w:rPr>
            </w:pPr>
          </w:p>
        </w:tc>
        <w:tc>
          <w:tcPr>
            <w:tcW w:w="1680" w:type="dxa"/>
            <w:vAlign w:val="bottom"/>
            <w:tcBorders>
              <w:top w:val="single" w:sz="8" w:color="CEFFE7"/>
            </w:tcBorders>
            <w:shd w:val="clear" w:color="auto" w:fill="CEFFE7"/>
          </w:tcPr>
          <w:p>
            <w:pPr>
              <w:spacing w:after="0" w:line="20" w:lineRule="exact"/>
              <w:rPr>
                <w:sz w:val="1"/>
                <w:szCs w:val="1"/>
                <w:color w:val="auto"/>
              </w:rPr>
            </w:pPr>
          </w:p>
        </w:tc>
        <w:tc>
          <w:tcPr>
            <w:tcW w:w="220" w:type="dxa"/>
            <w:vAlign w:val="bottom"/>
            <w:tcBorders>
              <w:top w:val="single" w:sz="8" w:color="CEFFE7"/>
            </w:tcBorders>
            <w:shd w:val="clear" w:color="auto" w:fill="CEFFE7"/>
          </w:tcPr>
          <w:p>
            <w:pPr>
              <w:spacing w:after="0" w:line="20" w:lineRule="exact"/>
              <w:rPr>
                <w:sz w:val="1"/>
                <w:szCs w:val="1"/>
                <w:color w:val="auto"/>
              </w:rPr>
            </w:pPr>
          </w:p>
        </w:tc>
        <w:tc>
          <w:tcPr>
            <w:tcW w:w="660" w:type="dxa"/>
            <w:vAlign w:val="bottom"/>
            <w:tcBorders>
              <w:top w:val="single" w:sz="8" w:color="CEFFE7"/>
            </w:tcBorders>
            <w:shd w:val="clear" w:color="auto" w:fill="CEFFE7"/>
          </w:tcPr>
          <w:p>
            <w:pPr>
              <w:spacing w:after="0" w:line="20" w:lineRule="exact"/>
              <w:rPr>
                <w:sz w:val="1"/>
                <w:szCs w:val="1"/>
                <w:color w:val="auto"/>
              </w:rPr>
            </w:pPr>
          </w:p>
        </w:tc>
        <w:tc>
          <w:tcPr>
            <w:tcW w:w="180" w:type="dxa"/>
            <w:vAlign w:val="bottom"/>
            <w:tcBorders>
              <w:top w:val="single" w:sz="8" w:color="0000FF"/>
            </w:tcBorders>
            <w:shd w:val="clear" w:color="auto" w:fill="CEFFE7"/>
          </w:tcPr>
          <w:p>
            <w:pPr>
              <w:spacing w:after="0" w:line="20" w:lineRule="exact"/>
              <w:rPr>
                <w:sz w:val="1"/>
                <w:szCs w:val="1"/>
                <w:color w:val="auto"/>
              </w:rPr>
            </w:pPr>
          </w:p>
        </w:tc>
        <w:tc>
          <w:tcPr>
            <w:tcW w:w="66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0" w:type="dxa"/>
            <w:vAlign w:val="bottom"/>
          </w:tcPr>
          <w:p>
            <w:pPr>
              <w:spacing w:after="0"/>
              <w:rPr>
                <w:sz w:val="15"/>
                <w:szCs w:val="15"/>
                <w:color w:val="auto"/>
              </w:rPr>
            </w:pPr>
          </w:p>
        </w:tc>
        <w:tc>
          <w:tcPr>
            <w:tcW w:w="1420" w:type="dxa"/>
            <w:vAlign w:val="bottom"/>
            <w:gridSpan w:val="3"/>
          </w:tcPr>
          <w:p>
            <w:pPr>
              <w:spacing w:after="0" w:line="175" w:lineRule="exact"/>
              <w:rPr>
                <w:sz w:val="20"/>
                <w:szCs w:val="20"/>
                <w:color w:val="auto"/>
              </w:rPr>
            </w:pPr>
            <w:r>
              <w:rPr>
                <w:rFonts w:ascii="Arial" w:cs="Arial" w:eastAsia="Arial" w:hAnsi="Arial"/>
                <w:sz w:val="16"/>
                <w:szCs w:val="16"/>
                <w:color w:val="auto"/>
              </w:rPr>
              <w:t>Item 1A.</w:t>
            </w:r>
          </w:p>
        </w:tc>
        <w:tc>
          <w:tcPr>
            <w:tcW w:w="1340" w:type="dxa"/>
            <w:vAlign w:val="bottom"/>
            <w:gridSpan w:val="10"/>
          </w:tcPr>
          <w:p>
            <w:pPr>
              <w:spacing w:after="0" w:line="175" w:lineRule="exact"/>
              <w:rPr>
                <w:rFonts w:ascii="Arial" w:cs="Arial" w:eastAsia="Arial" w:hAnsi="Arial"/>
                <w:sz w:val="16"/>
                <w:szCs w:val="16"/>
                <w:color w:val="0000FF"/>
              </w:rPr>
            </w:pPr>
            <w:hyperlink w:anchor="page46">
              <w:r>
                <w:rPr>
                  <w:rFonts w:ascii="Arial" w:cs="Arial" w:eastAsia="Arial" w:hAnsi="Arial"/>
                  <w:sz w:val="16"/>
                  <w:szCs w:val="16"/>
                  <w:color w:val="0000FF"/>
                </w:rPr>
                <w:t>Risk Factors</w:t>
              </w:r>
            </w:hyperlink>
          </w:p>
        </w:tc>
        <w:tc>
          <w:tcPr>
            <w:tcW w:w="6920" w:type="dxa"/>
            <w:vAlign w:val="bottom"/>
            <w:gridSpan w:val="20"/>
          </w:tcPr>
          <w:p>
            <w:pPr>
              <w:spacing w:after="0"/>
              <w:rPr>
                <w:sz w:val="15"/>
                <w:szCs w:val="15"/>
                <w:color w:val="auto"/>
              </w:rPr>
            </w:pPr>
          </w:p>
        </w:tc>
        <w:tc>
          <w:tcPr>
            <w:tcW w:w="660" w:type="dxa"/>
            <w:vAlign w:val="bottom"/>
          </w:tcPr>
          <w:p>
            <w:pPr>
              <w:spacing w:after="0"/>
              <w:rPr>
                <w:sz w:val="15"/>
                <w:szCs w:val="15"/>
                <w:color w:val="auto"/>
              </w:rPr>
            </w:pPr>
          </w:p>
        </w:tc>
        <w:tc>
          <w:tcPr>
            <w:tcW w:w="840" w:type="dxa"/>
            <w:vAlign w:val="bottom"/>
            <w:gridSpan w:val="2"/>
          </w:tcPr>
          <w:p>
            <w:pPr>
              <w:jc w:val="center"/>
              <w:ind w:right="660"/>
              <w:spacing w:after="0" w:line="175" w:lineRule="exact"/>
              <w:rPr>
                <w:rFonts w:ascii="Arial" w:cs="Arial" w:eastAsia="Arial" w:hAnsi="Arial"/>
                <w:sz w:val="16"/>
                <w:szCs w:val="16"/>
                <w:color w:val="0000FF"/>
              </w:rPr>
            </w:pPr>
            <w:hyperlink w:anchor="page46">
              <w:r>
                <w:rPr>
                  <w:rFonts w:ascii="Arial" w:cs="Arial" w:eastAsia="Arial" w:hAnsi="Arial"/>
                  <w:sz w:val="16"/>
                  <w:szCs w:val="16"/>
                  <w:color w:val="0000FF"/>
                </w:rPr>
                <w:t>46</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0" w:type="dxa"/>
            <w:vAlign w:val="bottom"/>
            <w:tcBorders>
              <w:right w:val="single" w:sz="8" w:color="CEFFE7"/>
            </w:tcBorders>
          </w:tcPr>
          <w:p>
            <w:pPr>
              <w:spacing w:after="0"/>
              <w:rPr>
                <w:sz w:val="15"/>
                <w:szCs w:val="15"/>
                <w:color w:val="auto"/>
              </w:rPr>
            </w:pPr>
          </w:p>
        </w:tc>
        <w:tc>
          <w:tcPr>
            <w:tcW w:w="1420" w:type="dxa"/>
            <w:vAlign w:val="bottom"/>
            <w:gridSpan w:val="3"/>
            <w:shd w:val="clear" w:color="auto" w:fill="CEFFE7"/>
          </w:tcPr>
          <w:p>
            <w:pPr>
              <w:spacing w:after="0" w:line="175" w:lineRule="exact"/>
              <w:rPr>
                <w:sz w:val="20"/>
                <w:szCs w:val="20"/>
                <w:color w:val="auto"/>
              </w:rPr>
            </w:pPr>
            <w:r>
              <w:rPr>
                <w:rFonts w:ascii="Arial" w:cs="Arial" w:eastAsia="Arial" w:hAnsi="Arial"/>
                <w:sz w:val="16"/>
                <w:szCs w:val="16"/>
                <w:color w:val="auto"/>
              </w:rPr>
              <w:t>Item 2.</w:t>
            </w:r>
          </w:p>
        </w:tc>
        <w:tc>
          <w:tcPr>
            <w:tcW w:w="8260" w:type="dxa"/>
            <w:vAlign w:val="bottom"/>
            <w:gridSpan w:val="30"/>
            <w:shd w:val="clear" w:color="auto" w:fill="CEFFE7"/>
          </w:tcPr>
          <w:p>
            <w:pPr>
              <w:spacing w:after="0" w:line="175" w:lineRule="exact"/>
              <w:rPr>
                <w:rFonts w:ascii="Arial" w:cs="Arial" w:eastAsia="Arial" w:hAnsi="Arial"/>
                <w:sz w:val="16"/>
                <w:szCs w:val="16"/>
                <w:color w:val="0000FF"/>
              </w:rPr>
            </w:pPr>
            <w:hyperlink w:anchor="page46">
              <w:r>
                <w:rPr>
                  <w:rFonts w:ascii="Arial" w:cs="Arial" w:eastAsia="Arial" w:hAnsi="Arial"/>
                  <w:sz w:val="16"/>
                  <w:szCs w:val="16"/>
                  <w:color w:val="0000FF"/>
                </w:rPr>
                <w:t>Unregistered Sales of Equity Securities and Use of Proceeds</w:t>
              </w:r>
            </w:hyperlink>
          </w:p>
        </w:tc>
        <w:tc>
          <w:tcPr>
            <w:tcW w:w="1500" w:type="dxa"/>
            <w:vAlign w:val="bottom"/>
            <w:gridSpan w:val="3"/>
            <w:shd w:val="clear" w:color="auto" w:fill="CEFFE7"/>
          </w:tcPr>
          <w:p>
            <w:pPr>
              <w:jc w:val="center"/>
              <w:spacing w:after="0" w:line="175" w:lineRule="exact"/>
              <w:rPr>
                <w:rFonts w:ascii="Arial" w:cs="Arial" w:eastAsia="Arial" w:hAnsi="Arial"/>
                <w:sz w:val="16"/>
                <w:szCs w:val="16"/>
                <w:color w:val="0000FF"/>
              </w:rPr>
            </w:pPr>
            <w:hyperlink w:anchor="page46">
              <w:r>
                <w:rPr>
                  <w:rFonts w:ascii="Arial" w:cs="Arial" w:eastAsia="Arial" w:hAnsi="Arial"/>
                  <w:sz w:val="16"/>
                  <w:szCs w:val="16"/>
                  <w:color w:val="0000FF"/>
                </w:rPr>
                <w:t>46</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 w:type="dxa"/>
            <w:vAlign w:val="bottom"/>
            <w:tcBorders>
              <w:right w:val="single" w:sz="8" w:color="CEFFE7"/>
            </w:tcBorders>
          </w:tcPr>
          <w:p>
            <w:pPr>
              <w:spacing w:after="0" w:line="20" w:lineRule="exact"/>
              <w:rPr>
                <w:sz w:val="1"/>
                <w:szCs w:val="1"/>
                <w:color w:val="auto"/>
              </w:rPr>
            </w:pPr>
          </w:p>
        </w:tc>
        <w:tc>
          <w:tcPr>
            <w:tcW w:w="780" w:type="dxa"/>
            <w:vAlign w:val="bottom"/>
            <w:tcBorders>
              <w:top w:val="single" w:sz="8" w:color="CEFFE7"/>
            </w:tcBorders>
            <w:shd w:val="clear" w:color="auto" w:fill="CEFFE7"/>
          </w:tcPr>
          <w:p>
            <w:pPr>
              <w:spacing w:after="0" w:line="20" w:lineRule="exact"/>
              <w:rPr>
                <w:sz w:val="1"/>
                <w:szCs w:val="1"/>
                <w:color w:val="auto"/>
              </w:rPr>
            </w:pPr>
          </w:p>
        </w:tc>
        <w:tc>
          <w:tcPr>
            <w:tcW w:w="540" w:type="dxa"/>
            <w:vAlign w:val="bottom"/>
            <w:tcBorders>
              <w:top w:val="single" w:sz="8" w:color="CEFFE7"/>
            </w:tcBorders>
            <w:shd w:val="clear" w:color="auto" w:fill="CEFFE7"/>
          </w:tcPr>
          <w:p>
            <w:pPr>
              <w:spacing w:after="0" w:line="20" w:lineRule="exact"/>
              <w:rPr>
                <w:sz w:val="1"/>
                <w:szCs w:val="1"/>
                <w:color w:val="auto"/>
              </w:rPr>
            </w:pPr>
          </w:p>
        </w:tc>
        <w:tc>
          <w:tcPr>
            <w:tcW w:w="100" w:type="dxa"/>
            <w:vAlign w:val="bottom"/>
            <w:tcBorders>
              <w:top w:val="single" w:sz="8" w:color="CEFFE7"/>
            </w:tcBorders>
            <w:shd w:val="clear" w:color="auto" w:fill="CEFFE7"/>
          </w:tcPr>
          <w:p>
            <w:pPr>
              <w:spacing w:after="0" w:line="20" w:lineRule="exact"/>
              <w:rPr>
                <w:sz w:val="1"/>
                <w:szCs w:val="1"/>
                <w:color w:val="auto"/>
              </w:rPr>
            </w:pPr>
          </w:p>
        </w:tc>
        <w:tc>
          <w:tcPr>
            <w:tcW w:w="120" w:type="dxa"/>
            <w:vAlign w:val="bottom"/>
            <w:tcBorders>
              <w:top w:val="single" w:sz="8" w:color="0000FF"/>
            </w:tcBorders>
            <w:shd w:val="clear" w:color="auto" w:fill="CEFFE7"/>
          </w:tcPr>
          <w:p>
            <w:pPr>
              <w:spacing w:after="0" w:line="20" w:lineRule="exact"/>
              <w:rPr>
                <w:sz w:val="1"/>
                <w:szCs w:val="1"/>
                <w:color w:val="auto"/>
              </w:rPr>
            </w:pPr>
          </w:p>
        </w:tc>
        <w:tc>
          <w:tcPr>
            <w:tcW w:w="20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220" w:type="dxa"/>
            <w:vAlign w:val="bottom"/>
            <w:tcBorders>
              <w:top w:val="single" w:sz="8" w:color="0000FF"/>
            </w:tcBorders>
            <w:shd w:val="clear" w:color="auto" w:fill="CEFFE7"/>
          </w:tcPr>
          <w:p>
            <w:pPr>
              <w:spacing w:after="0" w:line="20" w:lineRule="exact"/>
              <w:rPr>
                <w:sz w:val="1"/>
                <w:szCs w:val="1"/>
                <w:color w:val="auto"/>
              </w:rPr>
            </w:pPr>
          </w:p>
        </w:tc>
        <w:tc>
          <w:tcPr>
            <w:tcW w:w="240" w:type="dxa"/>
            <w:vAlign w:val="bottom"/>
            <w:tcBorders>
              <w:top w:val="single" w:sz="8" w:color="0000FF"/>
            </w:tcBorders>
            <w:shd w:val="clear" w:color="auto" w:fill="CEFFE7"/>
          </w:tcPr>
          <w:p>
            <w:pPr>
              <w:spacing w:after="0" w:line="20" w:lineRule="exact"/>
              <w:rPr>
                <w:sz w:val="1"/>
                <w:szCs w:val="1"/>
                <w:color w:val="auto"/>
              </w:rPr>
            </w:pPr>
          </w:p>
        </w:tc>
        <w:tc>
          <w:tcPr>
            <w:tcW w:w="100" w:type="dxa"/>
            <w:vAlign w:val="bottom"/>
            <w:tcBorders>
              <w:top w:val="single" w:sz="8" w:color="0000FF"/>
            </w:tcBorders>
            <w:shd w:val="clear" w:color="auto" w:fill="CEFFE7"/>
          </w:tcPr>
          <w:p>
            <w:pPr>
              <w:spacing w:after="0" w:line="20" w:lineRule="exact"/>
              <w:rPr>
                <w:sz w:val="1"/>
                <w:szCs w:val="1"/>
                <w:color w:val="auto"/>
              </w:rPr>
            </w:pPr>
          </w:p>
        </w:tc>
        <w:tc>
          <w:tcPr>
            <w:tcW w:w="60" w:type="dxa"/>
            <w:vAlign w:val="bottom"/>
            <w:tcBorders>
              <w:top w:val="single" w:sz="8" w:color="0000FF"/>
            </w:tcBorders>
            <w:shd w:val="clear" w:color="auto" w:fill="CEFFE7"/>
          </w:tcPr>
          <w:p>
            <w:pPr>
              <w:spacing w:after="0" w:line="20" w:lineRule="exact"/>
              <w:rPr>
                <w:sz w:val="1"/>
                <w:szCs w:val="1"/>
                <w:color w:val="auto"/>
              </w:rPr>
            </w:pPr>
          </w:p>
        </w:tc>
        <w:tc>
          <w:tcPr>
            <w:tcW w:w="100" w:type="dxa"/>
            <w:vAlign w:val="bottom"/>
            <w:tcBorders>
              <w:top w:val="single" w:sz="8" w:color="0000FF"/>
            </w:tcBorders>
            <w:shd w:val="clear" w:color="auto" w:fill="CEFFE7"/>
          </w:tcPr>
          <w:p>
            <w:pPr>
              <w:spacing w:after="0" w:line="20" w:lineRule="exact"/>
              <w:rPr>
                <w:sz w:val="1"/>
                <w:szCs w:val="1"/>
                <w:color w:val="auto"/>
              </w:rPr>
            </w:pPr>
          </w:p>
        </w:tc>
        <w:tc>
          <w:tcPr>
            <w:tcW w:w="120" w:type="dxa"/>
            <w:vAlign w:val="bottom"/>
            <w:tcBorders>
              <w:top w:val="single" w:sz="8" w:color="0000FF"/>
            </w:tcBorders>
            <w:shd w:val="clear" w:color="auto" w:fill="CEFFE7"/>
          </w:tcPr>
          <w:p>
            <w:pPr>
              <w:spacing w:after="0" w:line="20" w:lineRule="exact"/>
              <w:rPr>
                <w:sz w:val="1"/>
                <w:szCs w:val="1"/>
                <w:color w:val="auto"/>
              </w:rPr>
            </w:pPr>
          </w:p>
        </w:tc>
        <w:tc>
          <w:tcPr>
            <w:tcW w:w="160" w:type="dxa"/>
            <w:vAlign w:val="bottom"/>
            <w:tcBorders>
              <w:top w:val="single" w:sz="8" w:color="0000FF"/>
            </w:tcBorders>
            <w:shd w:val="clear" w:color="auto" w:fill="CEFFE7"/>
          </w:tcPr>
          <w:p>
            <w:pPr>
              <w:spacing w:after="0" w:line="20" w:lineRule="exact"/>
              <w:rPr>
                <w:sz w:val="1"/>
                <w:szCs w:val="1"/>
                <w:color w:val="auto"/>
              </w:rPr>
            </w:pPr>
          </w:p>
        </w:tc>
        <w:tc>
          <w:tcPr>
            <w:tcW w:w="8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100" w:type="dxa"/>
            <w:vAlign w:val="bottom"/>
            <w:tcBorders>
              <w:top w:val="single" w:sz="8" w:color="0000FF"/>
            </w:tcBorders>
            <w:shd w:val="clear" w:color="auto" w:fill="CEFFE7"/>
          </w:tcPr>
          <w:p>
            <w:pPr>
              <w:spacing w:after="0" w:line="20" w:lineRule="exact"/>
              <w:rPr>
                <w:sz w:val="1"/>
                <w:szCs w:val="1"/>
                <w:color w:val="auto"/>
              </w:rPr>
            </w:pPr>
          </w:p>
        </w:tc>
        <w:tc>
          <w:tcPr>
            <w:tcW w:w="60" w:type="dxa"/>
            <w:vAlign w:val="bottom"/>
            <w:tcBorders>
              <w:top w:val="single" w:sz="8" w:color="0000FF"/>
            </w:tcBorders>
            <w:shd w:val="clear" w:color="auto" w:fill="CEFFE7"/>
          </w:tcPr>
          <w:p>
            <w:pPr>
              <w:spacing w:after="0" w:line="20" w:lineRule="exact"/>
              <w:rPr>
                <w:sz w:val="1"/>
                <w:szCs w:val="1"/>
                <w:color w:val="auto"/>
              </w:rPr>
            </w:pPr>
          </w:p>
        </w:tc>
        <w:tc>
          <w:tcPr>
            <w:tcW w:w="6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80" w:type="dxa"/>
            <w:vAlign w:val="bottom"/>
            <w:tcBorders>
              <w:top w:val="single" w:sz="8" w:color="0000FF"/>
            </w:tcBorders>
            <w:shd w:val="clear" w:color="auto" w:fill="CEFFE7"/>
          </w:tcPr>
          <w:p>
            <w:pPr>
              <w:spacing w:after="0" w:line="20" w:lineRule="exact"/>
              <w:rPr>
                <w:sz w:val="1"/>
                <w:szCs w:val="1"/>
                <w:color w:val="auto"/>
              </w:rPr>
            </w:pPr>
          </w:p>
        </w:tc>
        <w:tc>
          <w:tcPr>
            <w:tcW w:w="520" w:type="dxa"/>
            <w:vAlign w:val="bottom"/>
            <w:tcBorders>
              <w:top w:val="single" w:sz="8" w:color="0000FF"/>
            </w:tcBorders>
            <w:shd w:val="clear" w:color="auto" w:fill="CEFFE7"/>
          </w:tcPr>
          <w:p>
            <w:pPr>
              <w:spacing w:after="0" w:line="20" w:lineRule="exact"/>
              <w:rPr>
                <w:sz w:val="1"/>
                <w:szCs w:val="1"/>
                <w:color w:val="auto"/>
              </w:rPr>
            </w:pPr>
          </w:p>
        </w:tc>
        <w:tc>
          <w:tcPr>
            <w:tcW w:w="100" w:type="dxa"/>
            <w:vAlign w:val="bottom"/>
            <w:tcBorders>
              <w:top w:val="single" w:sz="8" w:color="0000FF"/>
            </w:tcBorders>
            <w:shd w:val="clear" w:color="auto" w:fill="CEFFE7"/>
          </w:tcPr>
          <w:p>
            <w:pPr>
              <w:spacing w:after="0" w:line="20" w:lineRule="exact"/>
              <w:rPr>
                <w:sz w:val="1"/>
                <w:szCs w:val="1"/>
                <w:color w:val="auto"/>
              </w:rPr>
            </w:pPr>
          </w:p>
        </w:tc>
        <w:tc>
          <w:tcPr>
            <w:tcW w:w="60" w:type="dxa"/>
            <w:vAlign w:val="bottom"/>
            <w:tcBorders>
              <w:top w:val="single" w:sz="8" w:color="0000FF"/>
            </w:tcBorders>
            <w:shd w:val="clear" w:color="auto" w:fill="CEFFE7"/>
          </w:tcPr>
          <w:p>
            <w:pPr>
              <w:spacing w:after="0" w:line="20" w:lineRule="exact"/>
              <w:rPr>
                <w:sz w:val="1"/>
                <w:szCs w:val="1"/>
                <w:color w:val="auto"/>
              </w:rPr>
            </w:pPr>
          </w:p>
        </w:tc>
        <w:tc>
          <w:tcPr>
            <w:tcW w:w="1680" w:type="dxa"/>
            <w:vAlign w:val="bottom"/>
            <w:tcBorders>
              <w:top w:val="single" w:sz="8" w:color="0000FF"/>
            </w:tcBorders>
            <w:shd w:val="clear" w:color="auto" w:fill="CEFFE7"/>
          </w:tcPr>
          <w:p>
            <w:pPr>
              <w:spacing w:after="0" w:line="20" w:lineRule="exact"/>
              <w:rPr>
                <w:sz w:val="1"/>
                <w:szCs w:val="1"/>
                <w:color w:val="auto"/>
              </w:rPr>
            </w:pPr>
          </w:p>
        </w:tc>
        <w:tc>
          <w:tcPr>
            <w:tcW w:w="60" w:type="dxa"/>
            <w:vAlign w:val="bottom"/>
            <w:tcBorders>
              <w:top w:val="single" w:sz="8" w:color="0000FF"/>
            </w:tcBorders>
            <w:shd w:val="clear" w:color="auto" w:fill="CEFFE7"/>
          </w:tcPr>
          <w:p>
            <w:pPr>
              <w:spacing w:after="0" w:line="20" w:lineRule="exact"/>
              <w:rPr>
                <w:sz w:val="1"/>
                <w:szCs w:val="1"/>
                <w:color w:val="auto"/>
              </w:rPr>
            </w:pPr>
          </w:p>
        </w:tc>
        <w:tc>
          <w:tcPr>
            <w:tcW w:w="60" w:type="dxa"/>
            <w:vAlign w:val="bottom"/>
            <w:tcBorders>
              <w:top w:val="single" w:sz="8" w:color="0000FF"/>
            </w:tcBorders>
            <w:shd w:val="clear" w:color="auto" w:fill="CEFFE7"/>
          </w:tcPr>
          <w:p>
            <w:pPr>
              <w:spacing w:after="0" w:line="20" w:lineRule="exact"/>
              <w:rPr>
                <w:sz w:val="1"/>
                <w:szCs w:val="1"/>
                <w:color w:val="auto"/>
              </w:rPr>
            </w:pPr>
          </w:p>
        </w:tc>
        <w:tc>
          <w:tcPr>
            <w:tcW w:w="180" w:type="dxa"/>
            <w:vAlign w:val="bottom"/>
            <w:tcBorders>
              <w:top w:val="single" w:sz="8" w:color="CEFFE7"/>
            </w:tcBorders>
            <w:shd w:val="clear" w:color="auto" w:fill="CEFFE7"/>
          </w:tcPr>
          <w:p>
            <w:pPr>
              <w:spacing w:after="0" w:line="20" w:lineRule="exact"/>
              <w:rPr>
                <w:sz w:val="1"/>
                <w:szCs w:val="1"/>
                <w:color w:val="auto"/>
              </w:rPr>
            </w:pPr>
          </w:p>
        </w:tc>
        <w:tc>
          <w:tcPr>
            <w:tcW w:w="1820" w:type="dxa"/>
            <w:vAlign w:val="bottom"/>
            <w:tcBorders>
              <w:top w:val="single" w:sz="8" w:color="CEFFE7"/>
            </w:tcBorders>
            <w:shd w:val="clear" w:color="auto" w:fill="CEFFE7"/>
          </w:tcPr>
          <w:p>
            <w:pPr>
              <w:spacing w:after="0" w:line="20" w:lineRule="exact"/>
              <w:rPr>
                <w:sz w:val="1"/>
                <w:szCs w:val="1"/>
                <w:color w:val="auto"/>
              </w:rPr>
            </w:pPr>
          </w:p>
        </w:tc>
        <w:tc>
          <w:tcPr>
            <w:tcW w:w="1680" w:type="dxa"/>
            <w:vAlign w:val="bottom"/>
            <w:tcBorders>
              <w:top w:val="single" w:sz="8" w:color="CEFFE7"/>
            </w:tcBorders>
            <w:shd w:val="clear" w:color="auto" w:fill="CEFFE7"/>
          </w:tcPr>
          <w:p>
            <w:pPr>
              <w:spacing w:after="0" w:line="20" w:lineRule="exact"/>
              <w:rPr>
                <w:sz w:val="1"/>
                <w:szCs w:val="1"/>
                <w:color w:val="auto"/>
              </w:rPr>
            </w:pPr>
          </w:p>
        </w:tc>
        <w:tc>
          <w:tcPr>
            <w:tcW w:w="220" w:type="dxa"/>
            <w:vAlign w:val="bottom"/>
            <w:tcBorders>
              <w:top w:val="single" w:sz="8" w:color="CEFFE7"/>
            </w:tcBorders>
            <w:shd w:val="clear" w:color="auto" w:fill="CEFFE7"/>
          </w:tcPr>
          <w:p>
            <w:pPr>
              <w:spacing w:after="0" w:line="20" w:lineRule="exact"/>
              <w:rPr>
                <w:sz w:val="1"/>
                <w:szCs w:val="1"/>
                <w:color w:val="auto"/>
              </w:rPr>
            </w:pPr>
          </w:p>
        </w:tc>
        <w:tc>
          <w:tcPr>
            <w:tcW w:w="660" w:type="dxa"/>
            <w:vAlign w:val="bottom"/>
            <w:tcBorders>
              <w:top w:val="single" w:sz="8" w:color="CEFFE7"/>
            </w:tcBorders>
            <w:shd w:val="clear" w:color="auto" w:fill="CEFFE7"/>
          </w:tcPr>
          <w:p>
            <w:pPr>
              <w:spacing w:after="0" w:line="20" w:lineRule="exact"/>
              <w:rPr>
                <w:sz w:val="1"/>
                <w:szCs w:val="1"/>
                <w:color w:val="auto"/>
              </w:rPr>
            </w:pPr>
          </w:p>
        </w:tc>
        <w:tc>
          <w:tcPr>
            <w:tcW w:w="180" w:type="dxa"/>
            <w:vAlign w:val="bottom"/>
            <w:tcBorders>
              <w:top w:val="single" w:sz="8" w:color="0000FF"/>
            </w:tcBorders>
            <w:shd w:val="clear" w:color="auto" w:fill="CEFFE7"/>
          </w:tcPr>
          <w:p>
            <w:pPr>
              <w:spacing w:after="0" w:line="20" w:lineRule="exact"/>
              <w:rPr>
                <w:sz w:val="1"/>
                <w:szCs w:val="1"/>
                <w:color w:val="auto"/>
              </w:rPr>
            </w:pPr>
          </w:p>
        </w:tc>
        <w:tc>
          <w:tcPr>
            <w:tcW w:w="66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0" w:type="dxa"/>
            <w:vAlign w:val="bottom"/>
          </w:tcPr>
          <w:p>
            <w:pPr>
              <w:spacing w:after="0"/>
              <w:rPr>
                <w:sz w:val="15"/>
                <w:szCs w:val="15"/>
                <w:color w:val="auto"/>
              </w:rPr>
            </w:pPr>
          </w:p>
        </w:tc>
        <w:tc>
          <w:tcPr>
            <w:tcW w:w="1420" w:type="dxa"/>
            <w:vAlign w:val="bottom"/>
            <w:gridSpan w:val="3"/>
          </w:tcPr>
          <w:p>
            <w:pPr>
              <w:spacing w:after="0" w:line="175" w:lineRule="exact"/>
              <w:rPr>
                <w:sz w:val="20"/>
                <w:szCs w:val="20"/>
                <w:color w:val="auto"/>
              </w:rPr>
            </w:pPr>
            <w:r>
              <w:rPr>
                <w:rFonts w:ascii="Arial" w:cs="Arial" w:eastAsia="Arial" w:hAnsi="Arial"/>
                <w:sz w:val="16"/>
                <w:szCs w:val="16"/>
                <w:color w:val="auto"/>
              </w:rPr>
              <w:t>Item 4.</w:t>
            </w:r>
          </w:p>
        </w:tc>
        <w:tc>
          <w:tcPr>
            <w:tcW w:w="4360" w:type="dxa"/>
            <w:vAlign w:val="bottom"/>
            <w:gridSpan w:val="26"/>
          </w:tcPr>
          <w:p>
            <w:pPr>
              <w:spacing w:after="0" w:line="175" w:lineRule="exact"/>
              <w:rPr>
                <w:rFonts w:ascii="Arial" w:cs="Arial" w:eastAsia="Arial" w:hAnsi="Arial"/>
                <w:sz w:val="16"/>
                <w:szCs w:val="16"/>
                <w:color w:val="0000FF"/>
              </w:rPr>
            </w:pPr>
            <w:hyperlink w:anchor="page46">
              <w:r>
                <w:rPr>
                  <w:rFonts w:ascii="Arial" w:cs="Arial" w:eastAsia="Arial" w:hAnsi="Arial"/>
                  <w:sz w:val="16"/>
                  <w:szCs w:val="16"/>
                  <w:color w:val="0000FF"/>
                </w:rPr>
                <w:t>Mine Safety Disclosures</w:t>
              </w:r>
            </w:hyperlink>
          </w:p>
        </w:tc>
        <w:tc>
          <w:tcPr>
            <w:tcW w:w="3900" w:type="dxa"/>
            <w:vAlign w:val="bottom"/>
            <w:gridSpan w:val="4"/>
          </w:tcPr>
          <w:p>
            <w:pPr>
              <w:spacing w:after="0"/>
              <w:rPr>
                <w:sz w:val="15"/>
                <w:szCs w:val="15"/>
                <w:color w:val="auto"/>
              </w:rPr>
            </w:pPr>
          </w:p>
        </w:tc>
        <w:tc>
          <w:tcPr>
            <w:tcW w:w="660" w:type="dxa"/>
            <w:vAlign w:val="bottom"/>
          </w:tcPr>
          <w:p>
            <w:pPr>
              <w:spacing w:after="0"/>
              <w:rPr>
                <w:sz w:val="15"/>
                <w:szCs w:val="15"/>
                <w:color w:val="auto"/>
              </w:rPr>
            </w:pPr>
          </w:p>
        </w:tc>
        <w:tc>
          <w:tcPr>
            <w:tcW w:w="840" w:type="dxa"/>
            <w:vAlign w:val="bottom"/>
            <w:gridSpan w:val="2"/>
          </w:tcPr>
          <w:p>
            <w:pPr>
              <w:jc w:val="center"/>
              <w:ind w:right="660"/>
              <w:spacing w:after="0" w:line="175" w:lineRule="exact"/>
              <w:rPr>
                <w:rFonts w:ascii="Arial" w:cs="Arial" w:eastAsia="Arial" w:hAnsi="Arial"/>
                <w:sz w:val="16"/>
                <w:szCs w:val="16"/>
                <w:color w:val="0000FF"/>
              </w:rPr>
            </w:pPr>
            <w:hyperlink w:anchor="page46">
              <w:r>
                <w:rPr>
                  <w:rFonts w:ascii="Arial" w:cs="Arial" w:eastAsia="Arial" w:hAnsi="Arial"/>
                  <w:sz w:val="16"/>
                  <w:szCs w:val="16"/>
                  <w:color w:val="0000FF"/>
                </w:rPr>
                <w:t>46</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 w:type="dxa"/>
            <w:vAlign w:val="bottom"/>
            <w:tcBorders>
              <w:right w:val="single" w:sz="8" w:color="CEFFE7"/>
            </w:tcBorders>
          </w:tcPr>
          <w:p>
            <w:pPr>
              <w:spacing w:after="0"/>
              <w:rPr>
                <w:sz w:val="17"/>
                <w:szCs w:val="17"/>
                <w:color w:val="auto"/>
              </w:rPr>
            </w:pPr>
          </w:p>
        </w:tc>
        <w:tc>
          <w:tcPr>
            <w:tcW w:w="1420" w:type="dxa"/>
            <w:vAlign w:val="bottom"/>
            <w:gridSpan w:val="3"/>
            <w:shd w:val="clear" w:color="auto" w:fill="CEFFE7"/>
          </w:tcPr>
          <w:p>
            <w:pPr>
              <w:spacing w:after="0" w:line="175" w:lineRule="exact"/>
              <w:rPr>
                <w:sz w:val="20"/>
                <w:szCs w:val="20"/>
                <w:color w:val="auto"/>
              </w:rPr>
            </w:pPr>
            <w:r>
              <w:rPr>
                <w:rFonts w:ascii="Arial" w:cs="Arial" w:eastAsia="Arial" w:hAnsi="Arial"/>
                <w:sz w:val="16"/>
                <w:szCs w:val="16"/>
                <w:color w:val="auto"/>
              </w:rPr>
              <w:t>Item 6.</w:t>
            </w:r>
          </w:p>
        </w:tc>
        <w:tc>
          <w:tcPr>
            <w:tcW w:w="8260" w:type="dxa"/>
            <w:vAlign w:val="bottom"/>
            <w:gridSpan w:val="30"/>
            <w:shd w:val="clear" w:color="auto" w:fill="CEFFE7"/>
          </w:tcPr>
          <w:p>
            <w:pPr>
              <w:spacing w:after="0" w:line="175" w:lineRule="exact"/>
              <w:rPr>
                <w:rFonts w:ascii="Arial" w:cs="Arial" w:eastAsia="Arial" w:hAnsi="Arial"/>
                <w:sz w:val="16"/>
                <w:szCs w:val="16"/>
                <w:color w:val="0000FF"/>
              </w:rPr>
            </w:pPr>
            <w:hyperlink w:anchor="page46">
              <w:r>
                <w:rPr>
                  <w:rFonts w:ascii="Arial" w:cs="Arial" w:eastAsia="Arial" w:hAnsi="Arial"/>
                  <w:sz w:val="16"/>
                  <w:szCs w:val="16"/>
                  <w:color w:val="0000FF"/>
                </w:rPr>
                <w:t>Exhibits</w:t>
              </w:r>
            </w:hyperlink>
          </w:p>
        </w:tc>
        <w:tc>
          <w:tcPr>
            <w:tcW w:w="1500" w:type="dxa"/>
            <w:vAlign w:val="bottom"/>
            <w:gridSpan w:val="3"/>
            <w:shd w:val="clear" w:color="auto" w:fill="CEFFE7"/>
          </w:tcPr>
          <w:p>
            <w:pPr>
              <w:jc w:val="center"/>
              <w:spacing w:after="0" w:line="175" w:lineRule="exact"/>
              <w:rPr>
                <w:rFonts w:ascii="Arial" w:cs="Arial" w:eastAsia="Arial" w:hAnsi="Arial"/>
                <w:sz w:val="16"/>
                <w:szCs w:val="16"/>
                <w:color w:val="0000FF"/>
              </w:rPr>
            </w:pPr>
            <w:hyperlink w:anchor="page46">
              <w:r>
                <w:rPr>
                  <w:rFonts w:ascii="Arial" w:cs="Arial" w:eastAsia="Arial" w:hAnsi="Arial"/>
                  <w:sz w:val="16"/>
                  <w:szCs w:val="16"/>
                  <w:color w:val="0000FF"/>
                </w:rPr>
                <w:t>46</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780" w:type="dxa"/>
            <w:vAlign w:val="bottom"/>
            <w:tcBorders>
              <w:top w:val="single" w:sz="8" w:color="CEFFE7"/>
            </w:tcBorders>
          </w:tcPr>
          <w:p>
            <w:pPr>
              <w:spacing w:after="0"/>
              <w:rPr>
                <w:sz w:val="23"/>
                <w:szCs w:val="23"/>
                <w:color w:val="auto"/>
              </w:rPr>
            </w:pPr>
          </w:p>
        </w:tc>
        <w:tc>
          <w:tcPr>
            <w:tcW w:w="640" w:type="dxa"/>
            <w:vAlign w:val="bottom"/>
            <w:tcBorders>
              <w:top w:val="single" w:sz="8" w:color="CEFFE7"/>
            </w:tcBorders>
            <w:gridSpan w:val="2"/>
          </w:tcPr>
          <w:p>
            <w:pPr>
              <w:spacing w:after="0"/>
              <w:rPr>
                <w:sz w:val="23"/>
                <w:szCs w:val="23"/>
                <w:color w:val="auto"/>
              </w:rPr>
            </w:pPr>
          </w:p>
        </w:tc>
        <w:tc>
          <w:tcPr>
            <w:tcW w:w="12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240" w:type="dxa"/>
            <w:vAlign w:val="bottom"/>
            <w:tcBorders>
              <w:top w:val="single" w:sz="8" w:color="CEFFE7"/>
            </w:tcBorders>
          </w:tcPr>
          <w:p>
            <w:pPr>
              <w:spacing w:after="0"/>
              <w:rPr>
                <w:sz w:val="23"/>
                <w:szCs w:val="23"/>
                <w:color w:val="auto"/>
              </w:rPr>
            </w:pPr>
          </w:p>
        </w:tc>
        <w:tc>
          <w:tcPr>
            <w:tcW w:w="100" w:type="dxa"/>
            <w:vAlign w:val="bottom"/>
            <w:tcBorders>
              <w:top w:val="single" w:sz="8" w:color="CEFFE7"/>
            </w:tcBorders>
          </w:tcPr>
          <w:p>
            <w:pPr>
              <w:spacing w:after="0"/>
              <w:rPr>
                <w:sz w:val="23"/>
                <w:szCs w:val="23"/>
                <w:color w:val="auto"/>
              </w:rPr>
            </w:pPr>
          </w:p>
        </w:tc>
        <w:tc>
          <w:tcPr>
            <w:tcW w:w="60" w:type="dxa"/>
            <w:vAlign w:val="bottom"/>
            <w:tcBorders>
              <w:top w:val="single" w:sz="8" w:color="CEFFE7"/>
            </w:tcBorders>
          </w:tcPr>
          <w:p>
            <w:pPr>
              <w:spacing w:after="0"/>
              <w:rPr>
                <w:sz w:val="23"/>
                <w:szCs w:val="23"/>
                <w:color w:val="auto"/>
              </w:rPr>
            </w:pPr>
          </w:p>
        </w:tc>
        <w:tc>
          <w:tcPr>
            <w:tcW w:w="100" w:type="dxa"/>
            <w:vAlign w:val="bottom"/>
            <w:tcBorders>
              <w:top w:val="single" w:sz="8" w:color="CEFFE7"/>
            </w:tcBorders>
          </w:tcPr>
          <w:p>
            <w:pPr>
              <w:spacing w:after="0"/>
              <w:rPr>
                <w:sz w:val="23"/>
                <w:szCs w:val="23"/>
                <w:color w:val="auto"/>
              </w:rPr>
            </w:pPr>
          </w:p>
        </w:tc>
        <w:tc>
          <w:tcPr>
            <w:tcW w:w="120" w:type="dxa"/>
            <w:vAlign w:val="bottom"/>
            <w:tcBorders>
              <w:top w:val="single" w:sz="8" w:color="CEFFE7"/>
            </w:tcBorders>
          </w:tcPr>
          <w:p>
            <w:pPr>
              <w:spacing w:after="0"/>
              <w:rPr>
                <w:sz w:val="23"/>
                <w:szCs w:val="23"/>
                <w:color w:val="auto"/>
              </w:rPr>
            </w:pPr>
          </w:p>
        </w:tc>
        <w:tc>
          <w:tcPr>
            <w:tcW w:w="160" w:type="dxa"/>
            <w:vAlign w:val="bottom"/>
            <w:tcBorders>
              <w:top w:val="single" w:sz="8" w:color="CEFFE7"/>
            </w:tcBorders>
          </w:tcPr>
          <w:p>
            <w:pPr>
              <w:spacing w:after="0"/>
              <w:rPr>
                <w:sz w:val="23"/>
                <w:szCs w:val="23"/>
                <w:color w:val="auto"/>
              </w:rPr>
            </w:pPr>
          </w:p>
        </w:tc>
        <w:tc>
          <w:tcPr>
            <w:tcW w:w="80" w:type="dxa"/>
            <w:vAlign w:val="bottom"/>
            <w:tcBorders>
              <w:top w:val="single" w:sz="8" w:color="CEFFE7"/>
            </w:tcBorders>
          </w:tcPr>
          <w:p>
            <w:pPr>
              <w:spacing w:after="0"/>
              <w:rPr>
                <w:sz w:val="23"/>
                <w:szCs w:val="23"/>
                <w:color w:val="auto"/>
              </w:rPr>
            </w:pPr>
          </w:p>
        </w:tc>
        <w:tc>
          <w:tcPr>
            <w:tcW w:w="40" w:type="dxa"/>
            <w:vAlign w:val="bottom"/>
            <w:tcBorders>
              <w:top w:val="single" w:sz="8" w:color="CEFFE7"/>
            </w:tcBorders>
          </w:tcPr>
          <w:p>
            <w:pPr>
              <w:spacing w:after="0"/>
              <w:rPr>
                <w:sz w:val="23"/>
                <w:szCs w:val="23"/>
                <w:color w:val="auto"/>
              </w:rPr>
            </w:pPr>
          </w:p>
        </w:tc>
        <w:tc>
          <w:tcPr>
            <w:tcW w:w="100" w:type="dxa"/>
            <w:vAlign w:val="bottom"/>
            <w:tcBorders>
              <w:top w:val="single" w:sz="8" w:color="CEFFE7"/>
            </w:tcBorders>
          </w:tcPr>
          <w:p>
            <w:pPr>
              <w:spacing w:after="0"/>
              <w:rPr>
                <w:sz w:val="23"/>
                <w:szCs w:val="23"/>
                <w:color w:val="auto"/>
              </w:rPr>
            </w:pPr>
          </w:p>
        </w:tc>
        <w:tc>
          <w:tcPr>
            <w:tcW w:w="60" w:type="dxa"/>
            <w:vAlign w:val="bottom"/>
            <w:tcBorders>
              <w:top w:val="single" w:sz="8" w:color="CEFFE7"/>
            </w:tcBorders>
          </w:tcPr>
          <w:p>
            <w:pPr>
              <w:spacing w:after="0"/>
              <w:rPr>
                <w:sz w:val="23"/>
                <w:szCs w:val="23"/>
                <w:color w:val="auto"/>
              </w:rPr>
            </w:pPr>
          </w:p>
        </w:tc>
        <w:tc>
          <w:tcPr>
            <w:tcW w:w="60" w:type="dxa"/>
            <w:vAlign w:val="bottom"/>
            <w:tcBorders>
              <w:top w:val="single" w:sz="8" w:color="CEFFE7"/>
            </w:tcBorders>
          </w:tcPr>
          <w:p>
            <w:pPr>
              <w:spacing w:after="0"/>
              <w:rPr>
                <w:sz w:val="23"/>
                <w:szCs w:val="23"/>
                <w:color w:val="auto"/>
              </w:rPr>
            </w:pPr>
          </w:p>
        </w:tc>
        <w:tc>
          <w:tcPr>
            <w:tcW w:w="40" w:type="dxa"/>
            <w:vAlign w:val="bottom"/>
            <w:tcBorders>
              <w:top w:val="single" w:sz="8" w:color="CEFFE7"/>
            </w:tcBorders>
          </w:tcPr>
          <w:p>
            <w:pPr>
              <w:spacing w:after="0"/>
              <w:rPr>
                <w:sz w:val="23"/>
                <w:szCs w:val="23"/>
                <w:color w:val="auto"/>
              </w:rPr>
            </w:pPr>
          </w:p>
        </w:tc>
        <w:tc>
          <w:tcPr>
            <w:tcW w:w="20" w:type="dxa"/>
            <w:vAlign w:val="bottom"/>
            <w:tcBorders>
              <w:top w:val="single" w:sz="8" w:color="CEFFE7"/>
            </w:tcBorders>
          </w:tcPr>
          <w:p>
            <w:pPr>
              <w:spacing w:after="0"/>
              <w:rPr>
                <w:sz w:val="23"/>
                <w:szCs w:val="23"/>
                <w:color w:val="auto"/>
              </w:rPr>
            </w:pPr>
          </w:p>
        </w:tc>
        <w:tc>
          <w:tcPr>
            <w:tcW w:w="40" w:type="dxa"/>
            <w:vAlign w:val="bottom"/>
            <w:tcBorders>
              <w:top w:val="single" w:sz="8" w:color="CEFFE7"/>
            </w:tcBorders>
          </w:tcPr>
          <w:p>
            <w:pPr>
              <w:spacing w:after="0"/>
              <w:rPr>
                <w:sz w:val="23"/>
                <w:szCs w:val="23"/>
                <w:color w:val="auto"/>
              </w:rPr>
            </w:pPr>
          </w:p>
        </w:tc>
        <w:tc>
          <w:tcPr>
            <w:tcW w:w="20" w:type="dxa"/>
            <w:vAlign w:val="bottom"/>
            <w:tcBorders>
              <w:top w:val="single" w:sz="8" w:color="CEFFE7"/>
            </w:tcBorders>
          </w:tcPr>
          <w:p>
            <w:pPr>
              <w:spacing w:after="0"/>
              <w:rPr>
                <w:sz w:val="23"/>
                <w:szCs w:val="23"/>
                <w:color w:val="auto"/>
              </w:rPr>
            </w:pPr>
          </w:p>
        </w:tc>
        <w:tc>
          <w:tcPr>
            <w:tcW w:w="80" w:type="dxa"/>
            <w:vAlign w:val="bottom"/>
            <w:tcBorders>
              <w:top w:val="single" w:sz="8" w:color="CEFFE7"/>
            </w:tcBorders>
          </w:tcPr>
          <w:p>
            <w:pPr>
              <w:spacing w:after="0"/>
              <w:rPr>
                <w:sz w:val="23"/>
                <w:szCs w:val="23"/>
                <w:color w:val="auto"/>
              </w:rPr>
            </w:pPr>
          </w:p>
        </w:tc>
        <w:tc>
          <w:tcPr>
            <w:tcW w:w="520" w:type="dxa"/>
            <w:vAlign w:val="bottom"/>
            <w:tcBorders>
              <w:top w:val="single" w:sz="8" w:color="CEFFE7"/>
            </w:tcBorders>
          </w:tcPr>
          <w:p>
            <w:pPr>
              <w:spacing w:after="0"/>
              <w:rPr>
                <w:sz w:val="23"/>
                <w:szCs w:val="23"/>
                <w:color w:val="auto"/>
              </w:rPr>
            </w:pPr>
          </w:p>
        </w:tc>
        <w:tc>
          <w:tcPr>
            <w:tcW w:w="100" w:type="dxa"/>
            <w:vAlign w:val="bottom"/>
            <w:tcBorders>
              <w:top w:val="single" w:sz="8" w:color="CEFFE7"/>
            </w:tcBorders>
          </w:tcPr>
          <w:p>
            <w:pPr>
              <w:spacing w:after="0"/>
              <w:rPr>
                <w:sz w:val="23"/>
                <w:szCs w:val="23"/>
                <w:color w:val="auto"/>
              </w:rPr>
            </w:pPr>
          </w:p>
        </w:tc>
        <w:tc>
          <w:tcPr>
            <w:tcW w:w="60" w:type="dxa"/>
            <w:vAlign w:val="bottom"/>
            <w:tcBorders>
              <w:top w:val="single" w:sz="8" w:color="CEFFE7"/>
            </w:tcBorders>
          </w:tcPr>
          <w:p>
            <w:pPr>
              <w:spacing w:after="0"/>
              <w:rPr>
                <w:sz w:val="23"/>
                <w:szCs w:val="23"/>
                <w:color w:val="auto"/>
              </w:rPr>
            </w:pPr>
          </w:p>
        </w:tc>
        <w:tc>
          <w:tcPr>
            <w:tcW w:w="1680" w:type="dxa"/>
            <w:vAlign w:val="bottom"/>
            <w:tcBorders>
              <w:top w:val="single" w:sz="8" w:color="CEFFE7"/>
            </w:tcBorders>
          </w:tcPr>
          <w:p>
            <w:pPr>
              <w:spacing w:after="0"/>
              <w:rPr>
                <w:sz w:val="23"/>
                <w:szCs w:val="23"/>
                <w:color w:val="auto"/>
              </w:rPr>
            </w:pPr>
          </w:p>
        </w:tc>
        <w:tc>
          <w:tcPr>
            <w:tcW w:w="60" w:type="dxa"/>
            <w:vAlign w:val="bottom"/>
            <w:tcBorders>
              <w:top w:val="single" w:sz="8" w:color="CEFFE7"/>
            </w:tcBorders>
          </w:tcPr>
          <w:p>
            <w:pPr>
              <w:spacing w:after="0"/>
              <w:rPr>
                <w:sz w:val="23"/>
                <w:szCs w:val="23"/>
                <w:color w:val="auto"/>
              </w:rPr>
            </w:pPr>
          </w:p>
        </w:tc>
        <w:tc>
          <w:tcPr>
            <w:tcW w:w="60" w:type="dxa"/>
            <w:vAlign w:val="bottom"/>
            <w:tcBorders>
              <w:top w:val="single" w:sz="8" w:color="CEFFE7"/>
            </w:tcBorders>
          </w:tcPr>
          <w:p>
            <w:pPr>
              <w:spacing w:after="0"/>
              <w:rPr>
                <w:sz w:val="23"/>
                <w:szCs w:val="23"/>
                <w:color w:val="auto"/>
              </w:rPr>
            </w:pPr>
          </w:p>
        </w:tc>
        <w:tc>
          <w:tcPr>
            <w:tcW w:w="180" w:type="dxa"/>
            <w:vAlign w:val="bottom"/>
            <w:tcBorders>
              <w:top w:val="single" w:sz="8" w:color="CEFFE7"/>
            </w:tcBorders>
          </w:tcPr>
          <w:p>
            <w:pPr>
              <w:spacing w:after="0"/>
              <w:rPr>
                <w:sz w:val="23"/>
                <w:szCs w:val="23"/>
                <w:color w:val="auto"/>
              </w:rPr>
            </w:pPr>
          </w:p>
        </w:tc>
        <w:tc>
          <w:tcPr>
            <w:tcW w:w="1820" w:type="dxa"/>
            <w:vAlign w:val="bottom"/>
            <w:tcBorders>
              <w:top w:val="single" w:sz="8" w:color="CEFFE7"/>
            </w:tcBorders>
          </w:tcPr>
          <w:p>
            <w:pPr>
              <w:spacing w:after="0"/>
              <w:rPr>
                <w:sz w:val="23"/>
                <w:szCs w:val="23"/>
                <w:color w:val="auto"/>
              </w:rPr>
            </w:pPr>
          </w:p>
        </w:tc>
        <w:tc>
          <w:tcPr>
            <w:tcW w:w="1680" w:type="dxa"/>
            <w:vAlign w:val="bottom"/>
            <w:tcBorders>
              <w:top w:val="single" w:sz="8" w:color="CEFFE7"/>
            </w:tcBorders>
          </w:tcPr>
          <w:p>
            <w:pPr>
              <w:spacing w:after="0"/>
              <w:rPr>
                <w:sz w:val="23"/>
                <w:szCs w:val="23"/>
                <w:color w:val="auto"/>
              </w:rPr>
            </w:pPr>
          </w:p>
        </w:tc>
        <w:tc>
          <w:tcPr>
            <w:tcW w:w="220" w:type="dxa"/>
            <w:vAlign w:val="bottom"/>
            <w:tcBorders>
              <w:top w:val="single" w:sz="8" w:color="CEFFE7"/>
            </w:tcBorders>
          </w:tcPr>
          <w:p>
            <w:pPr>
              <w:spacing w:after="0"/>
              <w:rPr>
                <w:sz w:val="23"/>
                <w:szCs w:val="23"/>
                <w:color w:val="auto"/>
              </w:rPr>
            </w:pPr>
          </w:p>
        </w:tc>
        <w:tc>
          <w:tcPr>
            <w:tcW w:w="660" w:type="dxa"/>
            <w:vAlign w:val="bottom"/>
            <w:tcBorders>
              <w:top w:val="single" w:sz="8" w:color="CEFFE7"/>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660" w:type="dxa"/>
            <w:vAlign w:val="bottom"/>
            <w:tcBorders>
              <w:top w:val="single" w:sz="8" w:color="CEFFE7"/>
            </w:tcBorders>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40" w:type="dxa"/>
            <w:vAlign w:val="bottom"/>
            <w:tcBorders>
              <w:right w:val="single" w:sz="8" w:color="CEFFE7"/>
            </w:tcBorders>
          </w:tcPr>
          <w:p>
            <w:pPr>
              <w:spacing w:after="0"/>
              <w:rPr>
                <w:sz w:val="17"/>
                <w:szCs w:val="17"/>
                <w:color w:val="auto"/>
              </w:rPr>
            </w:pPr>
          </w:p>
        </w:tc>
        <w:tc>
          <w:tcPr>
            <w:tcW w:w="1420" w:type="dxa"/>
            <w:vAlign w:val="bottom"/>
            <w:gridSpan w:val="3"/>
            <w:shd w:val="clear" w:color="auto" w:fill="CEFFE7"/>
          </w:tcPr>
          <w:p>
            <w:pPr>
              <w:spacing w:after="0" w:line="175" w:lineRule="exact"/>
              <w:rPr>
                <w:rFonts w:ascii="Arial" w:cs="Arial" w:eastAsia="Arial" w:hAnsi="Arial"/>
                <w:sz w:val="16"/>
                <w:szCs w:val="16"/>
                <w:color w:val="0000FF"/>
              </w:rPr>
            </w:pPr>
            <w:hyperlink w:anchor="page47">
              <w:r>
                <w:rPr>
                  <w:rFonts w:ascii="Arial" w:cs="Arial" w:eastAsia="Arial" w:hAnsi="Arial"/>
                  <w:sz w:val="16"/>
                  <w:szCs w:val="16"/>
                  <w:color w:val="0000FF"/>
                </w:rPr>
                <w:t>Signatures</w:t>
              </w:r>
            </w:hyperlink>
          </w:p>
        </w:tc>
        <w:tc>
          <w:tcPr>
            <w:tcW w:w="120" w:type="dxa"/>
            <w:vAlign w:val="bottom"/>
            <w:shd w:val="clear" w:color="auto" w:fill="CEFFE7"/>
          </w:tcPr>
          <w:p>
            <w:pPr>
              <w:spacing w:after="0"/>
              <w:rPr>
                <w:sz w:val="17"/>
                <w:szCs w:val="17"/>
                <w:color w:val="auto"/>
              </w:rPr>
            </w:pPr>
          </w:p>
        </w:tc>
        <w:tc>
          <w:tcPr>
            <w:tcW w:w="200" w:type="dxa"/>
            <w:vAlign w:val="bottom"/>
            <w:shd w:val="clear" w:color="auto" w:fill="CEFFE7"/>
          </w:tcPr>
          <w:p>
            <w:pPr>
              <w:spacing w:after="0"/>
              <w:rPr>
                <w:sz w:val="17"/>
                <w:szCs w:val="17"/>
                <w:color w:val="auto"/>
              </w:rPr>
            </w:pPr>
          </w:p>
        </w:tc>
        <w:tc>
          <w:tcPr>
            <w:tcW w:w="20" w:type="dxa"/>
            <w:vAlign w:val="bottom"/>
            <w:shd w:val="clear" w:color="auto" w:fill="CEFFE7"/>
          </w:tcPr>
          <w:p>
            <w:pPr>
              <w:spacing w:after="0"/>
              <w:rPr>
                <w:sz w:val="17"/>
                <w:szCs w:val="17"/>
                <w:color w:val="auto"/>
              </w:rPr>
            </w:pPr>
          </w:p>
        </w:tc>
        <w:tc>
          <w:tcPr>
            <w:tcW w:w="220" w:type="dxa"/>
            <w:vAlign w:val="bottom"/>
            <w:shd w:val="clear" w:color="auto" w:fill="CEFFE7"/>
          </w:tcPr>
          <w:p>
            <w:pPr>
              <w:spacing w:after="0"/>
              <w:rPr>
                <w:sz w:val="17"/>
                <w:szCs w:val="17"/>
                <w:color w:val="auto"/>
              </w:rPr>
            </w:pPr>
          </w:p>
        </w:tc>
        <w:tc>
          <w:tcPr>
            <w:tcW w:w="240" w:type="dxa"/>
            <w:vAlign w:val="bottom"/>
            <w:shd w:val="clear" w:color="auto" w:fill="CEFFE7"/>
          </w:tcPr>
          <w:p>
            <w:pPr>
              <w:spacing w:after="0"/>
              <w:rPr>
                <w:sz w:val="17"/>
                <w:szCs w:val="17"/>
                <w:color w:val="auto"/>
              </w:rPr>
            </w:pPr>
          </w:p>
        </w:tc>
        <w:tc>
          <w:tcPr>
            <w:tcW w:w="100" w:type="dxa"/>
            <w:vAlign w:val="bottom"/>
            <w:shd w:val="clear" w:color="auto" w:fill="CEFFE7"/>
          </w:tcPr>
          <w:p>
            <w:pPr>
              <w:spacing w:after="0"/>
              <w:rPr>
                <w:sz w:val="17"/>
                <w:szCs w:val="17"/>
                <w:color w:val="auto"/>
              </w:rPr>
            </w:pPr>
          </w:p>
        </w:tc>
        <w:tc>
          <w:tcPr>
            <w:tcW w:w="60" w:type="dxa"/>
            <w:vAlign w:val="bottom"/>
            <w:shd w:val="clear" w:color="auto" w:fill="CEFFE7"/>
          </w:tcPr>
          <w:p>
            <w:pPr>
              <w:spacing w:after="0"/>
              <w:rPr>
                <w:sz w:val="17"/>
                <w:szCs w:val="17"/>
                <w:color w:val="auto"/>
              </w:rPr>
            </w:pPr>
          </w:p>
        </w:tc>
        <w:tc>
          <w:tcPr>
            <w:tcW w:w="100" w:type="dxa"/>
            <w:vAlign w:val="bottom"/>
            <w:shd w:val="clear" w:color="auto" w:fill="CEFFE7"/>
          </w:tcPr>
          <w:p>
            <w:pPr>
              <w:spacing w:after="0"/>
              <w:rPr>
                <w:sz w:val="17"/>
                <w:szCs w:val="17"/>
                <w:color w:val="auto"/>
              </w:rPr>
            </w:pPr>
          </w:p>
        </w:tc>
        <w:tc>
          <w:tcPr>
            <w:tcW w:w="120" w:type="dxa"/>
            <w:vAlign w:val="bottom"/>
            <w:shd w:val="clear" w:color="auto" w:fill="CEFFE7"/>
          </w:tcPr>
          <w:p>
            <w:pPr>
              <w:spacing w:after="0"/>
              <w:rPr>
                <w:sz w:val="17"/>
                <w:szCs w:val="17"/>
                <w:color w:val="auto"/>
              </w:rPr>
            </w:pPr>
          </w:p>
        </w:tc>
        <w:tc>
          <w:tcPr>
            <w:tcW w:w="160" w:type="dxa"/>
            <w:vAlign w:val="bottom"/>
            <w:shd w:val="clear" w:color="auto" w:fill="CEFFE7"/>
          </w:tcPr>
          <w:p>
            <w:pPr>
              <w:spacing w:after="0"/>
              <w:rPr>
                <w:sz w:val="17"/>
                <w:szCs w:val="17"/>
                <w:color w:val="auto"/>
              </w:rPr>
            </w:pPr>
          </w:p>
        </w:tc>
        <w:tc>
          <w:tcPr>
            <w:tcW w:w="80" w:type="dxa"/>
            <w:vAlign w:val="bottom"/>
            <w:shd w:val="clear" w:color="auto" w:fill="CEFFE7"/>
          </w:tcPr>
          <w:p>
            <w:pPr>
              <w:spacing w:after="0"/>
              <w:rPr>
                <w:sz w:val="17"/>
                <w:szCs w:val="17"/>
                <w:color w:val="auto"/>
              </w:rPr>
            </w:pPr>
          </w:p>
        </w:tc>
        <w:tc>
          <w:tcPr>
            <w:tcW w:w="40" w:type="dxa"/>
            <w:vAlign w:val="bottom"/>
            <w:shd w:val="clear" w:color="auto" w:fill="CEFFE7"/>
          </w:tcPr>
          <w:p>
            <w:pPr>
              <w:spacing w:after="0"/>
              <w:rPr>
                <w:sz w:val="17"/>
                <w:szCs w:val="17"/>
                <w:color w:val="auto"/>
              </w:rPr>
            </w:pPr>
          </w:p>
        </w:tc>
        <w:tc>
          <w:tcPr>
            <w:tcW w:w="100" w:type="dxa"/>
            <w:vAlign w:val="bottom"/>
            <w:shd w:val="clear" w:color="auto" w:fill="CEFFE7"/>
          </w:tcPr>
          <w:p>
            <w:pPr>
              <w:spacing w:after="0"/>
              <w:rPr>
                <w:sz w:val="17"/>
                <w:szCs w:val="17"/>
                <w:color w:val="auto"/>
              </w:rPr>
            </w:pPr>
          </w:p>
        </w:tc>
        <w:tc>
          <w:tcPr>
            <w:tcW w:w="60" w:type="dxa"/>
            <w:vAlign w:val="bottom"/>
            <w:shd w:val="clear" w:color="auto" w:fill="CEFFE7"/>
          </w:tcPr>
          <w:p>
            <w:pPr>
              <w:spacing w:after="0"/>
              <w:rPr>
                <w:sz w:val="17"/>
                <w:szCs w:val="17"/>
                <w:color w:val="auto"/>
              </w:rPr>
            </w:pPr>
          </w:p>
        </w:tc>
        <w:tc>
          <w:tcPr>
            <w:tcW w:w="60" w:type="dxa"/>
            <w:vAlign w:val="bottom"/>
            <w:shd w:val="clear" w:color="auto" w:fill="CEFFE7"/>
          </w:tcPr>
          <w:p>
            <w:pPr>
              <w:spacing w:after="0"/>
              <w:rPr>
                <w:sz w:val="17"/>
                <w:szCs w:val="17"/>
                <w:color w:val="auto"/>
              </w:rPr>
            </w:pPr>
          </w:p>
        </w:tc>
        <w:tc>
          <w:tcPr>
            <w:tcW w:w="40" w:type="dxa"/>
            <w:vAlign w:val="bottom"/>
            <w:shd w:val="clear" w:color="auto" w:fill="CEFFE7"/>
          </w:tcPr>
          <w:p>
            <w:pPr>
              <w:spacing w:after="0"/>
              <w:rPr>
                <w:sz w:val="17"/>
                <w:szCs w:val="17"/>
                <w:color w:val="auto"/>
              </w:rPr>
            </w:pPr>
          </w:p>
        </w:tc>
        <w:tc>
          <w:tcPr>
            <w:tcW w:w="20" w:type="dxa"/>
            <w:vAlign w:val="bottom"/>
            <w:shd w:val="clear" w:color="auto" w:fill="CEFFE7"/>
          </w:tcPr>
          <w:p>
            <w:pPr>
              <w:spacing w:after="0"/>
              <w:rPr>
                <w:sz w:val="17"/>
                <w:szCs w:val="17"/>
                <w:color w:val="auto"/>
              </w:rPr>
            </w:pPr>
          </w:p>
        </w:tc>
        <w:tc>
          <w:tcPr>
            <w:tcW w:w="40" w:type="dxa"/>
            <w:vAlign w:val="bottom"/>
            <w:shd w:val="clear" w:color="auto" w:fill="CEFFE7"/>
          </w:tcPr>
          <w:p>
            <w:pPr>
              <w:spacing w:after="0"/>
              <w:rPr>
                <w:sz w:val="17"/>
                <w:szCs w:val="17"/>
                <w:color w:val="auto"/>
              </w:rPr>
            </w:pPr>
          </w:p>
        </w:tc>
        <w:tc>
          <w:tcPr>
            <w:tcW w:w="20" w:type="dxa"/>
            <w:vAlign w:val="bottom"/>
            <w:shd w:val="clear" w:color="auto" w:fill="CEFFE7"/>
          </w:tcPr>
          <w:p>
            <w:pPr>
              <w:spacing w:after="0"/>
              <w:rPr>
                <w:sz w:val="17"/>
                <w:szCs w:val="17"/>
                <w:color w:val="auto"/>
              </w:rPr>
            </w:pPr>
          </w:p>
        </w:tc>
        <w:tc>
          <w:tcPr>
            <w:tcW w:w="80" w:type="dxa"/>
            <w:vAlign w:val="bottom"/>
            <w:shd w:val="clear" w:color="auto" w:fill="CEFFE7"/>
          </w:tcPr>
          <w:p>
            <w:pPr>
              <w:spacing w:after="0"/>
              <w:rPr>
                <w:sz w:val="17"/>
                <w:szCs w:val="17"/>
                <w:color w:val="auto"/>
              </w:rPr>
            </w:pPr>
          </w:p>
        </w:tc>
        <w:tc>
          <w:tcPr>
            <w:tcW w:w="520" w:type="dxa"/>
            <w:vAlign w:val="bottom"/>
            <w:shd w:val="clear" w:color="auto" w:fill="CEFFE7"/>
          </w:tcPr>
          <w:p>
            <w:pPr>
              <w:spacing w:after="0"/>
              <w:rPr>
                <w:sz w:val="17"/>
                <w:szCs w:val="17"/>
                <w:color w:val="auto"/>
              </w:rPr>
            </w:pPr>
          </w:p>
        </w:tc>
        <w:tc>
          <w:tcPr>
            <w:tcW w:w="100" w:type="dxa"/>
            <w:vAlign w:val="bottom"/>
            <w:shd w:val="clear" w:color="auto" w:fill="CEFFE7"/>
          </w:tcPr>
          <w:p>
            <w:pPr>
              <w:spacing w:after="0"/>
              <w:rPr>
                <w:sz w:val="17"/>
                <w:szCs w:val="17"/>
                <w:color w:val="auto"/>
              </w:rPr>
            </w:pPr>
          </w:p>
        </w:tc>
        <w:tc>
          <w:tcPr>
            <w:tcW w:w="60" w:type="dxa"/>
            <w:vAlign w:val="bottom"/>
            <w:shd w:val="clear" w:color="auto" w:fill="CEFFE7"/>
          </w:tcPr>
          <w:p>
            <w:pPr>
              <w:spacing w:after="0"/>
              <w:rPr>
                <w:sz w:val="17"/>
                <w:szCs w:val="17"/>
                <w:color w:val="auto"/>
              </w:rPr>
            </w:pPr>
          </w:p>
        </w:tc>
        <w:tc>
          <w:tcPr>
            <w:tcW w:w="1680" w:type="dxa"/>
            <w:vAlign w:val="bottom"/>
            <w:shd w:val="clear" w:color="auto" w:fill="CEFFE7"/>
          </w:tcPr>
          <w:p>
            <w:pPr>
              <w:spacing w:after="0"/>
              <w:rPr>
                <w:sz w:val="17"/>
                <w:szCs w:val="17"/>
                <w:color w:val="auto"/>
              </w:rPr>
            </w:pPr>
          </w:p>
        </w:tc>
        <w:tc>
          <w:tcPr>
            <w:tcW w:w="60" w:type="dxa"/>
            <w:vAlign w:val="bottom"/>
            <w:shd w:val="clear" w:color="auto" w:fill="CEFFE7"/>
          </w:tcPr>
          <w:p>
            <w:pPr>
              <w:spacing w:after="0"/>
              <w:rPr>
                <w:sz w:val="17"/>
                <w:szCs w:val="17"/>
                <w:color w:val="auto"/>
              </w:rPr>
            </w:pPr>
          </w:p>
        </w:tc>
        <w:tc>
          <w:tcPr>
            <w:tcW w:w="60" w:type="dxa"/>
            <w:vAlign w:val="bottom"/>
            <w:shd w:val="clear" w:color="auto" w:fill="CEFFE7"/>
          </w:tcPr>
          <w:p>
            <w:pPr>
              <w:spacing w:after="0"/>
              <w:rPr>
                <w:sz w:val="17"/>
                <w:szCs w:val="17"/>
                <w:color w:val="auto"/>
              </w:rPr>
            </w:pPr>
          </w:p>
        </w:tc>
        <w:tc>
          <w:tcPr>
            <w:tcW w:w="180" w:type="dxa"/>
            <w:vAlign w:val="bottom"/>
            <w:shd w:val="clear" w:color="auto" w:fill="CEFFE7"/>
          </w:tcPr>
          <w:p>
            <w:pPr>
              <w:spacing w:after="0"/>
              <w:rPr>
                <w:sz w:val="17"/>
                <w:szCs w:val="17"/>
                <w:color w:val="auto"/>
              </w:rPr>
            </w:pPr>
          </w:p>
        </w:tc>
        <w:tc>
          <w:tcPr>
            <w:tcW w:w="1820" w:type="dxa"/>
            <w:vAlign w:val="bottom"/>
            <w:shd w:val="clear" w:color="auto" w:fill="CEFFE7"/>
          </w:tcPr>
          <w:p>
            <w:pPr>
              <w:spacing w:after="0"/>
              <w:rPr>
                <w:sz w:val="17"/>
                <w:szCs w:val="17"/>
                <w:color w:val="auto"/>
              </w:rPr>
            </w:pPr>
          </w:p>
        </w:tc>
        <w:tc>
          <w:tcPr>
            <w:tcW w:w="1680" w:type="dxa"/>
            <w:vAlign w:val="bottom"/>
            <w:shd w:val="clear" w:color="auto" w:fill="CEFFE7"/>
          </w:tcPr>
          <w:p>
            <w:pPr>
              <w:spacing w:after="0"/>
              <w:rPr>
                <w:sz w:val="17"/>
                <w:szCs w:val="17"/>
                <w:color w:val="auto"/>
              </w:rPr>
            </w:pPr>
          </w:p>
        </w:tc>
        <w:tc>
          <w:tcPr>
            <w:tcW w:w="220" w:type="dxa"/>
            <w:vAlign w:val="bottom"/>
            <w:shd w:val="clear" w:color="auto" w:fill="CEFFE7"/>
          </w:tcPr>
          <w:p>
            <w:pPr>
              <w:spacing w:after="0"/>
              <w:rPr>
                <w:sz w:val="17"/>
                <w:szCs w:val="17"/>
                <w:color w:val="auto"/>
              </w:rPr>
            </w:pPr>
          </w:p>
        </w:tc>
        <w:tc>
          <w:tcPr>
            <w:tcW w:w="1500" w:type="dxa"/>
            <w:vAlign w:val="bottom"/>
            <w:gridSpan w:val="3"/>
            <w:shd w:val="clear" w:color="auto" w:fill="CEFFE7"/>
          </w:tcPr>
          <w:p>
            <w:pPr>
              <w:jc w:val="center"/>
              <w:spacing w:after="0" w:line="175" w:lineRule="exact"/>
              <w:rPr>
                <w:rFonts w:ascii="Arial" w:cs="Arial" w:eastAsia="Arial" w:hAnsi="Arial"/>
                <w:sz w:val="16"/>
                <w:szCs w:val="16"/>
                <w:color w:val="0000FF"/>
              </w:rPr>
            </w:pPr>
            <w:hyperlink w:anchor="page47">
              <w:r>
                <w:rPr>
                  <w:rFonts w:ascii="Arial" w:cs="Arial" w:eastAsia="Arial" w:hAnsi="Arial"/>
                  <w:sz w:val="16"/>
                  <w:szCs w:val="16"/>
                  <w:color w:val="0000FF"/>
                </w:rPr>
                <w:t>48</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58"/>
        </w:trPr>
        <w:tc>
          <w:tcPr>
            <w:tcW w:w="40" w:type="dxa"/>
            <w:vAlign w:val="bottom"/>
          </w:tcPr>
          <w:p>
            <w:pPr>
              <w:spacing w:after="0"/>
              <w:rPr>
                <w:sz w:val="24"/>
                <w:szCs w:val="24"/>
                <w:color w:val="auto"/>
              </w:rPr>
            </w:pPr>
          </w:p>
        </w:tc>
        <w:tc>
          <w:tcPr>
            <w:tcW w:w="780" w:type="dxa"/>
            <w:vAlign w:val="bottom"/>
            <w:tcBorders>
              <w:top w:val="single" w:sz="8" w:color="0000FF"/>
            </w:tcBorders>
          </w:tcPr>
          <w:p>
            <w:pPr>
              <w:spacing w:after="0"/>
              <w:rPr>
                <w:sz w:val="24"/>
                <w:szCs w:val="24"/>
                <w:color w:val="auto"/>
              </w:rPr>
            </w:pPr>
          </w:p>
        </w:tc>
        <w:tc>
          <w:tcPr>
            <w:tcW w:w="540" w:type="dxa"/>
            <w:vAlign w:val="bottom"/>
            <w:tcBorders>
              <w:top w:val="single" w:sz="8" w:color="CEFFE7"/>
            </w:tcBorders>
          </w:tcPr>
          <w:p>
            <w:pPr>
              <w:spacing w:after="0"/>
              <w:rPr>
                <w:sz w:val="24"/>
                <w:szCs w:val="24"/>
                <w:color w:val="auto"/>
              </w:rPr>
            </w:pPr>
          </w:p>
        </w:tc>
        <w:tc>
          <w:tcPr>
            <w:tcW w:w="100" w:type="dxa"/>
            <w:vAlign w:val="bottom"/>
            <w:tcBorders>
              <w:top w:val="single" w:sz="8" w:color="CEFFE7"/>
            </w:tcBorders>
          </w:tcPr>
          <w:p>
            <w:pPr>
              <w:spacing w:after="0"/>
              <w:rPr>
                <w:sz w:val="24"/>
                <w:szCs w:val="24"/>
                <w:color w:val="auto"/>
              </w:rPr>
            </w:pPr>
          </w:p>
        </w:tc>
        <w:tc>
          <w:tcPr>
            <w:tcW w:w="4240" w:type="dxa"/>
            <w:vAlign w:val="bottom"/>
            <w:tcBorders>
              <w:top w:val="single" w:sz="8" w:color="CEFFE7"/>
            </w:tcBorders>
            <w:gridSpan w:val="24"/>
          </w:tcPr>
          <w:p>
            <w:pPr>
              <w:ind w:left="4120"/>
              <w:spacing w:after="0"/>
              <w:rPr>
                <w:sz w:val="20"/>
                <w:szCs w:val="20"/>
                <w:color w:val="auto"/>
              </w:rPr>
            </w:pPr>
            <w:r>
              <w:rPr>
                <w:rFonts w:ascii="Arial" w:cs="Arial" w:eastAsia="Arial" w:hAnsi="Arial"/>
                <w:sz w:val="16"/>
                <w:szCs w:val="16"/>
                <w:color w:val="auto"/>
              </w:rPr>
              <w:t>3</w:t>
            </w:r>
          </w:p>
        </w:tc>
        <w:tc>
          <w:tcPr>
            <w:tcW w:w="60" w:type="dxa"/>
            <w:vAlign w:val="bottom"/>
            <w:tcBorders>
              <w:top w:val="single" w:sz="8" w:color="CEFFE7"/>
            </w:tcBorders>
          </w:tcPr>
          <w:p>
            <w:pPr>
              <w:spacing w:after="0"/>
              <w:rPr>
                <w:sz w:val="24"/>
                <w:szCs w:val="24"/>
                <w:color w:val="auto"/>
              </w:rPr>
            </w:pPr>
          </w:p>
        </w:tc>
        <w:tc>
          <w:tcPr>
            <w:tcW w:w="60" w:type="dxa"/>
            <w:vAlign w:val="bottom"/>
            <w:tcBorders>
              <w:top w:val="single" w:sz="8" w:color="CEFFE7"/>
            </w:tcBorders>
          </w:tcPr>
          <w:p>
            <w:pPr>
              <w:spacing w:after="0"/>
              <w:rPr>
                <w:sz w:val="24"/>
                <w:szCs w:val="24"/>
                <w:color w:val="auto"/>
              </w:rPr>
            </w:pPr>
          </w:p>
        </w:tc>
        <w:tc>
          <w:tcPr>
            <w:tcW w:w="180" w:type="dxa"/>
            <w:vAlign w:val="bottom"/>
            <w:tcBorders>
              <w:top w:val="single" w:sz="8" w:color="CEFFE7"/>
            </w:tcBorders>
          </w:tcPr>
          <w:p>
            <w:pPr>
              <w:spacing w:after="0"/>
              <w:rPr>
                <w:sz w:val="24"/>
                <w:szCs w:val="24"/>
                <w:color w:val="auto"/>
              </w:rPr>
            </w:pPr>
          </w:p>
        </w:tc>
        <w:tc>
          <w:tcPr>
            <w:tcW w:w="1820" w:type="dxa"/>
            <w:vAlign w:val="bottom"/>
            <w:tcBorders>
              <w:top w:val="single" w:sz="8" w:color="CEFFE7"/>
            </w:tcBorders>
          </w:tcPr>
          <w:p>
            <w:pPr>
              <w:spacing w:after="0"/>
              <w:rPr>
                <w:sz w:val="24"/>
                <w:szCs w:val="24"/>
                <w:color w:val="auto"/>
              </w:rPr>
            </w:pPr>
          </w:p>
        </w:tc>
        <w:tc>
          <w:tcPr>
            <w:tcW w:w="1680" w:type="dxa"/>
            <w:vAlign w:val="bottom"/>
            <w:tcBorders>
              <w:top w:val="single" w:sz="8" w:color="CEFFE7"/>
            </w:tcBorders>
          </w:tcPr>
          <w:p>
            <w:pPr>
              <w:spacing w:after="0"/>
              <w:rPr>
                <w:sz w:val="24"/>
                <w:szCs w:val="24"/>
                <w:color w:val="auto"/>
              </w:rPr>
            </w:pPr>
          </w:p>
        </w:tc>
        <w:tc>
          <w:tcPr>
            <w:tcW w:w="220" w:type="dxa"/>
            <w:vAlign w:val="bottom"/>
            <w:tcBorders>
              <w:top w:val="single" w:sz="8" w:color="CEFFE7"/>
            </w:tcBorders>
          </w:tcPr>
          <w:p>
            <w:pPr>
              <w:spacing w:after="0"/>
              <w:rPr>
                <w:sz w:val="24"/>
                <w:szCs w:val="24"/>
                <w:color w:val="auto"/>
              </w:rPr>
            </w:pPr>
          </w:p>
        </w:tc>
        <w:tc>
          <w:tcPr>
            <w:tcW w:w="660" w:type="dxa"/>
            <w:vAlign w:val="bottom"/>
            <w:tcBorders>
              <w:top w:val="single" w:sz="8" w:color="CEFFE7"/>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660" w:type="dxa"/>
            <w:vAlign w:val="bottom"/>
            <w:tcBorders>
              <w:top w:val="single" w:sz="8" w:color="CEFFE7"/>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 w:name="page4"/>
    <w:bookmarkEnd w:id="3"/>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700" w:type="dxa"/>
            <w:vAlign w:val="bottom"/>
          </w:tcPr>
          <w:p>
            <w:pPr>
              <w:spacing w:after="0"/>
              <w:rPr>
                <w:sz w:val="18"/>
                <w:szCs w:val="18"/>
                <w:color w:val="auto"/>
              </w:rPr>
            </w:pPr>
          </w:p>
        </w:tc>
        <w:tc>
          <w:tcPr>
            <w:tcW w:w="8540" w:type="dxa"/>
            <w:vAlign w:val="bottom"/>
          </w:tcPr>
          <w:p>
            <w:pPr>
              <w:ind w:left="1140"/>
              <w:spacing w:after="0"/>
              <w:rPr>
                <w:sz w:val="20"/>
                <w:szCs w:val="20"/>
                <w:color w:val="auto"/>
              </w:rPr>
            </w:pPr>
            <w:r>
              <w:rPr>
                <w:rFonts w:ascii="Arial" w:cs="Arial" w:eastAsia="Arial" w:hAnsi="Arial"/>
                <w:sz w:val="16"/>
                <w:szCs w:val="16"/>
                <w:b w:val="1"/>
                <w:bCs w:val="1"/>
                <w:color w:val="auto"/>
              </w:rPr>
              <w:t>GLOSSARY OF TERMS AND ABBREVIATIONS</w:t>
            </w:r>
          </w:p>
        </w:tc>
      </w:tr>
      <w:tr>
        <w:trPr>
          <w:trHeight w:val="432"/>
        </w:trPr>
        <w:tc>
          <w:tcPr>
            <w:tcW w:w="11240" w:type="dxa"/>
            <w:vAlign w:val="bottom"/>
            <w:gridSpan w:val="2"/>
          </w:tcPr>
          <w:p>
            <w:pPr>
              <w:spacing w:after="0"/>
              <w:rPr>
                <w:sz w:val="20"/>
                <w:szCs w:val="20"/>
                <w:color w:val="auto"/>
              </w:rPr>
            </w:pPr>
            <w:r>
              <w:rPr>
                <w:rFonts w:ascii="Arial" w:cs="Arial" w:eastAsia="Arial" w:hAnsi="Arial"/>
                <w:sz w:val="16"/>
                <w:szCs w:val="16"/>
                <w:color w:val="auto"/>
              </w:rPr>
              <w:t>The following terms and abbreviations appear in the text of this report and have the definitions described below:</w:t>
            </w:r>
          </w:p>
        </w:tc>
      </w:tr>
      <w:tr>
        <w:trPr>
          <w:trHeight w:val="114"/>
        </w:trPr>
        <w:tc>
          <w:tcPr>
            <w:tcW w:w="2700" w:type="dxa"/>
            <w:vAlign w:val="bottom"/>
          </w:tcPr>
          <w:p>
            <w:pPr>
              <w:spacing w:after="0"/>
              <w:rPr>
                <w:sz w:val="9"/>
                <w:szCs w:val="9"/>
                <w:color w:val="auto"/>
              </w:rPr>
            </w:pPr>
          </w:p>
        </w:tc>
        <w:tc>
          <w:tcPr>
            <w:tcW w:w="8540" w:type="dxa"/>
            <w:vAlign w:val="bottom"/>
          </w:tcPr>
          <w:p>
            <w:pPr>
              <w:spacing w:after="0"/>
              <w:rPr>
                <w:sz w:val="9"/>
                <w:szCs w:val="9"/>
                <w:color w:val="auto"/>
              </w:rPr>
            </w:pPr>
          </w:p>
        </w:tc>
      </w:tr>
      <w:tr>
        <w:trPr>
          <w:trHeight w:val="216"/>
        </w:trPr>
        <w:tc>
          <w:tcPr>
            <w:tcW w:w="2700" w:type="dxa"/>
            <w:vAlign w:val="bottom"/>
            <w:shd w:val="clear" w:color="auto" w:fill="CEFFE7"/>
          </w:tcPr>
          <w:p>
            <w:pPr>
              <w:ind w:left="20"/>
              <w:spacing w:after="0"/>
              <w:rPr>
                <w:sz w:val="20"/>
                <w:szCs w:val="20"/>
                <w:color w:val="auto"/>
              </w:rPr>
            </w:pPr>
            <w:r>
              <w:rPr>
                <w:rFonts w:ascii="Arial" w:cs="Arial" w:eastAsia="Arial" w:hAnsi="Arial"/>
                <w:sz w:val="16"/>
                <w:szCs w:val="16"/>
                <w:color w:val="auto"/>
              </w:rPr>
              <w:t>AFUDC</w:t>
            </w:r>
          </w:p>
        </w:tc>
        <w:tc>
          <w:tcPr>
            <w:tcW w:w="8540" w:type="dxa"/>
            <w:vAlign w:val="bottom"/>
            <w:shd w:val="clear" w:color="auto" w:fill="CEFFE7"/>
          </w:tcPr>
          <w:p>
            <w:pPr>
              <w:ind w:left="160"/>
              <w:spacing w:after="0"/>
              <w:rPr>
                <w:sz w:val="20"/>
                <w:szCs w:val="20"/>
                <w:color w:val="auto"/>
              </w:rPr>
            </w:pPr>
            <w:r>
              <w:rPr>
                <w:rFonts w:ascii="Arial" w:cs="Arial" w:eastAsia="Arial" w:hAnsi="Arial"/>
                <w:sz w:val="16"/>
                <w:szCs w:val="16"/>
                <w:color w:val="auto"/>
              </w:rPr>
              <w:t>Allowance for Funds Used During Construction</w:t>
            </w:r>
          </w:p>
        </w:tc>
      </w:tr>
      <w:tr>
        <w:trPr>
          <w:trHeight w:val="213"/>
        </w:trPr>
        <w:tc>
          <w:tcPr>
            <w:tcW w:w="2700" w:type="dxa"/>
            <w:vAlign w:val="bottom"/>
          </w:tcPr>
          <w:p>
            <w:pPr>
              <w:ind w:left="20"/>
              <w:spacing w:after="0"/>
              <w:rPr>
                <w:sz w:val="20"/>
                <w:szCs w:val="20"/>
                <w:color w:val="auto"/>
              </w:rPr>
            </w:pPr>
            <w:r>
              <w:rPr>
                <w:rFonts w:ascii="Arial" w:cs="Arial" w:eastAsia="Arial" w:hAnsi="Arial"/>
                <w:sz w:val="16"/>
                <w:szCs w:val="16"/>
                <w:color w:val="auto"/>
              </w:rPr>
              <w:t>AOCI</w:t>
            </w:r>
          </w:p>
        </w:tc>
        <w:tc>
          <w:tcPr>
            <w:tcW w:w="8540" w:type="dxa"/>
            <w:vAlign w:val="bottom"/>
          </w:tcPr>
          <w:p>
            <w:pPr>
              <w:ind w:left="160"/>
              <w:spacing w:after="0"/>
              <w:rPr>
                <w:sz w:val="20"/>
                <w:szCs w:val="20"/>
                <w:color w:val="auto"/>
              </w:rPr>
            </w:pPr>
            <w:r>
              <w:rPr>
                <w:rFonts w:ascii="Arial" w:cs="Arial" w:eastAsia="Arial" w:hAnsi="Arial"/>
                <w:sz w:val="16"/>
                <w:szCs w:val="16"/>
                <w:color w:val="auto"/>
              </w:rPr>
              <w:t>Accumulated Other Comprehensive Income (Loss)</w:t>
            </w:r>
          </w:p>
        </w:tc>
      </w:tr>
      <w:tr>
        <w:trPr>
          <w:trHeight w:val="180"/>
        </w:trPr>
        <w:tc>
          <w:tcPr>
            <w:tcW w:w="2700" w:type="dxa"/>
            <w:vAlign w:val="bottom"/>
            <w:shd w:val="clear" w:color="auto" w:fill="CEFFE7"/>
          </w:tcPr>
          <w:p>
            <w:pPr>
              <w:ind w:left="20"/>
              <w:spacing w:after="0" w:line="181" w:lineRule="exact"/>
              <w:rPr>
                <w:sz w:val="20"/>
                <w:szCs w:val="20"/>
                <w:color w:val="auto"/>
              </w:rPr>
            </w:pPr>
            <w:r>
              <w:rPr>
                <w:rFonts w:ascii="Arial" w:cs="Arial" w:eastAsia="Arial" w:hAnsi="Arial"/>
                <w:sz w:val="16"/>
                <w:szCs w:val="16"/>
                <w:color w:val="auto"/>
              </w:rPr>
              <w:t>Arkansas Gas</w:t>
            </w:r>
          </w:p>
        </w:tc>
        <w:tc>
          <w:tcPr>
            <w:tcW w:w="8540" w:type="dxa"/>
            <w:vAlign w:val="bottom"/>
            <w:shd w:val="clear" w:color="auto" w:fill="CEFFE7"/>
          </w:tcPr>
          <w:p>
            <w:pPr>
              <w:ind w:left="160"/>
              <w:spacing w:after="0" w:line="181" w:lineRule="exact"/>
              <w:rPr>
                <w:sz w:val="20"/>
                <w:szCs w:val="20"/>
                <w:color w:val="auto"/>
              </w:rPr>
            </w:pPr>
            <w:r>
              <w:rPr>
                <w:rFonts w:ascii="Arial" w:cs="Arial" w:eastAsia="Arial" w:hAnsi="Arial"/>
                <w:sz w:val="16"/>
                <w:szCs w:val="16"/>
                <w:color w:val="auto"/>
              </w:rPr>
              <w:t>Black Hills Energy Arkansas, Inc., an indirect, wholly-owned subsidiary of Black Hills Utility Holdings, providing</w:t>
            </w:r>
          </w:p>
        </w:tc>
      </w:tr>
      <w:tr>
        <w:trPr>
          <w:trHeight w:val="201"/>
        </w:trPr>
        <w:tc>
          <w:tcPr>
            <w:tcW w:w="2700" w:type="dxa"/>
            <w:vAlign w:val="bottom"/>
            <w:shd w:val="clear" w:color="auto" w:fill="CEFFE7"/>
          </w:tcPr>
          <w:p>
            <w:pPr>
              <w:spacing w:after="0"/>
              <w:rPr>
                <w:sz w:val="17"/>
                <w:szCs w:val="17"/>
                <w:color w:val="auto"/>
              </w:rPr>
            </w:pPr>
          </w:p>
        </w:tc>
        <w:tc>
          <w:tcPr>
            <w:tcW w:w="8540" w:type="dxa"/>
            <w:vAlign w:val="bottom"/>
            <w:shd w:val="clear" w:color="auto" w:fill="CEFFE7"/>
          </w:tcPr>
          <w:p>
            <w:pPr>
              <w:ind w:left="160"/>
              <w:spacing w:after="0"/>
              <w:rPr>
                <w:sz w:val="20"/>
                <w:szCs w:val="20"/>
                <w:color w:val="auto"/>
              </w:rPr>
            </w:pPr>
            <w:r>
              <w:rPr>
                <w:rFonts w:ascii="Arial" w:cs="Arial" w:eastAsia="Arial" w:hAnsi="Arial"/>
                <w:sz w:val="16"/>
                <w:szCs w:val="16"/>
                <w:color w:val="auto"/>
              </w:rPr>
              <w:t>natural gas services to customers in Arkansas (doing business as Black Hills Energy).</w:t>
            </w:r>
          </w:p>
        </w:tc>
      </w:tr>
      <w:tr>
        <w:trPr>
          <w:trHeight w:val="213"/>
        </w:trPr>
        <w:tc>
          <w:tcPr>
            <w:tcW w:w="2700" w:type="dxa"/>
            <w:vAlign w:val="bottom"/>
          </w:tcPr>
          <w:p>
            <w:pPr>
              <w:ind w:left="20"/>
              <w:spacing w:after="0"/>
              <w:rPr>
                <w:sz w:val="20"/>
                <w:szCs w:val="20"/>
                <w:color w:val="auto"/>
              </w:rPr>
            </w:pPr>
            <w:r>
              <w:rPr>
                <w:rFonts w:ascii="Arial" w:cs="Arial" w:eastAsia="Arial" w:hAnsi="Arial"/>
                <w:sz w:val="16"/>
                <w:szCs w:val="16"/>
                <w:color w:val="auto"/>
              </w:rPr>
              <w:t>ASC</w:t>
            </w:r>
          </w:p>
        </w:tc>
        <w:tc>
          <w:tcPr>
            <w:tcW w:w="8540" w:type="dxa"/>
            <w:vAlign w:val="bottom"/>
          </w:tcPr>
          <w:p>
            <w:pPr>
              <w:ind w:left="160"/>
              <w:spacing w:after="0"/>
              <w:rPr>
                <w:sz w:val="20"/>
                <w:szCs w:val="20"/>
                <w:color w:val="auto"/>
              </w:rPr>
            </w:pPr>
            <w:r>
              <w:rPr>
                <w:rFonts w:ascii="Arial" w:cs="Arial" w:eastAsia="Arial" w:hAnsi="Arial"/>
                <w:sz w:val="16"/>
                <w:szCs w:val="16"/>
                <w:color w:val="auto"/>
              </w:rPr>
              <w:t>Accounting Standards Codification</w:t>
            </w:r>
          </w:p>
        </w:tc>
      </w:tr>
      <w:tr>
        <w:trPr>
          <w:trHeight w:val="219"/>
        </w:trPr>
        <w:tc>
          <w:tcPr>
            <w:tcW w:w="2700" w:type="dxa"/>
            <w:vAlign w:val="bottom"/>
            <w:shd w:val="clear" w:color="auto" w:fill="CEFFE7"/>
          </w:tcPr>
          <w:p>
            <w:pPr>
              <w:ind w:left="20"/>
              <w:spacing w:after="0"/>
              <w:rPr>
                <w:sz w:val="20"/>
                <w:szCs w:val="20"/>
                <w:color w:val="auto"/>
              </w:rPr>
            </w:pPr>
            <w:r>
              <w:rPr>
                <w:rFonts w:ascii="Arial" w:cs="Arial" w:eastAsia="Arial" w:hAnsi="Arial"/>
                <w:sz w:val="16"/>
                <w:szCs w:val="16"/>
                <w:color w:val="auto"/>
              </w:rPr>
              <w:t>ASU</w:t>
            </w:r>
          </w:p>
        </w:tc>
        <w:tc>
          <w:tcPr>
            <w:tcW w:w="8540" w:type="dxa"/>
            <w:vAlign w:val="bottom"/>
            <w:shd w:val="clear" w:color="auto" w:fill="CEFFE7"/>
          </w:tcPr>
          <w:p>
            <w:pPr>
              <w:ind w:left="160"/>
              <w:spacing w:after="0"/>
              <w:rPr>
                <w:sz w:val="20"/>
                <w:szCs w:val="20"/>
                <w:color w:val="auto"/>
              </w:rPr>
            </w:pPr>
            <w:r>
              <w:rPr>
                <w:rFonts w:ascii="Arial" w:cs="Arial" w:eastAsia="Arial" w:hAnsi="Arial"/>
                <w:sz w:val="16"/>
                <w:szCs w:val="16"/>
                <w:color w:val="auto"/>
              </w:rPr>
              <w:t>Accounting Standards Update issued by the FASB</w:t>
            </w:r>
          </w:p>
        </w:tc>
      </w:tr>
      <w:tr>
        <w:trPr>
          <w:trHeight w:val="213"/>
        </w:trPr>
        <w:tc>
          <w:tcPr>
            <w:tcW w:w="2700" w:type="dxa"/>
            <w:vAlign w:val="bottom"/>
          </w:tcPr>
          <w:p>
            <w:pPr>
              <w:ind w:left="20"/>
              <w:spacing w:after="0"/>
              <w:rPr>
                <w:sz w:val="20"/>
                <w:szCs w:val="20"/>
                <w:color w:val="auto"/>
              </w:rPr>
            </w:pPr>
            <w:r>
              <w:rPr>
                <w:rFonts w:ascii="Arial" w:cs="Arial" w:eastAsia="Arial" w:hAnsi="Arial"/>
                <w:sz w:val="16"/>
                <w:szCs w:val="16"/>
                <w:color w:val="auto"/>
              </w:rPr>
              <w:t>ATM</w:t>
            </w:r>
          </w:p>
        </w:tc>
        <w:tc>
          <w:tcPr>
            <w:tcW w:w="8540" w:type="dxa"/>
            <w:vAlign w:val="bottom"/>
          </w:tcPr>
          <w:p>
            <w:pPr>
              <w:ind w:left="160"/>
              <w:spacing w:after="0"/>
              <w:rPr>
                <w:sz w:val="20"/>
                <w:szCs w:val="20"/>
                <w:color w:val="auto"/>
              </w:rPr>
            </w:pPr>
            <w:r>
              <w:rPr>
                <w:rFonts w:ascii="Arial" w:cs="Arial" w:eastAsia="Arial" w:hAnsi="Arial"/>
                <w:sz w:val="16"/>
                <w:szCs w:val="16"/>
                <w:color w:val="auto"/>
              </w:rPr>
              <w:t>At-the-market equity offering program</w:t>
            </w:r>
          </w:p>
        </w:tc>
      </w:tr>
      <w:tr>
        <w:trPr>
          <w:trHeight w:val="219"/>
        </w:trPr>
        <w:tc>
          <w:tcPr>
            <w:tcW w:w="2700" w:type="dxa"/>
            <w:vAlign w:val="bottom"/>
            <w:shd w:val="clear" w:color="auto" w:fill="CEFFE7"/>
          </w:tcPr>
          <w:p>
            <w:pPr>
              <w:ind w:left="20"/>
              <w:spacing w:after="0"/>
              <w:rPr>
                <w:sz w:val="20"/>
                <w:szCs w:val="20"/>
                <w:color w:val="auto"/>
              </w:rPr>
            </w:pPr>
            <w:r>
              <w:rPr>
                <w:rFonts w:ascii="Arial" w:cs="Arial" w:eastAsia="Arial" w:hAnsi="Arial"/>
                <w:sz w:val="16"/>
                <w:szCs w:val="16"/>
                <w:color w:val="auto"/>
              </w:rPr>
              <w:t>Availability</w:t>
            </w:r>
          </w:p>
        </w:tc>
        <w:tc>
          <w:tcPr>
            <w:tcW w:w="8540" w:type="dxa"/>
            <w:vAlign w:val="bottom"/>
            <w:shd w:val="clear" w:color="auto" w:fill="CEFFE7"/>
          </w:tcPr>
          <w:p>
            <w:pPr>
              <w:ind w:left="160"/>
              <w:spacing w:after="0"/>
              <w:rPr>
                <w:sz w:val="20"/>
                <w:szCs w:val="20"/>
                <w:color w:val="auto"/>
              </w:rPr>
            </w:pPr>
            <w:r>
              <w:rPr>
                <w:rFonts w:ascii="Arial" w:cs="Arial" w:eastAsia="Arial" w:hAnsi="Arial"/>
                <w:sz w:val="16"/>
                <w:szCs w:val="16"/>
                <w:color w:val="auto"/>
              </w:rPr>
              <w:t>The availability factor of a power plant is the percentage of the time that it is available to provide energy.</w:t>
            </w:r>
          </w:p>
        </w:tc>
      </w:tr>
      <w:tr>
        <w:trPr>
          <w:trHeight w:val="213"/>
        </w:trPr>
        <w:tc>
          <w:tcPr>
            <w:tcW w:w="2700" w:type="dxa"/>
            <w:vAlign w:val="bottom"/>
          </w:tcPr>
          <w:p>
            <w:pPr>
              <w:ind w:left="20"/>
              <w:spacing w:after="0"/>
              <w:rPr>
                <w:sz w:val="20"/>
                <w:szCs w:val="20"/>
                <w:color w:val="auto"/>
              </w:rPr>
            </w:pPr>
            <w:r>
              <w:rPr>
                <w:rFonts w:ascii="Arial" w:cs="Arial" w:eastAsia="Arial" w:hAnsi="Arial"/>
                <w:sz w:val="16"/>
                <w:szCs w:val="16"/>
                <w:color w:val="auto"/>
              </w:rPr>
              <w:t>BHC</w:t>
            </w:r>
          </w:p>
        </w:tc>
        <w:tc>
          <w:tcPr>
            <w:tcW w:w="8540" w:type="dxa"/>
            <w:vAlign w:val="bottom"/>
          </w:tcPr>
          <w:p>
            <w:pPr>
              <w:ind w:left="160"/>
              <w:spacing w:after="0"/>
              <w:rPr>
                <w:sz w:val="20"/>
                <w:szCs w:val="20"/>
                <w:color w:val="auto"/>
              </w:rPr>
            </w:pPr>
            <w:r>
              <w:rPr>
                <w:rFonts w:ascii="Arial" w:cs="Arial" w:eastAsia="Arial" w:hAnsi="Arial"/>
                <w:sz w:val="16"/>
                <w:szCs w:val="16"/>
                <w:color w:val="auto"/>
              </w:rPr>
              <w:t>Black Hills Corporation; the Company</w:t>
            </w:r>
          </w:p>
        </w:tc>
      </w:tr>
      <w:tr>
        <w:trPr>
          <w:trHeight w:val="219"/>
        </w:trPr>
        <w:tc>
          <w:tcPr>
            <w:tcW w:w="2700" w:type="dxa"/>
            <w:vAlign w:val="bottom"/>
            <w:shd w:val="clear" w:color="auto" w:fill="CEFFE7"/>
          </w:tcPr>
          <w:p>
            <w:pPr>
              <w:ind w:left="20"/>
              <w:spacing w:after="0"/>
              <w:rPr>
                <w:sz w:val="20"/>
                <w:szCs w:val="20"/>
                <w:color w:val="auto"/>
              </w:rPr>
            </w:pPr>
            <w:r>
              <w:rPr>
                <w:rFonts w:ascii="Arial" w:cs="Arial" w:eastAsia="Arial" w:hAnsi="Arial"/>
                <w:sz w:val="16"/>
                <w:szCs w:val="16"/>
                <w:color w:val="auto"/>
              </w:rPr>
              <w:t>Black Hills Colorado IPP</w:t>
            </w:r>
          </w:p>
        </w:tc>
        <w:tc>
          <w:tcPr>
            <w:tcW w:w="8540" w:type="dxa"/>
            <w:vAlign w:val="bottom"/>
            <w:shd w:val="clear" w:color="auto" w:fill="CEFFE7"/>
          </w:tcPr>
          <w:p>
            <w:pPr>
              <w:ind w:left="160"/>
              <w:spacing w:after="0"/>
              <w:rPr>
                <w:sz w:val="20"/>
                <w:szCs w:val="20"/>
                <w:color w:val="auto"/>
              </w:rPr>
            </w:pPr>
            <w:r>
              <w:rPr>
                <w:rFonts w:ascii="Arial" w:cs="Arial" w:eastAsia="Arial" w:hAnsi="Arial"/>
                <w:sz w:val="16"/>
                <w:szCs w:val="16"/>
                <w:color w:val="auto"/>
              </w:rPr>
              <w:t>Black Hills Colorado IPP, LLC a 50.1% owned subsidiary of Black Hills Electric Generation</w:t>
            </w:r>
          </w:p>
        </w:tc>
      </w:tr>
      <w:tr>
        <w:trPr>
          <w:trHeight w:val="177"/>
        </w:trPr>
        <w:tc>
          <w:tcPr>
            <w:tcW w:w="2700" w:type="dxa"/>
            <w:vAlign w:val="bottom"/>
          </w:tcPr>
          <w:p>
            <w:pPr>
              <w:ind w:left="20"/>
              <w:spacing w:after="0" w:line="178" w:lineRule="exact"/>
              <w:rPr>
                <w:sz w:val="20"/>
                <w:szCs w:val="20"/>
                <w:color w:val="auto"/>
              </w:rPr>
            </w:pPr>
            <w:r>
              <w:rPr>
                <w:rFonts w:ascii="Arial" w:cs="Arial" w:eastAsia="Arial" w:hAnsi="Arial"/>
                <w:sz w:val="16"/>
                <w:szCs w:val="16"/>
                <w:color w:val="auto"/>
              </w:rPr>
              <w:t>Black Hills Electric Generation</w:t>
            </w:r>
          </w:p>
        </w:tc>
        <w:tc>
          <w:tcPr>
            <w:tcW w:w="8540" w:type="dxa"/>
            <w:vAlign w:val="bottom"/>
          </w:tcPr>
          <w:p>
            <w:pPr>
              <w:ind w:left="160"/>
              <w:spacing w:after="0" w:line="178" w:lineRule="exact"/>
              <w:rPr>
                <w:sz w:val="20"/>
                <w:szCs w:val="20"/>
                <w:color w:val="auto"/>
              </w:rPr>
            </w:pPr>
            <w:r>
              <w:rPr>
                <w:rFonts w:ascii="Arial" w:cs="Arial" w:eastAsia="Arial" w:hAnsi="Arial"/>
                <w:sz w:val="16"/>
                <w:szCs w:val="16"/>
                <w:color w:val="auto"/>
              </w:rPr>
              <w:t>Black Hills Electric Generation, LLC, a direct, wholly-owned subsidiary of Black Hills Non-regulated Holdings,</w:t>
            </w:r>
          </w:p>
        </w:tc>
      </w:tr>
      <w:tr>
        <w:trPr>
          <w:trHeight w:val="198"/>
        </w:trPr>
        <w:tc>
          <w:tcPr>
            <w:tcW w:w="2700" w:type="dxa"/>
            <w:vAlign w:val="bottom"/>
          </w:tcPr>
          <w:p>
            <w:pPr>
              <w:spacing w:after="0"/>
              <w:rPr>
                <w:sz w:val="17"/>
                <w:szCs w:val="17"/>
                <w:color w:val="auto"/>
              </w:rPr>
            </w:pPr>
          </w:p>
        </w:tc>
        <w:tc>
          <w:tcPr>
            <w:tcW w:w="8540" w:type="dxa"/>
            <w:vAlign w:val="bottom"/>
          </w:tcPr>
          <w:p>
            <w:pPr>
              <w:ind w:left="160"/>
              <w:spacing w:after="0"/>
              <w:rPr>
                <w:sz w:val="20"/>
                <w:szCs w:val="20"/>
                <w:color w:val="auto"/>
              </w:rPr>
            </w:pPr>
            <w:r>
              <w:rPr>
                <w:rFonts w:ascii="Arial" w:cs="Arial" w:eastAsia="Arial" w:hAnsi="Arial"/>
                <w:sz w:val="16"/>
                <w:szCs w:val="16"/>
                <w:color w:val="auto"/>
              </w:rPr>
              <w:t>providing wholesale electric capacity and energy primarily to our affiliate utilities.</w:t>
            </w:r>
          </w:p>
        </w:tc>
      </w:tr>
      <w:tr>
        <w:trPr>
          <w:trHeight w:val="219"/>
        </w:trPr>
        <w:tc>
          <w:tcPr>
            <w:tcW w:w="2700" w:type="dxa"/>
            <w:vAlign w:val="bottom"/>
            <w:shd w:val="clear" w:color="auto" w:fill="CEFFE7"/>
          </w:tcPr>
          <w:p>
            <w:pPr>
              <w:ind w:left="20"/>
              <w:spacing w:after="0"/>
              <w:rPr>
                <w:sz w:val="20"/>
                <w:szCs w:val="20"/>
                <w:color w:val="auto"/>
              </w:rPr>
            </w:pPr>
            <w:r>
              <w:rPr>
                <w:rFonts w:ascii="Arial" w:cs="Arial" w:eastAsia="Arial" w:hAnsi="Arial"/>
                <w:sz w:val="16"/>
                <w:szCs w:val="16"/>
                <w:color w:val="auto"/>
              </w:rPr>
              <w:t>Black Hills Energy</w:t>
            </w:r>
          </w:p>
        </w:tc>
        <w:tc>
          <w:tcPr>
            <w:tcW w:w="8540" w:type="dxa"/>
            <w:vAlign w:val="bottom"/>
            <w:shd w:val="clear" w:color="auto" w:fill="CEFFE7"/>
          </w:tcPr>
          <w:p>
            <w:pPr>
              <w:ind w:left="160"/>
              <w:spacing w:after="0"/>
              <w:rPr>
                <w:sz w:val="20"/>
                <w:szCs w:val="20"/>
                <w:color w:val="auto"/>
              </w:rPr>
            </w:pPr>
            <w:r>
              <w:rPr>
                <w:rFonts w:ascii="Arial" w:cs="Arial" w:eastAsia="Arial" w:hAnsi="Arial"/>
                <w:sz w:val="16"/>
                <w:szCs w:val="16"/>
                <w:color w:val="auto"/>
              </w:rPr>
              <w:t>The name used to conduct the business of our utility companies</w:t>
            </w:r>
          </w:p>
        </w:tc>
      </w:tr>
      <w:tr>
        <w:trPr>
          <w:trHeight w:val="177"/>
        </w:trPr>
        <w:tc>
          <w:tcPr>
            <w:tcW w:w="2700" w:type="dxa"/>
            <w:vAlign w:val="bottom"/>
          </w:tcPr>
          <w:p>
            <w:pPr>
              <w:ind w:left="20"/>
              <w:spacing w:after="0" w:line="178" w:lineRule="exact"/>
              <w:rPr>
                <w:sz w:val="20"/>
                <w:szCs w:val="20"/>
                <w:color w:val="auto"/>
              </w:rPr>
            </w:pPr>
            <w:r>
              <w:rPr>
                <w:rFonts w:ascii="Arial" w:cs="Arial" w:eastAsia="Arial" w:hAnsi="Arial"/>
                <w:sz w:val="16"/>
                <w:szCs w:val="16"/>
                <w:color w:val="auto"/>
              </w:rPr>
              <w:t>Black Hills Energy Services</w:t>
            </w:r>
          </w:p>
        </w:tc>
        <w:tc>
          <w:tcPr>
            <w:tcW w:w="8540" w:type="dxa"/>
            <w:vAlign w:val="bottom"/>
          </w:tcPr>
          <w:p>
            <w:pPr>
              <w:ind w:left="160"/>
              <w:spacing w:after="0" w:line="178" w:lineRule="exact"/>
              <w:rPr>
                <w:sz w:val="20"/>
                <w:szCs w:val="20"/>
                <w:color w:val="auto"/>
              </w:rPr>
            </w:pPr>
            <w:r>
              <w:rPr>
                <w:rFonts w:ascii="Arial" w:cs="Arial" w:eastAsia="Arial" w:hAnsi="Arial"/>
                <w:sz w:val="16"/>
                <w:szCs w:val="16"/>
                <w:color w:val="auto"/>
              </w:rPr>
              <w:t>Black Hills Energy Services Company, an indirect, wholly-owned subsidiary of Black Hills Utility Holdings, providing</w:t>
            </w:r>
          </w:p>
        </w:tc>
      </w:tr>
      <w:tr>
        <w:trPr>
          <w:trHeight w:val="198"/>
        </w:trPr>
        <w:tc>
          <w:tcPr>
            <w:tcW w:w="2700" w:type="dxa"/>
            <w:vAlign w:val="bottom"/>
          </w:tcPr>
          <w:p>
            <w:pPr>
              <w:spacing w:after="0"/>
              <w:rPr>
                <w:sz w:val="17"/>
                <w:szCs w:val="17"/>
                <w:color w:val="auto"/>
              </w:rPr>
            </w:pPr>
          </w:p>
        </w:tc>
        <w:tc>
          <w:tcPr>
            <w:tcW w:w="8540" w:type="dxa"/>
            <w:vAlign w:val="bottom"/>
          </w:tcPr>
          <w:p>
            <w:pPr>
              <w:ind w:left="160"/>
              <w:spacing w:after="0"/>
              <w:rPr>
                <w:sz w:val="20"/>
                <w:szCs w:val="20"/>
                <w:color w:val="auto"/>
              </w:rPr>
            </w:pPr>
            <w:r>
              <w:rPr>
                <w:rFonts w:ascii="Arial" w:cs="Arial" w:eastAsia="Arial" w:hAnsi="Arial"/>
                <w:sz w:val="16"/>
                <w:szCs w:val="16"/>
                <w:color w:val="auto"/>
              </w:rPr>
              <w:t>natural gas commodity supply for the Choice Gas Programs (doing business as Black Hills Energy).</w:t>
            </w:r>
          </w:p>
        </w:tc>
      </w:tr>
      <w:tr>
        <w:trPr>
          <w:trHeight w:val="219"/>
        </w:trPr>
        <w:tc>
          <w:tcPr>
            <w:tcW w:w="2700" w:type="dxa"/>
            <w:vAlign w:val="bottom"/>
            <w:shd w:val="clear" w:color="auto" w:fill="CEFFE7"/>
          </w:tcPr>
          <w:p>
            <w:pPr>
              <w:ind w:left="20"/>
              <w:spacing w:after="0"/>
              <w:rPr>
                <w:sz w:val="20"/>
                <w:szCs w:val="20"/>
                <w:color w:val="auto"/>
              </w:rPr>
            </w:pPr>
            <w:r>
              <w:rPr>
                <w:rFonts w:ascii="Arial" w:cs="Arial" w:eastAsia="Arial" w:hAnsi="Arial"/>
                <w:sz w:val="16"/>
                <w:szCs w:val="16"/>
                <w:color w:val="auto"/>
              </w:rPr>
              <w:t>Black Hills Non-regulated Holdings</w:t>
            </w:r>
          </w:p>
        </w:tc>
        <w:tc>
          <w:tcPr>
            <w:tcW w:w="8540" w:type="dxa"/>
            <w:vAlign w:val="bottom"/>
            <w:shd w:val="clear" w:color="auto" w:fill="CEFFE7"/>
          </w:tcPr>
          <w:p>
            <w:pPr>
              <w:ind w:left="160"/>
              <w:spacing w:after="0"/>
              <w:rPr>
                <w:sz w:val="20"/>
                <w:szCs w:val="20"/>
                <w:color w:val="auto"/>
              </w:rPr>
            </w:pPr>
            <w:r>
              <w:rPr>
                <w:rFonts w:ascii="Arial" w:cs="Arial" w:eastAsia="Arial" w:hAnsi="Arial"/>
                <w:sz w:val="16"/>
                <w:szCs w:val="16"/>
                <w:color w:val="auto"/>
              </w:rPr>
              <w:t>Black Hills Non-regulated Holdings, LLC, a direct, wholly-owned subsidiary of Black Hills Corporation</w:t>
            </w:r>
          </w:p>
        </w:tc>
      </w:tr>
      <w:tr>
        <w:trPr>
          <w:trHeight w:val="177"/>
        </w:trPr>
        <w:tc>
          <w:tcPr>
            <w:tcW w:w="2700" w:type="dxa"/>
            <w:vAlign w:val="bottom"/>
          </w:tcPr>
          <w:p>
            <w:pPr>
              <w:ind w:left="20"/>
              <w:spacing w:after="0" w:line="178" w:lineRule="exact"/>
              <w:rPr>
                <w:sz w:val="20"/>
                <w:szCs w:val="20"/>
                <w:color w:val="auto"/>
              </w:rPr>
            </w:pPr>
            <w:r>
              <w:rPr>
                <w:rFonts w:ascii="Arial" w:cs="Arial" w:eastAsia="Arial" w:hAnsi="Arial"/>
                <w:sz w:val="16"/>
                <w:szCs w:val="16"/>
                <w:color w:val="auto"/>
              </w:rPr>
              <w:t>Black Hills Power</w:t>
            </w:r>
          </w:p>
        </w:tc>
        <w:tc>
          <w:tcPr>
            <w:tcW w:w="8540" w:type="dxa"/>
            <w:vAlign w:val="bottom"/>
          </w:tcPr>
          <w:p>
            <w:pPr>
              <w:ind w:left="160"/>
              <w:spacing w:after="0" w:line="178" w:lineRule="exact"/>
              <w:rPr>
                <w:sz w:val="20"/>
                <w:szCs w:val="20"/>
                <w:color w:val="auto"/>
              </w:rPr>
            </w:pPr>
            <w:r>
              <w:rPr>
                <w:rFonts w:ascii="Arial" w:cs="Arial" w:eastAsia="Arial" w:hAnsi="Arial"/>
                <w:sz w:val="16"/>
                <w:szCs w:val="16"/>
                <w:color w:val="auto"/>
              </w:rPr>
              <w:t>Black Hills Power, Inc., a direct, wholly-owned subsidiary of Black Hills Corporation (doing business as Black Hills</w:t>
            </w:r>
          </w:p>
        </w:tc>
      </w:tr>
      <w:tr>
        <w:trPr>
          <w:trHeight w:val="198"/>
        </w:trPr>
        <w:tc>
          <w:tcPr>
            <w:tcW w:w="2700" w:type="dxa"/>
            <w:vAlign w:val="bottom"/>
          </w:tcPr>
          <w:p>
            <w:pPr>
              <w:spacing w:after="0"/>
              <w:rPr>
                <w:sz w:val="17"/>
                <w:szCs w:val="17"/>
                <w:color w:val="auto"/>
              </w:rPr>
            </w:pPr>
          </w:p>
        </w:tc>
        <w:tc>
          <w:tcPr>
            <w:tcW w:w="8540" w:type="dxa"/>
            <w:vAlign w:val="bottom"/>
          </w:tcPr>
          <w:p>
            <w:pPr>
              <w:ind w:left="160"/>
              <w:spacing w:after="0"/>
              <w:rPr>
                <w:sz w:val="20"/>
                <w:szCs w:val="20"/>
                <w:color w:val="auto"/>
              </w:rPr>
            </w:pPr>
            <w:r>
              <w:rPr>
                <w:rFonts w:ascii="Arial" w:cs="Arial" w:eastAsia="Arial" w:hAnsi="Arial"/>
                <w:sz w:val="16"/>
                <w:szCs w:val="16"/>
                <w:color w:val="auto"/>
              </w:rPr>
              <w:t>Energy). Also known as South Dakota Electric.</w:t>
            </w:r>
          </w:p>
        </w:tc>
      </w:tr>
      <w:tr>
        <w:trPr>
          <w:trHeight w:val="180"/>
        </w:trPr>
        <w:tc>
          <w:tcPr>
            <w:tcW w:w="2700" w:type="dxa"/>
            <w:vAlign w:val="bottom"/>
            <w:shd w:val="clear" w:color="auto" w:fill="CEFFE7"/>
          </w:tcPr>
          <w:p>
            <w:pPr>
              <w:ind w:left="20"/>
              <w:spacing w:after="0" w:line="181" w:lineRule="exact"/>
              <w:rPr>
                <w:sz w:val="20"/>
                <w:szCs w:val="20"/>
                <w:color w:val="auto"/>
              </w:rPr>
            </w:pPr>
            <w:r>
              <w:rPr>
                <w:rFonts w:ascii="Arial" w:cs="Arial" w:eastAsia="Arial" w:hAnsi="Arial"/>
                <w:sz w:val="16"/>
                <w:szCs w:val="16"/>
                <w:color w:val="auto"/>
              </w:rPr>
              <w:t>Black Hills Utility Holdings</w:t>
            </w:r>
          </w:p>
        </w:tc>
        <w:tc>
          <w:tcPr>
            <w:tcW w:w="8540" w:type="dxa"/>
            <w:vAlign w:val="bottom"/>
            <w:shd w:val="clear" w:color="auto" w:fill="CEFFE7"/>
          </w:tcPr>
          <w:p>
            <w:pPr>
              <w:ind w:left="160"/>
              <w:spacing w:after="0" w:line="181" w:lineRule="exact"/>
              <w:rPr>
                <w:sz w:val="20"/>
                <w:szCs w:val="20"/>
                <w:color w:val="auto"/>
              </w:rPr>
            </w:pPr>
            <w:r>
              <w:rPr>
                <w:rFonts w:ascii="Arial" w:cs="Arial" w:eastAsia="Arial" w:hAnsi="Arial"/>
                <w:sz w:val="16"/>
                <w:szCs w:val="16"/>
                <w:color w:val="auto"/>
              </w:rPr>
              <w:t>Black Hills Utility Holdings, Inc., a direct, wholly-owned subsidiary of Black Hills Corporation (doing business as</w:t>
            </w:r>
          </w:p>
        </w:tc>
      </w:tr>
      <w:tr>
        <w:trPr>
          <w:trHeight w:val="201"/>
        </w:trPr>
        <w:tc>
          <w:tcPr>
            <w:tcW w:w="2700" w:type="dxa"/>
            <w:vAlign w:val="bottom"/>
            <w:shd w:val="clear" w:color="auto" w:fill="CEFFE7"/>
          </w:tcPr>
          <w:p>
            <w:pPr>
              <w:spacing w:after="0"/>
              <w:rPr>
                <w:sz w:val="17"/>
                <w:szCs w:val="17"/>
                <w:color w:val="auto"/>
              </w:rPr>
            </w:pPr>
          </w:p>
        </w:tc>
        <w:tc>
          <w:tcPr>
            <w:tcW w:w="8540" w:type="dxa"/>
            <w:vAlign w:val="bottom"/>
            <w:shd w:val="clear" w:color="auto" w:fill="CEFFE7"/>
          </w:tcPr>
          <w:p>
            <w:pPr>
              <w:ind w:left="160"/>
              <w:spacing w:after="0"/>
              <w:rPr>
                <w:sz w:val="20"/>
                <w:szCs w:val="20"/>
                <w:color w:val="auto"/>
              </w:rPr>
            </w:pPr>
            <w:r>
              <w:rPr>
                <w:rFonts w:ascii="Arial" w:cs="Arial" w:eastAsia="Arial" w:hAnsi="Arial"/>
                <w:sz w:val="16"/>
                <w:szCs w:val="16"/>
                <w:color w:val="auto"/>
              </w:rPr>
              <w:t>Black Hills Energy)</w:t>
            </w:r>
          </w:p>
        </w:tc>
      </w:tr>
      <w:tr>
        <w:trPr>
          <w:trHeight w:val="213"/>
        </w:trPr>
        <w:tc>
          <w:tcPr>
            <w:tcW w:w="2700" w:type="dxa"/>
            <w:vAlign w:val="bottom"/>
          </w:tcPr>
          <w:p>
            <w:pPr>
              <w:ind w:left="20"/>
              <w:spacing w:after="0"/>
              <w:rPr>
                <w:sz w:val="20"/>
                <w:szCs w:val="20"/>
                <w:color w:val="auto"/>
              </w:rPr>
            </w:pPr>
            <w:r>
              <w:rPr>
                <w:rFonts w:ascii="Arial" w:cs="Arial" w:eastAsia="Arial" w:hAnsi="Arial"/>
                <w:sz w:val="16"/>
                <w:szCs w:val="16"/>
                <w:color w:val="auto"/>
              </w:rPr>
              <w:t>Black Hills Wyoming</w:t>
            </w:r>
          </w:p>
        </w:tc>
        <w:tc>
          <w:tcPr>
            <w:tcW w:w="8540" w:type="dxa"/>
            <w:vAlign w:val="bottom"/>
          </w:tcPr>
          <w:p>
            <w:pPr>
              <w:ind w:left="160"/>
              <w:spacing w:after="0"/>
              <w:rPr>
                <w:sz w:val="20"/>
                <w:szCs w:val="20"/>
                <w:color w:val="auto"/>
              </w:rPr>
            </w:pPr>
            <w:r>
              <w:rPr>
                <w:rFonts w:ascii="Arial" w:cs="Arial" w:eastAsia="Arial" w:hAnsi="Arial"/>
                <w:sz w:val="16"/>
                <w:szCs w:val="16"/>
                <w:color w:val="auto"/>
              </w:rPr>
              <w:t>Black Hills Wyoming, LLC, a direct, wholly-owned subsidiary of Black Hills Electric Generation</w:t>
            </w:r>
          </w:p>
        </w:tc>
      </w:tr>
      <w:tr>
        <w:trPr>
          <w:trHeight w:val="180"/>
        </w:trPr>
        <w:tc>
          <w:tcPr>
            <w:tcW w:w="2700" w:type="dxa"/>
            <w:vAlign w:val="bottom"/>
            <w:shd w:val="clear" w:color="auto" w:fill="CEFFE7"/>
          </w:tcPr>
          <w:p>
            <w:pPr>
              <w:ind w:left="20"/>
              <w:spacing w:after="0" w:line="181" w:lineRule="exact"/>
              <w:rPr>
                <w:sz w:val="20"/>
                <w:szCs w:val="20"/>
                <w:color w:val="auto"/>
              </w:rPr>
            </w:pPr>
            <w:r>
              <w:rPr>
                <w:rFonts w:ascii="Arial" w:cs="Arial" w:eastAsia="Arial" w:hAnsi="Arial"/>
                <w:sz w:val="16"/>
                <w:szCs w:val="16"/>
                <w:color w:val="auto"/>
              </w:rPr>
              <w:t>Cheyenne Light</w:t>
            </w:r>
          </w:p>
        </w:tc>
        <w:tc>
          <w:tcPr>
            <w:tcW w:w="8540" w:type="dxa"/>
            <w:vAlign w:val="bottom"/>
            <w:shd w:val="clear" w:color="auto" w:fill="CEFFE7"/>
          </w:tcPr>
          <w:p>
            <w:pPr>
              <w:ind w:left="160"/>
              <w:spacing w:after="0" w:line="181" w:lineRule="exact"/>
              <w:rPr>
                <w:sz w:val="20"/>
                <w:szCs w:val="20"/>
                <w:color w:val="auto"/>
              </w:rPr>
            </w:pPr>
            <w:r>
              <w:rPr>
                <w:rFonts w:ascii="Arial" w:cs="Arial" w:eastAsia="Arial" w:hAnsi="Arial"/>
                <w:sz w:val="16"/>
                <w:szCs w:val="16"/>
                <w:color w:val="auto"/>
              </w:rPr>
              <w:t>Cheyenne Light, Fuel and Power Company, a direct, wholly-owned subsidiary of Black Hills Corporation, providing</w:t>
            </w:r>
          </w:p>
        </w:tc>
      </w:tr>
      <w:tr>
        <w:trPr>
          <w:trHeight w:val="162"/>
        </w:trPr>
        <w:tc>
          <w:tcPr>
            <w:tcW w:w="2700" w:type="dxa"/>
            <w:vAlign w:val="bottom"/>
            <w:shd w:val="clear" w:color="auto" w:fill="CEFFE7"/>
          </w:tcPr>
          <w:p>
            <w:pPr>
              <w:spacing w:after="0"/>
              <w:rPr>
                <w:sz w:val="14"/>
                <w:szCs w:val="14"/>
                <w:color w:val="auto"/>
              </w:rPr>
            </w:pPr>
          </w:p>
        </w:tc>
        <w:tc>
          <w:tcPr>
            <w:tcW w:w="8540" w:type="dxa"/>
            <w:vAlign w:val="bottom"/>
            <w:shd w:val="clear" w:color="auto" w:fill="CEFFE7"/>
          </w:tcPr>
          <w:p>
            <w:pPr>
              <w:ind w:left="160"/>
              <w:spacing w:after="0" w:line="162" w:lineRule="exact"/>
              <w:rPr>
                <w:sz w:val="20"/>
                <w:szCs w:val="20"/>
                <w:color w:val="auto"/>
              </w:rPr>
            </w:pPr>
            <w:r>
              <w:rPr>
                <w:rFonts w:ascii="Arial" w:cs="Arial" w:eastAsia="Arial" w:hAnsi="Arial"/>
                <w:sz w:val="16"/>
                <w:szCs w:val="16"/>
                <w:color w:val="auto"/>
              </w:rPr>
              <w:t>electric service in the Cheyenne, Wyoming area (doing business as Black Hills Energy). Also known as Wyoming</w:t>
            </w:r>
          </w:p>
        </w:tc>
      </w:tr>
      <w:tr>
        <w:trPr>
          <w:trHeight w:val="201"/>
        </w:trPr>
        <w:tc>
          <w:tcPr>
            <w:tcW w:w="2700" w:type="dxa"/>
            <w:vAlign w:val="bottom"/>
            <w:shd w:val="clear" w:color="auto" w:fill="CEFFE7"/>
          </w:tcPr>
          <w:p>
            <w:pPr>
              <w:spacing w:after="0"/>
              <w:rPr>
                <w:sz w:val="17"/>
                <w:szCs w:val="17"/>
                <w:color w:val="auto"/>
              </w:rPr>
            </w:pPr>
          </w:p>
        </w:tc>
        <w:tc>
          <w:tcPr>
            <w:tcW w:w="8540" w:type="dxa"/>
            <w:vAlign w:val="bottom"/>
            <w:shd w:val="clear" w:color="auto" w:fill="CEFFE7"/>
          </w:tcPr>
          <w:p>
            <w:pPr>
              <w:ind w:left="160"/>
              <w:spacing w:after="0"/>
              <w:rPr>
                <w:sz w:val="20"/>
                <w:szCs w:val="20"/>
                <w:color w:val="auto"/>
              </w:rPr>
            </w:pPr>
            <w:r>
              <w:rPr>
                <w:rFonts w:ascii="Arial" w:cs="Arial" w:eastAsia="Arial" w:hAnsi="Arial"/>
                <w:sz w:val="16"/>
                <w:szCs w:val="16"/>
                <w:color w:val="auto"/>
              </w:rPr>
              <w:t>Electric.</w:t>
            </w:r>
          </w:p>
        </w:tc>
      </w:tr>
      <w:tr>
        <w:trPr>
          <w:trHeight w:val="177"/>
        </w:trPr>
        <w:tc>
          <w:tcPr>
            <w:tcW w:w="2700" w:type="dxa"/>
            <w:vAlign w:val="bottom"/>
          </w:tcPr>
          <w:p>
            <w:pPr>
              <w:ind w:left="20"/>
              <w:spacing w:after="0" w:line="178" w:lineRule="exact"/>
              <w:rPr>
                <w:sz w:val="20"/>
                <w:szCs w:val="20"/>
                <w:color w:val="auto"/>
              </w:rPr>
            </w:pPr>
            <w:r>
              <w:rPr>
                <w:rFonts w:ascii="Arial" w:cs="Arial" w:eastAsia="Arial" w:hAnsi="Arial"/>
                <w:sz w:val="16"/>
                <w:szCs w:val="16"/>
                <w:color w:val="auto"/>
              </w:rPr>
              <w:t>Chief Operating Decision Maker</w:t>
            </w:r>
          </w:p>
        </w:tc>
        <w:tc>
          <w:tcPr>
            <w:tcW w:w="8540" w:type="dxa"/>
            <w:vAlign w:val="bottom"/>
          </w:tcPr>
          <w:p>
            <w:pPr>
              <w:ind w:left="160"/>
              <w:spacing w:after="0" w:line="178" w:lineRule="exact"/>
              <w:rPr>
                <w:sz w:val="20"/>
                <w:szCs w:val="20"/>
                <w:color w:val="auto"/>
              </w:rPr>
            </w:pPr>
            <w:r>
              <w:rPr>
                <w:rFonts w:ascii="Arial" w:cs="Arial" w:eastAsia="Arial" w:hAnsi="Arial"/>
                <w:sz w:val="16"/>
                <w:szCs w:val="16"/>
                <w:color w:val="auto"/>
              </w:rPr>
              <w:t>Chief Executive Officer</w:t>
            </w:r>
          </w:p>
        </w:tc>
      </w:tr>
      <w:tr>
        <w:trPr>
          <w:trHeight w:val="198"/>
        </w:trPr>
        <w:tc>
          <w:tcPr>
            <w:tcW w:w="2700" w:type="dxa"/>
            <w:vAlign w:val="bottom"/>
          </w:tcPr>
          <w:p>
            <w:pPr>
              <w:ind w:left="20"/>
              <w:spacing w:after="0"/>
              <w:rPr>
                <w:sz w:val="20"/>
                <w:szCs w:val="20"/>
                <w:color w:val="auto"/>
              </w:rPr>
            </w:pPr>
            <w:r>
              <w:rPr>
                <w:rFonts w:ascii="Arial" w:cs="Arial" w:eastAsia="Arial" w:hAnsi="Arial"/>
                <w:sz w:val="16"/>
                <w:szCs w:val="16"/>
                <w:color w:val="auto"/>
              </w:rPr>
              <w:t>(CODM)</w:t>
            </w:r>
          </w:p>
        </w:tc>
        <w:tc>
          <w:tcPr>
            <w:tcW w:w="8540" w:type="dxa"/>
            <w:vAlign w:val="bottom"/>
          </w:tcPr>
          <w:p>
            <w:pPr>
              <w:spacing w:after="0"/>
              <w:rPr>
                <w:sz w:val="17"/>
                <w:szCs w:val="17"/>
                <w:color w:val="auto"/>
              </w:rPr>
            </w:pPr>
          </w:p>
        </w:tc>
      </w:tr>
      <w:tr>
        <w:trPr>
          <w:trHeight w:val="180"/>
        </w:trPr>
        <w:tc>
          <w:tcPr>
            <w:tcW w:w="2700" w:type="dxa"/>
            <w:vAlign w:val="bottom"/>
            <w:shd w:val="clear" w:color="auto" w:fill="CEFFE7"/>
          </w:tcPr>
          <w:p>
            <w:pPr>
              <w:ind w:left="20"/>
              <w:spacing w:after="0" w:line="181" w:lineRule="exact"/>
              <w:rPr>
                <w:sz w:val="20"/>
                <w:szCs w:val="20"/>
                <w:color w:val="auto"/>
              </w:rPr>
            </w:pPr>
            <w:r>
              <w:rPr>
                <w:rFonts w:ascii="Arial" w:cs="Arial" w:eastAsia="Arial" w:hAnsi="Arial"/>
                <w:sz w:val="16"/>
                <w:szCs w:val="16"/>
                <w:color w:val="auto"/>
              </w:rPr>
              <w:t>Choice Gas Program</w:t>
            </w:r>
          </w:p>
        </w:tc>
        <w:tc>
          <w:tcPr>
            <w:tcW w:w="8540" w:type="dxa"/>
            <w:vAlign w:val="bottom"/>
            <w:shd w:val="clear" w:color="auto" w:fill="CEFFE7"/>
          </w:tcPr>
          <w:p>
            <w:pPr>
              <w:ind w:left="160"/>
              <w:spacing w:after="0" w:line="181" w:lineRule="exact"/>
              <w:rPr>
                <w:sz w:val="20"/>
                <w:szCs w:val="20"/>
                <w:color w:val="auto"/>
              </w:rPr>
            </w:pPr>
            <w:r>
              <w:rPr>
                <w:rFonts w:ascii="Arial" w:cs="Arial" w:eastAsia="Arial" w:hAnsi="Arial"/>
                <w:sz w:val="16"/>
                <w:szCs w:val="16"/>
                <w:color w:val="auto"/>
              </w:rPr>
              <w:t>Regulator-approved programs in Wyoming and Nebraska that allow certain utility customers to select their natural</w:t>
            </w:r>
          </w:p>
        </w:tc>
      </w:tr>
      <w:tr>
        <w:trPr>
          <w:trHeight w:val="201"/>
        </w:trPr>
        <w:tc>
          <w:tcPr>
            <w:tcW w:w="2700" w:type="dxa"/>
            <w:vAlign w:val="bottom"/>
            <w:shd w:val="clear" w:color="auto" w:fill="CEFFE7"/>
          </w:tcPr>
          <w:p>
            <w:pPr>
              <w:spacing w:after="0"/>
              <w:rPr>
                <w:sz w:val="17"/>
                <w:szCs w:val="17"/>
                <w:color w:val="auto"/>
              </w:rPr>
            </w:pPr>
          </w:p>
        </w:tc>
        <w:tc>
          <w:tcPr>
            <w:tcW w:w="8540" w:type="dxa"/>
            <w:vAlign w:val="bottom"/>
            <w:shd w:val="clear" w:color="auto" w:fill="CEFFE7"/>
          </w:tcPr>
          <w:p>
            <w:pPr>
              <w:ind w:left="160"/>
              <w:spacing w:after="0"/>
              <w:rPr>
                <w:sz w:val="20"/>
                <w:szCs w:val="20"/>
                <w:color w:val="auto"/>
              </w:rPr>
            </w:pPr>
            <w:r>
              <w:rPr>
                <w:rFonts w:ascii="Arial" w:cs="Arial" w:eastAsia="Arial" w:hAnsi="Arial"/>
                <w:sz w:val="16"/>
                <w:szCs w:val="16"/>
                <w:color w:val="auto"/>
              </w:rPr>
              <w:t>gas commodity supplier, providing for the unbundling of the commodity service from the distribution delivery service.</w:t>
            </w:r>
          </w:p>
        </w:tc>
      </w:tr>
      <w:tr>
        <w:trPr>
          <w:trHeight w:val="213"/>
        </w:trPr>
        <w:tc>
          <w:tcPr>
            <w:tcW w:w="2700" w:type="dxa"/>
            <w:vAlign w:val="bottom"/>
          </w:tcPr>
          <w:p>
            <w:pPr>
              <w:ind w:left="20"/>
              <w:spacing w:after="0"/>
              <w:rPr>
                <w:sz w:val="20"/>
                <w:szCs w:val="20"/>
                <w:color w:val="auto"/>
              </w:rPr>
            </w:pPr>
            <w:r>
              <w:rPr>
                <w:rFonts w:ascii="Arial" w:cs="Arial" w:eastAsia="Arial" w:hAnsi="Arial"/>
                <w:sz w:val="16"/>
                <w:szCs w:val="16"/>
                <w:color w:val="auto"/>
              </w:rPr>
              <w:t>City of Gillette</w:t>
            </w:r>
          </w:p>
        </w:tc>
        <w:tc>
          <w:tcPr>
            <w:tcW w:w="8540" w:type="dxa"/>
            <w:vAlign w:val="bottom"/>
          </w:tcPr>
          <w:p>
            <w:pPr>
              <w:ind w:left="160"/>
              <w:spacing w:after="0"/>
              <w:rPr>
                <w:sz w:val="20"/>
                <w:szCs w:val="20"/>
                <w:color w:val="auto"/>
              </w:rPr>
            </w:pPr>
            <w:r>
              <w:rPr>
                <w:rFonts w:ascii="Arial" w:cs="Arial" w:eastAsia="Arial" w:hAnsi="Arial"/>
                <w:sz w:val="16"/>
                <w:szCs w:val="16"/>
                <w:color w:val="auto"/>
              </w:rPr>
              <w:t>Gillette, Wyoming</w:t>
            </w:r>
          </w:p>
        </w:tc>
      </w:tr>
      <w:tr>
        <w:trPr>
          <w:trHeight w:val="180"/>
        </w:trPr>
        <w:tc>
          <w:tcPr>
            <w:tcW w:w="2700" w:type="dxa"/>
            <w:vAlign w:val="bottom"/>
            <w:shd w:val="clear" w:color="auto" w:fill="CEFFE7"/>
          </w:tcPr>
          <w:p>
            <w:pPr>
              <w:ind w:left="20"/>
              <w:spacing w:after="0" w:line="181" w:lineRule="exact"/>
              <w:rPr>
                <w:sz w:val="20"/>
                <w:szCs w:val="20"/>
                <w:color w:val="auto"/>
              </w:rPr>
            </w:pPr>
            <w:r>
              <w:rPr>
                <w:rFonts w:ascii="Arial" w:cs="Arial" w:eastAsia="Arial" w:hAnsi="Arial"/>
                <w:sz w:val="16"/>
                <w:szCs w:val="16"/>
                <w:color w:val="auto"/>
              </w:rPr>
              <w:t>Colorado Electric</w:t>
            </w:r>
          </w:p>
        </w:tc>
        <w:tc>
          <w:tcPr>
            <w:tcW w:w="8540" w:type="dxa"/>
            <w:vAlign w:val="bottom"/>
            <w:shd w:val="clear" w:color="auto" w:fill="CEFFE7"/>
          </w:tcPr>
          <w:p>
            <w:pPr>
              <w:ind w:left="160"/>
              <w:spacing w:after="0" w:line="181" w:lineRule="exact"/>
              <w:rPr>
                <w:sz w:val="20"/>
                <w:szCs w:val="20"/>
                <w:color w:val="auto"/>
              </w:rPr>
            </w:pPr>
            <w:r>
              <w:rPr>
                <w:rFonts w:ascii="Arial" w:cs="Arial" w:eastAsia="Arial" w:hAnsi="Arial"/>
                <w:sz w:val="16"/>
                <w:szCs w:val="16"/>
                <w:color w:val="auto"/>
              </w:rPr>
              <w:t>Black Hills Colorado Electric, LLC, a direct, wholly-owned subsidiary of Black Hills Utility Holdings, providing electric</w:t>
            </w:r>
          </w:p>
        </w:tc>
      </w:tr>
      <w:tr>
        <w:trPr>
          <w:trHeight w:val="201"/>
        </w:trPr>
        <w:tc>
          <w:tcPr>
            <w:tcW w:w="2700" w:type="dxa"/>
            <w:vAlign w:val="bottom"/>
            <w:shd w:val="clear" w:color="auto" w:fill="CEFFE7"/>
          </w:tcPr>
          <w:p>
            <w:pPr>
              <w:spacing w:after="0"/>
              <w:rPr>
                <w:sz w:val="17"/>
                <w:szCs w:val="17"/>
                <w:color w:val="auto"/>
              </w:rPr>
            </w:pPr>
          </w:p>
        </w:tc>
        <w:tc>
          <w:tcPr>
            <w:tcW w:w="8540" w:type="dxa"/>
            <w:vAlign w:val="bottom"/>
            <w:shd w:val="clear" w:color="auto" w:fill="CEFFE7"/>
          </w:tcPr>
          <w:p>
            <w:pPr>
              <w:ind w:left="160"/>
              <w:spacing w:after="0"/>
              <w:rPr>
                <w:sz w:val="20"/>
                <w:szCs w:val="20"/>
                <w:color w:val="auto"/>
              </w:rPr>
            </w:pPr>
            <w:r>
              <w:rPr>
                <w:rFonts w:ascii="Arial" w:cs="Arial" w:eastAsia="Arial" w:hAnsi="Arial"/>
                <w:sz w:val="16"/>
                <w:szCs w:val="16"/>
                <w:color w:val="auto"/>
              </w:rPr>
              <w:t>service to customers in Colorado (doing business as Black Hills Energy).</w:t>
            </w:r>
          </w:p>
        </w:tc>
      </w:tr>
      <w:tr>
        <w:trPr>
          <w:trHeight w:val="177"/>
        </w:trPr>
        <w:tc>
          <w:tcPr>
            <w:tcW w:w="2700" w:type="dxa"/>
            <w:vAlign w:val="bottom"/>
          </w:tcPr>
          <w:p>
            <w:pPr>
              <w:ind w:left="20"/>
              <w:spacing w:after="0" w:line="178" w:lineRule="exact"/>
              <w:rPr>
                <w:sz w:val="20"/>
                <w:szCs w:val="20"/>
                <w:color w:val="auto"/>
              </w:rPr>
            </w:pPr>
            <w:r>
              <w:rPr>
                <w:rFonts w:ascii="Arial" w:cs="Arial" w:eastAsia="Arial" w:hAnsi="Arial"/>
                <w:sz w:val="16"/>
                <w:szCs w:val="16"/>
                <w:color w:val="auto"/>
              </w:rPr>
              <w:t>Colorado Gas</w:t>
            </w:r>
          </w:p>
        </w:tc>
        <w:tc>
          <w:tcPr>
            <w:tcW w:w="8540" w:type="dxa"/>
            <w:vAlign w:val="bottom"/>
          </w:tcPr>
          <w:p>
            <w:pPr>
              <w:ind w:left="160"/>
              <w:spacing w:after="0" w:line="178" w:lineRule="exact"/>
              <w:rPr>
                <w:sz w:val="20"/>
                <w:szCs w:val="20"/>
                <w:color w:val="auto"/>
              </w:rPr>
            </w:pPr>
            <w:r>
              <w:rPr>
                <w:rFonts w:ascii="Arial" w:cs="Arial" w:eastAsia="Arial" w:hAnsi="Arial"/>
                <w:sz w:val="16"/>
                <w:szCs w:val="16"/>
                <w:color w:val="auto"/>
              </w:rPr>
              <w:t>Black Hills Colorado Gas, Inc., an indirect, wholly-owned subsidiary of Black Hills Utility Holdings, providing natural</w:t>
            </w:r>
          </w:p>
        </w:tc>
      </w:tr>
      <w:tr>
        <w:trPr>
          <w:trHeight w:val="198"/>
        </w:trPr>
        <w:tc>
          <w:tcPr>
            <w:tcW w:w="2700" w:type="dxa"/>
            <w:vAlign w:val="bottom"/>
          </w:tcPr>
          <w:p>
            <w:pPr>
              <w:spacing w:after="0"/>
              <w:rPr>
                <w:sz w:val="17"/>
                <w:szCs w:val="17"/>
                <w:color w:val="auto"/>
              </w:rPr>
            </w:pPr>
          </w:p>
        </w:tc>
        <w:tc>
          <w:tcPr>
            <w:tcW w:w="8540" w:type="dxa"/>
            <w:vAlign w:val="bottom"/>
          </w:tcPr>
          <w:p>
            <w:pPr>
              <w:ind w:left="160"/>
              <w:spacing w:after="0"/>
              <w:rPr>
                <w:sz w:val="20"/>
                <w:szCs w:val="20"/>
                <w:color w:val="auto"/>
              </w:rPr>
            </w:pPr>
            <w:r>
              <w:rPr>
                <w:rFonts w:ascii="Arial" w:cs="Arial" w:eastAsia="Arial" w:hAnsi="Arial"/>
                <w:sz w:val="16"/>
                <w:szCs w:val="16"/>
                <w:color w:val="auto"/>
              </w:rPr>
              <w:t>gas services to customers in Colorado (doing business as Black Hills Energy).</w:t>
            </w:r>
          </w:p>
        </w:tc>
      </w:tr>
      <w:tr>
        <w:trPr>
          <w:trHeight w:val="180"/>
        </w:trPr>
        <w:tc>
          <w:tcPr>
            <w:tcW w:w="2700" w:type="dxa"/>
            <w:vAlign w:val="bottom"/>
            <w:shd w:val="clear" w:color="auto" w:fill="CEFFE7"/>
          </w:tcPr>
          <w:p>
            <w:pPr>
              <w:ind w:left="20"/>
              <w:spacing w:after="0" w:line="181" w:lineRule="exact"/>
              <w:rPr>
                <w:sz w:val="20"/>
                <w:szCs w:val="20"/>
                <w:color w:val="auto"/>
              </w:rPr>
            </w:pPr>
            <w:r>
              <w:rPr>
                <w:rFonts w:ascii="Arial" w:cs="Arial" w:eastAsia="Arial" w:hAnsi="Arial"/>
                <w:sz w:val="16"/>
                <w:szCs w:val="16"/>
                <w:color w:val="auto"/>
              </w:rPr>
              <w:t>Consolidated Indebtedness to</w:t>
            </w:r>
          </w:p>
        </w:tc>
        <w:tc>
          <w:tcPr>
            <w:tcW w:w="8540" w:type="dxa"/>
            <w:vAlign w:val="bottom"/>
            <w:shd w:val="clear" w:color="auto" w:fill="CEFFE7"/>
          </w:tcPr>
          <w:p>
            <w:pPr>
              <w:ind w:left="160"/>
              <w:spacing w:after="0" w:line="181" w:lineRule="exact"/>
              <w:rPr>
                <w:sz w:val="20"/>
                <w:szCs w:val="20"/>
                <w:color w:val="auto"/>
              </w:rPr>
            </w:pPr>
            <w:r>
              <w:rPr>
                <w:rFonts w:ascii="Arial" w:cs="Arial" w:eastAsia="Arial" w:hAnsi="Arial"/>
                <w:sz w:val="16"/>
                <w:szCs w:val="16"/>
                <w:color w:val="auto"/>
              </w:rPr>
              <w:t>Any indebtedness outstanding at such time, divided by capital at such time. Capital being consolidated net worth</w:t>
            </w:r>
          </w:p>
        </w:tc>
      </w:tr>
      <w:tr>
        <w:trPr>
          <w:trHeight w:val="162"/>
        </w:trPr>
        <w:tc>
          <w:tcPr>
            <w:tcW w:w="2700" w:type="dxa"/>
            <w:vAlign w:val="bottom"/>
            <w:shd w:val="clear" w:color="auto" w:fill="CEFFE7"/>
          </w:tcPr>
          <w:p>
            <w:pPr>
              <w:ind w:left="20"/>
              <w:spacing w:after="0" w:line="162" w:lineRule="exact"/>
              <w:rPr>
                <w:sz w:val="20"/>
                <w:szCs w:val="20"/>
                <w:color w:val="auto"/>
              </w:rPr>
            </w:pPr>
            <w:r>
              <w:rPr>
                <w:rFonts w:ascii="Arial" w:cs="Arial" w:eastAsia="Arial" w:hAnsi="Arial"/>
                <w:sz w:val="16"/>
                <w:szCs w:val="16"/>
                <w:color w:val="auto"/>
              </w:rPr>
              <w:t>Capitalization Ratio</w:t>
            </w:r>
          </w:p>
        </w:tc>
        <w:tc>
          <w:tcPr>
            <w:tcW w:w="8540" w:type="dxa"/>
            <w:vAlign w:val="bottom"/>
            <w:shd w:val="clear" w:color="auto" w:fill="CEFFE7"/>
          </w:tcPr>
          <w:p>
            <w:pPr>
              <w:ind w:left="160"/>
              <w:spacing w:after="0" w:line="162" w:lineRule="exact"/>
              <w:rPr>
                <w:sz w:val="20"/>
                <w:szCs w:val="20"/>
                <w:color w:val="auto"/>
              </w:rPr>
            </w:pPr>
            <w:r>
              <w:rPr>
                <w:rFonts w:ascii="Arial" w:cs="Arial" w:eastAsia="Arial" w:hAnsi="Arial"/>
                <w:sz w:val="16"/>
                <w:szCs w:val="16"/>
                <w:color w:val="auto"/>
              </w:rPr>
              <w:t>(excluding noncontrolling interest) plus consolidated indebtedness (including letters of credit and certain guarantees</w:t>
            </w:r>
          </w:p>
        </w:tc>
      </w:tr>
      <w:tr>
        <w:trPr>
          <w:trHeight w:val="201"/>
        </w:trPr>
        <w:tc>
          <w:tcPr>
            <w:tcW w:w="2700" w:type="dxa"/>
            <w:vAlign w:val="bottom"/>
            <w:shd w:val="clear" w:color="auto" w:fill="CEFFE7"/>
          </w:tcPr>
          <w:p>
            <w:pPr>
              <w:spacing w:after="0"/>
              <w:rPr>
                <w:sz w:val="17"/>
                <w:szCs w:val="17"/>
                <w:color w:val="auto"/>
              </w:rPr>
            </w:pPr>
          </w:p>
        </w:tc>
        <w:tc>
          <w:tcPr>
            <w:tcW w:w="8540" w:type="dxa"/>
            <w:vAlign w:val="bottom"/>
            <w:shd w:val="clear" w:color="auto" w:fill="CEFFE7"/>
          </w:tcPr>
          <w:p>
            <w:pPr>
              <w:ind w:left="160"/>
              <w:spacing w:after="0"/>
              <w:rPr>
                <w:sz w:val="20"/>
                <w:szCs w:val="20"/>
                <w:color w:val="auto"/>
              </w:rPr>
            </w:pPr>
            <w:r>
              <w:rPr>
                <w:rFonts w:ascii="Arial" w:cs="Arial" w:eastAsia="Arial" w:hAnsi="Arial"/>
                <w:sz w:val="16"/>
                <w:szCs w:val="16"/>
                <w:color w:val="auto"/>
              </w:rPr>
              <w:t>issued) as defined within the current Revolving Credit Facility.</w:t>
            </w:r>
          </w:p>
        </w:tc>
      </w:tr>
      <w:tr>
        <w:trPr>
          <w:trHeight w:val="177"/>
        </w:trPr>
        <w:tc>
          <w:tcPr>
            <w:tcW w:w="2700" w:type="dxa"/>
            <w:vAlign w:val="bottom"/>
          </w:tcPr>
          <w:p>
            <w:pPr>
              <w:ind w:left="20"/>
              <w:spacing w:after="0" w:line="178" w:lineRule="exact"/>
              <w:rPr>
                <w:sz w:val="20"/>
                <w:szCs w:val="20"/>
                <w:color w:val="auto"/>
              </w:rPr>
            </w:pPr>
            <w:r>
              <w:rPr>
                <w:rFonts w:ascii="Arial" w:cs="Arial" w:eastAsia="Arial" w:hAnsi="Arial"/>
                <w:sz w:val="16"/>
                <w:szCs w:val="16"/>
                <w:color w:val="auto"/>
              </w:rPr>
              <w:t>Cooling Degree Day (CDD)</w:t>
            </w:r>
          </w:p>
        </w:tc>
        <w:tc>
          <w:tcPr>
            <w:tcW w:w="8540" w:type="dxa"/>
            <w:vAlign w:val="bottom"/>
          </w:tcPr>
          <w:p>
            <w:pPr>
              <w:ind w:left="160"/>
              <w:spacing w:after="0" w:line="178" w:lineRule="exact"/>
              <w:rPr>
                <w:sz w:val="20"/>
                <w:szCs w:val="20"/>
                <w:color w:val="auto"/>
              </w:rPr>
            </w:pPr>
            <w:r>
              <w:rPr>
                <w:rFonts w:ascii="Arial" w:cs="Arial" w:eastAsia="Arial" w:hAnsi="Arial"/>
                <w:sz w:val="16"/>
                <w:szCs w:val="16"/>
                <w:color w:val="auto"/>
              </w:rPr>
              <w:t>A cooling degree day is equivalent to each degree that the average of the high and low temperatures for a day is</w:t>
            </w:r>
          </w:p>
        </w:tc>
      </w:tr>
      <w:tr>
        <w:trPr>
          <w:trHeight w:val="162"/>
        </w:trPr>
        <w:tc>
          <w:tcPr>
            <w:tcW w:w="2700" w:type="dxa"/>
            <w:vAlign w:val="bottom"/>
          </w:tcPr>
          <w:p>
            <w:pPr>
              <w:spacing w:after="0"/>
              <w:rPr>
                <w:sz w:val="14"/>
                <w:szCs w:val="14"/>
                <w:color w:val="auto"/>
              </w:rPr>
            </w:pPr>
          </w:p>
        </w:tc>
        <w:tc>
          <w:tcPr>
            <w:tcW w:w="8540" w:type="dxa"/>
            <w:vAlign w:val="bottom"/>
          </w:tcPr>
          <w:p>
            <w:pPr>
              <w:ind w:left="160"/>
              <w:spacing w:after="0" w:line="162" w:lineRule="exact"/>
              <w:rPr>
                <w:sz w:val="20"/>
                <w:szCs w:val="20"/>
                <w:color w:val="auto"/>
              </w:rPr>
            </w:pPr>
            <w:r>
              <w:rPr>
                <w:rFonts w:ascii="Arial" w:cs="Arial" w:eastAsia="Arial" w:hAnsi="Arial"/>
                <w:sz w:val="16"/>
                <w:szCs w:val="16"/>
                <w:color w:val="auto"/>
              </w:rPr>
              <w:t>above 65 degrees. The warmer the climate, the greater the number of cooling degree days. Cooling degree days are</w:t>
            </w:r>
          </w:p>
        </w:tc>
      </w:tr>
      <w:tr>
        <w:trPr>
          <w:trHeight w:val="162"/>
        </w:trPr>
        <w:tc>
          <w:tcPr>
            <w:tcW w:w="2700" w:type="dxa"/>
            <w:vAlign w:val="bottom"/>
          </w:tcPr>
          <w:p>
            <w:pPr>
              <w:spacing w:after="0"/>
              <w:rPr>
                <w:sz w:val="14"/>
                <w:szCs w:val="14"/>
                <w:color w:val="auto"/>
              </w:rPr>
            </w:pPr>
          </w:p>
        </w:tc>
        <w:tc>
          <w:tcPr>
            <w:tcW w:w="8540" w:type="dxa"/>
            <w:vAlign w:val="bottom"/>
          </w:tcPr>
          <w:p>
            <w:pPr>
              <w:ind w:left="160"/>
              <w:spacing w:after="0" w:line="162" w:lineRule="exact"/>
              <w:rPr>
                <w:sz w:val="20"/>
                <w:szCs w:val="20"/>
                <w:color w:val="auto"/>
              </w:rPr>
            </w:pPr>
            <w:r>
              <w:rPr>
                <w:rFonts w:ascii="Arial" w:cs="Arial" w:eastAsia="Arial" w:hAnsi="Arial"/>
                <w:sz w:val="16"/>
                <w:szCs w:val="16"/>
                <w:color w:val="auto"/>
              </w:rPr>
              <w:t>used in the utility industry to measure the relative warmth and to compare relative temperatures between one</w:t>
            </w:r>
          </w:p>
        </w:tc>
      </w:tr>
      <w:tr>
        <w:trPr>
          <w:trHeight w:val="162"/>
        </w:trPr>
        <w:tc>
          <w:tcPr>
            <w:tcW w:w="2700" w:type="dxa"/>
            <w:vAlign w:val="bottom"/>
          </w:tcPr>
          <w:p>
            <w:pPr>
              <w:spacing w:after="0"/>
              <w:rPr>
                <w:sz w:val="14"/>
                <w:szCs w:val="14"/>
                <w:color w:val="auto"/>
              </w:rPr>
            </w:pPr>
          </w:p>
        </w:tc>
        <w:tc>
          <w:tcPr>
            <w:tcW w:w="8540" w:type="dxa"/>
            <w:vAlign w:val="bottom"/>
          </w:tcPr>
          <w:p>
            <w:pPr>
              <w:ind w:left="160"/>
              <w:spacing w:after="0" w:line="162" w:lineRule="exact"/>
              <w:rPr>
                <w:sz w:val="20"/>
                <w:szCs w:val="20"/>
                <w:color w:val="auto"/>
              </w:rPr>
            </w:pPr>
            <w:r>
              <w:rPr>
                <w:rFonts w:ascii="Arial" w:cs="Arial" w:eastAsia="Arial" w:hAnsi="Arial"/>
                <w:sz w:val="16"/>
                <w:szCs w:val="16"/>
                <w:color w:val="auto"/>
              </w:rPr>
              <w:t>geographic area and another. Normal degree days are based on the National Weather Service data for selected</w:t>
            </w:r>
          </w:p>
        </w:tc>
      </w:tr>
      <w:tr>
        <w:trPr>
          <w:trHeight w:val="198"/>
        </w:trPr>
        <w:tc>
          <w:tcPr>
            <w:tcW w:w="2700" w:type="dxa"/>
            <w:vAlign w:val="bottom"/>
          </w:tcPr>
          <w:p>
            <w:pPr>
              <w:spacing w:after="0"/>
              <w:rPr>
                <w:sz w:val="17"/>
                <w:szCs w:val="17"/>
                <w:color w:val="auto"/>
              </w:rPr>
            </w:pPr>
          </w:p>
        </w:tc>
        <w:tc>
          <w:tcPr>
            <w:tcW w:w="8540" w:type="dxa"/>
            <w:vAlign w:val="bottom"/>
          </w:tcPr>
          <w:p>
            <w:pPr>
              <w:ind w:left="160"/>
              <w:spacing w:after="0"/>
              <w:rPr>
                <w:sz w:val="20"/>
                <w:szCs w:val="20"/>
                <w:color w:val="auto"/>
              </w:rPr>
            </w:pPr>
            <w:r>
              <w:rPr>
                <w:rFonts w:ascii="Arial" w:cs="Arial" w:eastAsia="Arial" w:hAnsi="Arial"/>
                <w:sz w:val="16"/>
                <w:szCs w:val="16"/>
                <w:color w:val="auto"/>
              </w:rPr>
              <w:t>locations.</w:t>
            </w:r>
          </w:p>
        </w:tc>
      </w:tr>
      <w:tr>
        <w:trPr>
          <w:trHeight w:val="180"/>
        </w:trPr>
        <w:tc>
          <w:tcPr>
            <w:tcW w:w="2700" w:type="dxa"/>
            <w:vAlign w:val="bottom"/>
            <w:shd w:val="clear" w:color="auto" w:fill="CEFFE7"/>
          </w:tcPr>
          <w:p>
            <w:pPr>
              <w:ind w:left="20"/>
              <w:spacing w:after="0" w:line="181" w:lineRule="exact"/>
              <w:rPr>
                <w:sz w:val="20"/>
                <w:szCs w:val="20"/>
                <w:color w:val="auto"/>
              </w:rPr>
            </w:pPr>
            <w:r>
              <w:rPr>
                <w:rFonts w:ascii="Arial" w:cs="Arial" w:eastAsia="Arial" w:hAnsi="Arial"/>
                <w:sz w:val="16"/>
                <w:szCs w:val="16"/>
                <w:color w:val="auto"/>
              </w:rPr>
              <w:t>Corriedale</w:t>
            </w:r>
          </w:p>
        </w:tc>
        <w:tc>
          <w:tcPr>
            <w:tcW w:w="8540" w:type="dxa"/>
            <w:vAlign w:val="bottom"/>
            <w:shd w:val="clear" w:color="auto" w:fill="CEFFE7"/>
          </w:tcPr>
          <w:p>
            <w:pPr>
              <w:ind w:left="160"/>
              <w:spacing w:after="0" w:line="181" w:lineRule="exact"/>
              <w:rPr>
                <w:sz w:val="20"/>
                <w:szCs w:val="20"/>
                <w:color w:val="auto"/>
              </w:rPr>
            </w:pPr>
            <w:r>
              <w:rPr>
                <w:rFonts w:ascii="Arial" w:cs="Arial" w:eastAsia="Arial" w:hAnsi="Arial"/>
                <w:sz w:val="16"/>
                <w:szCs w:val="16"/>
                <w:color w:val="auto"/>
              </w:rPr>
              <w:t>The 52.5 MW wind farm near Cheyenne, Wyoming, jointly owned by South Dakota Electric and Wyoming Electric,</w:t>
            </w:r>
          </w:p>
        </w:tc>
      </w:tr>
      <w:tr>
        <w:trPr>
          <w:trHeight w:val="201"/>
        </w:trPr>
        <w:tc>
          <w:tcPr>
            <w:tcW w:w="2700" w:type="dxa"/>
            <w:vAlign w:val="bottom"/>
            <w:shd w:val="clear" w:color="auto" w:fill="CEFFE7"/>
          </w:tcPr>
          <w:p>
            <w:pPr>
              <w:spacing w:after="0"/>
              <w:rPr>
                <w:sz w:val="17"/>
                <w:szCs w:val="17"/>
                <w:color w:val="auto"/>
              </w:rPr>
            </w:pPr>
          </w:p>
        </w:tc>
        <w:tc>
          <w:tcPr>
            <w:tcW w:w="8540" w:type="dxa"/>
            <w:vAlign w:val="bottom"/>
            <w:shd w:val="clear" w:color="auto" w:fill="CEFFE7"/>
          </w:tcPr>
          <w:p>
            <w:pPr>
              <w:ind w:left="160"/>
              <w:spacing w:after="0"/>
              <w:rPr>
                <w:sz w:val="20"/>
                <w:szCs w:val="20"/>
                <w:color w:val="auto"/>
              </w:rPr>
            </w:pPr>
            <w:r>
              <w:rPr>
                <w:rFonts w:ascii="Arial" w:cs="Arial" w:eastAsia="Arial" w:hAnsi="Arial"/>
                <w:sz w:val="16"/>
                <w:szCs w:val="16"/>
                <w:color w:val="auto"/>
              </w:rPr>
              <w:t>serving as the dedicated wind energy supply to the Renewable Ready program.</w:t>
            </w:r>
          </w:p>
        </w:tc>
      </w:tr>
      <w:tr>
        <w:trPr>
          <w:trHeight w:val="177"/>
        </w:trPr>
        <w:tc>
          <w:tcPr>
            <w:tcW w:w="2700" w:type="dxa"/>
            <w:vAlign w:val="bottom"/>
          </w:tcPr>
          <w:p>
            <w:pPr>
              <w:ind w:left="20"/>
              <w:spacing w:after="0" w:line="178" w:lineRule="exact"/>
              <w:rPr>
                <w:sz w:val="20"/>
                <w:szCs w:val="20"/>
                <w:color w:val="auto"/>
              </w:rPr>
            </w:pPr>
            <w:r>
              <w:rPr>
                <w:rFonts w:ascii="Arial" w:cs="Arial" w:eastAsia="Arial" w:hAnsi="Arial"/>
                <w:sz w:val="16"/>
                <w:szCs w:val="16"/>
                <w:color w:val="auto"/>
              </w:rPr>
              <w:t>COVID-19</w:t>
            </w:r>
          </w:p>
        </w:tc>
        <w:tc>
          <w:tcPr>
            <w:tcW w:w="8540" w:type="dxa"/>
            <w:vAlign w:val="bottom"/>
          </w:tcPr>
          <w:p>
            <w:pPr>
              <w:ind w:left="160"/>
              <w:spacing w:after="0" w:line="178" w:lineRule="exact"/>
              <w:rPr>
                <w:sz w:val="20"/>
                <w:szCs w:val="20"/>
                <w:color w:val="auto"/>
              </w:rPr>
            </w:pPr>
            <w:r>
              <w:rPr>
                <w:rFonts w:ascii="Arial" w:cs="Arial" w:eastAsia="Arial" w:hAnsi="Arial"/>
                <w:sz w:val="16"/>
                <w:szCs w:val="16"/>
                <w:color w:val="auto"/>
              </w:rPr>
              <w:t>The official name for the 2019 novel coronavirus disease announced on February 11, 2020 by the World Health</w:t>
            </w:r>
          </w:p>
        </w:tc>
      </w:tr>
      <w:tr>
        <w:trPr>
          <w:trHeight w:val="198"/>
        </w:trPr>
        <w:tc>
          <w:tcPr>
            <w:tcW w:w="2700" w:type="dxa"/>
            <w:vAlign w:val="bottom"/>
          </w:tcPr>
          <w:p>
            <w:pPr>
              <w:spacing w:after="0"/>
              <w:rPr>
                <w:sz w:val="17"/>
                <w:szCs w:val="17"/>
                <w:color w:val="auto"/>
              </w:rPr>
            </w:pPr>
          </w:p>
        </w:tc>
        <w:tc>
          <w:tcPr>
            <w:tcW w:w="8540" w:type="dxa"/>
            <w:vAlign w:val="bottom"/>
          </w:tcPr>
          <w:p>
            <w:pPr>
              <w:ind w:left="160"/>
              <w:spacing w:after="0"/>
              <w:rPr>
                <w:sz w:val="20"/>
                <w:szCs w:val="20"/>
                <w:color w:val="auto"/>
              </w:rPr>
            </w:pPr>
            <w:r>
              <w:rPr>
                <w:rFonts w:ascii="Arial" w:cs="Arial" w:eastAsia="Arial" w:hAnsi="Arial"/>
                <w:sz w:val="16"/>
                <w:szCs w:val="16"/>
                <w:color w:val="auto"/>
              </w:rPr>
              <w:t>Organization, that is causing a global pandemic.</w:t>
            </w:r>
          </w:p>
        </w:tc>
      </w:tr>
      <w:tr>
        <w:trPr>
          <w:trHeight w:val="219"/>
        </w:trPr>
        <w:tc>
          <w:tcPr>
            <w:tcW w:w="2700" w:type="dxa"/>
            <w:vAlign w:val="bottom"/>
            <w:shd w:val="clear" w:color="auto" w:fill="CEFFE7"/>
          </w:tcPr>
          <w:p>
            <w:pPr>
              <w:ind w:left="20"/>
              <w:spacing w:after="0"/>
              <w:rPr>
                <w:sz w:val="20"/>
                <w:szCs w:val="20"/>
                <w:color w:val="auto"/>
              </w:rPr>
            </w:pPr>
            <w:r>
              <w:rPr>
                <w:rFonts w:ascii="Arial" w:cs="Arial" w:eastAsia="Arial" w:hAnsi="Arial"/>
                <w:sz w:val="16"/>
                <w:szCs w:val="16"/>
                <w:color w:val="auto"/>
              </w:rPr>
              <w:t>CP Program</w:t>
            </w:r>
          </w:p>
        </w:tc>
        <w:tc>
          <w:tcPr>
            <w:tcW w:w="8540" w:type="dxa"/>
            <w:vAlign w:val="bottom"/>
            <w:shd w:val="clear" w:color="auto" w:fill="CEFFE7"/>
          </w:tcPr>
          <w:p>
            <w:pPr>
              <w:ind w:left="160"/>
              <w:spacing w:after="0"/>
              <w:rPr>
                <w:sz w:val="20"/>
                <w:szCs w:val="20"/>
                <w:color w:val="auto"/>
              </w:rPr>
            </w:pPr>
            <w:r>
              <w:rPr>
                <w:rFonts w:ascii="Arial" w:cs="Arial" w:eastAsia="Arial" w:hAnsi="Arial"/>
                <w:sz w:val="16"/>
                <w:szCs w:val="16"/>
                <w:color w:val="auto"/>
              </w:rPr>
              <w:t>Commercial Paper Program</w:t>
            </w:r>
          </w:p>
        </w:tc>
      </w:tr>
      <w:tr>
        <w:trPr>
          <w:trHeight w:val="210"/>
        </w:trPr>
        <w:tc>
          <w:tcPr>
            <w:tcW w:w="2700" w:type="dxa"/>
            <w:vAlign w:val="bottom"/>
          </w:tcPr>
          <w:p>
            <w:pPr>
              <w:ind w:left="20"/>
              <w:spacing w:after="0"/>
              <w:rPr>
                <w:sz w:val="20"/>
                <w:szCs w:val="20"/>
                <w:color w:val="auto"/>
              </w:rPr>
            </w:pPr>
            <w:r>
              <w:rPr>
                <w:rFonts w:ascii="Arial" w:cs="Arial" w:eastAsia="Arial" w:hAnsi="Arial"/>
                <w:sz w:val="16"/>
                <w:szCs w:val="16"/>
                <w:color w:val="auto"/>
              </w:rPr>
              <w:t>CPUC</w:t>
            </w:r>
          </w:p>
        </w:tc>
        <w:tc>
          <w:tcPr>
            <w:tcW w:w="8540" w:type="dxa"/>
            <w:vAlign w:val="bottom"/>
          </w:tcPr>
          <w:p>
            <w:pPr>
              <w:ind w:left="160"/>
              <w:spacing w:after="0"/>
              <w:rPr>
                <w:sz w:val="20"/>
                <w:szCs w:val="20"/>
                <w:color w:val="auto"/>
              </w:rPr>
            </w:pPr>
            <w:r>
              <w:rPr>
                <w:rFonts w:ascii="Arial" w:cs="Arial" w:eastAsia="Arial" w:hAnsi="Arial"/>
                <w:sz w:val="16"/>
                <w:szCs w:val="16"/>
                <w:color w:val="auto"/>
              </w:rPr>
              <w:t>Colorado Public Utilities Commission</w:t>
            </w:r>
          </w:p>
        </w:tc>
      </w:tr>
      <w:tr>
        <w:trPr>
          <w:trHeight w:val="500"/>
        </w:trPr>
        <w:tc>
          <w:tcPr>
            <w:tcW w:w="2700" w:type="dxa"/>
            <w:vAlign w:val="bottom"/>
          </w:tcPr>
          <w:p>
            <w:pPr>
              <w:spacing w:after="0"/>
              <w:rPr>
                <w:sz w:val="24"/>
                <w:szCs w:val="24"/>
                <w:color w:val="auto"/>
              </w:rPr>
            </w:pPr>
          </w:p>
        </w:tc>
        <w:tc>
          <w:tcPr>
            <w:tcW w:w="8540" w:type="dxa"/>
            <w:vAlign w:val="bottom"/>
          </w:tcPr>
          <w:p>
            <w:pPr>
              <w:ind w:left="2880"/>
              <w:spacing w:after="0"/>
              <w:rPr>
                <w:sz w:val="20"/>
                <w:szCs w:val="20"/>
                <w:color w:val="auto"/>
              </w:rPr>
            </w:pPr>
            <w:r>
              <w:rPr>
                <w:rFonts w:ascii="Arial" w:cs="Arial" w:eastAsia="Arial" w:hAnsi="Arial"/>
                <w:sz w:val="16"/>
                <w:szCs w:val="16"/>
                <w:color w:val="auto"/>
              </w:rPr>
              <w:t>4</w:t>
            </w:r>
          </w:p>
        </w:tc>
      </w:tr>
      <w:tr>
        <w:trPr>
          <w:trHeight w:val="350"/>
        </w:trPr>
        <w:tc>
          <w:tcPr>
            <w:tcW w:w="2700" w:type="dxa"/>
            <w:vAlign w:val="bottom"/>
            <w:tcBorders>
              <w:bottom w:val="single" w:sz="8" w:color="9A9A9A"/>
            </w:tcBorders>
          </w:tcPr>
          <w:p>
            <w:pPr>
              <w:spacing w:after="0"/>
              <w:rPr>
                <w:sz w:val="24"/>
                <w:szCs w:val="24"/>
                <w:color w:val="auto"/>
              </w:rPr>
            </w:pPr>
          </w:p>
        </w:tc>
        <w:tc>
          <w:tcPr>
            <w:tcW w:w="85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84"/>
        </w:trPr>
        <w:tc>
          <w:tcPr>
            <w:tcW w:w="2460" w:type="dxa"/>
            <w:vAlign w:val="bottom"/>
            <w:gridSpan w:val="2"/>
          </w:tcPr>
          <w:p>
            <w:pPr>
              <w:spacing w:after="0"/>
              <w:rPr>
                <w:rFonts w:ascii="Arial" w:cs="Arial" w:eastAsia="Arial" w:hAnsi="Arial"/>
                <w:sz w:val="16"/>
                <w:szCs w:val="16"/>
                <w:b w:val="1"/>
                <w:bCs w:val="1"/>
                <w:color w:val="0000FF"/>
              </w:rPr>
            </w:pPr>
            <w:hyperlink w:anchor="page1">
              <w:r>
                <w:rPr>
                  <w:rFonts w:ascii="Arial" w:cs="Arial" w:eastAsia="Arial" w:hAnsi="Arial"/>
                  <w:sz w:val="16"/>
                  <w:szCs w:val="16"/>
                  <w:b w:val="1"/>
                  <w:bCs w:val="1"/>
                  <w:color w:val="0000FF"/>
                </w:rPr>
                <w:t>Table of Contents</w:t>
              </w:r>
            </w:hyperlink>
          </w:p>
        </w:tc>
        <w:tc>
          <w:tcPr>
            <w:tcW w:w="8780" w:type="dxa"/>
            <w:vAlign w:val="bottom"/>
          </w:tcPr>
          <w:p>
            <w:pPr>
              <w:spacing w:after="0"/>
              <w:rPr>
                <w:sz w:val="16"/>
                <w:szCs w:val="16"/>
                <w:color w:val="auto"/>
              </w:rPr>
            </w:pPr>
          </w:p>
        </w:tc>
      </w:tr>
      <w:tr>
        <w:trPr>
          <w:trHeight w:val="588"/>
        </w:trPr>
        <w:tc>
          <w:tcPr>
            <w:tcW w:w="1360" w:type="dxa"/>
            <w:vAlign w:val="bottom"/>
            <w:tcBorders>
              <w:top w:val="single" w:sz="8" w:color="0000FF"/>
            </w:tcBorders>
          </w:tcPr>
          <w:p>
            <w:pPr>
              <w:spacing w:after="0"/>
              <w:rPr>
                <w:sz w:val="24"/>
                <w:szCs w:val="24"/>
                <w:color w:val="auto"/>
              </w:rPr>
            </w:pPr>
          </w:p>
        </w:tc>
        <w:tc>
          <w:tcPr>
            <w:tcW w:w="1100" w:type="dxa"/>
            <w:vAlign w:val="bottom"/>
          </w:tcPr>
          <w:p>
            <w:pPr>
              <w:spacing w:after="0"/>
              <w:rPr>
                <w:sz w:val="24"/>
                <w:szCs w:val="24"/>
                <w:color w:val="auto"/>
              </w:rPr>
            </w:pPr>
          </w:p>
        </w:tc>
        <w:tc>
          <w:tcPr>
            <w:tcW w:w="8780" w:type="dxa"/>
            <w:vAlign w:val="bottom"/>
          </w:tcPr>
          <w:p>
            <w:pPr>
              <w:spacing w:after="0"/>
              <w:rPr>
                <w:sz w:val="24"/>
                <w:szCs w:val="24"/>
                <w:color w:val="auto"/>
              </w:rPr>
            </w:pPr>
          </w:p>
        </w:tc>
      </w:tr>
      <w:tr>
        <w:trPr>
          <w:trHeight w:val="216"/>
        </w:trPr>
        <w:tc>
          <w:tcPr>
            <w:tcW w:w="2460" w:type="dxa"/>
            <w:vAlign w:val="bottom"/>
            <w:gridSpan w:val="2"/>
            <w:shd w:val="clear" w:color="auto" w:fill="CEFFE7"/>
          </w:tcPr>
          <w:p>
            <w:pPr>
              <w:ind w:left="20"/>
              <w:spacing w:after="0"/>
              <w:rPr>
                <w:sz w:val="20"/>
                <w:szCs w:val="20"/>
                <w:color w:val="auto"/>
              </w:rPr>
            </w:pPr>
            <w:r>
              <w:rPr>
                <w:rFonts w:ascii="Arial" w:cs="Arial" w:eastAsia="Arial" w:hAnsi="Arial"/>
                <w:sz w:val="16"/>
                <w:szCs w:val="16"/>
                <w:color w:val="auto"/>
              </w:rPr>
              <w:t>CVA</w:t>
            </w:r>
          </w:p>
        </w:tc>
        <w:tc>
          <w:tcPr>
            <w:tcW w:w="8780" w:type="dxa"/>
            <w:vAlign w:val="bottom"/>
            <w:shd w:val="clear" w:color="auto" w:fill="CEFFE7"/>
          </w:tcPr>
          <w:p>
            <w:pPr>
              <w:ind w:left="400"/>
              <w:spacing w:after="0"/>
              <w:rPr>
                <w:sz w:val="20"/>
                <w:szCs w:val="20"/>
                <w:color w:val="auto"/>
              </w:rPr>
            </w:pPr>
            <w:r>
              <w:rPr>
                <w:rFonts w:ascii="Arial" w:cs="Arial" w:eastAsia="Arial" w:hAnsi="Arial"/>
                <w:sz w:val="16"/>
                <w:szCs w:val="16"/>
                <w:color w:val="auto"/>
              </w:rPr>
              <w:t>Credit Valuation Adjustment</w:t>
            </w:r>
          </w:p>
        </w:tc>
      </w:tr>
      <w:tr>
        <w:trPr>
          <w:trHeight w:val="213"/>
        </w:trPr>
        <w:tc>
          <w:tcPr>
            <w:tcW w:w="2460" w:type="dxa"/>
            <w:vAlign w:val="bottom"/>
            <w:gridSpan w:val="2"/>
          </w:tcPr>
          <w:p>
            <w:pPr>
              <w:ind w:left="20"/>
              <w:spacing w:after="0"/>
              <w:rPr>
                <w:sz w:val="20"/>
                <w:szCs w:val="20"/>
                <w:color w:val="auto"/>
              </w:rPr>
            </w:pPr>
            <w:r>
              <w:rPr>
                <w:rFonts w:ascii="Arial" w:cs="Arial" w:eastAsia="Arial" w:hAnsi="Arial"/>
                <w:sz w:val="16"/>
                <w:szCs w:val="16"/>
                <w:color w:val="auto"/>
              </w:rPr>
              <w:t>Dth</w:t>
            </w:r>
          </w:p>
        </w:tc>
        <w:tc>
          <w:tcPr>
            <w:tcW w:w="8780" w:type="dxa"/>
            <w:vAlign w:val="bottom"/>
          </w:tcPr>
          <w:p>
            <w:pPr>
              <w:ind w:left="400"/>
              <w:spacing w:after="0"/>
              <w:rPr>
                <w:sz w:val="20"/>
                <w:szCs w:val="20"/>
                <w:color w:val="auto"/>
              </w:rPr>
            </w:pPr>
            <w:r>
              <w:rPr>
                <w:rFonts w:ascii="Arial" w:cs="Arial" w:eastAsia="Arial" w:hAnsi="Arial"/>
                <w:sz w:val="16"/>
                <w:szCs w:val="16"/>
                <w:color w:val="auto"/>
              </w:rPr>
              <w:t>Dekatherm. A unit of energy equal to 10 therms or approximately one million British thermal units (MMBtu)</w:t>
            </w:r>
          </w:p>
        </w:tc>
      </w:tr>
      <w:tr>
        <w:trPr>
          <w:trHeight w:val="219"/>
        </w:trPr>
        <w:tc>
          <w:tcPr>
            <w:tcW w:w="2460" w:type="dxa"/>
            <w:vAlign w:val="bottom"/>
            <w:gridSpan w:val="2"/>
            <w:shd w:val="clear" w:color="auto" w:fill="CEFFE7"/>
          </w:tcPr>
          <w:p>
            <w:pPr>
              <w:ind w:left="20"/>
              <w:spacing w:after="0"/>
              <w:rPr>
                <w:sz w:val="20"/>
                <w:szCs w:val="20"/>
                <w:color w:val="auto"/>
              </w:rPr>
            </w:pPr>
            <w:r>
              <w:rPr>
                <w:rFonts w:ascii="Arial" w:cs="Arial" w:eastAsia="Arial" w:hAnsi="Arial"/>
                <w:sz w:val="16"/>
                <w:szCs w:val="16"/>
                <w:color w:val="auto"/>
              </w:rPr>
              <w:t>FASB</w:t>
            </w:r>
          </w:p>
        </w:tc>
        <w:tc>
          <w:tcPr>
            <w:tcW w:w="8780" w:type="dxa"/>
            <w:vAlign w:val="bottom"/>
            <w:shd w:val="clear" w:color="auto" w:fill="CEFFE7"/>
          </w:tcPr>
          <w:p>
            <w:pPr>
              <w:ind w:left="400"/>
              <w:spacing w:after="0"/>
              <w:rPr>
                <w:sz w:val="20"/>
                <w:szCs w:val="20"/>
                <w:color w:val="auto"/>
              </w:rPr>
            </w:pPr>
            <w:r>
              <w:rPr>
                <w:rFonts w:ascii="Arial" w:cs="Arial" w:eastAsia="Arial" w:hAnsi="Arial"/>
                <w:sz w:val="16"/>
                <w:szCs w:val="16"/>
                <w:color w:val="auto"/>
              </w:rPr>
              <w:t>Financial Accounting Standards Board</w:t>
            </w:r>
          </w:p>
        </w:tc>
      </w:tr>
      <w:tr>
        <w:trPr>
          <w:trHeight w:val="213"/>
        </w:trPr>
        <w:tc>
          <w:tcPr>
            <w:tcW w:w="2460" w:type="dxa"/>
            <w:vAlign w:val="bottom"/>
            <w:gridSpan w:val="2"/>
          </w:tcPr>
          <w:p>
            <w:pPr>
              <w:ind w:left="20"/>
              <w:spacing w:after="0"/>
              <w:rPr>
                <w:sz w:val="20"/>
                <w:szCs w:val="20"/>
                <w:color w:val="auto"/>
              </w:rPr>
            </w:pPr>
            <w:r>
              <w:rPr>
                <w:rFonts w:ascii="Arial" w:cs="Arial" w:eastAsia="Arial" w:hAnsi="Arial"/>
                <w:sz w:val="16"/>
                <w:szCs w:val="16"/>
                <w:color w:val="auto"/>
              </w:rPr>
              <w:t>FERC</w:t>
            </w:r>
          </w:p>
        </w:tc>
        <w:tc>
          <w:tcPr>
            <w:tcW w:w="8780" w:type="dxa"/>
            <w:vAlign w:val="bottom"/>
          </w:tcPr>
          <w:p>
            <w:pPr>
              <w:ind w:left="400"/>
              <w:spacing w:after="0"/>
              <w:rPr>
                <w:sz w:val="20"/>
                <w:szCs w:val="20"/>
                <w:color w:val="auto"/>
              </w:rPr>
            </w:pPr>
            <w:r>
              <w:rPr>
                <w:rFonts w:ascii="Arial" w:cs="Arial" w:eastAsia="Arial" w:hAnsi="Arial"/>
                <w:sz w:val="16"/>
                <w:szCs w:val="16"/>
                <w:color w:val="auto"/>
              </w:rPr>
              <w:t>United States Federal Energy Regulatory Commission</w:t>
            </w:r>
          </w:p>
        </w:tc>
      </w:tr>
      <w:tr>
        <w:trPr>
          <w:trHeight w:val="219"/>
        </w:trPr>
        <w:tc>
          <w:tcPr>
            <w:tcW w:w="2460" w:type="dxa"/>
            <w:vAlign w:val="bottom"/>
            <w:gridSpan w:val="2"/>
            <w:shd w:val="clear" w:color="auto" w:fill="CEFFE7"/>
          </w:tcPr>
          <w:p>
            <w:pPr>
              <w:ind w:left="20"/>
              <w:spacing w:after="0"/>
              <w:rPr>
                <w:sz w:val="20"/>
                <w:szCs w:val="20"/>
                <w:color w:val="auto"/>
              </w:rPr>
            </w:pPr>
            <w:r>
              <w:rPr>
                <w:rFonts w:ascii="Arial" w:cs="Arial" w:eastAsia="Arial" w:hAnsi="Arial"/>
                <w:sz w:val="16"/>
                <w:szCs w:val="16"/>
                <w:color w:val="auto"/>
              </w:rPr>
              <w:t>Fitch</w:t>
            </w:r>
          </w:p>
        </w:tc>
        <w:tc>
          <w:tcPr>
            <w:tcW w:w="8780" w:type="dxa"/>
            <w:vAlign w:val="bottom"/>
            <w:shd w:val="clear" w:color="auto" w:fill="CEFFE7"/>
          </w:tcPr>
          <w:p>
            <w:pPr>
              <w:ind w:left="400"/>
              <w:spacing w:after="0"/>
              <w:rPr>
                <w:sz w:val="20"/>
                <w:szCs w:val="20"/>
                <w:color w:val="auto"/>
              </w:rPr>
            </w:pPr>
            <w:r>
              <w:rPr>
                <w:rFonts w:ascii="Arial" w:cs="Arial" w:eastAsia="Arial" w:hAnsi="Arial"/>
                <w:sz w:val="16"/>
                <w:szCs w:val="16"/>
                <w:color w:val="auto"/>
              </w:rPr>
              <w:t>Fitch Ratings Inc.</w:t>
            </w:r>
          </w:p>
        </w:tc>
      </w:tr>
      <w:tr>
        <w:trPr>
          <w:trHeight w:val="213"/>
        </w:trPr>
        <w:tc>
          <w:tcPr>
            <w:tcW w:w="2460" w:type="dxa"/>
            <w:vAlign w:val="bottom"/>
            <w:gridSpan w:val="2"/>
          </w:tcPr>
          <w:p>
            <w:pPr>
              <w:ind w:left="20"/>
              <w:spacing w:after="0"/>
              <w:rPr>
                <w:sz w:val="20"/>
                <w:szCs w:val="20"/>
                <w:color w:val="auto"/>
              </w:rPr>
            </w:pPr>
            <w:r>
              <w:rPr>
                <w:rFonts w:ascii="Arial" w:cs="Arial" w:eastAsia="Arial" w:hAnsi="Arial"/>
                <w:sz w:val="16"/>
                <w:szCs w:val="16"/>
                <w:color w:val="auto"/>
              </w:rPr>
              <w:t>GAAP</w:t>
            </w:r>
          </w:p>
        </w:tc>
        <w:tc>
          <w:tcPr>
            <w:tcW w:w="8780" w:type="dxa"/>
            <w:vAlign w:val="bottom"/>
          </w:tcPr>
          <w:p>
            <w:pPr>
              <w:ind w:left="400"/>
              <w:spacing w:after="0"/>
              <w:rPr>
                <w:sz w:val="20"/>
                <w:szCs w:val="20"/>
                <w:color w:val="auto"/>
              </w:rPr>
            </w:pPr>
            <w:r>
              <w:rPr>
                <w:rFonts w:ascii="Arial" w:cs="Arial" w:eastAsia="Arial" w:hAnsi="Arial"/>
                <w:sz w:val="16"/>
                <w:szCs w:val="16"/>
                <w:color w:val="auto"/>
              </w:rPr>
              <w:t>Accounting principles generally accepted in the United States of America</w:t>
            </w:r>
          </w:p>
        </w:tc>
      </w:tr>
      <w:tr>
        <w:trPr>
          <w:trHeight w:val="180"/>
        </w:trPr>
        <w:tc>
          <w:tcPr>
            <w:tcW w:w="2460" w:type="dxa"/>
            <w:vAlign w:val="bottom"/>
            <w:gridSpan w:val="2"/>
            <w:shd w:val="clear" w:color="auto" w:fill="CEFFE7"/>
          </w:tcPr>
          <w:p>
            <w:pPr>
              <w:ind w:left="20"/>
              <w:spacing w:after="0" w:line="181" w:lineRule="exact"/>
              <w:rPr>
                <w:sz w:val="20"/>
                <w:szCs w:val="20"/>
                <w:color w:val="auto"/>
              </w:rPr>
            </w:pPr>
            <w:r>
              <w:rPr>
                <w:rFonts w:ascii="Arial" w:cs="Arial" w:eastAsia="Arial" w:hAnsi="Arial"/>
                <w:sz w:val="16"/>
                <w:szCs w:val="16"/>
                <w:color w:val="auto"/>
              </w:rPr>
              <w:t>Heating Degree Day (HDD)</w:t>
            </w:r>
          </w:p>
        </w:tc>
        <w:tc>
          <w:tcPr>
            <w:tcW w:w="8780" w:type="dxa"/>
            <w:vAlign w:val="bottom"/>
            <w:shd w:val="clear" w:color="auto" w:fill="CEFFE7"/>
          </w:tcPr>
          <w:p>
            <w:pPr>
              <w:ind w:left="400"/>
              <w:spacing w:after="0" w:line="181" w:lineRule="exact"/>
              <w:rPr>
                <w:sz w:val="20"/>
                <w:szCs w:val="20"/>
                <w:color w:val="auto"/>
              </w:rPr>
            </w:pPr>
            <w:r>
              <w:rPr>
                <w:rFonts w:ascii="Arial" w:cs="Arial" w:eastAsia="Arial" w:hAnsi="Arial"/>
                <w:sz w:val="16"/>
                <w:szCs w:val="16"/>
                <w:color w:val="auto"/>
              </w:rPr>
              <w:t>A heating degree day is equivalent to each degree that the average of the high and the low temperatures for a day is</w:t>
            </w:r>
          </w:p>
        </w:tc>
      </w:tr>
      <w:tr>
        <w:trPr>
          <w:trHeight w:val="162"/>
        </w:trPr>
        <w:tc>
          <w:tcPr>
            <w:tcW w:w="1360" w:type="dxa"/>
            <w:vAlign w:val="bottom"/>
            <w:shd w:val="clear" w:color="auto" w:fill="CEFFE7"/>
          </w:tcPr>
          <w:p>
            <w:pPr>
              <w:spacing w:after="0"/>
              <w:rPr>
                <w:sz w:val="14"/>
                <w:szCs w:val="14"/>
                <w:color w:val="auto"/>
              </w:rPr>
            </w:pPr>
          </w:p>
        </w:tc>
        <w:tc>
          <w:tcPr>
            <w:tcW w:w="1100" w:type="dxa"/>
            <w:vAlign w:val="bottom"/>
            <w:shd w:val="clear" w:color="auto" w:fill="CEFFE7"/>
          </w:tcPr>
          <w:p>
            <w:pPr>
              <w:spacing w:after="0"/>
              <w:rPr>
                <w:sz w:val="14"/>
                <w:szCs w:val="14"/>
                <w:color w:val="auto"/>
              </w:rPr>
            </w:pPr>
          </w:p>
        </w:tc>
        <w:tc>
          <w:tcPr>
            <w:tcW w:w="8780" w:type="dxa"/>
            <w:vAlign w:val="bottom"/>
            <w:shd w:val="clear" w:color="auto" w:fill="CEFFE7"/>
          </w:tcPr>
          <w:p>
            <w:pPr>
              <w:ind w:left="400"/>
              <w:spacing w:after="0" w:line="162" w:lineRule="exact"/>
              <w:rPr>
                <w:sz w:val="20"/>
                <w:szCs w:val="20"/>
                <w:color w:val="auto"/>
              </w:rPr>
            </w:pPr>
            <w:r>
              <w:rPr>
                <w:rFonts w:ascii="Arial" w:cs="Arial" w:eastAsia="Arial" w:hAnsi="Arial"/>
                <w:sz w:val="16"/>
                <w:szCs w:val="16"/>
                <w:color w:val="auto"/>
              </w:rPr>
              <w:t>below 65 degrees. The colder the climate, the greater the number of heating degree days. Heating degree days are</w:t>
            </w:r>
          </w:p>
        </w:tc>
      </w:tr>
      <w:tr>
        <w:trPr>
          <w:trHeight w:val="162"/>
        </w:trPr>
        <w:tc>
          <w:tcPr>
            <w:tcW w:w="1360" w:type="dxa"/>
            <w:vAlign w:val="bottom"/>
            <w:shd w:val="clear" w:color="auto" w:fill="CEFFE7"/>
          </w:tcPr>
          <w:p>
            <w:pPr>
              <w:spacing w:after="0"/>
              <w:rPr>
                <w:sz w:val="14"/>
                <w:szCs w:val="14"/>
                <w:color w:val="auto"/>
              </w:rPr>
            </w:pPr>
          </w:p>
        </w:tc>
        <w:tc>
          <w:tcPr>
            <w:tcW w:w="1100" w:type="dxa"/>
            <w:vAlign w:val="bottom"/>
            <w:shd w:val="clear" w:color="auto" w:fill="CEFFE7"/>
          </w:tcPr>
          <w:p>
            <w:pPr>
              <w:spacing w:after="0"/>
              <w:rPr>
                <w:sz w:val="14"/>
                <w:szCs w:val="14"/>
                <w:color w:val="auto"/>
              </w:rPr>
            </w:pPr>
          </w:p>
        </w:tc>
        <w:tc>
          <w:tcPr>
            <w:tcW w:w="8780" w:type="dxa"/>
            <w:vAlign w:val="bottom"/>
            <w:shd w:val="clear" w:color="auto" w:fill="CEFFE7"/>
          </w:tcPr>
          <w:p>
            <w:pPr>
              <w:ind w:left="400"/>
              <w:spacing w:after="0" w:line="162" w:lineRule="exact"/>
              <w:rPr>
                <w:sz w:val="20"/>
                <w:szCs w:val="20"/>
                <w:color w:val="auto"/>
              </w:rPr>
            </w:pPr>
            <w:r>
              <w:rPr>
                <w:rFonts w:ascii="Arial" w:cs="Arial" w:eastAsia="Arial" w:hAnsi="Arial"/>
                <w:sz w:val="16"/>
                <w:szCs w:val="16"/>
                <w:color w:val="auto"/>
              </w:rPr>
              <w:t>used in the utility industry to measure the relative coldness and to compare relative temperatures between one</w:t>
            </w:r>
          </w:p>
        </w:tc>
      </w:tr>
      <w:tr>
        <w:trPr>
          <w:trHeight w:val="162"/>
        </w:trPr>
        <w:tc>
          <w:tcPr>
            <w:tcW w:w="1360" w:type="dxa"/>
            <w:vAlign w:val="bottom"/>
            <w:shd w:val="clear" w:color="auto" w:fill="CEFFE7"/>
          </w:tcPr>
          <w:p>
            <w:pPr>
              <w:spacing w:after="0"/>
              <w:rPr>
                <w:sz w:val="14"/>
                <w:szCs w:val="14"/>
                <w:color w:val="auto"/>
              </w:rPr>
            </w:pPr>
          </w:p>
        </w:tc>
        <w:tc>
          <w:tcPr>
            <w:tcW w:w="1100" w:type="dxa"/>
            <w:vAlign w:val="bottom"/>
            <w:shd w:val="clear" w:color="auto" w:fill="CEFFE7"/>
          </w:tcPr>
          <w:p>
            <w:pPr>
              <w:spacing w:after="0"/>
              <w:rPr>
                <w:sz w:val="14"/>
                <w:szCs w:val="14"/>
                <w:color w:val="auto"/>
              </w:rPr>
            </w:pPr>
          </w:p>
        </w:tc>
        <w:tc>
          <w:tcPr>
            <w:tcW w:w="8780" w:type="dxa"/>
            <w:vAlign w:val="bottom"/>
            <w:shd w:val="clear" w:color="auto" w:fill="CEFFE7"/>
          </w:tcPr>
          <w:p>
            <w:pPr>
              <w:ind w:left="400"/>
              <w:spacing w:after="0" w:line="162" w:lineRule="exact"/>
              <w:rPr>
                <w:sz w:val="20"/>
                <w:szCs w:val="20"/>
                <w:color w:val="auto"/>
              </w:rPr>
            </w:pPr>
            <w:r>
              <w:rPr>
                <w:rFonts w:ascii="Arial" w:cs="Arial" w:eastAsia="Arial" w:hAnsi="Arial"/>
                <w:sz w:val="16"/>
                <w:szCs w:val="16"/>
                <w:color w:val="auto"/>
              </w:rPr>
              <w:t>geographic area and another. Normal degree days are based on the National Weather Service data for selected</w:t>
            </w:r>
          </w:p>
        </w:tc>
      </w:tr>
      <w:tr>
        <w:trPr>
          <w:trHeight w:val="201"/>
        </w:trPr>
        <w:tc>
          <w:tcPr>
            <w:tcW w:w="1360" w:type="dxa"/>
            <w:vAlign w:val="bottom"/>
            <w:shd w:val="clear" w:color="auto" w:fill="CEFFE7"/>
          </w:tcPr>
          <w:p>
            <w:pPr>
              <w:spacing w:after="0"/>
              <w:rPr>
                <w:sz w:val="17"/>
                <w:szCs w:val="17"/>
                <w:color w:val="auto"/>
              </w:rPr>
            </w:pPr>
          </w:p>
        </w:tc>
        <w:tc>
          <w:tcPr>
            <w:tcW w:w="1100" w:type="dxa"/>
            <w:vAlign w:val="bottom"/>
            <w:shd w:val="clear" w:color="auto" w:fill="CEFFE7"/>
          </w:tcPr>
          <w:p>
            <w:pPr>
              <w:spacing w:after="0"/>
              <w:rPr>
                <w:sz w:val="17"/>
                <w:szCs w:val="17"/>
                <w:color w:val="auto"/>
              </w:rPr>
            </w:pPr>
          </w:p>
        </w:tc>
        <w:tc>
          <w:tcPr>
            <w:tcW w:w="8780" w:type="dxa"/>
            <w:vAlign w:val="bottom"/>
            <w:shd w:val="clear" w:color="auto" w:fill="CEFFE7"/>
          </w:tcPr>
          <w:p>
            <w:pPr>
              <w:ind w:left="400"/>
              <w:spacing w:after="0"/>
              <w:rPr>
                <w:sz w:val="20"/>
                <w:szCs w:val="20"/>
                <w:color w:val="auto"/>
              </w:rPr>
            </w:pPr>
            <w:r>
              <w:rPr>
                <w:rFonts w:ascii="Arial" w:cs="Arial" w:eastAsia="Arial" w:hAnsi="Arial"/>
                <w:sz w:val="16"/>
                <w:szCs w:val="16"/>
                <w:color w:val="auto"/>
              </w:rPr>
              <w:t>locations.</w:t>
            </w:r>
          </w:p>
        </w:tc>
      </w:tr>
      <w:tr>
        <w:trPr>
          <w:trHeight w:val="177"/>
        </w:trPr>
        <w:tc>
          <w:tcPr>
            <w:tcW w:w="2460" w:type="dxa"/>
            <w:vAlign w:val="bottom"/>
            <w:gridSpan w:val="2"/>
          </w:tcPr>
          <w:p>
            <w:pPr>
              <w:ind w:left="20"/>
              <w:spacing w:after="0" w:line="178" w:lineRule="exact"/>
              <w:rPr>
                <w:sz w:val="20"/>
                <w:szCs w:val="20"/>
                <w:color w:val="auto"/>
              </w:rPr>
            </w:pPr>
            <w:r>
              <w:rPr>
                <w:rFonts w:ascii="Arial" w:cs="Arial" w:eastAsia="Arial" w:hAnsi="Arial"/>
                <w:sz w:val="16"/>
                <w:szCs w:val="16"/>
                <w:color w:val="auto"/>
              </w:rPr>
              <w:t>Iowa Gas</w:t>
            </w:r>
          </w:p>
        </w:tc>
        <w:tc>
          <w:tcPr>
            <w:tcW w:w="8780" w:type="dxa"/>
            <w:vAlign w:val="bottom"/>
          </w:tcPr>
          <w:p>
            <w:pPr>
              <w:ind w:left="400"/>
              <w:spacing w:after="0" w:line="178" w:lineRule="exact"/>
              <w:rPr>
                <w:sz w:val="20"/>
                <w:szCs w:val="20"/>
                <w:color w:val="auto"/>
              </w:rPr>
            </w:pPr>
            <w:r>
              <w:rPr>
                <w:rFonts w:ascii="Arial" w:cs="Arial" w:eastAsia="Arial" w:hAnsi="Arial"/>
                <w:sz w:val="16"/>
                <w:szCs w:val="16"/>
                <w:color w:val="auto"/>
              </w:rPr>
              <w:t>Black Hills Iowa Gas Utility Company, LLC, a direct, wholly-owned subsidiary of Black Hills Utility Holdings, providing</w:t>
            </w:r>
          </w:p>
        </w:tc>
      </w:tr>
      <w:tr>
        <w:trPr>
          <w:trHeight w:val="198"/>
        </w:trPr>
        <w:tc>
          <w:tcPr>
            <w:tcW w:w="1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780" w:type="dxa"/>
            <w:vAlign w:val="bottom"/>
          </w:tcPr>
          <w:p>
            <w:pPr>
              <w:ind w:left="400"/>
              <w:spacing w:after="0"/>
              <w:rPr>
                <w:sz w:val="20"/>
                <w:szCs w:val="20"/>
                <w:color w:val="auto"/>
              </w:rPr>
            </w:pPr>
            <w:r>
              <w:rPr>
                <w:rFonts w:ascii="Arial" w:cs="Arial" w:eastAsia="Arial" w:hAnsi="Arial"/>
                <w:sz w:val="16"/>
                <w:szCs w:val="16"/>
                <w:color w:val="auto"/>
              </w:rPr>
              <w:t>natural gas services to customers in Iowa (doing business as Black Hills Energy).</w:t>
            </w:r>
          </w:p>
        </w:tc>
      </w:tr>
      <w:tr>
        <w:trPr>
          <w:trHeight w:val="219"/>
        </w:trPr>
        <w:tc>
          <w:tcPr>
            <w:tcW w:w="2460" w:type="dxa"/>
            <w:vAlign w:val="bottom"/>
            <w:gridSpan w:val="2"/>
            <w:shd w:val="clear" w:color="auto" w:fill="CEFFE7"/>
          </w:tcPr>
          <w:p>
            <w:pPr>
              <w:ind w:left="20"/>
              <w:spacing w:after="0"/>
              <w:rPr>
                <w:sz w:val="20"/>
                <w:szCs w:val="20"/>
                <w:color w:val="auto"/>
              </w:rPr>
            </w:pPr>
            <w:r>
              <w:rPr>
                <w:rFonts w:ascii="Arial" w:cs="Arial" w:eastAsia="Arial" w:hAnsi="Arial"/>
                <w:sz w:val="16"/>
                <w:szCs w:val="16"/>
                <w:color w:val="auto"/>
              </w:rPr>
              <w:t>IPP</w:t>
            </w:r>
          </w:p>
        </w:tc>
        <w:tc>
          <w:tcPr>
            <w:tcW w:w="8780" w:type="dxa"/>
            <w:vAlign w:val="bottom"/>
            <w:shd w:val="clear" w:color="auto" w:fill="CEFFE7"/>
          </w:tcPr>
          <w:p>
            <w:pPr>
              <w:ind w:left="400"/>
              <w:spacing w:after="0"/>
              <w:rPr>
                <w:sz w:val="20"/>
                <w:szCs w:val="20"/>
                <w:color w:val="auto"/>
              </w:rPr>
            </w:pPr>
            <w:r>
              <w:rPr>
                <w:rFonts w:ascii="Arial" w:cs="Arial" w:eastAsia="Arial" w:hAnsi="Arial"/>
                <w:sz w:val="16"/>
                <w:szCs w:val="16"/>
                <w:color w:val="auto"/>
              </w:rPr>
              <w:t>Independent power producer</w:t>
            </w:r>
          </w:p>
        </w:tc>
      </w:tr>
      <w:tr>
        <w:trPr>
          <w:trHeight w:val="213"/>
        </w:trPr>
        <w:tc>
          <w:tcPr>
            <w:tcW w:w="2460" w:type="dxa"/>
            <w:vAlign w:val="bottom"/>
            <w:gridSpan w:val="2"/>
          </w:tcPr>
          <w:p>
            <w:pPr>
              <w:ind w:left="20"/>
              <w:spacing w:after="0"/>
              <w:rPr>
                <w:sz w:val="20"/>
                <w:szCs w:val="20"/>
                <w:color w:val="auto"/>
              </w:rPr>
            </w:pPr>
            <w:r>
              <w:rPr>
                <w:rFonts w:ascii="Arial" w:cs="Arial" w:eastAsia="Arial" w:hAnsi="Arial"/>
                <w:sz w:val="16"/>
                <w:szCs w:val="16"/>
                <w:color w:val="auto"/>
              </w:rPr>
              <w:t>IRS</w:t>
            </w:r>
          </w:p>
        </w:tc>
        <w:tc>
          <w:tcPr>
            <w:tcW w:w="8780" w:type="dxa"/>
            <w:vAlign w:val="bottom"/>
          </w:tcPr>
          <w:p>
            <w:pPr>
              <w:ind w:left="400"/>
              <w:spacing w:after="0"/>
              <w:rPr>
                <w:sz w:val="20"/>
                <w:szCs w:val="20"/>
                <w:color w:val="auto"/>
              </w:rPr>
            </w:pPr>
            <w:r>
              <w:rPr>
                <w:rFonts w:ascii="Arial" w:cs="Arial" w:eastAsia="Arial" w:hAnsi="Arial"/>
                <w:sz w:val="16"/>
                <w:szCs w:val="16"/>
                <w:color w:val="auto"/>
              </w:rPr>
              <w:t>United States Internal Revenue Service</w:t>
            </w:r>
          </w:p>
        </w:tc>
      </w:tr>
      <w:tr>
        <w:trPr>
          <w:trHeight w:val="180"/>
        </w:trPr>
        <w:tc>
          <w:tcPr>
            <w:tcW w:w="2460" w:type="dxa"/>
            <w:vAlign w:val="bottom"/>
            <w:gridSpan w:val="2"/>
            <w:shd w:val="clear" w:color="auto" w:fill="CEFFE7"/>
          </w:tcPr>
          <w:p>
            <w:pPr>
              <w:ind w:left="20"/>
              <w:spacing w:after="0" w:line="181" w:lineRule="exact"/>
              <w:rPr>
                <w:sz w:val="20"/>
                <w:szCs w:val="20"/>
                <w:color w:val="auto"/>
              </w:rPr>
            </w:pPr>
            <w:r>
              <w:rPr>
                <w:rFonts w:ascii="Arial" w:cs="Arial" w:eastAsia="Arial" w:hAnsi="Arial"/>
                <w:sz w:val="16"/>
                <w:szCs w:val="16"/>
                <w:color w:val="auto"/>
              </w:rPr>
              <w:t>Kansas Gas</w:t>
            </w:r>
          </w:p>
        </w:tc>
        <w:tc>
          <w:tcPr>
            <w:tcW w:w="8780" w:type="dxa"/>
            <w:vAlign w:val="bottom"/>
            <w:shd w:val="clear" w:color="auto" w:fill="CEFFE7"/>
          </w:tcPr>
          <w:p>
            <w:pPr>
              <w:ind w:left="400"/>
              <w:spacing w:after="0" w:line="181" w:lineRule="exact"/>
              <w:rPr>
                <w:sz w:val="20"/>
                <w:szCs w:val="20"/>
                <w:color w:val="auto"/>
              </w:rPr>
            </w:pPr>
            <w:r>
              <w:rPr>
                <w:rFonts w:ascii="Arial" w:cs="Arial" w:eastAsia="Arial" w:hAnsi="Arial"/>
                <w:sz w:val="16"/>
                <w:szCs w:val="16"/>
                <w:color w:val="auto"/>
              </w:rPr>
              <w:t>Black Hills Kansas Gas Utility Company, LLC, a direct, wholly-owned subsidiary of Black Hills Utility Holdings,</w:t>
            </w:r>
          </w:p>
        </w:tc>
      </w:tr>
      <w:tr>
        <w:trPr>
          <w:trHeight w:val="201"/>
        </w:trPr>
        <w:tc>
          <w:tcPr>
            <w:tcW w:w="1360" w:type="dxa"/>
            <w:vAlign w:val="bottom"/>
            <w:shd w:val="clear" w:color="auto" w:fill="CEFFE7"/>
          </w:tcPr>
          <w:p>
            <w:pPr>
              <w:spacing w:after="0"/>
              <w:rPr>
                <w:sz w:val="17"/>
                <w:szCs w:val="17"/>
                <w:color w:val="auto"/>
              </w:rPr>
            </w:pPr>
          </w:p>
        </w:tc>
        <w:tc>
          <w:tcPr>
            <w:tcW w:w="1100" w:type="dxa"/>
            <w:vAlign w:val="bottom"/>
            <w:shd w:val="clear" w:color="auto" w:fill="CEFFE7"/>
          </w:tcPr>
          <w:p>
            <w:pPr>
              <w:spacing w:after="0"/>
              <w:rPr>
                <w:sz w:val="17"/>
                <w:szCs w:val="17"/>
                <w:color w:val="auto"/>
              </w:rPr>
            </w:pPr>
          </w:p>
        </w:tc>
        <w:tc>
          <w:tcPr>
            <w:tcW w:w="8780" w:type="dxa"/>
            <w:vAlign w:val="bottom"/>
            <w:shd w:val="clear" w:color="auto" w:fill="CEFFE7"/>
          </w:tcPr>
          <w:p>
            <w:pPr>
              <w:ind w:left="400"/>
              <w:spacing w:after="0"/>
              <w:rPr>
                <w:sz w:val="20"/>
                <w:szCs w:val="20"/>
                <w:color w:val="auto"/>
              </w:rPr>
            </w:pPr>
            <w:r>
              <w:rPr>
                <w:rFonts w:ascii="Arial" w:cs="Arial" w:eastAsia="Arial" w:hAnsi="Arial"/>
                <w:sz w:val="16"/>
                <w:szCs w:val="16"/>
                <w:color w:val="auto"/>
              </w:rPr>
              <w:t>providing natural gas services to customers in Kansas (doing business as Black Hills Energy)</w:t>
            </w:r>
          </w:p>
        </w:tc>
      </w:tr>
      <w:tr>
        <w:trPr>
          <w:trHeight w:val="213"/>
        </w:trPr>
        <w:tc>
          <w:tcPr>
            <w:tcW w:w="2460" w:type="dxa"/>
            <w:vAlign w:val="bottom"/>
            <w:gridSpan w:val="2"/>
          </w:tcPr>
          <w:p>
            <w:pPr>
              <w:ind w:left="20"/>
              <w:spacing w:after="0"/>
              <w:rPr>
                <w:sz w:val="20"/>
                <w:szCs w:val="20"/>
                <w:color w:val="auto"/>
              </w:rPr>
            </w:pPr>
            <w:r>
              <w:rPr>
                <w:rFonts w:ascii="Arial" w:cs="Arial" w:eastAsia="Arial" w:hAnsi="Arial"/>
                <w:sz w:val="16"/>
                <w:szCs w:val="16"/>
                <w:color w:val="auto"/>
              </w:rPr>
              <w:t>KCC</w:t>
            </w:r>
          </w:p>
        </w:tc>
        <w:tc>
          <w:tcPr>
            <w:tcW w:w="8780" w:type="dxa"/>
            <w:vAlign w:val="bottom"/>
          </w:tcPr>
          <w:p>
            <w:pPr>
              <w:ind w:left="400"/>
              <w:spacing w:after="0"/>
              <w:rPr>
                <w:sz w:val="20"/>
                <w:szCs w:val="20"/>
                <w:color w:val="auto"/>
              </w:rPr>
            </w:pPr>
            <w:r>
              <w:rPr>
                <w:rFonts w:ascii="Arial" w:cs="Arial" w:eastAsia="Arial" w:hAnsi="Arial"/>
                <w:sz w:val="16"/>
                <w:szCs w:val="16"/>
                <w:color w:val="auto"/>
              </w:rPr>
              <w:t>Kansas Corporation Commission</w:t>
            </w:r>
          </w:p>
        </w:tc>
      </w:tr>
      <w:tr>
        <w:trPr>
          <w:trHeight w:val="219"/>
        </w:trPr>
        <w:tc>
          <w:tcPr>
            <w:tcW w:w="2460" w:type="dxa"/>
            <w:vAlign w:val="bottom"/>
            <w:gridSpan w:val="2"/>
            <w:shd w:val="clear" w:color="auto" w:fill="CEFFE7"/>
          </w:tcPr>
          <w:p>
            <w:pPr>
              <w:ind w:left="20"/>
              <w:spacing w:after="0"/>
              <w:rPr>
                <w:sz w:val="20"/>
                <w:szCs w:val="20"/>
                <w:color w:val="auto"/>
              </w:rPr>
            </w:pPr>
            <w:r>
              <w:rPr>
                <w:rFonts w:ascii="Arial" w:cs="Arial" w:eastAsia="Arial" w:hAnsi="Arial"/>
                <w:sz w:val="16"/>
                <w:szCs w:val="16"/>
                <w:color w:val="auto"/>
              </w:rPr>
              <w:t>LIBOR</w:t>
            </w:r>
          </w:p>
        </w:tc>
        <w:tc>
          <w:tcPr>
            <w:tcW w:w="8780" w:type="dxa"/>
            <w:vAlign w:val="bottom"/>
            <w:shd w:val="clear" w:color="auto" w:fill="CEFFE7"/>
          </w:tcPr>
          <w:p>
            <w:pPr>
              <w:ind w:left="400"/>
              <w:spacing w:after="0"/>
              <w:rPr>
                <w:sz w:val="20"/>
                <w:szCs w:val="20"/>
                <w:color w:val="auto"/>
              </w:rPr>
            </w:pPr>
            <w:r>
              <w:rPr>
                <w:rFonts w:ascii="Arial" w:cs="Arial" w:eastAsia="Arial" w:hAnsi="Arial"/>
                <w:sz w:val="16"/>
                <w:szCs w:val="16"/>
                <w:color w:val="auto"/>
              </w:rPr>
              <w:t>London Interbank Offered Rate</w:t>
            </w:r>
          </w:p>
        </w:tc>
      </w:tr>
      <w:tr>
        <w:trPr>
          <w:trHeight w:val="213"/>
        </w:trPr>
        <w:tc>
          <w:tcPr>
            <w:tcW w:w="2460" w:type="dxa"/>
            <w:vAlign w:val="bottom"/>
            <w:gridSpan w:val="2"/>
          </w:tcPr>
          <w:p>
            <w:pPr>
              <w:ind w:left="20"/>
              <w:spacing w:after="0"/>
              <w:rPr>
                <w:sz w:val="20"/>
                <w:szCs w:val="20"/>
                <w:color w:val="auto"/>
              </w:rPr>
            </w:pPr>
            <w:r>
              <w:rPr>
                <w:rFonts w:ascii="Arial" w:cs="Arial" w:eastAsia="Arial" w:hAnsi="Arial"/>
                <w:sz w:val="16"/>
                <w:szCs w:val="16"/>
                <w:color w:val="auto"/>
              </w:rPr>
              <w:t>MMBtu</w:t>
            </w:r>
          </w:p>
        </w:tc>
        <w:tc>
          <w:tcPr>
            <w:tcW w:w="8780" w:type="dxa"/>
            <w:vAlign w:val="bottom"/>
          </w:tcPr>
          <w:p>
            <w:pPr>
              <w:ind w:left="400"/>
              <w:spacing w:after="0"/>
              <w:rPr>
                <w:sz w:val="20"/>
                <w:szCs w:val="20"/>
                <w:color w:val="auto"/>
              </w:rPr>
            </w:pPr>
            <w:r>
              <w:rPr>
                <w:rFonts w:ascii="Arial" w:cs="Arial" w:eastAsia="Arial" w:hAnsi="Arial"/>
                <w:sz w:val="16"/>
                <w:szCs w:val="16"/>
                <w:color w:val="auto"/>
              </w:rPr>
              <w:t>Million British thermal units</w:t>
            </w:r>
          </w:p>
        </w:tc>
      </w:tr>
      <w:tr>
        <w:trPr>
          <w:trHeight w:val="219"/>
        </w:trPr>
        <w:tc>
          <w:tcPr>
            <w:tcW w:w="2460" w:type="dxa"/>
            <w:vAlign w:val="bottom"/>
            <w:gridSpan w:val="2"/>
            <w:shd w:val="clear" w:color="auto" w:fill="CEFFE7"/>
          </w:tcPr>
          <w:p>
            <w:pPr>
              <w:ind w:left="20"/>
              <w:spacing w:after="0"/>
              <w:rPr>
                <w:sz w:val="20"/>
                <w:szCs w:val="20"/>
                <w:color w:val="auto"/>
              </w:rPr>
            </w:pPr>
            <w:r>
              <w:rPr>
                <w:rFonts w:ascii="Arial" w:cs="Arial" w:eastAsia="Arial" w:hAnsi="Arial"/>
                <w:sz w:val="16"/>
                <w:szCs w:val="16"/>
                <w:color w:val="auto"/>
              </w:rPr>
              <w:t>Moody’s</w:t>
            </w:r>
          </w:p>
        </w:tc>
        <w:tc>
          <w:tcPr>
            <w:tcW w:w="8780" w:type="dxa"/>
            <w:vAlign w:val="bottom"/>
            <w:shd w:val="clear" w:color="auto" w:fill="CEFFE7"/>
          </w:tcPr>
          <w:p>
            <w:pPr>
              <w:ind w:left="400"/>
              <w:spacing w:after="0"/>
              <w:rPr>
                <w:sz w:val="20"/>
                <w:szCs w:val="20"/>
                <w:color w:val="auto"/>
              </w:rPr>
            </w:pPr>
            <w:r>
              <w:rPr>
                <w:rFonts w:ascii="Arial" w:cs="Arial" w:eastAsia="Arial" w:hAnsi="Arial"/>
                <w:sz w:val="16"/>
                <w:szCs w:val="16"/>
                <w:color w:val="auto"/>
              </w:rPr>
              <w:t>Moody’s Investors Service, Inc.</w:t>
            </w:r>
          </w:p>
        </w:tc>
      </w:tr>
      <w:tr>
        <w:trPr>
          <w:trHeight w:val="213"/>
        </w:trPr>
        <w:tc>
          <w:tcPr>
            <w:tcW w:w="2460" w:type="dxa"/>
            <w:vAlign w:val="bottom"/>
            <w:gridSpan w:val="2"/>
          </w:tcPr>
          <w:p>
            <w:pPr>
              <w:ind w:left="20"/>
              <w:spacing w:after="0"/>
              <w:rPr>
                <w:sz w:val="20"/>
                <w:szCs w:val="20"/>
                <w:color w:val="auto"/>
              </w:rPr>
            </w:pPr>
            <w:r>
              <w:rPr>
                <w:rFonts w:ascii="Arial" w:cs="Arial" w:eastAsia="Arial" w:hAnsi="Arial"/>
                <w:sz w:val="16"/>
                <w:szCs w:val="16"/>
                <w:color w:val="auto"/>
              </w:rPr>
              <w:t>MW</w:t>
            </w:r>
          </w:p>
        </w:tc>
        <w:tc>
          <w:tcPr>
            <w:tcW w:w="8780" w:type="dxa"/>
            <w:vAlign w:val="bottom"/>
          </w:tcPr>
          <w:p>
            <w:pPr>
              <w:ind w:left="400"/>
              <w:spacing w:after="0"/>
              <w:rPr>
                <w:sz w:val="20"/>
                <w:szCs w:val="20"/>
                <w:color w:val="auto"/>
              </w:rPr>
            </w:pPr>
            <w:r>
              <w:rPr>
                <w:rFonts w:ascii="Arial" w:cs="Arial" w:eastAsia="Arial" w:hAnsi="Arial"/>
                <w:sz w:val="16"/>
                <w:szCs w:val="16"/>
                <w:color w:val="auto"/>
              </w:rPr>
              <w:t>Megawatts</w:t>
            </w:r>
          </w:p>
        </w:tc>
      </w:tr>
      <w:tr>
        <w:trPr>
          <w:trHeight w:val="219"/>
        </w:trPr>
        <w:tc>
          <w:tcPr>
            <w:tcW w:w="2460" w:type="dxa"/>
            <w:vAlign w:val="bottom"/>
            <w:gridSpan w:val="2"/>
            <w:shd w:val="clear" w:color="auto" w:fill="CEFFE7"/>
          </w:tcPr>
          <w:p>
            <w:pPr>
              <w:ind w:left="20"/>
              <w:spacing w:after="0"/>
              <w:rPr>
                <w:sz w:val="20"/>
                <w:szCs w:val="20"/>
                <w:color w:val="auto"/>
              </w:rPr>
            </w:pPr>
            <w:r>
              <w:rPr>
                <w:rFonts w:ascii="Arial" w:cs="Arial" w:eastAsia="Arial" w:hAnsi="Arial"/>
                <w:sz w:val="16"/>
                <w:szCs w:val="16"/>
                <w:color w:val="auto"/>
              </w:rPr>
              <w:t>MWh</w:t>
            </w:r>
          </w:p>
        </w:tc>
        <w:tc>
          <w:tcPr>
            <w:tcW w:w="8780" w:type="dxa"/>
            <w:vAlign w:val="bottom"/>
            <w:shd w:val="clear" w:color="auto" w:fill="CEFFE7"/>
          </w:tcPr>
          <w:p>
            <w:pPr>
              <w:ind w:left="400"/>
              <w:spacing w:after="0"/>
              <w:rPr>
                <w:sz w:val="20"/>
                <w:szCs w:val="20"/>
                <w:color w:val="auto"/>
              </w:rPr>
            </w:pPr>
            <w:r>
              <w:rPr>
                <w:rFonts w:ascii="Arial" w:cs="Arial" w:eastAsia="Arial" w:hAnsi="Arial"/>
                <w:sz w:val="16"/>
                <w:szCs w:val="16"/>
                <w:color w:val="auto"/>
              </w:rPr>
              <w:t>Megawatt-hours</w:t>
            </w:r>
          </w:p>
        </w:tc>
      </w:tr>
      <w:tr>
        <w:trPr>
          <w:trHeight w:val="177"/>
        </w:trPr>
        <w:tc>
          <w:tcPr>
            <w:tcW w:w="2460" w:type="dxa"/>
            <w:vAlign w:val="bottom"/>
            <w:gridSpan w:val="2"/>
          </w:tcPr>
          <w:p>
            <w:pPr>
              <w:ind w:left="20"/>
              <w:spacing w:after="0" w:line="178" w:lineRule="exact"/>
              <w:rPr>
                <w:sz w:val="20"/>
                <w:szCs w:val="20"/>
                <w:color w:val="auto"/>
              </w:rPr>
            </w:pPr>
            <w:r>
              <w:rPr>
                <w:rFonts w:ascii="Arial" w:cs="Arial" w:eastAsia="Arial" w:hAnsi="Arial"/>
                <w:sz w:val="16"/>
                <w:szCs w:val="16"/>
                <w:color w:val="auto"/>
              </w:rPr>
              <w:t>Nebraska Gas</w:t>
            </w:r>
          </w:p>
        </w:tc>
        <w:tc>
          <w:tcPr>
            <w:tcW w:w="8780" w:type="dxa"/>
            <w:vAlign w:val="bottom"/>
          </w:tcPr>
          <w:p>
            <w:pPr>
              <w:ind w:left="400"/>
              <w:spacing w:after="0" w:line="178" w:lineRule="exact"/>
              <w:rPr>
                <w:sz w:val="20"/>
                <w:szCs w:val="20"/>
                <w:color w:val="auto"/>
              </w:rPr>
            </w:pPr>
            <w:r>
              <w:rPr>
                <w:rFonts w:ascii="Arial" w:cs="Arial" w:eastAsia="Arial" w:hAnsi="Arial"/>
                <w:sz w:val="16"/>
                <w:szCs w:val="16"/>
                <w:color w:val="auto"/>
              </w:rPr>
              <w:t>Black Hills Nebraska Gas, LLC, an indirect, wholly-owned subsidiary of Black Hills Utility Holdings, providing natural</w:t>
            </w:r>
          </w:p>
        </w:tc>
      </w:tr>
      <w:tr>
        <w:trPr>
          <w:trHeight w:val="198"/>
        </w:trPr>
        <w:tc>
          <w:tcPr>
            <w:tcW w:w="1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780" w:type="dxa"/>
            <w:vAlign w:val="bottom"/>
          </w:tcPr>
          <w:p>
            <w:pPr>
              <w:ind w:left="400"/>
              <w:spacing w:after="0"/>
              <w:rPr>
                <w:sz w:val="20"/>
                <w:szCs w:val="20"/>
                <w:color w:val="auto"/>
              </w:rPr>
            </w:pPr>
            <w:r>
              <w:rPr>
                <w:rFonts w:ascii="Arial" w:cs="Arial" w:eastAsia="Arial" w:hAnsi="Arial"/>
                <w:sz w:val="16"/>
                <w:szCs w:val="16"/>
                <w:color w:val="auto"/>
              </w:rPr>
              <w:t>gas services to customers in Nebraska (doing business as Black Hills Energy)</w:t>
            </w:r>
          </w:p>
        </w:tc>
      </w:tr>
      <w:tr>
        <w:trPr>
          <w:trHeight w:val="219"/>
        </w:trPr>
        <w:tc>
          <w:tcPr>
            <w:tcW w:w="2460" w:type="dxa"/>
            <w:vAlign w:val="bottom"/>
            <w:gridSpan w:val="2"/>
            <w:shd w:val="clear" w:color="auto" w:fill="CEFFE7"/>
          </w:tcPr>
          <w:p>
            <w:pPr>
              <w:ind w:left="20"/>
              <w:spacing w:after="0"/>
              <w:rPr>
                <w:sz w:val="20"/>
                <w:szCs w:val="20"/>
                <w:color w:val="auto"/>
              </w:rPr>
            </w:pPr>
            <w:r>
              <w:rPr>
                <w:rFonts w:ascii="Arial" w:cs="Arial" w:eastAsia="Arial" w:hAnsi="Arial"/>
                <w:sz w:val="16"/>
                <w:szCs w:val="16"/>
                <w:color w:val="auto"/>
              </w:rPr>
              <w:t>NOL</w:t>
            </w:r>
          </w:p>
        </w:tc>
        <w:tc>
          <w:tcPr>
            <w:tcW w:w="8780" w:type="dxa"/>
            <w:vAlign w:val="bottom"/>
            <w:shd w:val="clear" w:color="auto" w:fill="CEFFE7"/>
          </w:tcPr>
          <w:p>
            <w:pPr>
              <w:ind w:left="400"/>
              <w:spacing w:after="0"/>
              <w:rPr>
                <w:sz w:val="20"/>
                <w:szCs w:val="20"/>
                <w:color w:val="auto"/>
              </w:rPr>
            </w:pPr>
            <w:r>
              <w:rPr>
                <w:rFonts w:ascii="Arial" w:cs="Arial" w:eastAsia="Arial" w:hAnsi="Arial"/>
                <w:sz w:val="16"/>
                <w:szCs w:val="16"/>
                <w:color w:val="auto"/>
              </w:rPr>
              <w:t>Net Operating Loss</w:t>
            </w:r>
          </w:p>
        </w:tc>
      </w:tr>
      <w:tr>
        <w:trPr>
          <w:trHeight w:val="213"/>
        </w:trPr>
        <w:tc>
          <w:tcPr>
            <w:tcW w:w="2460" w:type="dxa"/>
            <w:vAlign w:val="bottom"/>
            <w:gridSpan w:val="2"/>
          </w:tcPr>
          <w:p>
            <w:pPr>
              <w:ind w:left="20"/>
              <w:spacing w:after="0"/>
              <w:rPr>
                <w:sz w:val="20"/>
                <w:szCs w:val="20"/>
                <w:color w:val="auto"/>
              </w:rPr>
            </w:pPr>
            <w:r>
              <w:rPr>
                <w:rFonts w:ascii="Arial" w:cs="Arial" w:eastAsia="Arial" w:hAnsi="Arial"/>
                <w:sz w:val="16"/>
                <w:szCs w:val="16"/>
                <w:color w:val="auto"/>
              </w:rPr>
              <w:t>NPSC</w:t>
            </w:r>
          </w:p>
        </w:tc>
        <w:tc>
          <w:tcPr>
            <w:tcW w:w="8780" w:type="dxa"/>
            <w:vAlign w:val="bottom"/>
          </w:tcPr>
          <w:p>
            <w:pPr>
              <w:ind w:left="400"/>
              <w:spacing w:after="0"/>
              <w:rPr>
                <w:sz w:val="20"/>
                <w:szCs w:val="20"/>
                <w:color w:val="auto"/>
              </w:rPr>
            </w:pPr>
            <w:r>
              <w:rPr>
                <w:rFonts w:ascii="Arial" w:cs="Arial" w:eastAsia="Arial" w:hAnsi="Arial"/>
                <w:sz w:val="16"/>
                <w:szCs w:val="16"/>
                <w:color w:val="auto"/>
              </w:rPr>
              <w:t>Nebraska Public Service Commission</w:t>
            </w:r>
          </w:p>
        </w:tc>
      </w:tr>
      <w:tr>
        <w:trPr>
          <w:trHeight w:val="219"/>
        </w:trPr>
        <w:tc>
          <w:tcPr>
            <w:tcW w:w="2460" w:type="dxa"/>
            <w:vAlign w:val="bottom"/>
            <w:gridSpan w:val="2"/>
            <w:shd w:val="clear" w:color="auto" w:fill="CEFFE7"/>
          </w:tcPr>
          <w:p>
            <w:pPr>
              <w:ind w:left="20"/>
              <w:spacing w:after="0"/>
              <w:rPr>
                <w:sz w:val="20"/>
                <w:szCs w:val="20"/>
                <w:color w:val="auto"/>
              </w:rPr>
            </w:pPr>
            <w:r>
              <w:rPr>
                <w:rFonts w:ascii="Arial" w:cs="Arial" w:eastAsia="Arial" w:hAnsi="Arial"/>
                <w:sz w:val="16"/>
                <w:szCs w:val="16"/>
                <w:color w:val="auto"/>
              </w:rPr>
              <w:t>OCI</w:t>
            </w:r>
          </w:p>
        </w:tc>
        <w:tc>
          <w:tcPr>
            <w:tcW w:w="8780" w:type="dxa"/>
            <w:vAlign w:val="bottom"/>
            <w:shd w:val="clear" w:color="auto" w:fill="CEFFE7"/>
          </w:tcPr>
          <w:p>
            <w:pPr>
              <w:ind w:left="400"/>
              <w:spacing w:after="0"/>
              <w:rPr>
                <w:sz w:val="20"/>
                <w:szCs w:val="20"/>
                <w:color w:val="auto"/>
              </w:rPr>
            </w:pPr>
            <w:r>
              <w:rPr>
                <w:rFonts w:ascii="Arial" w:cs="Arial" w:eastAsia="Arial" w:hAnsi="Arial"/>
                <w:sz w:val="16"/>
                <w:szCs w:val="16"/>
                <w:color w:val="auto"/>
              </w:rPr>
              <w:t>Other Comprehensive Income</w:t>
            </w:r>
          </w:p>
        </w:tc>
      </w:tr>
      <w:tr>
        <w:trPr>
          <w:trHeight w:val="213"/>
        </w:trPr>
        <w:tc>
          <w:tcPr>
            <w:tcW w:w="2460" w:type="dxa"/>
            <w:vAlign w:val="bottom"/>
            <w:gridSpan w:val="2"/>
          </w:tcPr>
          <w:p>
            <w:pPr>
              <w:ind w:left="20"/>
              <w:spacing w:after="0"/>
              <w:rPr>
                <w:sz w:val="20"/>
                <w:szCs w:val="20"/>
                <w:color w:val="auto"/>
              </w:rPr>
            </w:pPr>
            <w:r>
              <w:rPr>
                <w:rFonts w:ascii="Arial" w:cs="Arial" w:eastAsia="Arial" w:hAnsi="Arial"/>
                <w:sz w:val="16"/>
                <w:szCs w:val="16"/>
                <w:color w:val="auto"/>
              </w:rPr>
              <w:t>PPA</w:t>
            </w:r>
          </w:p>
        </w:tc>
        <w:tc>
          <w:tcPr>
            <w:tcW w:w="8780" w:type="dxa"/>
            <w:vAlign w:val="bottom"/>
          </w:tcPr>
          <w:p>
            <w:pPr>
              <w:ind w:left="400"/>
              <w:spacing w:after="0"/>
              <w:rPr>
                <w:sz w:val="20"/>
                <w:szCs w:val="20"/>
                <w:color w:val="auto"/>
              </w:rPr>
            </w:pPr>
            <w:r>
              <w:rPr>
                <w:rFonts w:ascii="Arial" w:cs="Arial" w:eastAsia="Arial" w:hAnsi="Arial"/>
                <w:sz w:val="16"/>
                <w:szCs w:val="16"/>
                <w:color w:val="auto"/>
              </w:rPr>
              <w:t>Power Purchase Agreement</w:t>
            </w:r>
          </w:p>
        </w:tc>
      </w:tr>
      <w:tr>
        <w:trPr>
          <w:trHeight w:val="219"/>
        </w:trPr>
        <w:tc>
          <w:tcPr>
            <w:tcW w:w="2460" w:type="dxa"/>
            <w:vAlign w:val="bottom"/>
            <w:gridSpan w:val="2"/>
            <w:shd w:val="clear" w:color="auto" w:fill="CEFFE7"/>
          </w:tcPr>
          <w:p>
            <w:pPr>
              <w:ind w:left="20"/>
              <w:spacing w:after="0"/>
              <w:rPr>
                <w:sz w:val="20"/>
                <w:szCs w:val="20"/>
                <w:color w:val="auto"/>
              </w:rPr>
            </w:pPr>
            <w:r>
              <w:rPr>
                <w:rFonts w:ascii="Arial" w:cs="Arial" w:eastAsia="Arial" w:hAnsi="Arial"/>
                <w:sz w:val="16"/>
                <w:szCs w:val="16"/>
                <w:color w:val="auto"/>
              </w:rPr>
              <w:t>PSA</w:t>
            </w:r>
          </w:p>
        </w:tc>
        <w:tc>
          <w:tcPr>
            <w:tcW w:w="8780" w:type="dxa"/>
            <w:vAlign w:val="bottom"/>
            <w:shd w:val="clear" w:color="auto" w:fill="CEFFE7"/>
          </w:tcPr>
          <w:p>
            <w:pPr>
              <w:ind w:left="400"/>
              <w:spacing w:after="0"/>
              <w:rPr>
                <w:sz w:val="20"/>
                <w:szCs w:val="20"/>
                <w:color w:val="auto"/>
              </w:rPr>
            </w:pPr>
            <w:r>
              <w:rPr>
                <w:rFonts w:ascii="Arial" w:cs="Arial" w:eastAsia="Arial" w:hAnsi="Arial"/>
                <w:sz w:val="16"/>
                <w:szCs w:val="16"/>
                <w:color w:val="auto"/>
              </w:rPr>
              <w:t>Power Sales Agreement</w:t>
            </w:r>
          </w:p>
        </w:tc>
      </w:tr>
      <w:tr>
        <w:trPr>
          <w:trHeight w:val="177"/>
        </w:trPr>
        <w:tc>
          <w:tcPr>
            <w:tcW w:w="2460" w:type="dxa"/>
            <w:vAlign w:val="bottom"/>
            <w:gridSpan w:val="2"/>
          </w:tcPr>
          <w:p>
            <w:pPr>
              <w:ind w:left="20"/>
              <w:spacing w:after="0" w:line="178" w:lineRule="exact"/>
              <w:rPr>
                <w:sz w:val="20"/>
                <w:szCs w:val="20"/>
                <w:color w:val="auto"/>
              </w:rPr>
            </w:pPr>
            <w:r>
              <w:rPr>
                <w:rFonts w:ascii="Arial" w:cs="Arial" w:eastAsia="Arial" w:hAnsi="Arial"/>
                <w:sz w:val="16"/>
                <w:szCs w:val="16"/>
                <w:color w:val="auto"/>
              </w:rPr>
              <w:t>Pueblo Airport Generation</w:t>
            </w:r>
          </w:p>
        </w:tc>
        <w:tc>
          <w:tcPr>
            <w:tcW w:w="8780" w:type="dxa"/>
            <w:vAlign w:val="bottom"/>
          </w:tcPr>
          <w:p>
            <w:pPr>
              <w:ind w:left="400"/>
              <w:spacing w:after="0" w:line="178" w:lineRule="exact"/>
              <w:rPr>
                <w:sz w:val="20"/>
                <w:szCs w:val="20"/>
                <w:color w:val="auto"/>
              </w:rPr>
            </w:pPr>
            <w:r>
              <w:rPr>
                <w:rFonts w:ascii="Arial" w:cs="Arial" w:eastAsia="Arial" w:hAnsi="Arial"/>
                <w:sz w:val="16"/>
                <w:szCs w:val="16"/>
                <w:color w:val="auto"/>
              </w:rPr>
              <w:t>The 420 MW combined cycle gas-fired power generation plants jointly owned by Colorado Electric (220 MW) and</w:t>
            </w:r>
          </w:p>
        </w:tc>
      </w:tr>
      <w:tr>
        <w:trPr>
          <w:trHeight w:val="162"/>
        </w:trPr>
        <w:tc>
          <w:tcPr>
            <w:tcW w:w="1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780" w:type="dxa"/>
            <w:vAlign w:val="bottom"/>
          </w:tcPr>
          <w:p>
            <w:pPr>
              <w:ind w:left="400"/>
              <w:spacing w:after="0" w:line="162" w:lineRule="exact"/>
              <w:rPr>
                <w:sz w:val="20"/>
                <w:szCs w:val="20"/>
                <w:color w:val="auto"/>
              </w:rPr>
            </w:pPr>
            <w:r>
              <w:rPr>
                <w:rFonts w:ascii="Arial" w:cs="Arial" w:eastAsia="Arial" w:hAnsi="Arial"/>
                <w:sz w:val="16"/>
                <w:szCs w:val="16"/>
                <w:color w:val="auto"/>
              </w:rPr>
              <w:t>Black Hills Colorado IPP (200 MW). Black Hills Colorado IPP owns and operates this facility. The plants commenced</w:t>
            </w:r>
          </w:p>
        </w:tc>
      </w:tr>
      <w:tr>
        <w:trPr>
          <w:trHeight w:val="198"/>
        </w:trPr>
        <w:tc>
          <w:tcPr>
            <w:tcW w:w="1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780" w:type="dxa"/>
            <w:vAlign w:val="bottom"/>
          </w:tcPr>
          <w:p>
            <w:pPr>
              <w:ind w:left="400"/>
              <w:spacing w:after="0"/>
              <w:rPr>
                <w:sz w:val="20"/>
                <w:szCs w:val="20"/>
                <w:color w:val="auto"/>
              </w:rPr>
            </w:pPr>
            <w:r>
              <w:rPr>
                <w:rFonts w:ascii="Arial" w:cs="Arial" w:eastAsia="Arial" w:hAnsi="Arial"/>
                <w:sz w:val="16"/>
                <w:szCs w:val="16"/>
                <w:color w:val="auto"/>
              </w:rPr>
              <w:t>operation on January 1, 2012.</w:t>
            </w:r>
          </w:p>
        </w:tc>
      </w:tr>
      <w:tr>
        <w:trPr>
          <w:trHeight w:val="180"/>
        </w:trPr>
        <w:tc>
          <w:tcPr>
            <w:tcW w:w="2460" w:type="dxa"/>
            <w:vAlign w:val="bottom"/>
            <w:gridSpan w:val="2"/>
            <w:shd w:val="clear" w:color="auto" w:fill="CEFFE7"/>
          </w:tcPr>
          <w:p>
            <w:pPr>
              <w:ind w:left="20"/>
              <w:spacing w:after="0" w:line="181" w:lineRule="exact"/>
              <w:rPr>
                <w:sz w:val="20"/>
                <w:szCs w:val="20"/>
                <w:color w:val="auto"/>
              </w:rPr>
            </w:pPr>
            <w:r>
              <w:rPr>
                <w:rFonts w:ascii="Arial" w:cs="Arial" w:eastAsia="Arial" w:hAnsi="Arial"/>
                <w:sz w:val="16"/>
                <w:szCs w:val="16"/>
                <w:color w:val="auto"/>
              </w:rPr>
              <w:t>Renewable Advantage</w:t>
            </w:r>
          </w:p>
        </w:tc>
        <w:tc>
          <w:tcPr>
            <w:tcW w:w="8780" w:type="dxa"/>
            <w:vAlign w:val="bottom"/>
            <w:shd w:val="clear" w:color="auto" w:fill="CEFFE7"/>
          </w:tcPr>
          <w:p>
            <w:pPr>
              <w:ind w:left="400"/>
              <w:spacing w:after="0" w:line="181" w:lineRule="exact"/>
              <w:rPr>
                <w:sz w:val="20"/>
                <w:szCs w:val="20"/>
                <w:color w:val="auto"/>
              </w:rPr>
            </w:pPr>
            <w:r>
              <w:rPr>
                <w:rFonts w:ascii="Arial" w:cs="Arial" w:eastAsia="Arial" w:hAnsi="Arial"/>
                <w:sz w:val="16"/>
                <w:szCs w:val="16"/>
                <w:color w:val="auto"/>
              </w:rPr>
              <w:t>A 200 MW solar facility project to be constructed in Pueblo County, Colorado. The project aims to lower customer</w:t>
            </w:r>
          </w:p>
        </w:tc>
      </w:tr>
      <w:tr>
        <w:trPr>
          <w:trHeight w:val="162"/>
        </w:trPr>
        <w:tc>
          <w:tcPr>
            <w:tcW w:w="1360" w:type="dxa"/>
            <w:vAlign w:val="bottom"/>
            <w:shd w:val="clear" w:color="auto" w:fill="CEFFE7"/>
          </w:tcPr>
          <w:p>
            <w:pPr>
              <w:spacing w:after="0"/>
              <w:rPr>
                <w:sz w:val="14"/>
                <w:szCs w:val="14"/>
                <w:color w:val="auto"/>
              </w:rPr>
            </w:pPr>
          </w:p>
        </w:tc>
        <w:tc>
          <w:tcPr>
            <w:tcW w:w="1100" w:type="dxa"/>
            <w:vAlign w:val="bottom"/>
            <w:shd w:val="clear" w:color="auto" w:fill="CEFFE7"/>
          </w:tcPr>
          <w:p>
            <w:pPr>
              <w:spacing w:after="0"/>
              <w:rPr>
                <w:sz w:val="14"/>
                <w:szCs w:val="14"/>
                <w:color w:val="auto"/>
              </w:rPr>
            </w:pPr>
          </w:p>
        </w:tc>
        <w:tc>
          <w:tcPr>
            <w:tcW w:w="8780" w:type="dxa"/>
            <w:vAlign w:val="bottom"/>
            <w:shd w:val="clear" w:color="auto" w:fill="CEFFE7"/>
          </w:tcPr>
          <w:p>
            <w:pPr>
              <w:ind w:left="400"/>
              <w:spacing w:after="0" w:line="162" w:lineRule="exact"/>
              <w:rPr>
                <w:sz w:val="20"/>
                <w:szCs w:val="20"/>
                <w:color w:val="auto"/>
              </w:rPr>
            </w:pPr>
            <w:r>
              <w:rPr>
                <w:rFonts w:ascii="Arial" w:cs="Arial" w:eastAsia="Arial" w:hAnsi="Arial"/>
                <w:sz w:val="16"/>
                <w:szCs w:val="16"/>
                <w:color w:val="auto"/>
              </w:rPr>
              <w:t>energy costs and provide economic and environmental benefits to Colorado Electric’s customers and communities.</w:t>
            </w:r>
          </w:p>
        </w:tc>
      </w:tr>
      <w:tr>
        <w:trPr>
          <w:trHeight w:val="162"/>
        </w:trPr>
        <w:tc>
          <w:tcPr>
            <w:tcW w:w="1360" w:type="dxa"/>
            <w:vAlign w:val="bottom"/>
            <w:shd w:val="clear" w:color="auto" w:fill="CEFFE7"/>
          </w:tcPr>
          <w:p>
            <w:pPr>
              <w:spacing w:after="0"/>
              <w:rPr>
                <w:sz w:val="14"/>
                <w:szCs w:val="14"/>
                <w:color w:val="auto"/>
              </w:rPr>
            </w:pPr>
          </w:p>
        </w:tc>
        <w:tc>
          <w:tcPr>
            <w:tcW w:w="1100" w:type="dxa"/>
            <w:vAlign w:val="bottom"/>
            <w:shd w:val="clear" w:color="auto" w:fill="CEFFE7"/>
          </w:tcPr>
          <w:p>
            <w:pPr>
              <w:spacing w:after="0"/>
              <w:rPr>
                <w:sz w:val="14"/>
                <w:szCs w:val="14"/>
                <w:color w:val="auto"/>
              </w:rPr>
            </w:pPr>
          </w:p>
        </w:tc>
        <w:tc>
          <w:tcPr>
            <w:tcW w:w="8780" w:type="dxa"/>
            <w:vAlign w:val="bottom"/>
            <w:shd w:val="clear" w:color="auto" w:fill="CEFFE7"/>
          </w:tcPr>
          <w:p>
            <w:pPr>
              <w:ind w:left="400"/>
              <w:spacing w:after="0" w:line="162" w:lineRule="exact"/>
              <w:rPr>
                <w:sz w:val="20"/>
                <w:szCs w:val="20"/>
                <w:color w:val="auto"/>
              </w:rPr>
            </w:pPr>
            <w:r>
              <w:rPr>
                <w:rFonts w:ascii="Arial" w:cs="Arial" w:eastAsia="Arial" w:hAnsi="Arial"/>
                <w:sz w:val="16"/>
                <w:szCs w:val="16"/>
                <w:color w:val="auto"/>
              </w:rPr>
              <w:t>This project, which was approved by the CPUC in September 2020, will be owned by a third-party renewable energy</w:t>
            </w:r>
          </w:p>
        </w:tc>
      </w:tr>
      <w:tr>
        <w:trPr>
          <w:trHeight w:val="162"/>
        </w:trPr>
        <w:tc>
          <w:tcPr>
            <w:tcW w:w="1360" w:type="dxa"/>
            <w:vAlign w:val="bottom"/>
            <w:shd w:val="clear" w:color="auto" w:fill="CEFFE7"/>
          </w:tcPr>
          <w:p>
            <w:pPr>
              <w:spacing w:after="0"/>
              <w:rPr>
                <w:sz w:val="14"/>
                <w:szCs w:val="14"/>
                <w:color w:val="auto"/>
              </w:rPr>
            </w:pPr>
          </w:p>
        </w:tc>
        <w:tc>
          <w:tcPr>
            <w:tcW w:w="1100" w:type="dxa"/>
            <w:vAlign w:val="bottom"/>
            <w:shd w:val="clear" w:color="auto" w:fill="CEFFE7"/>
          </w:tcPr>
          <w:p>
            <w:pPr>
              <w:spacing w:after="0"/>
              <w:rPr>
                <w:sz w:val="14"/>
                <w:szCs w:val="14"/>
                <w:color w:val="auto"/>
              </w:rPr>
            </w:pPr>
          </w:p>
        </w:tc>
        <w:tc>
          <w:tcPr>
            <w:tcW w:w="8780" w:type="dxa"/>
            <w:vAlign w:val="bottom"/>
            <w:shd w:val="clear" w:color="auto" w:fill="CEFFE7"/>
          </w:tcPr>
          <w:p>
            <w:pPr>
              <w:ind w:left="400"/>
              <w:spacing w:after="0" w:line="162" w:lineRule="exact"/>
              <w:rPr>
                <w:sz w:val="20"/>
                <w:szCs w:val="20"/>
                <w:color w:val="auto"/>
              </w:rPr>
            </w:pPr>
            <w:r>
              <w:rPr>
                <w:rFonts w:ascii="Arial" w:cs="Arial" w:eastAsia="Arial" w:hAnsi="Arial"/>
                <w:sz w:val="16"/>
                <w:szCs w:val="16"/>
                <w:color w:val="auto"/>
              </w:rPr>
              <w:t>developer with Colorado Electric purchasing all of the energy generated at the facility under the terms of a 15-year</w:t>
            </w:r>
          </w:p>
        </w:tc>
      </w:tr>
      <w:tr>
        <w:trPr>
          <w:trHeight w:val="201"/>
        </w:trPr>
        <w:tc>
          <w:tcPr>
            <w:tcW w:w="1360" w:type="dxa"/>
            <w:vAlign w:val="bottom"/>
            <w:shd w:val="clear" w:color="auto" w:fill="CEFFE7"/>
          </w:tcPr>
          <w:p>
            <w:pPr>
              <w:spacing w:after="0"/>
              <w:rPr>
                <w:sz w:val="17"/>
                <w:szCs w:val="17"/>
                <w:color w:val="auto"/>
              </w:rPr>
            </w:pPr>
          </w:p>
        </w:tc>
        <w:tc>
          <w:tcPr>
            <w:tcW w:w="1100" w:type="dxa"/>
            <w:vAlign w:val="bottom"/>
            <w:shd w:val="clear" w:color="auto" w:fill="CEFFE7"/>
          </w:tcPr>
          <w:p>
            <w:pPr>
              <w:spacing w:after="0"/>
              <w:rPr>
                <w:sz w:val="17"/>
                <w:szCs w:val="17"/>
                <w:color w:val="auto"/>
              </w:rPr>
            </w:pPr>
          </w:p>
        </w:tc>
        <w:tc>
          <w:tcPr>
            <w:tcW w:w="8780" w:type="dxa"/>
            <w:vAlign w:val="bottom"/>
            <w:shd w:val="clear" w:color="auto" w:fill="CEFFE7"/>
          </w:tcPr>
          <w:p>
            <w:pPr>
              <w:ind w:left="400"/>
              <w:spacing w:after="0"/>
              <w:rPr>
                <w:sz w:val="20"/>
                <w:szCs w:val="20"/>
                <w:color w:val="auto"/>
              </w:rPr>
            </w:pPr>
            <w:r>
              <w:rPr>
                <w:rFonts w:ascii="Arial" w:cs="Arial" w:eastAsia="Arial" w:hAnsi="Arial"/>
                <w:sz w:val="16"/>
                <w:szCs w:val="16"/>
                <w:color w:val="auto"/>
              </w:rPr>
              <w:t>PPA. The project is expected to be placed in service in 2023.</w:t>
            </w:r>
          </w:p>
        </w:tc>
      </w:tr>
      <w:tr>
        <w:trPr>
          <w:trHeight w:val="177"/>
        </w:trPr>
        <w:tc>
          <w:tcPr>
            <w:tcW w:w="2460" w:type="dxa"/>
            <w:vAlign w:val="bottom"/>
            <w:gridSpan w:val="2"/>
          </w:tcPr>
          <w:p>
            <w:pPr>
              <w:ind w:left="20"/>
              <w:spacing w:after="0" w:line="178" w:lineRule="exact"/>
              <w:rPr>
                <w:sz w:val="20"/>
                <w:szCs w:val="20"/>
                <w:color w:val="auto"/>
              </w:rPr>
            </w:pPr>
            <w:r>
              <w:rPr>
                <w:rFonts w:ascii="Arial" w:cs="Arial" w:eastAsia="Arial" w:hAnsi="Arial"/>
                <w:sz w:val="16"/>
                <w:szCs w:val="16"/>
                <w:color w:val="auto"/>
              </w:rPr>
              <w:t>Renewable Ready</w:t>
            </w:r>
          </w:p>
        </w:tc>
        <w:tc>
          <w:tcPr>
            <w:tcW w:w="8780" w:type="dxa"/>
            <w:vAlign w:val="bottom"/>
          </w:tcPr>
          <w:p>
            <w:pPr>
              <w:ind w:left="400"/>
              <w:spacing w:after="0" w:line="178" w:lineRule="exact"/>
              <w:rPr>
                <w:sz w:val="20"/>
                <w:szCs w:val="20"/>
                <w:color w:val="auto"/>
              </w:rPr>
            </w:pPr>
            <w:r>
              <w:rPr>
                <w:rFonts w:ascii="Arial" w:cs="Arial" w:eastAsia="Arial" w:hAnsi="Arial"/>
                <w:sz w:val="16"/>
                <w:szCs w:val="16"/>
                <w:color w:val="auto"/>
              </w:rPr>
              <w:t>Voluntary renewable energy subscription program for large commercial, industrial and governmental agency</w:t>
            </w:r>
          </w:p>
        </w:tc>
      </w:tr>
      <w:tr>
        <w:trPr>
          <w:trHeight w:val="198"/>
        </w:trPr>
        <w:tc>
          <w:tcPr>
            <w:tcW w:w="1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780" w:type="dxa"/>
            <w:vAlign w:val="bottom"/>
          </w:tcPr>
          <w:p>
            <w:pPr>
              <w:ind w:left="400"/>
              <w:spacing w:after="0"/>
              <w:rPr>
                <w:sz w:val="20"/>
                <w:szCs w:val="20"/>
                <w:color w:val="auto"/>
              </w:rPr>
            </w:pPr>
            <w:r>
              <w:rPr>
                <w:rFonts w:ascii="Arial" w:cs="Arial" w:eastAsia="Arial" w:hAnsi="Arial"/>
                <w:sz w:val="16"/>
                <w:szCs w:val="16"/>
                <w:color w:val="auto"/>
              </w:rPr>
              <w:t>customers in South Dakota and Wyoming.</w:t>
            </w:r>
          </w:p>
        </w:tc>
      </w:tr>
      <w:tr>
        <w:trPr>
          <w:trHeight w:val="180"/>
        </w:trPr>
        <w:tc>
          <w:tcPr>
            <w:tcW w:w="2460" w:type="dxa"/>
            <w:vAlign w:val="bottom"/>
            <w:gridSpan w:val="2"/>
            <w:shd w:val="clear" w:color="auto" w:fill="CEFFE7"/>
          </w:tcPr>
          <w:p>
            <w:pPr>
              <w:ind w:left="20"/>
              <w:spacing w:after="0" w:line="181" w:lineRule="exact"/>
              <w:rPr>
                <w:sz w:val="20"/>
                <w:szCs w:val="20"/>
                <w:color w:val="auto"/>
              </w:rPr>
            </w:pPr>
            <w:r>
              <w:rPr>
                <w:rFonts w:ascii="Arial" w:cs="Arial" w:eastAsia="Arial" w:hAnsi="Arial"/>
                <w:sz w:val="16"/>
                <w:szCs w:val="16"/>
                <w:color w:val="auto"/>
              </w:rPr>
              <w:t>Revolving Credit Facility</w:t>
            </w:r>
          </w:p>
        </w:tc>
        <w:tc>
          <w:tcPr>
            <w:tcW w:w="8780" w:type="dxa"/>
            <w:vAlign w:val="bottom"/>
            <w:shd w:val="clear" w:color="auto" w:fill="CEFFE7"/>
          </w:tcPr>
          <w:p>
            <w:pPr>
              <w:ind w:left="400"/>
              <w:spacing w:after="0" w:line="181" w:lineRule="exact"/>
              <w:rPr>
                <w:sz w:val="20"/>
                <w:szCs w:val="20"/>
                <w:color w:val="auto"/>
              </w:rPr>
            </w:pPr>
            <w:r>
              <w:rPr>
                <w:rFonts w:ascii="Arial" w:cs="Arial" w:eastAsia="Arial" w:hAnsi="Arial"/>
                <w:sz w:val="16"/>
                <w:szCs w:val="16"/>
                <w:color w:val="auto"/>
              </w:rPr>
              <w:t>Our $750 million credit facility used to fund working capital needs, letters of credit and other corporate purposes,</w:t>
            </w:r>
          </w:p>
        </w:tc>
      </w:tr>
      <w:tr>
        <w:trPr>
          <w:trHeight w:val="201"/>
        </w:trPr>
        <w:tc>
          <w:tcPr>
            <w:tcW w:w="1360" w:type="dxa"/>
            <w:vAlign w:val="bottom"/>
            <w:shd w:val="clear" w:color="auto" w:fill="CEFFE7"/>
          </w:tcPr>
          <w:p>
            <w:pPr>
              <w:spacing w:after="0"/>
              <w:rPr>
                <w:sz w:val="17"/>
                <w:szCs w:val="17"/>
                <w:color w:val="auto"/>
              </w:rPr>
            </w:pPr>
          </w:p>
        </w:tc>
        <w:tc>
          <w:tcPr>
            <w:tcW w:w="1100" w:type="dxa"/>
            <w:vAlign w:val="bottom"/>
            <w:shd w:val="clear" w:color="auto" w:fill="CEFFE7"/>
          </w:tcPr>
          <w:p>
            <w:pPr>
              <w:spacing w:after="0"/>
              <w:rPr>
                <w:sz w:val="17"/>
                <w:szCs w:val="17"/>
                <w:color w:val="auto"/>
              </w:rPr>
            </w:pPr>
          </w:p>
        </w:tc>
        <w:tc>
          <w:tcPr>
            <w:tcW w:w="8780" w:type="dxa"/>
            <w:vAlign w:val="bottom"/>
            <w:shd w:val="clear" w:color="auto" w:fill="CEFFE7"/>
          </w:tcPr>
          <w:p>
            <w:pPr>
              <w:ind w:left="400"/>
              <w:spacing w:after="0"/>
              <w:rPr>
                <w:sz w:val="20"/>
                <w:szCs w:val="20"/>
                <w:color w:val="auto"/>
              </w:rPr>
            </w:pPr>
            <w:r>
              <w:rPr>
                <w:rFonts w:ascii="Arial" w:cs="Arial" w:eastAsia="Arial" w:hAnsi="Arial"/>
                <w:sz w:val="16"/>
                <w:szCs w:val="16"/>
                <w:color w:val="auto"/>
              </w:rPr>
              <w:t>which was amended and restated on July 30, 2018, and now terminates on July 30, 2023.</w:t>
            </w:r>
          </w:p>
        </w:tc>
      </w:tr>
      <w:tr>
        <w:trPr>
          <w:trHeight w:val="213"/>
        </w:trPr>
        <w:tc>
          <w:tcPr>
            <w:tcW w:w="2460" w:type="dxa"/>
            <w:vAlign w:val="bottom"/>
            <w:gridSpan w:val="2"/>
          </w:tcPr>
          <w:p>
            <w:pPr>
              <w:ind w:left="20"/>
              <w:spacing w:after="0"/>
              <w:rPr>
                <w:sz w:val="20"/>
                <w:szCs w:val="20"/>
                <w:color w:val="auto"/>
              </w:rPr>
            </w:pPr>
            <w:r>
              <w:rPr>
                <w:rFonts w:ascii="Arial" w:cs="Arial" w:eastAsia="Arial" w:hAnsi="Arial"/>
                <w:sz w:val="16"/>
                <w:szCs w:val="16"/>
                <w:color w:val="auto"/>
              </w:rPr>
              <w:t>SDPUC</w:t>
            </w:r>
          </w:p>
        </w:tc>
        <w:tc>
          <w:tcPr>
            <w:tcW w:w="8780" w:type="dxa"/>
            <w:vAlign w:val="bottom"/>
          </w:tcPr>
          <w:p>
            <w:pPr>
              <w:ind w:left="400"/>
              <w:spacing w:after="0"/>
              <w:rPr>
                <w:sz w:val="20"/>
                <w:szCs w:val="20"/>
                <w:color w:val="auto"/>
              </w:rPr>
            </w:pPr>
            <w:r>
              <w:rPr>
                <w:rFonts w:ascii="Arial" w:cs="Arial" w:eastAsia="Arial" w:hAnsi="Arial"/>
                <w:sz w:val="16"/>
                <w:szCs w:val="16"/>
                <w:color w:val="auto"/>
              </w:rPr>
              <w:t>South Dakota Public Utilities Commission</w:t>
            </w:r>
          </w:p>
        </w:tc>
      </w:tr>
      <w:tr>
        <w:trPr>
          <w:trHeight w:val="219"/>
        </w:trPr>
        <w:tc>
          <w:tcPr>
            <w:tcW w:w="2460" w:type="dxa"/>
            <w:vAlign w:val="bottom"/>
            <w:gridSpan w:val="2"/>
            <w:shd w:val="clear" w:color="auto" w:fill="CEFFE7"/>
          </w:tcPr>
          <w:p>
            <w:pPr>
              <w:ind w:left="20"/>
              <w:spacing w:after="0"/>
              <w:rPr>
                <w:sz w:val="20"/>
                <w:szCs w:val="20"/>
                <w:color w:val="auto"/>
              </w:rPr>
            </w:pPr>
            <w:r>
              <w:rPr>
                <w:rFonts w:ascii="Arial" w:cs="Arial" w:eastAsia="Arial" w:hAnsi="Arial"/>
                <w:sz w:val="16"/>
                <w:szCs w:val="16"/>
                <w:color w:val="auto"/>
              </w:rPr>
              <w:t>SEC</w:t>
            </w:r>
          </w:p>
        </w:tc>
        <w:tc>
          <w:tcPr>
            <w:tcW w:w="8780" w:type="dxa"/>
            <w:vAlign w:val="bottom"/>
            <w:shd w:val="clear" w:color="auto" w:fill="CEFFE7"/>
          </w:tcPr>
          <w:p>
            <w:pPr>
              <w:ind w:left="400"/>
              <w:spacing w:after="0"/>
              <w:rPr>
                <w:sz w:val="20"/>
                <w:szCs w:val="20"/>
                <w:color w:val="auto"/>
              </w:rPr>
            </w:pPr>
            <w:r>
              <w:rPr>
                <w:rFonts w:ascii="Arial" w:cs="Arial" w:eastAsia="Arial" w:hAnsi="Arial"/>
                <w:sz w:val="16"/>
                <w:szCs w:val="16"/>
                <w:color w:val="auto"/>
              </w:rPr>
              <w:t>United States Securities and Exchange Commission</w:t>
            </w:r>
          </w:p>
        </w:tc>
      </w:tr>
      <w:tr>
        <w:trPr>
          <w:trHeight w:val="177"/>
        </w:trPr>
        <w:tc>
          <w:tcPr>
            <w:tcW w:w="2460" w:type="dxa"/>
            <w:vAlign w:val="bottom"/>
            <w:gridSpan w:val="2"/>
          </w:tcPr>
          <w:p>
            <w:pPr>
              <w:ind w:left="20"/>
              <w:spacing w:after="0" w:line="178" w:lineRule="exact"/>
              <w:rPr>
                <w:sz w:val="20"/>
                <w:szCs w:val="20"/>
                <w:color w:val="auto"/>
              </w:rPr>
            </w:pPr>
            <w:r>
              <w:rPr>
                <w:rFonts w:ascii="Arial" w:cs="Arial" w:eastAsia="Arial" w:hAnsi="Arial"/>
                <w:sz w:val="16"/>
                <w:szCs w:val="16"/>
                <w:color w:val="auto"/>
              </w:rPr>
              <w:t>Service Guard Comfort Plan</w:t>
            </w:r>
          </w:p>
        </w:tc>
        <w:tc>
          <w:tcPr>
            <w:tcW w:w="8780" w:type="dxa"/>
            <w:vAlign w:val="bottom"/>
          </w:tcPr>
          <w:p>
            <w:pPr>
              <w:ind w:left="400"/>
              <w:spacing w:after="0" w:line="178" w:lineRule="exact"/>
              <w:rPr>
                <w:sz w:val="20"/>
                <w:szCs w:val="20"/>
                <w:color w:val="auto"/>
              </w:rPr>
            </w:pPr>
            <w:r>
              <w:rPr>
                <w:rFonts w:ascii="Arial" w:cs="Arial" w:eastAsia="Arial" w:hAnsi="Arial"/>
                <w:sz w:val="16"/>
                <w:szCs w:val="16"/>
                <w:color w:val="auto"/>
              </w:rPr>
              <w:t>Appliance protection plan that provides home appliance repair services through on-going monthly service</w:t>
            </w:r>
          </w:p>
        </w:tc>
      </w:tr>
      <w:tr>
        <w:trPr>
          <w:trHeight w:val="198"/>
        </w:trPr>
        <w:tc>
          <w:tcPr>
            <w:tcW w:w="1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780" w:type="dxa"/>
            <w:vAlign w:val="bottom"/>
          </w:tcPr>
          <w:p>
            <w:pPr>
              <w:ind w:left="400"/>
              <w:spacing w:after="0"/>
              <w:rPr>
                <w:sz w:val="20"/>
                <w:szCs w:val="20"/>
                <w:color w:val="auto"/>
              </w:rPr>
            </w:pPr>
            <w:r>
              <w:rPr>
                <w:rFonts w:ascii="Arial" w:cs="Arial" w:eastAsia="Arial" w:hAnsi="Arial"/>
                <w:sz w:val="16"/>
                <w:szCs w:val="16"/>
                <w:color w:val="auto"/>
              </w:rPr>
              <w:t>agreements to residential utility customers.</w:t>
            </w:r>
          </w:p>
        </w:tc>
      </w:tr>
      <w:tr>
        <w:trPr>
          <w:trHeight w:val="219"/>
        </w:trPr>
        <w:tc>
          <w:tcPr>
            <w:tcW w:w="2460" w:type="dxa"/>
            <w:vAlign w:val="bottom"/>
            <w:gridSpan w:val="2"/>
            <w:shd w:val="clear" w:color="auto" w:fill="CEFFE7"/>
          </w:tcPr>
          <w:p>
            <w:pPr>
              <w:ind w:left="20"/>
              <w:spacing w:after="0"/>
              <w:rPr>
                <w:sz w:val="20"/>
                <w:szCs w:val="20"/>
                <w:color w:val="auto"/>
              </w:rPr>
            </w:pPr>
            <w:r>
              <w:rPr>
                <w:rFonts w:ascii="Arial" w:cs="Arial" w:eastAsia="Arial" w:hAnsi="Arial"/>
                <w:sz w:val="16"/>
                <w:szCs w:val="16"/>
                <w:color w:val="auto"/>
              </w:rPr>
              <w:t>S&amp;P</w:t>
            </w:r>
          </w:p>
        </w:tc>
        <w:tc>
          <w:tcPr>
            <w:tcW w:w="8780" w:type="dxa"/>
            <w:vAlign w:val="bottom"/>
            <w:shd w:val="clear" w:color="auto" w:fill="CEFFE7"/>
          </w:tcPr>
          <w:p>
            <w:pPr>
              <w:ind w:left="400"/>
              <w:spacing w:after="0"/>
              <w:rPr>
                <w:sz w:val="20"/>
                <w:szCs w:val="20"/>
                <w:color w:val="auto"/>
              </w:rPr>
            </w:pPr>
            <w:r>
              <w:rPr>
                <w:rFonts w:ascii="Arial" w:cs="Arial" w:eastAsia="Arial" w:hAnsi="Arial"/>
                <w:sz w:val="16"/>
                <w:szCs w:val="16"/>
                <w:color w:val="auto"/>
              </w:rPr>
              <w:t>Standard and Poor’s, a division of The McGraw-Hill Companies, Inc.</w:t>
            </w:r>
          </w:p>
        </w:tc>
      </w:tr>
      <w:tr>
        <w:trPr>
          <w:trHeight w:val="177"/>
        </w:trPr>
        <w:tc>
          <w:tcPr>
            <w:tcW w:w="2460" w:type="dxa"/>
            <w:vAlign w:val="bottom"/>
            <w:gridSpan w:val="2"/>
          </w:tcPr>
          <w:p>
            <w:pPr>
              <w:ind w:left="20"/>
              <w:spacing w:after="0" w:line="178" w:lineRule="exact"/>
              <w:rPr>
                <w:sz w:val="20"/>
                <w:szCs w:val="20"/>
                <w:color w:val="auto"/>
              </w:rPr>
            </w:pPr>
            <w:r>
              <w:rPr>
                <w:rFonts w:ascii="Arial" w:cs="Arial" w:eastAsia="Arial" w:hAnsi="Arial"/>
                <w:sz w:val="16"/>
                <w:szCs w:val="16"/>
                <w:color w:val="auto"/>
              </w:rPr>
              <w:t>South Dakota Electric</w:t>
            </w:r>
          </w:p>
        </w:tc>
        <w:tc>
          <w:tcPr>
            <w:tcW w:w="8780" w:type="dxa"/>
            <w:vAlign w:val="bottom"/>
          </w:tcPr>
          <w:p>
            <w:pPr>
              <w:ind w:left="400"/>
              <w:spacing w:after="0" w:line="178" w:lineRule="exact"/>
              <w:rPr>
                <w:sz w:val="20"/>
                <w:szCs w:val="20"/>
                <w:color w:val="auto"/>
              </w:rPr>
            </w:pPr>
            <w:r>
              <w:rPr>
                <w:rFonts w:ascii="Arial" w:cs="Arial" w:eastAsia="Arial" w:hAnsi="Arial"/>
                <w:sz w:val="16"/>
                <w:szCs w:val="16"/>
                <w:color w:val="auto"/>
              </w:rPr>
              <w:t>Black Hills Power, Inc., a direct, wholly-owned subsidiary of Black Hills Corporation, providing electric service to</w:t>
            </w:r>
          </w:p>
        </w:tc>
      </w:tr>
      <w:tr>
        <w:trPr>
          <w:trHeight w:val="198"/>
        </w:trPr>
        <w:tc>
          <w:tcPr>
            <w:tcW w:w="1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780" w:type="dxa"/>
            <w:vAlign w:val="bottom"/>
          </w:tcPr>
          <w:p>
            <w:pPr>
              <w:ind w:left="400"/>
              <w:spacing w:after="0"/>
              <w:rPr>
                <w:sz w:val="20"/>
                <w:szCs w:val="20"/>
                <w:color w:val="auto"/>
              </w:rPr>
            </w:pPr>
            <w:r>
              <w:rPr>
                <w:rFonts w:ascii="Arial" w:cs="Arial" w:eastAsia="Arial" w:hAnsi="Arial"/>
                <w:sz w:val="16"/>
                <w:szCs w:val="16"/>
                <w:color w:val="auto"/>
              </w:rPr>
              <w:t>customers in Montana, South Dakota and Wyoming (doing business as Black Hills Energy).</w:t>
            </w:r>
          </w:p>
        </w:tc>
      </w:tr>
      <w:tr>
        <w:trPr>
          <w:trHeight w:val="219"/>
        </w:trPr>
        <w:tc>
          <w:tcPr>
            <w:tcW w:w="2460" w:type="dxa"/>
            <w:vAlign w:val="bottom"/>
            <w:gridSpan w:val="2"/>
            <w:shd w:val="clear" w:color="auto" w:fill="CEFFE7"/>
          </w:tcPr>
          <w:p>
            <w:pPr>
              <w:ind w:left="20"/>
              <w:spacing w:after="0"/>
              <w:rPr>
                <w:sz w:val="20"/>
                <w:szCs w:val="20"/>
                <w:color w:val="auto"/>
              </w:rPr>
            </w:pPr>
            <w:r>
              <w:rPr>
                <w:rFonts w:ascii="Arial" w:cs="Arial" w:eastAsia="Arial" w:hAnsi="Arial"/>
                <w:sz w:val="16"/>
                <w:szCs w:val="16"/>
                <w:color w:val="auto"/>
              </w:rPr>
              <w:t>SSIR</w:t>
            </w:r>
          </w:p>
        </w:tc>
        <w:tc>
          <w:tcPr>
            <w:tcW w:w="8780" w:type="dxa"/>
            <w:vAlign w:val="bottom"/>
            <w:shd w:val="clear" w:color="auto" w:fill="CEFFE7"/>
          </w:tcPr>
          <w:p>
            <w:pPr>
              <w:ind w:left="400"/>
              <w:spacing w:after="0"/>
              <w:rPr>
                <w:sz w:val="20"/>
                <w:szCs w:val="20"/>
                <w:color w:val="auto"/>
              </w:rPr>
            </w:pPr>
            <w:r>
              <w:rPr>
                <w:rFonts w:ascii="Arial" w:cs="Arial" w:eastAsia="Arial" w:hAnsi="Arial"/>
                <w:sz w:val="16"/>
                <w:szCs w:val="16"/>
                <w:color w:val="auto"/>
              </w:rPr>
              <w:t>System Safety and Integrity Rider</w:t>
            </w:r>
          </w:p>
        </w:tc>
      </w:tr>
      <w:tr>
        <w:trPr>
          <w:trHeight w:val="494"/>
        </w:trPr>
        <w:tc>
          <w:tcPr>
            <w:tcW w:w="1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780" w:type="dxa"/>
            <w:vAlign w:val="bottom"/>
          </w:tcPr>
          <w:p>
            <w:pPr>
              <w:ind w:left="3120"/>
              <w:spacing w:after="0"/>
              <w:rPr>
                <w:sz w:val="20"/>
                <w:szCs w:val="20"/>
                <w:color w:val="auto"/>
              </w:rPr>
            </w:pPr>
            <w:r>
              <w:rPr>
                <w:rFonts w:ascii="Arial" w:cs="Arial" w:eastAsia="Arial" w:hAnsi="Arial"/>
                <w:sz w:val="16"/>
                <w:szCs w:val="16"/>
                <w:color w:val="auto"/>
              </w:rPr>
              <w:t>5</w:t>
            </w:r>
          </w:p>
        </w:tc>
      </w:tr>
      <w:tr>
        <w:trPr>
          <w:trHeight w:val="350"/>
        </w:trPr>
        <w:tc>
          <w:tcPr>
            <w:tcW w:w="136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87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84"/>
        </w:trPr>
        <w:tc>
          <w:tcPr>
            <w:tcW w:w="2220" w:type="dxa"/>
            <w:vAlign w:val="bottom"/>
            <w:gridSpan w:val="2"/>
          </w:tcPr>
          <w:p>
            <w:pPr>
              <w:spacing w:after="0"/>
              <w:rPr>
                <w:rFonts w:ascii="Arial" w:cs="Arial" w:eastAsia="Arial" w:hAnsi="Arial"/>
                <w:sz w:val="16"/>
                <w:szCs w:val="16"/>
                <w:b w:val="1"/>
                <w:bCs w:val="1"/>
                <w:color w:val="0000FF"/>
              </w:rPr>
            </w:pPr>
            <w:hyperlink w:anchor="page1">
              <w:r>
                <w:rPr>
                  <w:rFonts w:ascii="Arial" w:cs="Arial" w:eastAsia="Arial" w:hAnsi="Arial"/>
                  <w:sz w:val="16"/>
                  <w:szCs w:val="16"/>
                  <w:b w:val="1"/>
                  <w:bCs w:val="1"/>
                  <w:color w:val="0000FF"/>
                </w:rPr>
                <w:t>Table of Contents</w:t>
              </w:r>
            </w:hyperlink>
          </w:p>
        </w:tc>
        <w:tc>
          <w:tcPr>
            <w:tcW w:w="9020" w:type="dxa"/>
            <w:vAlign w:val="bottom"/>
          </w:tcPr>
          <w:p>
            <w:pPr>
              <w:spacing w:after="0"/>
              <w:rPr>
                <w:sz w:val="16"/>
                <w:szCs w:val="16"/>
                <w:color w:val="auto"/>
              </w:rPr>
            </w:pPr>
          </w:p>
        </w:tc>
      </w:tr>
      <w:tr>
        <w:trPr>
          <w:trHeight w:val="801"/>
        </w:trPr>
        <w:tc>
          <w:tcPr>
            <w:tcW w:w="1360" w:type="dxa"/>
            <w:vAlign w:val="bottom"/>
            <w:tcBorders>
              <w:top w:val="single" w:sz="8" w:color="0000FF"/>
            </w:tcBorders>
          </w:tcPr>
          <w:p>
            <w:pPr>
              <w:ind w:left="20"/>
              <w:spacing w:after="0"/>
              <w:rPr>
                <w:sz w:val="20"/>
                <w:szCs w:val="20"/>
                <w:color w:val="auto"/>
              </w:rPr>
            </w:pPr>
            <w:r>
              <w:rPr>
                <w:rFonts w:ascii="Arial" w:cs="Arial" w:eastAsia="Arial" w:hAnsi="Arial"/>
                <w:sz w:val="16"/>
                <w:szCs w:val="16"/>
                <w:color w:val="auto"/>
              </w:rPr>
              <w:t>TCJA</w:t>
            </w:r>
          </w:p>
        </w:tc>
        <w:tc>
          <w:tcPr>
            <w:tcW w:w="860" w:type="dxa"/>
            <w:vAlign w:val="bottom"/>
          </w:tcPr>
          <w:p>
            <w:pPr>
              <w:spacing w:after="0"/>
              <w:rPr>
                <w:sz w:val="24"/>
                <w:szCs w:val="24"/>
                <w:color w:val="auto"/>
              </w:rPr>
            </w:pPr>
          </w:p>
        </w:tc>
        <w:tc>
          <w:tcPr>
            <w:tcW w:w="9020" w:type="dxa"/>
            <w:vAlign w:val="bottom"/>
          </w:tcPr>
          <w:p>
            <w:pPr>
              <w:ind w:left="640"/>
              <w:spacing w:after="0"/>
              <w:rPr>
                <w:sz w:val="20"/>
                <w:szCs w:val="20"/>
                <w:color w:val="auto"/>
              </w:rPr>
            </w:pPr>
            <w:r>
              <w:rPr>
                <w:rFonts w:ascii="Arial" w:cs="Arial" w:eastAsia="Arial" w:hAnsi="Arial"/>
                <w:sz w:val="16"/>
                <w:szCs w:val="16"/>
                <w:color w:val="auto"/>
              </w:rPr>
              <w:t>Tax Cuts and Jobs Act</w:t>
            </w:r>
          </w:p>
        </w:tc>
      </w:tr>
      <w:tr>
        <w:trPr>
          <w:trHeight w:val="219"/>
        </w:trPr>
        <w:tc>
          <w:tcPr>
            <w:tcW w:w="2220" w:type="dxa"/>
            <w:vAlign w:val="bottom"/>
            <w:gridSpan w:val="2"/>
            <w:shd w:val="clear" w:color="auto" w:fill="CEFFE7"/>
          </w:tcPr>
          <w:p>
            <w:pPr>
              <w:ind w:left="20"/>
              <w:spacing w:after="0"/>
              <w:rPr>
                <w:sz w:val="20"/>
                <w:szCs w:val="20"/>
                <w:color w:val="auto"/>
              </w:rPr>
            </w:pPr>
            <w:r>
              <w:rPr>
                <w:rFonts w:ascii="Arial" w:cs="Arial" w:eastAsia="Arial" w:hAnsi="Arial"/>
                <w:sz w:val="16"/>
                <w:szCs w:val="16"/>
                <w:color w:val="auto"/>
              </w:rPr>
              <w:t>Utilities</w:t>
            </w:r>
          </w:p>
        </w:tc>
        <w:tc>
          <w:tcPr>
            <w:tcW w:w="9020" w:type="dxa"/>
            <w:vAlign w:val="bottom"/>
            <w:shd w:val="clear" w:color="auto" w:fill="CEFFE7"/>
          </w:tcPr>
          <w:p>
            <w:pPr>
              <w:ind w:left="640"/>
              <w:spacing w:after="0"/>
              <w:rPr>
                <w:sz w:val="20"/>
                <w:szCs w:val="20"/>
                <w:color w:val="auto"/>
              </w:rPr>
            </w:pPr>
            <w:r>
              <w:rPr>
                <w:rFonts w:ascii="Arial" w:cs="Arial" w:eastAsia="Arial" w:hAnsi="Arial"/>
                <w:sz w:val="16"/>
                <w:szCs w:val="16"/>
                <w:color w:val="auto"/>
              </w:rPr>
              <w:t>Black Hills’ Electric and Gas Utilities</w:t>
            </w:r>
          </w:p>
        </w:tc>
      </w:tr>
      <w:tr>
        <w:trPr>
          <w:trHeight w:val="213"/>
        </w:trPr>
        <w:tc>
          <w:tcPr>
            <w:tcW w:w="2220" w:type="dxa"/>
            <w:vAlign w:val="bottom"/>
            <w:gridSpan w:val="2"/>
          </w:tcPr>
          <w:p>
            <w:pPr>
              <w:ind w:left="20"/>
              <w:spacing w:after="0"/>
              <w:rPr>
                <w:sz w:val="20"/>
                <w:szCs w:val="20"/>
                <w:color w:val="auto"/>
              </w:rPr>
            </w:pPr>
            <w:r>
              <w:rPr>
                <w:rFonts w:ascii="Arial" w:cs="Arial" w:eastAsia="Arial" w:hAnsi="Arial"/>
                <w:sz w:val="16"/>
                <w:szCs w:val="16"/>
                <w:color w:val="auto"/>
              </w:rPr>
              <w:t>Wind Capacity Factor</w:t>
            </w:r>
          </w:p>
        </w:tc>
        <w:tc>
          <w:tcPr>
            <w:tcW w:w="9020" w:type="dxa"/>
            <w:vAlign w:val="bottom"/>
          </w:tcPr>
          <w:p>
            <w:pPr>
              <w:ind w:left="640"/>
              <w:spacing w:after="0"/>
              <w:rPr>
                <w:sz w:val="20"/>
                <w:szCs w:val="20"/>
                <w:color w:val="auto"/>
              </w:rPr>
            </w:pPr>
            <w:r>
              <w:rPr>
                <w:rFonts w:ascii="Arial" w:cs="Arial" w:eastAsia="Arial" w:hAnsi="Arial"/>
                <w:sz w:val="16"/>
                <w:szCs w:val="16"/>
                <w:color w:val="auto"/>
              </w:rPr>
              <w:t>Measures the amount of electricity a wind turbine produces in a given time period relative to its maximum potential</w:t>
            </w:r>
          </w:p>
        </w:tc>
      </w:tr>
      <w:tr>
        <w:trPr>
          <w:trHeight w:val="180"/>
        </w:trPr>
        <w:tc>
          <w:tcPr>
            <w:tcW w:w="2220" w:type="dxa"/>
            <w:vAlign w:val="bottom"/>
            <w:gridSpan w:val="2"/>
            <w:shd w:val="clear" w:color="auto" w:fill="CEFFE7"/>
          </w:tcPr>
          <w:p>
            <w:pPr>
              <w:ind w:left="20"/>
              <w:spacing w:after="0" w:line="181" w:lineRule="exact"/>
              <w:rPr>
                <w:sz w:val="20"/>
                <w:szCs w:val="20"/>
                <w:color w:val="auto"/>
              </w:rPr>
            </w:pPr>
            <w:r>
              <w:rPr>
                <w:rFonts w:ascii="Arial" w:cs="Arial" w:eastAsia="Arial" w:hAnsi="Arial"/>
                <w:sz w:val="16"/>
                <w:szCs w:val="16"/>
                <w:color w:val="auto"/>
              </w:rPr>
              <w:t>Winter Storm Uri</w:t>
            </w:r>
          </w:p>
        </w:tc>
        <w:tc>
          <w:tcPr>
            <w:tcW w:w="9020" w:type="dxa"/>
            <w:vAlign w:val="bottom"/>
            <w:shd w:val="clear" w:color="auto" w:fill="CEFFE7"/>
          </w:tcPr>
          <w:p>
            <w:pPr>
              <w:ind w:left="640"/>
              <w:spacing w:after="0" w:line="181" w:lineRule="exact"/>
              <w:rPr>
                <w:sz w:val="20"/>
                <w:szCs w:val="20"/>
                <w:color w:val="auto"/>
              </w:rPr>
            </w:pPr>
            <w:r>
              <w:rPr>
                <w:rFonts w:ascii="Arial" w:cs="Arial" w:eastAsia="Arial" w:hAnsi="Arial"/>
                <w:sz w:val="16"/>
                <w:szCs w:val="16"/>
                <w:color w:val="auto"/>
              </w:rPr>
              <w:t>February 2021 winter weather event that caused extremely cold temperatures in the central United States and led to</w:t>
            </w:r>
          </w:p>
        </w:tc>
      </w:tr>
      <w:tr>
        <w:trPr>
          <w:trHeight w:val="201"/>
        </w:trPr>
        <w:tc>
          <w:tcPr>
            <w:tcW w:w="1360" w:type="dxa"/>
            <w:vAlign w:val="bottom"/>
            <w:shd w:val="clear" w:color="auto" w:fill="CEFFE7"/>
          </w:tcPr>
          <w:p>
            <w:pPr>
              <w:spacing w:after="0"/>
              <w:rPr>
                <w:sz w:val="17"/>
                <w:szCs w:val="17"/>
                <w:color w:val="auto"/>
              </w:rPr>
            </w:pPr>
          </w:p>
        </w:tc>
        <w:tc>
          <w:tcPr>
            <w:tcW w:w="860" w:type="dxa"/>
            <w:vAlign w:val="bottom"/>
            <w:shd w:val="clear" w:color="auto" w:fill="CEFFE7"/>
          </w:tcPr>
          <w:p>
            <w:pPr>
              <w:spacing w:after="0"/>
              <w:rPr>
                <w:sz w:val="17"/>
                <w:szCs w:val="17"/>
                <w:color w:val="auto"/>
              </w:rPr>
            </w:pPr>
          </w:p>
        </w:tc>
        <w:tc>
          <w:tcPr>
            <w:tcW w:w="9020" w:type="dxa"/>
            <w:vAlign w:val="bottom"/>
            <w:shd w:val="clear" w:color="auto" w:fill="CEFFE7"/>
          </w:tcPr>
          <w:p>
            <w:pPr>
              <w:ind w:left="640"/>
              <w:spacing w:after="0"/>
              <w:rPr>
                <w:sz w:val="20"/>
                <w:szCs w:val="20"/>
                <w:color w:val="auto"/>
              </w:rPr>
            </w:pPr>
            <w:r>
              <w:rPr>
                <w:rFonts w:ascii="Arial" w:cs="Arial" w:eastAsia="Arial" w:hAnsi="Arial"/>
                <w:sz w:val="16"/>
                <w:szCs w:val="16"/>
                <w:color w:val="auto"/>
              </w:rPr>
              <w:t>unprecedented fluctuations in customer demand and market pricing for natural gas and energy.</w:t>
            </w:r>
          </w:p>
        </w:tc>
      </w:tr>
      <w:tr>
        <w:trPr>
          <w:trHeight w:val="177"/>
        </w:trPr>
        <w:tc>
          <w:tcPr>
            <w:tcW w:w="2220" w:type="dxa"/>
            <w:vAlign w:val="bottom"/>
            <w:gridSpan w:val="2"/>
          </w:tcPr>
          <w:p>
            <w:pPr>
              <w:ind w:left="20"/>
              <w:spacing w:after="0" w:line="178" w:lineRule="exact"/>
              <w:rPr>
                <w:sz w:val="20"/>
                <w:szCs w:val="20"/>
                <w:color w:val="auto"/>
              </w:rPr>
            </w:pPr>
            <w:r>
              <w:rPr>
                <w:rFonts w:ascii="Arial" w:cs="Arial" w:eastAsia="Arial" w:hAnsi="Arial"/>
                <w:sz w:val="16"/>
                <w:szCs w:val="16"/>
                <w:color w:val="auto"/>
              </w:rPr>
              <w:t>WRDC</w:t>
            </w:r>
          </w:p>
        </w:tc>
        <w:tc>
          <w:tcPr>
            <w:tcW w:w="9020" w:type="dxa"/>
            <w:vAlign w:val="bottom"/>
          </w:tcPr>
          <w:p>
            <w:pPr>
              <w:ind w:left="640"/>
              <w:spacing w:after="0" w:line="178" w:lineRule="exact"/>
              <w:rPr>
                <w:sz w:val="20"/>
                <w:szCs w:val="20"/>
                <w:color w:val="auto"/>
              </w:rPr>
            </w:pPr>
            <w:r>
              <w:rPr>
                <w:rFonts w:ascii="Arial" w:cs="Arial" w:eastAsia="Arial" w:hAnsi="Arial"/>
                <w:sz w:val="16"/>
                <w:szCs w:val="16"/>
                <w:color w:val="auto"/>
              </w:rPr>
              <w:t>Wyodak Resources Development Corporation, a direct, wholly-owned subsidiary of Black Hills Non-regulated</w:t>
            </w:r>
          </w:p>
        </w:tc>
      </w:tr>
      <w:tr>
        <w:trPr>
          <w:trHeight w:val="198"/>
        </w:trPr>
        <w:tc>
          <w:tcPr>
            <w:tcW w:w="1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020" w:type="dxa"/>
            <w:vAlign w:val="bottom"/>
          </w:tcPr>
          <w:p>
            <w:pPr>
              <w:ind w:left="640"/>
              <w:spacing w:after="0"/>
              <w:rPr>
                <w:sz w:val="20"/>
                <w:szCs w:val="20"/>
                <w:color w:val="auto"/>
              </w:rPr>
            </w:pPr>
            <w:r>
              <w:rPr>
                <w:rFonts w:ascii="Arial" w:cs="Arial" w:eastAsia="Arial" w:hAnsi="Arial"/>
                <w:sz w:val="16"/>
                <w:szCs w:val="16"/>
                <w:color w:val="auto"/>
              </w:rPr>
              <w:t>Holdings (doing business as Black Hills Energy)</w:t>
            </w:r>
          </w:p>
        </w:tc>
      </w:tr>
      <w:tr>
        <w:trPr>
          <w:trHeight w:val="180"/>
        </w:trPr>
        <w:tc>
          <w:tcPr>
            <w:tcW w:w="2220" w:type="dxa"/>
            <w:vAlign w:val="bottom"/>
            <w:gridSpan w:val="2"/>
            <w:shd w:val="clear" w:color="auto" w:fill="CEFFE7"/>
          </w:tcPr>
          <w:p>
            <w:pPr>
              <w:ind w:left="20"/>
              <w:spacing w:after="0" w:line="181" w:lineRule="exact"/>
              <w:rPr>
                <w:sz w:val="20"/>
                <w:szCs w:val="20"/>
                <w:color w:val="auto"/>
              </w:rPr>
            </w:pPr>
            <w:r>
              <w:rPr>
                <w:rFonts w:ascii="Arial" w:cs="Arial" w:eastAsia="Arial" w:hAnsi="Arial"/>
                <w:sz w:val="16"/>
                <w:szCs w:val="16"/>
                <w:color w:val="auto"/>
              </w:rPr>
              <w:t>Wygen I</w:t>
            </w:r>
          </w:p>
        </w:tc>
        <w:tc>
          <w:tcPr>
            <w:tcW w:w="9020" w:type="dxa"/>
            <w:vAlign w:val="bottom"/>
            <w:shd w:val="clear" w:color="auto" w:fill="CEFFE7"/>
          </w:tcPr>
          <w:p>
            <w:pPr>
              <w:ind w:left="640"/>
              <w:spacing w:after="0" w:line="181" w:lineRule="exact"/>
              <w:rPr>
                <w:sz w:val="20"/>
                <w:szCs w:val="20"/>
                <w:color w:val="auto"/>
              </w:rPr>
            </w:pPr>
            <w:r>
              <w:rPr>
                <w:rFonts w:ascii="Arial" w:cs="Arial" w:eastAsia="Arial" w:hAnsi="Arial"/>
                <w:sz w:val="16"/>
                <w:szCs w:val="16"/>
                <w:color w:val="auto"/>
              </w:rPr>
              <w:t>A mine-mouth, coal-fired power plant with a total capacity of 90 MW located at our Gillette, Wyoming energy</w:t>
            </w:r>
          </w:p>
        </w:tc>
      </w:tr>
      <w:tr>
        <w:trPr>
          <w:trHeight w:val="162"/>
        </w:trPr>
        <w:tc>
          <w:tcPr>
            <w:tcW w:w="1360" w:type="dxa"/>
            <w:vAlign w:val="bottom"/>
            <w:shd w:val="clear" w:color="auto" w:fill="CEFFE7"/>
          </w:tcPr>
          <w:p>
            <w:pPr>
              <w:spacing w:after="0"/>
              <w:rPr>
                <w:sz w:val="14"/>
                <w:szCs w:val="14"/>
                <w:color w:val="auto"/>
              </w:rPr>
            </w:pPr>
          </w:p>
        </w:tc>
        <w:tc>
          <w:tcPr>
            <w:tcW w:w="860" w:type="dxa"/>
            <w:vAlign w:val="bottom"/>
            <w:shd w:val="clear" w:color="auto" w:fill="CEFFE7"/>
          </w:tcPr>
          <w:p>
            <w:pPr>
              <w:spacing w:after="0"/>
              <w:rPr>
                <w:sz w:val="14"/>
                <w:szCs w:val="14"/>
                <w:color w:val="auto"/>
              </w:rPr>
            </w:pPr>
          </w:p>
        </w:tc>
        <w:tc>
          <w:tcPr>
            <w:tcW w:w="9020" w:type="dxa"/>
            <w:vAlign w:val="bottom"/>
            <w:shd w:val="clear" w:color="auto" w:fill="CEFFE7"/>
          </w:tcPr>
          <w:p>
            <w:pPr>
              <w:ind w:left="640"/>
              <w:spacing w:after="0" w:line="162" w:lineRule="exact"/>
              <w:rPr>
                <w:sz w:val="20"/>
                <w:szCs w:val="20"/>
                <w:color w:val="auto"/>
              </w:rPr>
            </w:pPr>
            <w:r>
              <w:rPr>
                <w:rFonts w:ascii="Arial" w:cs="Arial" w:eastAsia="Arial" w:hAnsi="Arial"/>
                <w:sz w:val="16"/>
                <w:szCs w:val="16"/>
                <w:color w:val="auto"/>
              </w:rPr>
              <w:t>complex. Black Hills Wyoming owns 76.5% of the facility and Municipal Energy Agency of Nebraska (MEAN) owns</w:t>
            </w:r>
          </w:p>
        </w:tc>
      </w:tr>
      <w:tr>
        <w:trPr>
          <w:trHeight w:val="201"/>
        </w:trPr>
        <w:tc>
          <w:tcPr>
            <w:tcW w:w="1360" w:type="dxa"/>
            <w:vAlign w:val="bottom"/>
            <w:shd w:val="clear" w:color="auto" w:fill="CEFFE7"/>
          </w:tcPr>
          <w:p>
            <w:pPr>
              <w:spacing w:after="0"/>
              <w:rPr>
                <w:sz w:val="17"/>
                <w:szCs w:val="17"/>
                <w:color w:val="auto"/>
              </w:rPr>
            </w:pPr>
          </w:p>
        </w:tc>
        <w:tc>
          <w:tcPr>
            <w:tcW w:w="860" w:type="dxa"/>
            <w:vAlign w:val="bottom"/>
            <w:shd w:val="clear" w:color="auto" w:fill="CEFFE7"/>
          </w:tcPr>
          <w:p>
            <w:pPr>
              <w:spacing w:after="0"/>
              <w:rPr>
                <w:sz w:val="17"/>
                <w:szCs w:val="17"/>
                <w:color w:val="auto"/>
              </w:rPr>
            </w:pPr>
          </w:p>
        </w:tc>
        <w:tc>
          <w:tcPr>
            <w:tcW w:w="9020" w:type="dxa"/>
            <w:vAlign w:val="bottom"/>
            <w:shd w:val="clear" w:color="auto" w:fill="CEFFE7"/>
          </w:tcPr>
          <w:p>
            <w:pPr>
              <w:ind w:left="640"/>
              <w:spacing w:after="0"/>
              <w:rPr>
                <w:sz w:val="20"/>
                <w:szCs w:val="20"/>
                <w:color w:val="auto"/>
              </w:rPr>
            </w:pPr>
            <w:r>
              <w:rPr>
                <w:rFonts w:ascii="Arial" w:cs="Arial" w:eastAsia="Arial" w:hAnsi="Arial"/>
                <w:sz w:val="16"/>
                <w:szCs w:val="16"/>
                <w:color w:val="auto"/>
              </w:rPr>
              <w:t>the remaining 23.5%.</w:t>
            </w:r>
          </w:p>
        </w:tc>
      </w:tr>
      <w:tr>
        <w:trPr>
          <w:trHeight w:val="177"/>
        </w:trPr>
        <w:tc>
          <w:tcPr>
            <w:tcW w:w="2220" w:type="dxa"/>
            <w:vAlign w:val="bottom"/>
            <w:gridSpan w:val="2"/>
          </w:tcPr>
          <w:p>
            <w:pPr>
              <w:ind w:left="20"/>
              <w:spacing w:after="0" w:line="178" w:lineRule="exact"/>
              <w:rPr>
                <w:sz w:val="20"/>
                <w:szCs w:val="20"/>
                <w:color w:val="auto"/>
              </w:rPr>
            </w:pPr>
            <w:r>
              <w:rPr>
                <w:rFonts w:ascii="Arial" w:cs="Arial" w:eastAsia="Arial" w:hAnsi="Arial"/>
                <w:sz w:val="16"/>
                <w:szCs w:val="16"/>
                <w:color w:val="auto"/>
              </w:rPr>
              <w:t>Wyodak Plant</w:t>
            </w:r>
          </w:p>
        </w:tc>
        <w:tc>
          <w:tcPr>
            <w:tcW w:w="9020" w:type="dxa"/>
            <w:vAlign w:val="bottom"/>
          </w:tcPr>
          <w:p>
            <w:pPr>
              <w:ind w:left="640"/>
              <w:spacing w:after="0" w:line="178" w:lineRule="exact"/>
              <w:rPr>
                <w:sz w:val="20"/>
                <w:szCs w:val="20"/>
                <w:color w:val="auto"/>
              </w:rPr>
            </w:pPr>
            <w:r>
              <w:rPr>
                <w:rFonts w:ascii="Arial" w:cs="Arial" w:eastAsia="Arial" w:hAnsi="Arial"/>
                <w:sz w:val="16"/>
                <w:szCs w:val="16"/>
                <w:color w:val="auto"/>
              </w:rPr>
              <w:t>The 362 MW mine-mouth, coal-fired generation facility near Gillette, Wyoming, jointly owned by PacifiCorp (80%)</w:t>
            </w:r>
          </w:p>
        </w:tc>
      </w:tr>
      <w:tr>
        <w:trPr>
          <w:trHeight w:val="198"/>
        </w:trPr>
        <w:tc>
          <w:tcPr>
            <w:tcW w:w="1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020" w:type="dxa"/>
            <w:vAlign w:val="bottom"/>
          </w:tcPr>
          <w:p>
            <w:pPr>
              <w:ind w:left="640"/>
              <w:spacing w:after="0"/>
              <w:rPr>
                <w:sz w:val="20"/>
                <w:szCs w:val="20"/>
                <w:color w:val="auto"/>
              </w:rPr>
            </w:pPr>
            <w:r>
              <w:rPr>
                <w:rFonts w:ascii="Arial" w:cs="Arial" w:eastAsia="Arial" w:hAnsi="Arial"/>
                <w:sz w:val="16"/>
                <w:szCs w:val="16"/>
                <w:color w:val="auto"/>
              </w:rPr>
              <w:t>and South Dakota Electric (20%). Our WRDC mine supplies all of the fuel for the facility.</w:t>
            </w:r>
          </w:p>
        </w:tc>
      </w:tr>
      <w:tr>
        <w:trPr>
          <w:trHeight w:val="180"/>
        </w:trPr>
        <w:tc>
          <w:tcPr>
            <w:tcW w:w="2220" w:type="dxa"/>
            <w:vAlign w:val="bottom"/>
            <w:gridSpan w:val="2"/>
            <w:shd w:val="clear" w:color="auto" w:fill="CEFFE7"/>
          </w:tcPr>
          <w:p>
            <w:pPr>
              <w:ind w:left="20"/>
              <w:spacing w:after="0" w:line="181" w:lineRule="exact"/>
              <w:rPr>
                <w:sz w:val="20"/>
                <w:szCs w:val="20"/>
                <w:color w:val="auto"/>
              </w:rPr>
            </w:pPr>
            <w:r>
              <w:rPr>
                <w:rFonts w:ascii="Arial" w:cs="Arial" w:eastAsia="Arial" w:hAnsi="Arial"/>
                <w:sz w:val="16"/>
                <w:szCs w:val="16"/>
                <w:color w:val="auto"/>
              </w:rPr>
              <w:t>Wyoming Electric</w:t>
            </w:r>
          </w:p>
        </w:tc>
        <w:tc>
          <w:tcPr>
            <w:tcW w:w="9020" w:type="dxa"/>
            <w:vAlign w:val="bottom"/>
            <w:shd w:val="clear" w:color="auto" w:fill="CEFFE7"/>
          </w:tcPr>
          <w:p>
            <w:pPr>
              <w:ind w:left="640"/>
              <w:spacing w:after="0" w:line="181" w:lineRule="exact"/>
              <w:rPr>
                <w:sz w:val="20"/>
                <w:szCs w:val="20"/>
                <w:color w:val="auto"/>
              </w:rPr>
            </w:pPr>
            <w:r>
              <w:rPr>
                <w:rFonts w:ascii="Arial" w:cs="Arial" w:eastAsia="Arial" w:hAnsi="Arial"/>
                <w:sz w:val="16"/>
                <w:szCs w:val="16"/>
                <w:color w:val="auto"/>
              </w:rPr>
              <w:t>Cheyenne Light, Fuel and Power Company, a direct, wholly-owned subsidiary of Black Hills Corporation, providing</w:t>
            </w:r>
          </w:p>
        </w:tc>
      </w:tr>
      <w:tr>
        <w:trPr>
          <w:trHeight w:val="201"/>
        </w:trPr>
        <w:tc>
          <w:tcPr>
            <w:tcW w:w="1360" w:type="dxa"/>
            <w:vAlign w:val="bottom"/>
            <w:shd w:val="clear" w:color="auto" w:fill="CEFFE7"/>
          </w:tcPr>
          <w:p>
            <w:pPr>
              <w:spacing w:after="0"/>
              <w:rPr>
                <w:sz w:val="17"/>
                <w:szCs w:val="17"/>
                <w:color w:val="auto"/>
              </w:rPr>
            </w:pPr>
          </w:p>
        </w:tc>
        <w:tc>
          <w:tcPr>
            <w:tcW w:w="860" w:type="dxa"/>
            <w:vAlign w:val="bottom"/>
            <w:shd w:val="clear" w:color="auto" w:fill="CEFFE7"/>
          </w:tcPr>
          <w:p>
            <w:pPr>
              <w:spacing w:after="0"/>
              <w:rPr>
                <w:sz w:val="17"/>
                <w:szCs w:val="17"/>
                <w:color w:val="auto"/>
              </w:rPr>
            </w:pPr>
          </w:p>
        </w:tc>
        <w:tc>
          <w:tcPr>
            <w:tcW w:w="9020" w:type="dxa"/>
            <w:vAlign w:val="bottom"/>
            <w:shd w:val="clear" w:color="auto" w:fill="CEFFE7"/>
          </w:tcPr>
          <w:p>
            <w:pPr>
              <w:ind w:left="640"/>
              <w:spacing w:after="0"/>
              <w:rPr>
                <w:sz w:val="20"/>
                <w:szCs w:val="20"/>
                <w:color w:val="auto"/>
              </w:rPr>
            </w:pPr>
            <w:r>
              <w:rPr>
                <w:rFonts w:ascii="Arial" w:cs="Arial" w:eastAsia="Arial" w:hAnsi="Arial"/>
                <w:sz w:val="16"/>
                <w:szCs w:val="16"/>
                <w:color w:val="auto"/>
              </w:rPr>
              <w:t>electric service to customers in the Cheyenne, Wyoming area (doing business as Black Hills Energy).</w:t>
            </w:r>
          </w:p>
        </w:tc>
      </w:tr>
      <w:tr>
        <w:trPr>
          <w:trHeight w:val="177"/>
        </w:trPr>
        <w:tc>
          <w:tcPr>
            <w:tcW w:w="2220" w:type="dxa"/>
            <w:vAlign w:val="bottom"/>
            <w:gridSpan w:val="2"/>
          </w:tcPr>
          <w:p>
            <w:pPr>
              <w:ind w:left="20"/>
              <w:spacing w:after="0" w:line="178" w:lineRule="exact"/>
              <w:rPr>
                <w:sz w:val="20"/>
                <w:szCs w:val="20"/>
                <w:color w:val="auto"/>
              </w:rPr>
            </w:pPr>
            <w:r>
              <w:rPr>
                <w:rFonts w:ascii="Arial" w:cs="Arial" w:eastAsia="Arial" w:hAnsi="Arial"/>
                <w:sz w:val="16"/>
                <w:szCs w:val="16"/>
                <w:color w:val="auto"/>
              </w:rPr>
              <w:t>Wyoming Gas</w:t>
            </w:r>
          </w:p>
        </w:tc>
        <w:tc>
          <w:tcPr>
            <w:tcW w:w="9020" w:type="dxa"/>
            <w:vAlign w:val="bottom"/>
          </w:tcPr>
          <w:p>
            <w:pPr>
              <w:ind w:left="640"/>
              <w:spacing w:after="0" w:line="178" w:lineRule="exact"/>
              <w:rPr>
                <w:sz w:val="20"/>
                <w:szCs w:val="20"/>
                <w:color w:val="auto"/>
              </w:rPr>
            </w:pPr>
            <w:r>
              <w:rPr>
                <w:rFonts w:ascii="Arial" w:cs="Arial" w:eastAsia="Arial" w:hAnsi="Arial"/>
                <w:sz w:val="16"/>
                <w:szCs w:val="16"/>
                <w:color w:val="auto"/>
              </w:rPr>
              <w:t>Black Hills Wyoming Gas, LLC, an indirect and wholly-owned subsidiary of Black Hills Utility Holdings, providing</w:t>
            </w:r>
          </w:p>
        </w:tc>
      </w:tr>
      <w:tr>
        <w:trPr>
          <w:trHeight w:val="195"/>
        </w:trPr>
        <w:tc>
          <w:tcPr>
            <w:tcW w:w="13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020" w:type="dxa"/>
            <w:vAlign w:val="bottom"/>
          </w:tcPr>
          <w:p>
            <w:pPr>
              <w:ind w:left="640"/>
              <w:spacing w:after="0"/>
              <w:rPr>
                <w:sz w:val="20"/>
                <w:szCs w:val="20"/>
                <w:color w:val="auto"/>
              </w:rPr>
            </w:pPr>
            <w:r>
              <w:rPr>
                <w:rFonts w:ascii="Arial" w:cs="Arial" w:eastAsia="Arial" w:hAnsi="Arial"/>
                <w:sz w:val="16"/>
                <w:szCs w:val="16"/>
                <w:color w:val="auto"/>
              </w:rPr>
              <w:t>natural gas services to customers in Wyoming (doing business as Black Hills Energy).</w:t>
            </w:r>
          </w:p>
        </w:tc>
      </w:tr>
      <w:tr>
        <w:trPr>
          <w:trHeight w:val="743"/>
        </w:trPr>
        <w:tc>
          <w:tcPr>
            <w:tcW w:w="1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020" w:type="dxa"/>
            <w:vAlign w:val="bottom"/>
          </w:tcPr>
          <w:p>
            <w:pPr>
              <w:ind w:left="3360"/>
              <w:spacing w:after="0"/>
              <w:rPr>
                <w:sz w:val="20"/>
                <w:szCs w:val="20"/>
                <w:color w:val="auto"/>
              </w:rPr>
            </w:pPr>
            <w:r>
              <w:rPr>
                <w:rFonts w:ascii="Arial" w:cs="Arial" w:eastAsia="Arial" w:hAnsi="Arial"/>
                <w:sz w:val="16"/>
                <w:szCs w:val="16"/>
                <w:color w:val="auto"/>
              </w:rPr>
              <w:t>6</w:t>
            </w:r>
          </w:p>
        </w:tc>
      </w:tr>
      <w:tr>
        <w:trPr>
          <w:trHeight w:val="350"/>
        </w:trPr>
        <w:tc>
          <w:tcPr>
            <w:tcW w:w="136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90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 w:name="page7"/>
    <w:bookmarkEnd w:id="6"/>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FORWARD-LOOKING INFORMATION</w:t>
      </w:r>
    </w:p>
    <w:p>
      <w:pPr>
        <w:spacing w:after="0" w:line="268" w:lineRule="exact"/>
        <w:rPr>
          <w:sz w:val="20"/>
          <w:szCs w:val="20"/>
          <w:color w:val="auto"/>
        </w:rPr>
      </w:pPr>
    </w:p>
    <w:p>
      <w:pPr>
        <w:ind w:right="120"/>
        <w:spacing w:after="0" w:line="249" w:lineRule="auto"/>
        <w:rPr>
          <w:sz w:val="20"/>
          <w:szCs w:val="20"/>
          <w:color w:val="auto"/>
        </w:rPr>
      </w:pPr>
      <w:r>
        <w:rPr>
          <w:rFonts w:ascii="Arial" w:cs="Arial" w:eastAsia="Arial" w:hAnsi="Arial"/>
          <w:sz w:val="16"/>
          <w:szCs w:val="16"/>
          <w:color w:val="auto"/>
        </w:rPr>
        <w:t>This Quarterly Report on Form 10-Q contains forward-looking statements as defined by the SEC. Forward-looking statements are all statements other than statements of historical fact, including without limitation those statements that are identified by the words “anticipates,” “estimates,” “expects,” “intends,” “plans,” “predicts” and similar expressions, and include statements concerning plans, objectives, goals, strategies, future events or performance, and underlying assumptions and other statements that are other than statements of historical facts. From time to time, the Company may publish or otherwise make available forward-looking statements of this nature, including statements contained within Item 2 - Management’s Discussion &amp; Analysis of Financial Condition and Results of Operations.</w:t>
      </w:r>
    </w:p>
    <w:p>
      <w:pPr>
        <w:spacing w:after="0" w:line="232"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Forward-looking statements involve risks and uncertainties, which could cause actual results or outcomes to differ materially from those expressed. The Company’s expectations, beliefs and projections are expressed in good faith and are believed by the Company to have a reasonable basis, including without limitation, management’s examination of historical operating trends, data contained in the Company’s records and other data available from third parties. Nonetheless, the Company’s expectations, beliefs or projections may not be achieved or accomplished.</w:t>
      </w:r>
    </w:p>
    <w:p>
      <w:pPr>
        <w:spacing w:after="0" w:line="229" w:lineRule="exact"/>
        <w:rPr>
          <w:sz w:val="20"/>
          <w:szCs w:val="20"/>
          <w:color w:val="auto"/>
        </w:rPr>
      </w:pPr>
    </w:p>
    <w:p>
      <w:pPr>
        <w:spacing w:after="0" w:line="248" w:lineRule="auto"/>
        <w:rPr>
          <w:rFonts w:ascii="Arial" w:cs="Arial" w:eastAsia="Arial" w:hAnsi="Arial"/>
          <w:sz w:val="16"/>
          <w:szCs w:val="16"/>
          <w:color w:val="0000FF"/>
        </w:rPr>
      </w:pPr>
      <w:r>
        <w:rPr>
          <w:rFonts w:ascii="Arial" w:cs="Arial" w:eastAsia="Arial" w:hAnsi="Arial"/>
          <w:sz w:val="16"/>
          <w:szCs w:val="16"/>
          <w:color w:val="auto"/>
        </w:rPr>
        <w:t xml:space="preserve">Any forward-looking statement contained in this document speaks only as of the date the statement was made. The Company undertakes no obligation to update any forward-looking statement or statements to reflect events or circumstances that occur after the date on which the statement was made or to reflect the occurrence of unanticipated events. New factors emerge from time to time, such as the COVID-19 pandemic or Winter Storm Uri, and it is not possible for management to predict all of the factors, nor can it assess the effect of each factor on the Company’s business or the extent to which any factor, or combination of factors, may cause actual results to differ materially from those contained in any forward-looking statement. All forward-looking statements, whether written or oral and whether made by or on behalf of the Company, are expressly qualified by the risk factors and cautionary statements described in </w:t>
      </w:r>
      <w:hyperlink w:anchor="page46">
        <w:r>
          <w:rPr>
            <w:rFonts w:ascii="Arial" w:cs="Arial" w:eastAsia="Arial" w:hAnsi="Arial"/>
            <w:sz w:val="16"/>
            <w:szCs w:val="16"/>
            <w:color w:val="auto"/>
          </w:rPr>
          <w:t xml:space="preserve">our 2020 Annual Report on Form 10-K including statements contained within Item 1A - Risk Factors of our 2020 Annual Report on Form 10-K, Part II, </w:t>
        </w:r>
        <w:r>
          <w:rPr>
            <w:rFonts w:ascii="Arial" w:cs="Arial" w:eastAsia="Arial" w:hAnsi="Arial"/>
            <w:sz w:val="16"/>
            <w:szCs w:val="16"/>
            <w:u w:val="single" w:color="auto"/>
            <w:color w:val="0000FF"/>
          </w:rPr>
          <w:t>Item</w:t>
        </w:r>
      </w:hyperlink>
      <w:r>
        <w:rPr>
          <w:rFonts w:ascii="Arial" w:cs="Arial" w:eastAsia="Arial" w:hAnsi="Arial"/>
          <w:sz w:val="16"/>
          <w:szCs w:val="16"/>
          <w:color w:val="auto"/>
        </w:rPr>
        <w:t xml:space="preserve"> </w:t>
      </w:r>
      <w:hyperlink w:anchor="page46">
        <w:r>
          <w:rPr>
            <w:rFonts w:ascii="Arial" w:cs="Arial" w:eastAsia="Arial" w:hAnsi="Arial"/>
            <w:sz w:val="16"/>
            <w:szCs w:val="16"/>
            <w:u w:val="single" w:color="auto"/>
            <w:color w:val="0000FF"/>
          </w:rPr>
          <w:t>1A</w:t>
        </w:r>
        <w:r>
          <w:rPr>
            <w:rFonts w:ascii="Arial" w:cs="Arial" w:eastAsia="Arial" w:hAnsi="Arial"/>
            <w:sz w:val="16"/>
            <w:szCs w:val="16"/>
            <w:color w:val="0000FF"/>
          </w:rPr>
          <w:t xml:space="preserve"> </w:t>
        </w:r>
        <w:r>
          <w:rPr>
            <w:rFonts w:ascii="Arial" w:cs="Arial" w:eastAsia="Arial" w:hAnsi="Arial"/>
            <w:sz w:val="16"/>
            <w:szCs w:val="16"/>
            <w:color w:val="000000"/>
          </w:rPr>
          <w:t>of this Quarterly Report on Form 10-Q and other reports that we file with the SEC from time to time.</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 w:name="page8"/>
    <w:bookmarkEnd w:id="7"/>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PART I.</w:t>
      </w:r>
      <w:r>
        <w:rPr>
          <w:sz w:val="20"/>
          <w:szCs w:val="20"/>
          <w:color w:val="auto"/>
        </w:rPr>
        <w:tab/>
      </w:r>
      <w:r>
        <w:rPr>
          <w:rFonts w:ascii="Arial" w:cs="Arial" w:eastAsia="Arial" w:hAnsi="Arial"/>
          <w:sz w:val="17"/>
          <w:szCs w:val="17"/>
          <w:b w:val="1"/>
          <w:bCs w:val="1"/>
          <w:color w:val="auto"/>
        </w:rPr>
        <w:t>FINANCIAL INFORMATION</w:t>
      </w:r>
    </w:p>
    <w:p>
      <w:pPr>
        <w:spacing w:after="0" w:line="25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FINANCIAL STATEMENTS</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BLACK HILLS CORPORATION</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INCOME</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300" w:type="dxa"/>
            <w:vAlign w:val="bottom"/>
          </w:tcPr>
          <w:p>
            <w:pPr>
              <w:ind w:left="20"/>
              <w:spacing w:after="0"/>
              <w:rPr>
                <w:sz w:val="20"/>
                <w:szCs w:val="20"/>
                <w:color w:val="auto"/>
              </w:rPr>
            </w:pPr>
            <w:r>
              <w:rPr>
                <w:rFonts w:ascii="Arial" w:cs="Arial" w:eastAsia="Arial" w:hAnsi="Arial"/>
                <w:sz w:val="16"/>
                <w:szCs w:val="16"/>
                <w:color w:val="auto"/>
              </w:rPr>
              <w:t>(unaudited)</w:t>
            </w:r>
          </w:p>
        </w:tc>
        <w:tc>
          <w:tcPr>
            <w:tcW w:w="300" w:type="dxa"/>
            <w:vAlign w:val="bottom"/>
          </w:tcPr>
          <w:p>
            <w:pPr>
              <w:spacing w:after="0"/>
              <w:rPr>
                <w:sz w:val="16"/>
                <w:szCs w:val="16"/>
                <w:color w:val="auto"/>
              </w:rPr>
            </w:pPr>
          </w:p>
        </w:tc>
        <w:tc>
          <w:tcPr>
            <w:tcW w:w="3640" w:type="dxa"/>
            <w:vAlign w:val="bottom"/>
            <w:gridSpan w:val="3"/>
          </w:tcPr>
          <w:p>
            <w:pPr>
              <w:jc w:val="right"/>
              <w:ind w:right="759"/>
              <w:spacing w:after="0"/>
              <w:rPr>
                <w:sz w:val="20"/>
                <w:szCs w:val="20"/>
                <w:color w:val="auto"/>
              </w:rPr>
            </w:pPr>
            <w:r>
              <w:rPr>
                <w:rFonts w:ascii="Arial" w:cs="Arial" w:eastAsia="Arial" w:hAnsi="Arial"/>
                <w:sz w:val="16"/>
                <w:szCs w:val="16"/>
                <w:color w:val="auto"/>
              </w:rPr>
              <w:t>Three Months Ended March 31,</w:t>
            </w:r>
          </w:p>
        </w:tc>
      </w:tr>
      <w:tr>
        <w:trPr>
          <w:trHeight w:val="219"/>
        </w:trPr>
        <w:tc>
          <w:tcPr>
            <w:tcW w:w="73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color w:val="auto"/>
              </w:rPr>
              <w:t>2021</w:t>
            </w:r>
          </w:p>
        </w:tc>
        <w:tc>
          <w:tcPr>
            <w:tcW w:w="4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color w:val="auto"/>
              </w:rPr>
              <w:t>2020</w:t>
            </w:r>
          </w:p>
        </w:tc>
      </w:tr>
      <w:tr>
        <w:trPr>
          <w:trHeight w:val="207"/>
        </w:trPr>
        <w:tc>
          <w:tcPr>
            <w:tcW w:w="7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40" w:type="dxa"/>
            <w:vAlign w:val="bottom"/>
            <w:gridSpan w:val="3"/>
          </w:tcPr>
          <w:p>
            <w:pPr>
              <w:jc w:val="right"/>
              <w:ind w:right="399"/>
              <w:spacing w:after="0"/>
              <w:rPr>
                <w:sz w:val="20"/>
                <w:szCs w:val="20"/>
                <w:color w:val="auto"/>
              </w:rPr>
            </w:pPr>
            <w:r>
              <w:rPr>
                <w:rFonts w:ascii="Arial" w:cs="Arial" w:eastAsia="Arial" w:hAnsi="Arial"/>
                <w:sz w:val="16"/>
                <w:szCs w:val="16"/>
                <w:color w:val="auto"/>
              </w:rPr>
              <w:t>(in thousands, except per share amounts)</w:t>
            </w:r>
          </w:p>
        </w:tc>
      </w:tr>
      <w:tr>
        <w:trPr>
          <w:trHeight w:val="154"/>
        </w:trPr>
        <w:tc>
          <w:tcPr>
            <w:tcW w:w="7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520" w:type="dxa"/>
            <w:vAlign w:val="bottom"/>
          </w:tcPr>
          <w:p>
            <w:pPr>
              <w:spacing w:after="0"/>
              <w:rPr>
                <w:sz w:val="13"/>
                <w:szCs w:val="13"/>
                <w:color w:val="auto"/>
              </w:rPr>
            </w:pPr>
          </w:p>
        </w:tc>
      </w:tr>
      <w:tr>
        <w:trPr>
          <w:trHeight w:val="213"/>
        </w:trPr>
        <w:tc>
          <w:tcPr>
            <w:tcW w:w="7300" w:type="dxa"/>
            <w:vAlign w:val="bottom"/>
            <w:shd w:val="clear" w:color="auto" w:fill="CEFFE7"/>
          </w:tcPr>
          <w:p>
            <w:pPr>
              <w:ind w:left="20"/>
              <w:spacing w:after="0"/>
              <w:rPr>
                <w:sz w:val="20"/>
                <w:szCs w:val="20"/>
                <w:color w:val="auto"/>
              </w:rPr>
            </w:pPr>
            <w:r>
              <w:rPr>
                <w:rFonts w:ascii="Arial" w:cs="Arial" w:eastAsia="Arial" w:hAnsi="Arial"/>
                <w:sz w:val="16"/>
                <w:szCs w:val="16"/>
                <w:color w:val="auto"/>
              </w:rPr>
              <w:t>Revenue</w:t>
            </w:r>
          </w:p>
        </w:tc>
        <w:tc>
          <w:tcPr>
            <w:tcW w:w="300" w:type="dxa"/>
            <w:vAlign w:val="bottom"/>
            <w:tcBorders>
              <w:bottom w:val="single" w:sz="8" w:color="auto"/>
            </w:tcBorders>
            <w:shd w:val="clear" w:color="auto" w:fill="CEFFE7"/>
          </w:tcPr>
          <w:p>
            <w:pPr>
              <w:jc w:val="right"/>
              <w:ind w:right="119"/>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633,432</w:t>
            </w:r>
          </w:p>
        </w:tc>
        <w:tc>
          <w:tcPr>
            <w:tcW w:w="460" w:type="dxa"/>
            <w:vAlign w:val="bottom"/>
            <w:tcBorders>
              <w:bottom w:val="single" w:sz="8" w:color="auto"/>
            </w:tcBorders>
            <w:shd w:val="clear" w:color="auto" w:fill="CEFFE7"/>
          </w:tcPr>
          <w:p>
            <w:pPr>
              <w:jc w:val="right"/>
              <w:ind w:right="259"/>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537,050</w:t>
            </w:r>
          </w:p>
        </w:tc>
      </w:tr>
      <w:tr>
        <w:trPr>
          <w:trHeight w:val="131"/>
        </w:trPr>
        <w:tc>
          <w:tcPr>
            <w:tcW w:w="7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520" w:type="dxa"/>
            <w:vAlign w:val="bottom"/>
          </w:tcPr>
          <w:p>
            <w:pPr>
              <w:spacing w:after="0"/>
              <w:rPr>
                <w:sz w:val="11"/>
                <w:szCs w:val="11"/>
                <w:color w:val="auto"/>
              </w:rPr>
            </w:pPr>
          </w:p>
        </w:tc>
      </w:tr>
      <w:tr>
        <w:trPr>
          <w:trHeight w:val="216"/>
        </w:trPr>
        <w:tc>
          <w:tcPr>
            <w:tcW w:w="7300" w:type="dxa"/>
            <w:vAlign w:val="bottom"/>
            <w:shd w:val="clear" w:color="auto" w:fill="CEFFE7"/>
          </w:tcPr>
          <w:p>
            <w:pPr>
              <w:ind w:left="20"/>
              <w:spacing w:after="0"/>
              <w:rPr>
                <w:sz w:val="20"/>
                <w:szCs w:val="20"/>
                <w:color w:val="auto"/>
              </w:rPr>
            </w:pPr>
            <w:r>
              <w:rPr>
                <w:rFonts w:ascii="Arial" w:cs="Arial" w:eastAsia="Arial" w:hAnsi="Arial"/>
                <w:sz w:val="16"/>
                <w:szCs w:val="16"/>
                <w:color w:val="auto"/>
              </w:rPr>
              <w:t>Operating expenses:</w:t>
            </w:r>
          </w:p>
        </w:tc>
        <w:tc>
          <w:tcPr>
            <w:tcW w:w="300" w:type="dxa"/>
            <w:vAlign w:val="bottom"/>
            <w:shd w:val="clear" w:color="auto" w:fill="CEFFE7"/>
          </w:tcPr>
          <w:p>
            <w:pPr>
              <w:spacing w:after="0"/>
              <w:rPr>
                <w:sz w:val="18"/>
                <w:szCs w:val="18"/>
                <w:color w:val="auto"/>
              </w:rPr>
            </w:pPr>
          </w:p>
        </w:tc>
        <w:tc>
          <w:tcPr>
            <w:tcW w:w="1660" w:type="dxa"/>
            <w:vAlign w:val="bottom"/>
            <w:shd w:val="clear" w:color="auto" w:fill="CEFFE7"/>
          </w:tcPr>
          <w:p>
            <w:pPr>
              <w:spacing w:after="0"/>
              <w:rPr>
                <w:sz w:val="18"/>
                <w:szCs w:val="18"/>
                <w:color w:val="auto"/>
              </w:rPr>
            </w:pPr>
          </w:p>
        </w:tc>
        <w:tc>
          <w:tcPr>
            <w:tcW w:w="460" w:type="dxa"/>
            <w:vAlign w:val="bottom"/>
            <w:shd w:val="clear" w:color="auto" w:fill="CEFFE7"/>
          </w:tcPr>
          <w:p>
            <w:pPr>
              <w:spacing w:after="0"/>
              <w:rPr>
                <w:sz w:val="18"/>
                <w:szCs w:val="18"/>
                <w:color w:val="auto"/>
              </w:rPr>
            </w:pPr>
          </w:p>
        </w:tc>
        <w:tc>
          <w:tcPr>
            <w:tcW w:w="1520" w:type="dxa"/>
            <w:vAlign w:val="bottom"/>
            <w:shd w:val="clear" w:color="auto" w:fill="CEFFE7"/>
          </w:tcPr>
          <w:p>
            <w:pPr>
              <w:spacing w:after="0"/>
              <w:rPr>
                <w:sz w:val="18"/>
                <w:szCs w:val="18"/>
                <w:color w:val="auto"/>
              </w:rPr>
            </w:pPr>
          </w:p>
        </w:tc>
      </w:tr>
      <w:tr>
        <w:trPr>
          <w:trHeight w:val="213"/>
        </w:trPr>
        <w:tc>
          <w:tcPr>
            <w:tcW w:w="7300" w:type="dxa"/>
            <w:vAlign w:val="bottom"/>
          </w:tcPr>
          <w:p>
            <w:pPr>
              <w:ind w:left="20"/>
              <w:spacing w:after="0"/>
              <w:rPr>
                <w:sz w:val="20"/>
                <w:szCs w:val="20"/>
                <w:color w:val="auto"/>
              </w:rPr>
            </w:pPr>
            <w:r>
              <w:rPr>
                <w:rFonts w:ascii="Arial" w:cs="Arial" w:eastAsia="Arial" w:hAnsi="Arial"/>
                <w:sz w:val="16"/>
                <w:szCs w:val="16"/>
                <w:color w:val="auto"/>
              </w:rPr>
              <w:t>Fuel, purchased power and cost of natural gas sold</w:t>
            </w:r>
          </w:p>
        </w:tc>
        <w:tc>
          <w:tcPr>
            <w:tcW w:w="3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293,147</w:t>
            </w:r>
          </w:p>
        </w:tc>
        <w:tc>
          <w:tcPr>
            <w:tcW w:w="4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187,879</w:t>
            </w:r>
          </w:p>
        </w:tc>
      </w:tr>
      <w:tr>
        <w:trPr>
          <w:trHeight w:val="219"/>
        </w:trPr>
        <w:tc>
          <w:tcPr>
            <w:tcW w:w="7300" w:type="dxa"/>
            <w:vAlign w:val="bottom"/>
            <w:shd w:val="clear" w:color="auto" w:fill="CEFFE7"/>
          </w:tcPr>
          <w:p>
            <w:pPr>
              <w:ind w:left="20"/>
              <w:spacing w:after="0"/>
              <w:rPr>
                <w:sz w:val="20"/>
                <w:szCs w:val="20"/>
                <w:color w:val="auto"/>
              </w:rPr>
            </w:pPr>
            <w:r>
              <w:rPr>
                <w:rFonts w:ascii="Arial" w:cs="Arial" w:eastAsia="Arial" w:hAnsi="Arial"/>
                <w:sz w:val="16"/>
                <w:szCs w:val="16"/>
                <w:color w:val="auto"/>
              </w:rPr>
              <w:t>Operations and maintenance</w:t>
            </w:r>
          </w:p>
        </w:tc>
        <w:tc>
          <w:tcPr>
            <w:tcW w:w="300" w:type="dxa"/>
            <w:vAlign w:val="bottom"/>
            <w:shd w:val="clear" w:color="auto" w:fill="CEFFE7"/>
          </w:tcPr>
          <w:p>
            <w:pPr>
              <w:spacing w:after="0"/>
              <w:rPr>
                <w:sz w:val="19"/>
                <w:szCs w:val="19"/>
                <w:color w:val="auto"/>
              </w:rPr>
            </w:pPr>
          </w:p>
        </w:tc>
        <w:tc>
          <w:tcPr>
            <w:tcW w:w="16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129,679</w:t>
            </w:r>
          </w:p>
        </w:tc>
        <w:tc>
          <w:tcPr>
            <w:tcW w:w="460" w:type="dxa"/>
            <w:vAlign w:val="bottom"/>
            <w:shd w:val="clear" w:color="auto" w:fill="CEFFE7"/>
          </w:tcPr>
          <w:p>
            <w:pPr>
              <w:spacing w:after="0"/>
              <w:rPr>
                <w:sz w:val="19"/>
                <w:szCs w:val="19"/>
                <w:color w:val="auto"/>
              </w:rPr>
            </w:pPr>
          </w:p>
        </w:tc>
        <w:tc>
          <w:tcPr>
            <w:tcW w:w="15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125,466</w:t>
            </w:r>
          </w:p>
        </w:tc>
      </w:tr>
      <w:tr>
        <w:trPr>
          <w:trHeight w:val="240"/>
        </w:trPr>
        <w:tc>
          <w:tcPr>
            <w:tcW w:w="7300" w:type="dxa"/>
            <w:vAlign w:val="bottom"/>
          </w:tcPr>
          <w:p>
            <w:pPr>
              <w:ind w:left="20"/>
              <w:spacing w:after="0"/>
              <w:rPr>
                <w:sz w:val="20"/>
                <w:szCs w:val="20"/>
                <w:color w:val="auto"/>
              </w:rPr>
            </w:pPr>
            <w:r>
              <w:rPr>
                <w:rFonts w:ascii="Arial" w:cs="Arial" w:eastAsia="Arial" w:hAnsi="Arial"/>
                <w:sz w:val="16"/>
                <w:szCs w:val="16"/>
                <w:color w:val="auto"/>
              </w:rPr>
              <w:t>Depreciation, depletion and amortization</w:t>
            </w:r>
          </w:p>
        </w:tc>
        <w:tc>
          <w:tcPr>
            <w:tcW w:w="30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57,269</w:t>
            </w:r>
          </w:p>
        </w:tc>
        <w:tc>
          <w:tcPr>
            <w:tcW w:w="4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56,402</w:t>
            </w:r>
          </w:p>
        </w:tc>
      </w:tr>
      <w:tr>
        <w:trPr>
          <w:trHeight w:val="216"/>
        </w:trPr>
        <w:tc>
          <w:tcPr>
            <w:tcW w:w="7300" w:type="dxa"/>
            <w:vAlign w:val="bottom"/>
            <w:shd w:val="clear" w:color="auto" w:fill="CEFFE7"/>
          </w:tcPr>
          <w:p>
            <w:pPr>
              <w:ind w:left="20"/>
              <w:spacing w:after="0"/>
              <w:rPr>
                <w:sz w:val="20"/>
                <w:szCs w:val="20"/>
                <w:color w:val="auto"/>
              </w:rPr>
            </w:pPr>
            <w:r>
              <w:rPr>
                <w:rFonts w:ascii="Arial" w:cs="Arial" w:eastAsia="Arial" w:hAnsi="Arial"/>
                <w:sz w:val="16"/>
                <w:szCs w:val="16"/>
                <w:color w:val="auto"/>
              </w:rPr>
              <w:t>Taxes - property and production</w:t>
            </w:r>
          </w:p>
        </w:tc>
        <w:tc>
          <w:tcPr>
            <w:tcW w:w="300" w:type="dxa"/>
            <w:vAlign w:val="bottom"/>
            <w:tcBorders>
              <w:bottom w:val="single" w:sz="8" w:color="auto"/>
            </w:tcBorders>
            <w:shd w:val="clear" w:color="auto" w:fill="CEFFE7"/>
          </w:tcPr>
          <w:p>
            <w:pPr>
              <w:spacing w:after="0"/>
              <w:rPr>
                <w:sz w:val="18"/>
                <w:szCs w:val="18"/>
                <w:color w:val="auto"/>
              </w:rPr>
            </w:pPr>
          </w:p>
        </w:tc>
        <w:tc>
          <w:tcPr>
            <w:tcW w:w="16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15,022</w:t>
            </w:r>
          </w:p>
        </w:tc>
        <w:tc>
          <w:tcPr>
            <w:tcW w:w="460" w:type="dxa"/>
            <w:vAlign w:val="bottom"/>
            <w:tcBorders>
              <w:bottom w:val="single" w:sz="8" w:color="auto"/>
            </w:tcBorders>
            <w:shd w:val="clear" w:color="auto" w:fill="CEFFE7"/>
          </w:tcPr>
          <w:p>
            <w:pPr>
              <w:spacing w:after="0"/>
              <w:rPr>
                <w:sz w:val="18"/>
                <w:szCs w:val="18"/>
                <w:color w:val="auto"/>
              </w:rPr>
            </w:pPr>
          </w:p>
        </w:tc>
        <w:tc>
          <w:tcPr>
            <w:tcW w:w="15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14,118</w:t>
            </w:r>
          </w:p>
        </w:tc>
      </w:tr>
      <w:tr>
        <w:trPr>
          <w:trHeight w:val="210"/>
        </w:trPr>
        <w:tc>
          <w:tcPr>
            <w:tcW w:w="7300" w:type="dxa"/>
            <w:vAlign w:val="bottom"/>
            <w:tcBorders>
              <w:bottom w:val="single" w:sz="8" w:color="CEFFE7"/>
            </w:tcBorders>
          </w:tcPr>
          <w:p>
            <w:pPr>
              <w:ind w:left="480"/>
              <w:spacing w:after="0"/>
              <w:rPr>
                <w:sz w:val="20"/>
                <w:szCs w:val="20"/>
                <w:color w:val="auto"/>
              </w:rPr>
            </w:pPr>
            <w:r>
              <w:rPr>
                <w:rFonts w:ascii="Arial" w:cs="Arial" w:eastAsia="Arial" w:hAnsi="Arial"/>
                <w:sz w:val="16"/>
                <w:szCs w:val="16"/>
                <w:color w:val="auto"/>
              </w:rPr>
              <w:t>Total operating expenses</w:t>
            </w:r>
          </w:p>
        </w:tc>
        <w:tc>
          <w:tcPr>
            <w:tcW w:w="3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495,117</w:t>
            </w:r>
          </w:p>
        </w:tc>
        <w:tc>
          <w:tcPr>
            <w:tcW w:w="4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383,865</w:t>
            </w:r>
          </w:p>
        </w:tc>
      </w:tr>
      <w:tr>
        <w:trPr>
          <w:trHeight w:val="131"/>
        </w:trPr>
        <w:tc>
          <w:tcPr>
            <w:tcW w:w="7300" w:type="dxa"/>
            <w:vAlign w:val="bottom"/>
            <w:shd w:val="clear" w:color="auto" w:fill="CEFFE7"/>
          </w:tcPr>
          <w:p>
            <w:pPr>
              <w:spacing w:after="0"/>
              <w:rPr>
                <w:sz w:val="11"/>
                <w:szCs w:val="11"/>
                <w:color w:val="auto"/>
              </w:rPr>
            </w:pPr>
          </w:p>
        </w:tc>
        <w:tc>
          <w:tcPr>
            <w:tcW w:w="300" w:type="dxa"/>
            <w:vAlign w:val="bottom"/>
            <w:shd w:val="clear" w:color="auto" w:fill="CEFFE7"/>
          </w:tcPr>
          <w:p>
            <w:pPr>
              <w:spacing w:after="0"/>
              <w:rPr>
                <w:sz w:val="11"/>
                <w:szCs w:val="11"/>
                <w:color w:val="auto"/>
              </w:rPr>
            </w:pPr>
          </w:p>
        </w:tc>
        <w:tc>
          <w:tcPr>
            <w:tcW w:w="1660" w:type="dxa"/>
            <w:vAlign w:val="bottom"/>
            <w:shd w:val="clear" w:color="auto" w:fill="CEFFE7"/>
          </w:tcPr>
          <w:p>
            <w:pPr>
              <w:spacing w:after="0"/>
              <w:rPr>
                <w:sz w:val="11"/>
                <w:szCs w:val="11"/>
                <w:color w:val="auto"/>
              </w:rPr>
            </w:pPr>
          </w:p>
        </w:tc>
        <w:tc>
          <w:tcPr>
            <w:tcW w:w="460" w:type="dxa"/>
            <w:vAlign w:val="bottom"/>
            <w:shd w:val="clear" w:color="auto" w:fill="CEFFE7"/>
          </w:tcPr>
          <w:p>
            <w:pPr>
              <w:spacing w:after="0"/>
              <w:rPr>
                <w:sz w:val="11"/>
                <w:szCs w:val="11"/>
                <w:color w:val="auto"/>
              </w:rPr>
            </w:pPr>
          </w:p>
        </w:tc>
        <w:tc>
          <w:tcPr>
            <w:tcW w:w="1520" w:type="dxa"/>
            <w:vAlign w:val="bottom"/>
            <w:shd w:val="clear" w:color="auto" w:fill="CEFFE7"/>
          </w:tcPr>
          <w:p>
            <w:pPr>
              <w:spacing w:after="0"/>
              <w:rPr>
                <w:sz w:val="11"/>
                <w:szCs w:val="11"/>
                <w:color w:val="auto"/>
              </w:rPr>
            </w:pPr>
          </w:p>
        </w:tc>
      </w:tr>
      <w:tr>
        <w:trPr>
          <w:trHeight w:val="213"/>
        </w:trPr>
        <w:tc>
          <w:tcPr>
            <w:tcW w:w="7300" w:type="dxa"/>
            <w:vAlign w:val="bottom"/>
            <w:tcBorders>
              <w:bottom w:val="single" w:sz="8" w:color="CEFFE7"/>
            </w:tcBorders>
          </w:tcPr>
          <w:p>
            <w:pPr>
              <w:ind w:left="20"/>
              <w:spacing w:after="0"/>
              <w:rPr>
                <w:sz w:val="20"/>
                <w:szCs w:val="20"/>
                <w:color w:val="auto"/>
              </w:rPr>
            </w:pPr>
            <w:r>
              <w:rPr>
                <w:rFonts w:ascii="Arial" w:cs="Arial" w:eastAsia="Arial" w:hAnsi="Arial"/>
                <w:sz w:val="16"/>
                <w:szCs w:val="16"/>
                <w:color w:val="auto"/>
              </w:rPr>
              <w:t>Operating income</w:t>
            </w:r>
          </w:p>
        </w:tc>
        <w:tc>
          <w:tcPr>
            <w:tcW w:w="3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138,315</w:t>
            </w:r>
          </w:p>
        </w:tc>
        <w:tc>
          <w:tcPr>
            <w:tcW w:w="4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153,185</w:t>
            </w:r>
          </w:p>
        </w:tc>
      </w:tr>
      <w:tr>
        <w:trPr>
          <w:trHeight w:val="131"/>
        </w:trPr>
        <w:tc>
          <w:tcPr>
            <w:tcW w:w="7300" w:type="dxa"/>
            <w:vAlign w:val="bottom"/>
            <w:shd w:val="clear" w:color="auto" w:fill="CEFFE7"/>
          </w:tcPr>
          <w:p>
            <w:pPr>
              <w:spacing w:after="0"/>
              <w:rPr>
                <w:sz w:val="11"/>
                <w:szCs w:val="11"/>
                <w:color w:val="auto"/>
              </w:rPr>
            </w:pPr>
          </w:p>
        </w:tc>
        <w:tc>
          <w:tcPr>
            <w:tcW w:w="300" w:type="dxa"/>
            <w:vAlign w:val="bottom"/>
            <w:shd w:val="clear" w:color="auto" w:fill="CEFFE7"/>
          </w:tcPr>
          <w:p>
            <w:pPr>
              <w:spacing w:after="0"/>
              <w:rPr>
                <w:sz w:val="11"/>
                <w:szCs w:val="11"/>
                <w:color w:val="auto"/>
              </w:rPr>
            </w:pPr>
          </w:p>
        </w:tc>
        <w:tc>
          <w:tcPr>
            <w:tcW w:w="1660" w:type="dxa"/>
            <w:vAlign w:val="bottom"/>
            <w:shd w:val="clear" w:color="auto" w:fill="CEFFE7"/>
          </w:tcPr>
          <w:p>
            <w:pPr>
              <w:spacing w:after="0"/>
              <w:rPr>
                <w:sz w:val="11"/>
                <w:szCs w:val="11"/>
                <w:color w:val="auto"/>
              </w:rPr>
            </w:pPr>
          </w:p>
        </w:tc>
        <w:tc>
          <w:tcPr>
            <w:tcW w:w="460" w:type="dxa"/>
            <w:vAlign w:val="bottom"/>
            <w:shd w:val="clear" w:color="auto" w:fill="CEFFE7"/>
          </w:tcPr>
          <w:p>
            <w:pPr>
              <w:spacing w:after="0"/>
              <w:rPr>
                <w:sz w:val="11"/>
                <w:szCs w:val="11"/>
                <w:color w:val="auto"/>
              </w:rPr>
            </w:pPr>
          </w:p>
        </w:tc>
        <w:tc>
          <w:tcPr>
            <w:tcW w:w="1520" w:type="dxa"/>
            <w:vAlign w:val="bottom"/>
            <w:shd w:val="clear" w:color="auto" w:fill="CEFFE7"/>
          </w:tcPr>
          <w:p>
            <w:pPr>
              <w:spacing w:after="0"/>
              <w:rPr>
                <w:sz w:val="11"/>
                <w:szCs w:val="11"/>
                <w:color w:val="auto"/>
              </w:rPr>
            </w:pPr>
          </w:p>
        </w:tc>
      </w:tr>
      <w:tr>
        <w:trPr>
          <w:trHeight w:val="213"/>
        </w:trPr>
        <w:tc>
          <w:tcPr>
            <w:tcW w:w="7300" w:type="dxa"/>
            <w:vAlign w:val="bottom"/>
          </w:tcPr>
          <w:p>
            <w:pPr>
              <w:ind w:left="20"/>
              <w:spacing w:after="0"/>
              <w:rPr>
                <w:sz w:val="20"/>
                <w:szCs w:val="20"/>
                <w:color w:val="auto"/>
              </w:rPr>
            </w:pPr>
            <w:r>
              <w:rPr>
                <w:rFonts w:ascii="Arial" w:cs="Arial" w:eastAsia="Arial" w:hAnsi="Arial"/>
                <w:sz w:val="16"/>
                <w:szCs w:val="16"/>
                <w:color w:val="auto"/>
              </w:rPr>
              <w:t>Other income (expense):</w:t>
            </w:r>
          </w:p>
        </w:tc>
        <w:tc>
          <w:tcPr>
            <w:tcW w:w="3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180"/>
        </w:trPr>
        <w:tc>
          <w:tcPr>
            <w:tcW w:w="7300" w:type="dxa"/>
            <w:vAlign w:val="bottom"/>
            <w:shd w:val="clear" w:color="auto" w:fill="CEFFE7"/>
          </w:tcPr>
          <w:p>
            <w:pPr>
              <w:ind w:left="20"/>
              <w:spacing w:after="0" w:line="181" w:lineRule="exact"/>
              <w:rPr>
                <w:sz w:val="20"/>
                <w:szCs w:val="20"/>
                <w:color w:val="auto"/>
              </w:rPr>
            </w:pPr>
            <w:r>
              <w:rPr>
                <w:rFonts w:ascii="Arial" w:cs="Arial" w:eastAsia="Arial" w:hAnsi="Arial"/>
                <w:sz w:val="16"/>
                <w:szCs w:val="16"/>
                <w:color w:val="auto"/>
              </w:rPr>
              <w:t>Interest expense incurred net of amounts capitalized (including amortization of debt issuance costs,</w:t>
            </w:r>
          </w:p>
        </w:tc>
        <w:tc>
          <w:tcPr>
            <w:tcW w:w="300" w:type="dxa"/>
            <w:vAlign w:val="bottom"/>
            <w:shd w:val="clear" w:color="auto" w:fill="CEFFE7"/>
          </w:tcPr>
          <w:p>
            <w:pPr>
              <w:spacing w:after="0"/>
              <w:rPr>
                <w:sz w:val="15"/>
                <w:szCs w:val="15"/>
                <w:color w:val="auto"/>
              </w:rPr>
            </w:pPr>
          </w:p>
        </w:tc>
        <w:tc>
          <w:tcPr>
            <w:tcW w:w="1660" w:type="dxa"/>
            <w:vAlign w:val="bottom"/>
            <w:shd w:val="clear" w:color="auto" w:fill="CEFFE7"/>
          </w:tcPr>
          <w:p>
            <w:pPr>
              <w:spacing w:after="0"/>
              <w:rPr>
                <w:sz w:val="15"/>
                <w:szCs w:val="15"/>
                <w:color w:val="auto"/>
              </w:rPr>
            </w:pPr>
          </w:p>
        </w:tc>
        <w:tc>
          <w:tcPr>
            <w:tcW w:w="460" w:type="dxa"/>
            <w:vAlign w:val="bottom"/>
            <w:shd w:val="clear" w:color="auto" w:fill="CEFFE7"/>
          </w:tcPr>
          <w:p>
            <w:pPr>
              <w:spacing w:after="0"/>
              <w:rPr>
                <w:sz w:val="15"/>
                <w:szCs w:val="15"/>
                <w:color w:val="auto"/>
              </w:rPr>
            </w:pPr>
          </w:p>
        </w:tc>
        <w:tc>
          <w:tcPr>
            <w:tcW w:w="1520" w:type="dxa"/>
            <w:vAlign w:val="bottom"/>
            <w:shd w:val="clear" w:color="auto" w:fill="CEFFE7"/>
          </w:tcPr>
          <w:p>
            <w:pPr>
              <w:spacing w:after="0"/>
              <w:rPr>
                <w:sz w:val="15"/>
                <w:szCs w:val="15"/>
                <w:color w:val="auto"/>
              </w:rPr>
            </w:pPr>
          </w:p>
        </w:tc>
      </w:tr>
      <w:tr>
        <w:trPr>
          <w:trHeight w:val="201"/>
        </w:trPr>
        <w:tc>
          <w:tcPr>
            <w:tcW w:w="7300" w:type="dxa"/>
            <w:vAlign w:val="bottom"/>
            <w:shd w:val="clear" w:color="auto" w:fill="CEFFE7"/>
          </w:tcPr>
          <w:p>
            <w:pPr>
              <w:ind w:left="20"/>
              <w:spacing w:after="0"/>
              <w:rPr>
                <w:sz w:val="20"/>
                <w:szCs w:val="20"/>
                <w:color w:val="auto"/>
              </w:rPr>
            </w:pPr>
            <w:r>
              <w:rPr>
                <w:rFonts w:ascii="Arial" w:cs="Arial" w:eastAsia="Arial" w:hAnsi="Arial"/>
                <w:sz w:val="16"/>
                <w:szCs w:val="16"/>
                <w:color w:val="auto"/>
              </w:rPr>
              <w:t>premiums and discounts)</w:t>
            </w:r>
          </w:p>
        </w:tc>
        <w:tc>
          <w:tcPr>
            <w:tcW w:w="300" w:type="dxa"/>
            <w:vAlign w:val="bottom"/>
            <w:shd w:val="clear" w:color="auto" w:fill="CEFFE7"/>
          </w:tcPr>
          <w:p>
            <w:pPr>
              <w:spacing w:after="0"/>
              <w:rPr>
                <w:sz w:val="17"/>
                <w:szCs w:val="17"/>
                <w:color w:val="auto"/>
              </w:rPr>
            </w:pPr>
          </w:p>
        </w:tc>
        <w:tc>
          <w:tcPr>
            <w:tcW w:w="16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(37,825)</w:t>
            </w:r>
          </w:p>
        </w:tc>
        <w:tc>
          <w:tcPr>
            <w:tcW w:w="460" w:type="dxa"/>
            <w:vAlign w:val="bottom"/>
            <w:shd w:val="clear" w:color="auto" w:fill="CEFFE7"/>
          </w:tcPr>
          <w:p>
            <w:pPr>
              <w:spacing w:after="0"/>
              <w:rPr>
                <w:sz w:val="17"/>
                <w:szCs w:val="17"/>
                <w:color w:val="auto"/>
              </w:rPr>
            </w:pPr>
          </w:p>
        </w:tc>
        <w:tc>
          <w:tcPr>
            <w:tcW w:w="15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(35,781)</w:t>
            </w:r>
          </w:p>
        </w:tc>
      </w:tr>
      <w:tr>
        <w:trPr>
          <w:trHeight w:val="213"/>
        </w:trPr>
        <w:tc>
          <w:tcPr>
            <w:tcW w:w="7300" w:type="dxa"/>
            <w:vAlign w:val="bottom"/>
          </w:tcPr>
          <w:p>
            <w:pPr>
              <w:ind w:left="20"/>
              <w:spacing w:after="0"/>
              <w:rPr>
                <w:sz w:val="20"/>
                <w:szCs w:val="20"/>
                <w:color w:val="auto"/>
              </w:rPr>
            </w:pPr>
            <w:r>
              <w:rPr>
                <w:rFonts w:ascii="Arial" w:cs="Arial" w:eastAsia="Arial" w:hAnsi="Arial"/>
                <w:sz w:val="16"/>
                <w:szCs w:val="16"/>
                <w:color w:val="auto"/>
              </w:rPr>
              <w:t>Interest income</w:t>
            </w:r>
          </w:p>
        </w:tc>
        <w:tc>
          <w:tcPr>
            <w:tcW w:w="3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225</w:t>
            </w:r>
          </w:p>
        </w:tc>
        <w:tc>
          <w:tcPr>
            <w:tcW w:w="4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328</w:t>
            </w:r>
          </w:p>
        </w:tc>
      </w:tr>
      <w:tr>
        <w:trPr>
          <w:trHeight w:val="219"/>
        </w:trPr>
        <w:tc>
          <w:tcPr>
            <w:tcW w:w="7300" w:type="dxa"/>
            <w:vAlign w:val="bottom"/>
            <w:shd w:val="clear" w:color="auto" w:fill="CEFFE7"/>
          </w:tcPr>
          <w:p>
            <w:pPr>
              <w:ind w:left="20"/>
              <w:spacing w:after="0"/>
              <w:rPr>
                <w:sz w:val="20"/>
                <w:szCs w:val="20"/>
                <w:color w:val="auto"/>
              </w:rPr>
            </w:pPr>
            <w:r>
              <w:rPr>
                <w:rFonts w:ascii="Arial" w:cs="Arial" w:eastAsia="Arial" w:hAnsi="Arial"/>
                <w:sz w:val="16"/>
                <w:szCs w:val="16"/>
                <w:color w:val="auto"/>
              </w:rPr>
              <w:t>Impairment of investment</w:t>
            </w:r>
          </w:p>
        </w:tc>
        <w:tc>
          <w:tcPr>
            <w:tcW w:w="300" w:type="dxa"/>
            <w:vAlign w:val="bottom"/>
            <w:shd w:val="clear" w:color="auto" w:fill="CEFFE7"/>
          </w:tcPr>
          <w:p>
            <w:pPr>
              <w:spacing w:after="0"/>
              <w:rPr>
                <w:sz w:val="19"/>
                <w:szCs w:val="19"/>
                <w:color w:val="auto"/>
              </w:rPr>
            </w:pPr>
          </w:p>
        </w:tc>
        <w:tc>
          <w:tcPr>
            <w:tcW w:w="16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460" w:type="dxa"/>
            <w:vAlign w:val="bottom"/>
            <w:shd w:val="clear" w:color="auto" w:fill="CEFFE7"/>
          </w:tcPr>
          <w:p>
            <w:pPr>
              <w:spacing w:after="0"/>
              <w:rPr>
                <w:sz w:val="19"/>
                <w:szCs w:val="19"/>
                <w:color w:val="auto"/>
              </w:rPr>
            </w:pPr>
          </w:p>
        </w:tc>
        <w:tc>
          <w:tcPr>
            <w:tcW w:w="15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(6,859)</w:t>
            </w:r>
          </w:p>
        </w:tc>
      </w:tr>
      <w:tr>
        <w:trPr>
          <w:trHeight w:val="213"/>
        </w:trPr>
        <w:tc>
          <w:tcPr>
            <w:tcW w:w="7300" w:type="dxa"/>
            <w:vAlign w:val="bottom"/>
            <w:tcBorders>
              <w:bottom w:val="single" w:sz="8" w:color="CEFFE7"/>
            </w:tcBorders>
          </w:tcPr>
          <w:p>
            <w:pPr>
              <w:ind w:left="20"/>
              <w:spacing w:after="0"/>
              <w:rPr>
                <w:sz w:val="20"/>
                <w:szCs w:val="20"/>
                <w:color w:val="auto"/>
              </w:rPr>
            </w:pPr>
            <w:r>
              <w:rPr>
                <w:rFonts w:ascii="Arial" w:cs="Arial" w:eastAsia="Arial" w:hAnsi="Arial"/>
                <w:sz w:val="16"/>
                <w:szCs w:val="16"/>
                <w:color w:val="auto"/>
              </w:rPr>
              <w:t>Other income (expense), net</w:t>
            </w:r>
          </w:p>
        </w:tc>
        <w:tc>
          <w:tcPr>
            <w:tcW w:w="3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266</w:t>
            </w:r>
          </w:p>
        </w:tc>
        <w:tc>
          <w:tcPr>
            <w:tcW w:w="4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2,353</w:t>
            </w:r>
          </w:p>
        </w:tc>
      </w:tr>
      <w:tr>
        <w:trPr>
          <w:trHeight w:val="209"/>
        </w:trPr>
        <w:tc>
          <w:tcPr>
            <w:tcW w:w="7300" w:type="dxa"/>
            <w:vAlign w:val="bottom"/>
            <w:shd w:val="clear" w:color="auto" w:fill="CEFFE7"/>
          </w:tcPr>
          <w:p>
            <w:pPr>
              <w:ind w:left="480"/>
              <w:spacing w:after="0"/>
              <w:rPr>
                <w:sz w:val="20"/>
                <w:szCs w:val="20"/>
                <w:color w:val="auto"/>
              </w:rPr>
            </w:pPr>
            <w:r>
              <w:rPr>
                <w:rFonts w:ascii="Arial" w:cs="Arial" w:eastAsia="Arial" w:hAnsi="Arial"/>
                <w:sz w:val="16"/>
                <w:szCs w:val="16"/>
                <w:color w:val="auto"/>
              </w:rPr>
              <w:t>Total other income (expense)</w:t>
            </w:r>
          </w:p>
        </w:tc>
        <w:tc>
          <w:tcPr>
            <w:tcW w:w="300" w:type="dxa"/>
            <w:vAlign w:val="bottom"/>
            <w:tcBorders>
              <w:bottom w:val="single" w:sz="8" w:color="auto"/>
            </w:tcBorders>
            <w:shd w:val="clear" w:color="auto" w:fill="CEFFE7"/>
          </w:tcPr>
          <w:p>
            <w:pPr>
              <w:spacing w:after="0"/>
              <w:rPr>
                <w:sz w:val="18"/>
                <w:szCs w:val="18"/>
                <w:color w:val="auto"/>
              </w:rPr>
            </w:pPr>
          </w:p>
        </w:tc>
        <w:tc>
          <w:tcPr>
            <w:tcW w:w="16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(37,334)</w:t>
            </w:r>
          </w:p>
        </w:tc>
        <w:tc>
          <w:tcPr>
            <w:tcW w:w="460" w:type="dxa"/>
            <w:vAlign w:val="bottom"/>
            <w:tcBorders>
              <w:bottom w:val="single" w:sz="8" w:color="auto"/>
            </w:tcBorders>
            <w:shd w:val="clear" w:color="auto" w:fill="CEFFE7"/>
          </w:tcPr>
          <w:p>
            <w:pPr>
              <w:spacing w:after="0"/>
              <w:rPr>
                <w:sz w:val="18"/>
                <w:szCs w:val="18"/>
                <w:color w:val="auto"/>
              </w:rPr>
            </w:pPr>
          </w:p>
        </w:tc>
        <w:tc>
          <w:tcPr>
            <w:tcW w:w="15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(39,959)</w:t>
            </w:r>
          </w:p>
        </w:tc>
      </w:tr>
      <w:tr>
        <w:trPr>
          <w:trHeight w:val="132"/>
        </w:trPr>
        <w:tc>
          <w:tcPr>
            <w:tcW w:w="7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520" w:type="dxa"/>
            <w:vAlign w:val="bottom"/>
          </w:tcPr>
          <w:p>
            <w:pPr>
              <w:spacing w:after="0"/>
              <w:rPr>
                <w:sz w:val="11"/>
                <w:szCs w:val="11"/>
                <w:color w:val="auto"/>
              </w:rPr>
            </w:pPr>
          </w:p>
        </w:tc>
      </w:tr>
      <w:tr>
        <w:trPr>
          <w:trHeight w:val="216"/>
        </w:trPr>
        <w:tc>
          <w:tcPr>
            <w:tcW w:w="7300" w:type="dxa"/>
            <w:vAlign w:val="bottom"/>
            <w:shd w:val="clear" w:color="auto" w:fill="CEFFE7"/>
          </w:tcPr>
          <w:p>
            <w:pPr>
              <w:ind w:left="20"/>
              <w:spacing w:after="0"/>
              <w:rPr>
                <w:sz w:val="20"/>
                <w:szCs w:val="20"/>
                <w:color w:val="auto"/>
              </w:rPr>
            </w:pPr>
            <w:r>
              <w:rPr>
                <w:rFonts w:ascii="Arial" w:cs="Arial" w:eastAsia="Arial" w:hAnsi="Arial"/>
                <w:sz w:val="16"/>
                <w:szCs w:val="16"/>
                <w:color w:val="auto"/>
              </w:rPr>
              <w:t>Income before income taxes</w:t>
            </w:r>
          </w:p>
        </w:tc>
        <w:tc>
          <w:tcPr>
            <w:tcW w:w="300" w:type="dxa"/>
            <w:vAlign w:val="bottom"/>
            <w:shd w:val="clear" w:color="auto" w:fill="CEFFE7"/>
          </w:tcPr>
          <w:p>
            <w:pPr>
              <w:spacing w:after="0"/>
              <w:rPr>
                <w:sz w:val="18"/>
                <w:szCs w:val="18"/>
                <w:color w:val="auto"/>
              </w:rPr>
            </w:pPr>
          </w:p>
        </w:tc>
        <w:tc>
          <w:tcPr>
            <w:tcW w:w="16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100,981</w:t>
            </w:r>
          </w:p>
        </w:tc>
        <w:tc>
          <w:tcPr>
            <w:tcW w:w="460" w:type="dxa"/>
            <w:vAlign w:val="bottom"/>
            <w:shd w:val="clear" w:color="auto" w:fill="CEFFE7"/>
          </w:tcPr>
          <w:p>
            <w:pPr>
              <w:spacing w:after="0"/>
              <w:rPr>
                <w:sz w:val="18"/>
                <w:szCs w:val="18"/>
                <w:color w:val="auto"/>
              </w:rPr>
            </w:pPr>
          </w:p>
        </w:tc>
        <w:tc>
          <w:tcPr>
            <w:tcW w:w="15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113,226</w:t>
            </w:r>
          </w:p>
        </w:tc>
      </w:tr>
      <w:tr>
        <w:trPr>
          <w:trHeight w:val="213"/>
        </w:trPr>
        <w:tc>
          <w:tcPr>
            <w:tcW w:w="7300" w:type="dxa"/>
            <w:vAlign w:val="bottom"/>
            <w:tcBorders>
              <w:bottom w:val="single" w:sz="8" w:color="CEFFE7"/>
            </w:tcBorders>
          </w:tcPr>
          <w:p>
            <w:pPr>
              <w:ind w:left="20"/>
              <w:spacing w:after="0"/>
              <w:rPr>
                <w:sz w:val="20"/>
                <w:szCs w:val="20"/>
                <w:color w:val="auto"/>
              </w:rPr>
            </w:pPr>
            <w:r>
              <w:rPr>
                <w:rFonts w:ascii="Arial" w:cs="Arial" w:eastAsia="Arial" w:hAnsi="Arial"/>
                <w:sz w:val="16"/>
                <w:szCs w:val="16"/>
                <w:color w:val="auto"/>
              </w:rPr>
              <w:t>Income tax (expense)</w:t>
            </w:r>
          </w:p>
        </w:tc>
        <w:tc>
          <w:tcPr>
            <w:tcW w:w="3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(494)</w:t>
            </w:r>
          </w:p>
        </w:tc>
        <w:tc>
          <w:tcPr>
            <w:tcW w:w="4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(16,002)</w:t>
            </w:r>
          </w:p>
        </w:tc>
      </w:tr>
      <w:tr>
        <w:trPr>
          <w:trHeight w:val="213"/>
        </w:trPr>
        <w:tc>
          <w:tcPr>
            <w:tcW w:w="7300" w:type="dxa"/>
            <w:vAlign w:val="bottom"/>
            <w:shd w:val="clear" w:color="auto" w:fill="CEFFE7"/>
          </w:tcPr>
          <w:p>
            <w:pPr>
              <w:ind w:left="140"/>
              <w:spacing w:after="0"/>
              <w:rPr>
                <w:sz w:val="20"/>
                <w:szCs w:val="20"/>
                <w:color w:val="auto"/>
              </w:rPr>
            </w:pPr>
            <w:r>
              <w:rPr>
                <w:rFonts w:ascii="Arial" w:cs="Arial" w:eastAsia="Arial" w:hAnsi="Arial"/>
                <w:sz w:val="16"/>
                <w:szCs w:val="16"/>
                <w:color w:val="auto"/>
              </w:rPr>
              <w:t>Net income</w:t>
            </w:r>
          </w:p>
        </w:tc>
        <w:tc>
          <w:tcPr>
            <w:tcW w:w="300" w:type="dxa"/>
            <w:vAlign w:val="bottom"/>
            <w:shd w:val="clear" w:color="auto" w:fill="CEFFE7"/>
          </w:tcPr>
          <w:p>
            <w:pPr>
              <w:spacing w:after="0"/>
              <w:rPr>
                <w:sz w:val="18"/>
                <w:szCs w:val="18"/>
                <w:color w:val="auto"/>
              </w:rPr>
            </w:pPr>
          </w:p>
        </w:tc>
        <w:tc>
          <w:tcPr>
            <w:tcW w:w="16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100,487</w:t>
            </w:r>
          </w:p>
        </w:tc>
        <w:tc>
          <w:tcPr>
            <w:tcW w:w="460" w:type="dxa"/>
            <w:vAlign w:val="bottom"/>
            <w:shd w:val="clear" w:color="auto" w:fill="CEFFE7"/>
          </w:tcPr>
          <w:p>
            <w:pPr>
              <w:spacing w:after="0"/>
              <w:rPr>
                <w:sz w:val="18"/>
                <w:szCs w:val="18"/>
                <w:color w:val="auto"/>
              </w:rPr>
            </w:pPr>
          </w:p>
        </w:tc>
        <w:tc>
          <w:tcPr>
            <w:tcW w:w="15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97,224</w:t>
            </w:r>
          </w:p>
        </w:tc>
      </w:tr>
      <w:tr>
        <w:trPr>
          <w:trHeight w:val="213"/>
        </w:trPr>
        <w:tc>
          <w:tcPr>
            <w:tcW w:w="7300" w:type="dxa"/>
            <w:vAlign w:val="bottom"/>
            <w:tcBorders>
              <w:bottom w:val="single" w:sz="8" w:color="CEFFE7"/>
            </w:tcBorders>
          </w:tcPr>
          <w:p>
            <w:pPr>
              <w:ind w:left="20"/>
              <w:spacing w:after="0"/>
              <w:rPr>
                <w:sz w:val="20"/>
                <w:szCs w:val="20"/>
                <w:color w:val="auto"/>
              </w:rPr>
            </w:pPr>
            <w:r>
              <w:rPr>
                <w:rFonts w:ascii="Arial" w:cs="Arial" w:eastAsia="Arial" w:hAnsi="Arial"/>
                <w:sz w:val="16"/>
                <w:szCs w:val="16"/>
                <w:color w:val="auto"/>
              </w:rPr>
              <w:t>Net income attributable to noncontrolling interest</w:t>
            </w:r>
          </w:p>
        </w:tc>
        <w:tc>
          <w:tcPr>
            <w:tcW w:w="3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(4,171)</w:t>
            </w:r>
          </w:p>
        </w:tc>
        <w:tc>
          <w:tcPr>
            <w:tcW w:w="4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(4,050)</w:t>
            </w:r>
          </w:p>
        </w:tc>
      </w:tr>
      <w:tr>
        <w:trPr>
          <w:trHeight w:val="238"/>
        </w:trPr>
        <w:tc>
          <w:tcPr>
            <w:tcW w:w="730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Net income available for common stock</w:t>
            </w:r>
          </w:p>
        </w:tc>
        <w:tc>
          <w:tcPr>
            <w:tcW w:w="300" w:type="dxa"/>
            <w:vAlign w:val="bottom"/>
            <w:tcBorders>
              <w:bottom w:val="single" w:sz="8" w:color="auto"/>
            </w:tcBorders>
            <w:shd w:val="clear" w:color="auto" w:fill="CEFFE7"/>
          </w:tcPr>
          <w:p>
            <w:pPr>
              <w:jc w:val="right"/>
              <w:ind w:right="119"/>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96,316</w:t>
            </w:r>
          </w:p>
        </w:tc>
        <w:tc>
          <w:tcPr>
            <w:tcW w:w="460" w:type="dxa"/>
            <w:vAlign w:val="bottom"/>
            <w:tcBorders>
              <w:bottom w:val="single" w:sz="8" w:color="auto"/>
            </w:tcBorders>
            <w:shd w:val="clear" w:color="auto" w:fill="CEFFE7"/>
          </w:tcPr>
          <w:p>
            <w:pPr>
              <w:jc w:val="right"/>
              <w:ind w:right="259"/>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93,174</w:t>
            </w:r>
          </w:p>
        </w:tc>
      </w:tr>
      <w:tr>
        <w:trPr>
          <w:trHeight w:val="20"/>
        </w:trPr>
        <w:tc>
          <w:tcPr>
            <w:tcW w:w="7300" w:type="dxa"/>
            <w:vAlign w:val="bottom"/>
            <w:tcBorders>
              <w:top w:val="single" w:sz="8" w:color="CEFFE7"/>
            </w:tcBorders>
          </w:tcPr>
          <w:p>
            <w:pPr>
              <w:spacing w:after="0" w:line="20" w:lineRule="exact"/>
              <w:rPr>
                <w:sz w:val="1"/>
                <w:szCs w:val="1"/>
                <w:color w:val="auto"/>
              </w:rPr>
            </w:pPr>
          </w:p>
        </w:tc>
        <w:tc>
          <w:tcPr>
            <w:tcW w:w="300" w:type="dxa"/>
            <w:vAlign w:val="bottom"/>
            <w:tcBorders>
              <w:top w:val="single" w:sz="8" w:color="CEFFE7"/>
              <w:bottom w:val="single" w:sz="8" w:color="auto"/>
            </w:tcBorders>
          </w:tcPr>
          <w:p>
            <w:pPr>
              <w:spacing w:after="0" w:line="20" w:lineRule="exact"/>
              <w:rPr>
                <w:sz w:val="1"/>
                <w:szCs w:val="1"/>
                <w:color w:val="auto"/>
              </w:rPr>
            </w:pPr>
          </w:p>
        </w:tc>
        <w:tc>
          <w:tcPr>
            <w:tcW w:w="1660" w:type="dxa"/>
            <w:vAlign w:val="bottom"/>
            <w:tcBorders>
              <w:top w:val="single" w:sz="8" w:color="CEFFE7"/>
              <w:bottom w:val="single" w:sz="8" w:color="auto"/>
            </w:tcBorders>
          </w:tcPr>
          <w:p>
            <w:pPr>
              <w:spacing w:after="0" w:line="20" w:lineRule="exact"/>
              <w:rPr>
                <w:sz w:val="1"/>
                <w:szCs w:val="1"/>
                <w:color w:val="auto"/>
              </w:rPr>
            </w:pPr>
          </w:p>
        </w:tc>
        <w:tc>
          <w:tcPr>
            <w:tcW w:w="460" w:type="dxa"/>
            <w:vAlign w:val="bottom"/>
            <w:tcBorders>
              <w:top w:val="single" w:sz="8" w:color="CEFFE7"/>
              <w:bottom w:val="single" w:sz="8" w:color="auto"/>
            </w:tcBorders>
          </w:tcPr>
          <w:p>
            <w:pPr>
              <w:spacing w:after="0" w:line="20" w:lineRule="exact"/>
              <w:rPr>
                <w:sz w:val="1"/>
                <w:szCs w:val="1"/>
                <w:color w:val="auto"/>
              </w:rPr>
            </w:pPr>
          </w:p>
        </w:tc>
        <w:tc>
          <w:tcPr>
            <w:tcW w:w="1520" w:type="dxa"/>
            <w:vAlign w:val="bottom"/>
            <w:tcBorders>
              <w:top w:val="single" w:sz="8" w:color="CEFFE7"/>
              <w:bottom w:val="single" w:sz="8" w:color="auto"/>
            </w:tcBorders>
          </w:tcPr>
          <w:p>
            <w:pPr>
              <w:spacing w:after="0" w:line="20" w:lineRule="exact"/>
              <w:rPr>
                <w:sz w:val="1"/>
                <w:szCs w:val="1"/>
                <w:color w:val="auto"/>
              </w:rPr>
            </w:pPr>
          </w:p>
        </w:tc>
      </w:tr>
      <w:tr>
        <w:trPr>
          <w:trHeight w:val="95"/>
        </w:trPr>
        <w:tc>
          <w:tcPr>
            <w:tcW w:w="7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520" w:type="dxa"/>
            <w:vAlign w:val="bottom"/>
          </w:tcPr>
          <w:p>
            <w:pPr>
              <w:spacing w:after="0"/>
              <w:rPr>
                <w:sz w:val="8"/>
                <w:szCs w:val="8"/>
                <w:color w:val="auto"/>
              </w:rPr>
            </w:pPr>
          </w:p>
        </w:tc>
      </w:tr>
      <w:tr>
        <w:trPr>
          <w:trHeight w:val="216"/>
        </w:trPr>
        <w:tc>
          <w:tcPr>
            <w:tcW w:w="7300" w:type="dxa"/>
            <w:vAlign w:val="bottom"/>
            <w:shd w:val="clear" w:color="auto" w:fill="CEFFE7"/>
          </w:tcPr>
          <w:p>
            <w:pPr>
              <w:ind w:left="20"/>
              <w:spacing w:after="0"/>
              <w:rPr>
                <w:sz w:val="20"/>
                <w:szCs w:val="20"/>
                <w:color w:val="auto"/>
              </w:rPr>
            </w:pPr>
            <w:r>
              <w:rPr>
                <w:rFonts w:ascii="Arial" w:cs="Arial" w:eastAsia="Arial" w:hAnsi="Arial"/>
                <w:sz w:val="16"/>
                <w:szCs w:val="16"/>
                <w:color w:val="auto"/>
              </w:rPr>
              <w:t>Earnings per share of common stock:</w:t>
            </w:r>
          </w:p>
        </w:tc>
        <w:tc>
          <w:tcPr>
            <w:tcW w:w="300" w:type="dxa"/>
            <w:vAlign w:val="bottom"/>
            <w:shd w:val="clear" w:color="auto" w:fill="CEFFE7"/>
          </w:tcPr>
          <w:p>
            <w:pPr>
              <w:spacing w:after="0"/>
              <w:rPr>
                <w:sz w:val="18"/>
                <w:szCs w:val="18"/>
                <w:color w:val="auto"/>
              </w:rPr>
            </w:pPr>
          </w:p>
        </w:tc>
        <w:tc>
          <w:tcPr>
            <w:tcW w:w="1660" w:type="dxa"/>
            <w:vAlign w:val="bottom"/>
            <w:shd w:val="clear" w:color="auto" w:fill="CEFFE7"/>
          </w:tcPr>
          <w:p>
            <w:pPr>
              <w:spacing w:after="0"/>
              <w:rPr>
                <w:sz w:val="18"/>
                <w:szCs w:val="18"/>
                <w:color w:val="auto"/>
              </w:rPr>
            </w:pPr>
          </w:p>
        </w:tc>
        <w:tc>
          <w:tcPr>
            <w:tcW w:w="460" w:type="dxa"/>
            <w:vAlign w:val="bottom"/>
            <w:shd w:val="clear" w:color="auto" w:fill="CEFFE7"/>
          </w:tcPr>
          <w:p>
            <w:pPr>
              <w:spacing w:after="0"/>
              <w:rPr>
                <w:sz w:val="18"/>
                <w:szCs w:val="18"/>
                <w:color w:val="auto"/>
              </w:rPr>
            </w:pPr>
          </w:p>
        </w:tc>
        <w:tc>
          <w:tcPr>
            <w:tcW w:w="1520" w:type="dxa"/>
            <w:vAlign w:val="bottom"/>
            <w:shd w:val="clear" w:color="auto" w:fill="CEFFE7"/>
          </w:tcPr>
          <w:p>
            <w:pPr>
              <w:spacing w:after="0"/>
              <w:rPr>
                <w:sz w:val="18"/>
                <w:szCs w:val="18"/>
                <w:color w:val="auto"/>
              </w:rPr>
            </w:pPr>
          </w:p>
        </w:tc>
      </w:tr>
      <w:tr>
        <w:trPr>
          <w:trHeight w:val="216"/>
        </w:trPr>
        <w:tc>
          <w:tcPr>
            <w:tcW w:w="7300" w:type="dxa"/>
            <w:vAlign w:val="bottom"/>
          </w:tcPr>
          <w:p>
            <w:pPr>
              <w:ind w:left="180"/>
              <w:spacing w:after="0"/>
              <w:rPr>
                <w:sz w:val="20"/>
                <w:szCs w:val="20"/>
                <w:color w:val="auto"/>
              </w:rPr>
            </w:pPr>
            <w:r>
              <w:rPr>
                <w:rFonts w:ascii="Arial" w:cs="Arial" w:eastAsia="Arial" w:hAnsi="Arial"/>
                <w:sz w:val="16"/>
                <w:szCs w:val="16"/>
                <w:color w:val="auto"/>
              </w:rPr>
              <w:t>Earnings per share, Basic</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w:t>
            </w:r>
          </w:p>
        </w:tc>
        <w:tc>
          <w:tcPr>
            <w:tcW w:w="4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w:t>
            </w:r>
          </w:p>
        </w:tc>
      </w:tr>
      <w:tr>
        <w:trPr>
          <w:trHeight w:val="20"/>
        </w:trPr>
        <w:tc>
          <w:tcPr>
            <w:tcW w:w="7300" w:type="dxa"/>
            <w:vAlign w:val="bottom"/>
            <w:tcBorders>
              <w:bottom w:val="single" w:sz="8" w:color="CEFFE7"/>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235"/>
        </w:trPr>
        <w:tc>
          <w:tcPr>
            <w:tcW w:w="730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6"/>
                <w:szCs w:val="16"/>
                <w:color w:val="auto"/>
              </w:rPr>
              <w:t>Earnings per share, Diluted</w:t>
            </w:r>
          </w:p>
        </w:tc>
        <w:tc>
          <w:tcPr>
            <w:tcW w:w="300" w:type="dxa"/>
            <w:vAlign w:val="bottom"/>
            <w:tcBorders>
              <w:bottom w:val="single" w:sz="8" w:color="auto"/>
            </w:tcBorders>
            <w:shd w:val="clear" w:color="auto" w:fill="CEFFE7"/>
          </w:tcPr>
          <w:p>
            <w:pPr>
              <w:jc w:val="right"/>
              <w:ind w:right="119"/>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1.54</w:t>
            </w:r>
          </w:p>
        </w:tc>
        <w:tc>
          <w:tcPr>
            <w:tcW w:w="460" w:type="dxa"/>
            <w:vAlign w:val="bottom"/>
            <w:tcBorders>
              <w:bottom w:val="single" w:sz="8" w:color="auto"/>
            </w:tcBorders>
            <w:shd w:val="clear" w:color="auto" w:fill="CEFFE7"/>
          </w:tcPr>
          <w:p>
            <w:pPr>
              <w:jc w:val="right"/>
              <w:ind w:right="259"/>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1.51</w:t>
            </w:r>
          </w:p>
        </w:tc>
      </w:tr>
      <w:tr>
        <w:trPr>
          <w:trHeight w:val="20"/>
        </w:trPr>
        <w:tc>
          <w:tcPr>
            <w:tcW w:w="7300" w:type="dxa"/>
            <w:vAlign w:val="bottom"/>
            <w:tcBorders>
              <w:top w:val="single" w:sz="8" w:color="CEFFE7"/>
            </w:tcBorders>
          </w:tcPr>
          <w:p>
            <w:pPr>
              <w:spacing w:after="0" w:line="20" w:lineRule="exact"/>
              <w:rPr>
                <w:sz w:val="1"/>
                <w:szCs w:val="1"/>
                <w:color w:val="auto"/>
              </w:rPr>
            </w:pPr>
          </w:p>
        </w:tc>
        <w:tc>
          <w:tcPr>
            <w:tcW w:w="300" w:type="dxa"/>
            <w:vAlign w:val="bottom"/>
            <w:tcBorders>
              <w:top w:val="single" w:sz="8" w:color="CEFFE7"/>
              <w:bottom w:val="single" w:sz="8" w:color="auto"/>
            </w:tcBorders>
          </w:tcPr>
          <w:p>
            <w:pPr>
              <w:spacing w:after="0" w:line="20" w:lineRule="exact"/>
              <w:rPr>
                <w:sz w:val="1"/>
                <w:szCs w:val="1"/>
                <w:color w:val="auto"/>
              </w:rPr>
            </w:pPr>
          </w:p>
        </w:tc>
        <w:tc>
          <w:tcPr>
            <w:tcW w:w="1660" w:type="dxa"/>
            <w:vAlign w:val="bottom"/>
            <w:tcBorders>
              <w:top w:val="single" w:sz="8" w:color="CEFFE7"/>
              <w:bottom w:val="single" w:sz="8" w:color="auto"/>
            </w:tcBorders>
          </w:tcPr>
          <w:p>
            <w:pPr>
              <w:spacing w:after="0" w:line="20" w:lineRule="exact"/>
              <w:rPr>
                <w:sz w:val="1"/>
                <w:szCs w:val="1"/>
                <w:color w:val="auto"/>
              </w:rPr>
            </w:pPr>
          </w:p>
        </w:tc>
        <w:tc>
          <w:tcPr>
            <w:tcW w:w="460" w:type="dxa"/>
            <w:vAlign w:val="bottom"/>
            <w:tcBorders>
              <w:top w:val="single" w:sz="8" w:color="CEFFE7"/>
              <w:bottom w:val="single" w:sz="8" w:color="auto"/>
            </w:tcBorders>
          </w:tcPr>
          <w:p>
            <w:pPr>
              <w:spacing w:after="0" w:line="20" w:lineRule="exact"/>
              <w:rPr>
                <w:sz w:val="1"/>
                <w:szCs w:val="1"/>
                <w:color w:val="auto"/>
              </w:rPr>
            </w:pPr>
          </w:p>
        </w:tc>
        <w:tc>
          <w:tcPr>
            <w:tcW w:w="1520" w:type="dxa"/>
            <w:vAlign w:val="bottom"/>
            <w:tcBorders>
              <w:top w:val="single" w:sz="8" w:color="CEFFE7"/>
              <w:bottom w:val="single" w:sz="8" w:color="auto"/>
            </w:tcBorders>
          </w:tcPr>
          <w:p>
            <w:pPr>
              <w:spacing w:after="0" w:line="20" w:lineRule="exact"/>
              <w:rPr>
                <w:sz w:val="1"/>
                <w:szCs w:val="1"/>
                <w:color w:val="auto"/>
              </w:rPr>
            </w:pPr>
          </w:p>
        </w:tc>
      </w:tr>
      <w:tr>
        <w:trPr>
          <w:trHeight w:val="95"/>
        </w:trPr>
        <w:tc>
          <w:tcPr>
            <w:tcW w:w="7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520" w:type="dxa"/>
            <w:vAlign w:val="bottom"/>
          </w:tcPr>
          <w:p>
            <w:pPr>
              <w:spacing w:after="0"/>
              <w:rPr>
                <w:sz w:val="8"/>
                <w:szCs w:val="8"/>
                <w:color w:val="auto"/>
              </w:rPr>
            </w:pPr>
          </w:p>
        </w:tc>
      </w:tr>
      <w:tr>
        <w:trPr>
          <w:trHeight w:val="216"/>
        </w:trPr>
        <w:tc>
          <w:tcPr>
            <w:tcW w:w="7300" w:type="dxa"/>
            <w:vAlign w:val="bottom"/>
            <w:shd w:val="clear" w:color="auto" w:fill="CEFFE7"/>
          </w:tcPr>
          <w:p>
            <w:pPr>
              <w:ind w:left="20"/>
              <w:spacing w:after="0"/>
              <w:rPr>
                <w:sz w:val="20"/>
                <w:szCs w:val="20"/>
                <w:color w:val="auto"/>
              </w:rPr>
            </w:pPr>
            <w:r>
              <w:rPr>
                <w:rFonts w:ascii="Arial" w:cs="Arial" w:eastAsia="Arial" w:hAnsi="Arial"/>
                <w:sz w:val="16"/>
                <w:szCs w:val="16"/>
                <w:color w:val="auto"/>
              </w:rPr>
              <w:t>Weighted average common shares outstanding:</w:t>
            </w:r>
          </w:p>
        </w:tc>
        <w:tc>
          <w:tcPr>
            <w:tcW w:w="300" w:type="dxa"/>
            <w:vAlign w:val="bottom"/>
            <w:shd w:val="clear" w:color="auto" w:fill="CEFFE7"/>
          </w:tcPr>
          <w:p>
            <w:pPr>
              <w:spacing w:after="0"/>
              <w:rPr>
                <w:sz w:val="18"/>
                <w:szCs w:val="18"/>
                <w:color w:val="auto"/>
              </w:rPr>
            </w:pPr>
          </w:p>
        </w:tc>
        <w:tc>
          <w:tcPr>
            <w:tcW w:w="1660" w:type="dxa"/>
            <w:vAlign w:val="bottom"/>
            <w:shd w:val="clear" w:color="auto" w:fill="CEFFE7"/>
          </w:tcPr>
          <w:p>
            <w:pPr>
              <w:spacing w:after="0"/>
              <w:rPr>
                <w:sz w:val="18"/>
                <w:szCs w:val="18"/>
                <w:color w:val="auto"/>
              </w:rPr>
            </w:pPr>
          </w:p>
        </w:tc>
        <w:tc>
          <w:tcPr>
            <w:tcW w:w="460" w:type="dxa"/>
            <w:vAlign w:val="bottom"/>
            <w:shd w:val="clear" w:color="auto" w:fill="CEFFE7"/>
          </w:tcPr>
          <w:p>
            <w:pPr>
              <w:spacing w:after="0"/>
              <w:rPr>
                <w:sz w:val="18"/>
                <w:szCs w:val="18"/>
                <w:color w:val="auto"/>
              </w:rPr>
            </w:pPr>
          </w:p>
        </w:tc>
        <w:tc>
          <w:tcPr>
            <w:tcW w:w="1520" w:type="dxa"/>
            <w:vAlign w:val="bottom"/>
            <w:shd w:val="clear" w:color="auto" w:fill="CEFFE7"/>
          </w:tcPr>
          <w:p>
            <w:pPr>
              <w:spacing w:after="0"/>
              <w:rPr>
                <w:sz w:val="18"/>
                <w:szCs w:val="18"/>
                <w:color w:val="auto"/>
              </w:rPr>
            </w:pPr>
          </w:p>
        </w:tc>
      </w:tr>
      <w:tr>
        <w:trPr>
          <w:trHeight w:val="216"/>
        </w:trPr>
        <w:tc>
          <w:tcPr>
            <w:tcW w:w="7300" w:type="dxa"/>
            <w:vAlign w:val="bottom"/>
          </w:tcPr>
          <w:p>
            <w:pPr>
              <w:ind w:left="180"/>
              <w:spacing w:after="0"/>
              <w:rPr>
                <w:sz w:val="20"/>
                <w:szCs w:val="20"/>
                <w:color w:val="auto"/>
              </w:rPr>
            </w:pPr>
            <w:r>
              <w:rPr>
                <w:rFonts w:ascii="Arial" w:cs="Arial" w:eastAsia="Arial" w:hAnsi="Arial"/>
                <w:sz w:val="16"/>
                <w:szCs w:val="16"/>
                <w:color w:val="auto"/>
              </w:rPr>
              <w:t>Basic</w:t>
            </w:r>
          </w:p>
        </w:tc>
        <w:tc>
          <w:tcPr>
            <w:tcW w:w="3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62,633</w:t>
            </w:r>
          </w:p>
        </w:tc>
        <w:tc>
          <w:tcPr>
            <w:tcW w:w="4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61,778</w:t>
            </w:r>
          </w:p>
        </w:tc>
      </w:tr>
      <w:tr>
        <w:trPr>
          <w:trHeight w:val="20"/>
        </w:trPr>
        <w:tc>
          <w:tcPr>
            <w:tcW w:w="7300" w:type="dxa"/>
            <w:vAlign w:val="bottom"/>
            <w:tcBorders>
              <w:bottom w:val="single" w:sz="8" w:color="CEFFE7"/>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235"/>
        </w:trPr>
        <w:tc>
          <w:tcPr>
            <w:tcW w:w="730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6"/>
                <w:szCs w:val="16"/>
                <w:color w:val="auto"/>
              </w:rPr>
              <w:t>Diluted</w:t>
            </w:r>
          </w:p>
        </w:tc>
        <w:tc>
          <w:tcPr>
            <w:tcW w:w="300" w:type="dxa"/>
            <w:vAlign w:val="bottom"/>
            <w:tcBorders>
              <w:bottom w:val="single" w:sz="8" w:color="auto"/>
            </w:tcBorders>
            <w:shd w:val="clear" w:color="auto" w:fill="CEFFE7"/>
          </w:tcPr>
          <w:p>
            <w:pPr>
              <w:spacing w:after="0"/>
              <w:rPr>
                <w:sz w:val="20"/>
                <w:szCs w:val="20"/>
                <w:color w:val="auto"/>
              </w:rPr>
            </w:pPr>
          </w:p>
        </w:tc>
        <w:tc>
          <w:tcPr>
            <w:tcW w:w="16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62,691</w:t>
            </w:r>
          </w:p>
        </w:tc>
        <w:tc>
          <w:tcPr>
            <w:tcW w:w="460" w:type="dxa"/>
            <w:vAlign w:val="bottom"/>
            <w:tcBorders>
              <w:bottom w:val="single" w:sz="8" w:color="auto"/>
            </w:tcBorders>
            <w:shd w:val="clear" w:color="auto" w:fill="CEFFE7"/>
          </w:tcPr>
          <w:p>
            <w:pPr>
              <w:spacing w:after="0"/>
              <w:rPr>
                <w:sz w:val="20"/>
                <w:szCs w:val="20"/>
                <w:color w:val="auto"/>
              </w:rPr>
            </w:pPr>
          </w:p>
        </w:tc>
        <w:tc>
          <w:tcPr>
            <w:tcW w:w="15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61,856</w:t>
            </w:r>
          </w:p>
        </w:tc>
      </w:tr>
      <w:tr>
        <w:trPr>
          <w:trHeight w:val="20"/>
        </w:trPr>
        <w:tc>
          <w:tcPr>
            <w:tcW w:w="7300" w:type="dxa"/>
            <w:vAlign w:val="bottom"/>
            <w:tcBorders>
              <w:top w:val="single" w:sz="8" w:color="CEFFE7"/>
            </w:tcBorders>
          </w:tcPr>
          <w:p>
            <w:pPr>
              <w:spacing w:after="0" w:line="20" w:lineRule="exact"/>
              <w:rPr>
                <w:sz w:val="1"/>
                <w:szCs w:val="1"/>
                <w:color w:val="auto"/>
              </w:rPr>
            </w:pPr>
          </w:p>
        </w:tc>
        <w:tc>
          <w:tcPr>
            <w:tcW w:w="300" w:type="dxa"/>
            <w:vAlign w:val="bottom"/>
            <w:tcBorders>
              <w:top w:val="single" w:sz="8" w:color="CEFFE7"/>
              <w:bottom w:val="single" w:sz="8" w:color="auto"/>
            </w:tcBorders>
          </w:tcPr>
          <w:p>
            <w:pPr>
              <w:spacing w:after="0" w:line="20" w:lineRule="exact"/>
              <w:rPr>
                <w:sz w:val="1"/>
                <w:szCs w:val="1"/>
                <w:color w:val="auto"/>
              </w:rPr>
            </w:pPr>
          </w:p>
        </w:tc>
        <w:tc>
          <w:tcPr>
            <w:tcW w:w="1660" w:type="dxa"/>
            <w:vAlign w:val="bottom"/>
            <w:tcBorders>
              <w:top w:val="single" w:sz="8" w:color="CEFFE7"/>
              <w:bottom w:val="single" w:sz="8" w:color="auto"/>
            </w:tcBorders>
          </w:tcPr>
          <w:p>
            <w:pPr>
              <w:spacing w:after="0" w:line="20" w:lineRule="exact"/>
              <w:rPr>
                <w:sz w:val="1"/>
                <w:szCs w:val="1"/>
                <w:color w:val="auto"/>
              </w:rPr>
            </w:pPr>
          </w:p>
        </w:tc>
        <w:tc>
          <w:tcPr>
            <w:tcW w:w="460" w:type="dxa"/>
            <w:vAlign w:val="bottom"/>
            <w:tcBorders>
              <w:top w:val="single" w:sz="8" w:color="CEFFE7"/>
              <w:bottom w:val="single" w:sz="8" w:color="auto"/>
            </w:tcBorders>
          </w:tcPr>
          <w:p>
            <w:pPr>
              <w:spacing w:after="0" w:line="20" w:lineRule="exact"/>
              <w:rPr>
                <w:sz w:val="1"/>
                <w:szCs w:val="1"/>
                <w:color w:val="auto"/>
              </w:rPr>
            </w:pPr>
          </w:p>
        </w:tc>
        <w:tc>
          <w:tcPr>
            <w:tcW w:w="1520" w:type="dxa"/>
            <w:vAlign w:val="bottom"/>
            <w:tcBorders>
              <w:top w:val="single" w:sz="8" w:color="CEFFE7"/>
              <w:bottom w:val="single" w:sz="8" w:color="auto"/>
            </w:tcBorders>
          </w:tcPr>
          <w:p>
            <w:pPr>
              <w:spacing w:after="0" w:line="20" w:lineRule="exact"/>
              <w:rPr>
                <w:sz w:val="1"/>
                <w:szCs w:val="1"/>
                <w:color w:val="auto"/>
              </w:rPr>
            </w:pPr>
          </w:p>
        </w:tc>
      </w:tr>
    </w:tbl>
    <w:p>
      <w:pPr>
        <w:spacing w:after="0" w:line="329" w:lineRule="exact"/>
        <w:rPr>
          <w:sz w:val="20"/>
          <w:szCs w:val="20"/>
          <w:color w:val="auto"/>
        </w:rPr>
      </w:pPr>
    </w:p>
    <w:p>
      <w:pPr>
        <w:jc w:val="center"/>
        <w:spacing w:after="0"/>
        <w:rPr>
          <w:rFonts w:ascii="Arial" w:cs="Arial" w:eastAsia="Arial" w:hAnsi="Arial"/>
          <w:sz w:val="14"/>
          <w:szCs w:val="14"/>
          <w:color w:val="auto"/>
        </w:rPr>
      </w:pPr>
      <w:r>
        <w:rPr>
          <w:rFonts w:ascii="Arial" w:cs="Arial" w:eastAsia="Arial" w:hAnsi="Arial"/>
          <w:sz w:val="14"/>
          <w:szCs w:val="14"/>
          <w:color w:val="auto"/>
        </w:rPr>
        <w:t xml:space="preserve">The accompanying </w:t>
      </w:r>
      <w:hyperlink w:anchor="page13">
        <w:r>
          <w:rPr>
            <w:rFonts w:ascii="Arial" w:cs="Arial" w:eastAsia="Arial" w:hAnsi="Arial"/>
            <w:sz w:val="14"/>
            <w:szCs w:val="14"/>
            <w:u w:val="single" w:color="auto"/>
            <w:color w:val="0000FF"/>
          </w:rPr>
          <w:t>Notes to Condensed Consolidated Financial Statements</w:t>
        </w:r>
        <w:r>
          <w:rPr>
            <w:rFonts w:ascii="Arial" w:cs="Arial" w:eastAsia="Arial" w:hAnsi="Arial"/>
            <w:sz w:val="14"/>
            <w:szCs w:val="14"/>
            <w:u w:val="single" w:color="auto"/>
            <w:color w:val="auto"/>
          </w:rPr>
          <w:t xml:space="preserve"> </w:t>
        </w:r>
      </w:hyperlink>
      <w:r>
        <w:rPr>
          <w:rFonts w:ascii="Arial" w:cs="Arial" w:eastAsia="Arial" w:hAnsi="Arial"/>
          <w:sz w:val="14"/>
          <w:szCs w:val="14"/>
          <w:color w:val="auto"/>
        </w:rPr>
        <w:t>are an integral part of these Condensed Consolidated Financial Statements.</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BLACK HILLS CORPORATION</w:t>
      </w:r>
    </w:p>
    <w:p>
      <w:pPr>
        <w:spacing w:after="0" w:line="25"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CONDENSED CONSOLIDATED STATEMENTS OF COMPREHENSIVE INCOME</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4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520" w:type="dxa"/>
            <w:vAlign w:val="bottom"/>
            <w:gridSpan w:val="2"/>
          </w:tcPr>
          <w:p>
            <w:pPr>
              <w:jc w:val="center"/>
              <w:spacing w:after="0"/>
              <w:rPr>
                <w:sz w:val="20"/>
                <w:szCs w:val="20"/>
                <w:color w:val="auto"/>
              </w:rPr>
            </w:pPr>
            <w:r>
              <w:rPr>
                <w:rFonts w:ascii="Arial" w:cs="Arial" w:eastAsia="Arial" w:hAnsi="Arial"/>
                <w:sz w:val="16"/>
                <w:szCs w:val="16"/>
                <w:color w:val="auto"/>
              </w:rPr>
              <w:t>Three Months Ended</w:t>
            </w:r>
          </w:p>
        </w:tc>
        <w:tc>
          <w:tcPr>
            <w:tcW w:w="1120" w:type="dxa"/>
            <w:vAlign w:val="bottom"/>
          </w:tcPr>
          <w:p>
            <w:pPr>
              <w:spacing w:after="0"/>
              <w:rPr>
                <w:sz w:val="16"/>
                <w:szCs w:val="16"/>
                <w:color w:val="auto"/>
              </w:rPr>
            </w:pPr>
          </w:p>
        </w:tc>
      </w:tr>
      <w:tr>
        <w:trPr>
          <w:trHeight w:val="195"/>
        </w:trPr>
        <w:tc>
          <w:tcPr>
            <w:tcW w:w="7440" w:type="dxa"/>
            <w:vAlign w:val="bottom"/>
          </w:tcPr>
          <w:p>
            <w:pPr>
              <w:ind w:left="20"/>
              <w:spacing w:after="0"/>
              <w:rPr>
                <w:sz w:val="20"/>
                <w:szCs w:val="20"/>
                <w:color w:val="auto"/>
              </w:rPr>
            </w:pPr>
            <w:r>
              <w:rPr>
                <w:rFonts w:ascii="Arial" w:cs="Arial" w:eastAsia="Arial" w:hAnsi="Arial"/>
                <w:sz w:val="16"/>
                <w:szCs w:val="16"/>
                <w:color w:val="auto"/>
              </w:rPr>
              <w:t>(unaudited)</w:t>
            </w:r>
          </w:p>
        </w:tc>
        <w:tc>
          <w:tcPr>
            <w:tcW w:w="1120" w:type="dxa"/>
            <w:vAlign w:val="bottom"/>
          </w:tcPr>
          <w:p>
            <w:pPr>
              <w:spacing w:after="0"/>
              <w:rPr>
                <w:sz w:val="16"/>
                <w:szCs w:val="16"/>
                <w:color w:val="auto"/>
              </w:rPr>
            </w:pPr>
          </w:p>
        </w:tc>
        <w:tc>
          <w:tcPr>
            <w:tcW w:w="1520" w:type="dxa"/>
            <w:vAlign w:val="bottom"/>
            <w:gridSpan w:val="2"/>
          </w:tcPr>
          <w:p>
            <w:pPr>
              <w:jc w:val="center"/>
              <w:spacing w:after="0"/>
              <w:rPr>
                <w:sz w:val="20"/>
                <w:szCs w:val="20"/>
                <w:color w:val="auto"/>
              </w:rPr>
            </w:pPr>
            <w:r>
              <w:rPr>
                <w:rFonts w:ascii="Arial" w:cs="Arial" w:eastAsia="Arial" w:hAnsi="Arial"/>
                <w:sz w:val="16"/>
                <w:szCs w:val="16"/>
                <w:color w:val="auto"/>
              </w:rPr>
              <w:t>March 31,</w:t>
            </w:r>
          </w:p>
        </w:tc>
        <w:tc>
          <w:tcPr>
            <w:tcW w:w="1120" w:type="dxa"/>
            <w:vAlign w:val="bottom"/>
          </w:tcPr>
          <w:p>
            <w:pPr>
              <w:spacing w:after="0"/>
              <w:rPr>
                <w:sz w:val="16"/>
                <w:szCs w:val="16"/>
                <w:color w:val="auto"/>
              </w:rPr>
            </w:pPr>
          </w:p>
        </w:tc>
      </w:tr>
      <w:tr>
        <w:trPr>
          <w:trHeight w:val="219"/>
        </w:trPr>
        <w:tc>
          <w:tcPr>
            <w:tcW w:w="744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2021</w:t>
            </w:r>
          </w:p>
        </w:tc>
        <w:tc>
          <w:tcPr>
            <w:tcW w:w="7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color w:val="auto"/>
                <w:w w:val="95"/>
              </w:rPr>
              <w:t>2020</w:t>
            </w:r>
          </w:p>
        </w:tc>
      </w:tr>
      <w:tr>
        <w:trPr>
          <w:trHeight w:val="209"/>
        </w:trPr>
        <w:tc>
          <w:tcPr>
            <w:tcW w:w="7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520" w:type="dxa"/>
            <w:vAlign w:val="bottom"/>
            <w:gridSpan w:val="2"/>
          </w:tcPr>
          <w:p>
            <w:pPr>
              <w:jc w:val="center"/>
              <w:spacing w:after="0"/>
              <w:rPr>
                <w:sz w:val="20"/>
                <w:szCs w:val="20"/>
                <w:color w:val="auto"/>
              </w:rPr>
            </w:pPr>
            <w:r>
              <w:rPr>
                <w:rFonts w:ascii="Arial" w:cs="Arial" w:eastAsia="Arial" w:hAnsi="Arial"/>
                <w:sz w:val="16"/>
                <w:szCs w:val="16"/>
                <w:color w:val="auto"/>
              </w:rPr>
              <w:t>(in thousands)</w:t>
            </w:r>
          </w:p>
        </w:tc>
        <w:tc>
          <w:tcPr>
            <w:tcW w:w="1120" w:type="dxa"/>
            <w:vAlign w:val="bottom"/>
          </w:tcPr>
          <w:p>
            <w:pPr>
              <w:spacing w:after="0"/>
              <w:rPr>
                <w:sz w:val="18"/>
                <w:szCs w:val="18"/>
                <w:color w:val="auto"/>
              </w:rPr>
            </w:pPr>
          </w:p>
        </w:tc>
      </w:tr>
      <w:tr>
        <w:trPr>
          <w:trHeight w:val="216"/>
        </w:trPr>
        <w:tc>
          <w:tcPr>
            <w:tcW w:w="7440" w:type="dxa"/>
            <w:vAlign w:val="bottom"/>
            <w:shd w:val="clear" w:color="auto" w:fill="CEFFE7"/>
          </w:tcPr>
          <w:p>
            <w:pPr>
              <w:ind w:left="20"/>
              <w:spacing w:after="0"/>
              <w:rPr>
                <w:sz w:val="20"/>
                <w:szCs w:val="20"/>
                <w:color w:val="auto"/>
              </w:rPr>
            </w:pPr>
            <w:r>
              <w:rPr>
                <w:rFonts w:ascii="Arial" w:cs="Arial" w:eastAsia="Arial" w:hAnsi="Arial"/>
                <w:sz w:val="16"/>
                <w:szCs w:val="16"/>
                <w:color w:val="auto"/>
              </w:rPr>
              <w:t>Net income</w:t>
            </w:r>
          </w:p>
        </w:tc>
        <w:tc>
          <w:tcPr>
            <w:tcW w:w="1120" w:type="dxa"/>
            <w:vAlign w:val="bottom"/>
            <w:tcBorders>
              <w:bottom w:val="single" w:sz="8" w:color="auto"/>
            </w:tcBorders>
            <w:shd w:val="clear" w:color="auto" w:fill="CEFFE7"/>
          </w:tcPr>
          <w:p>
            <w:pPr>
              <w:jc w:val="right"/>
              <w:ind w:right="91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100,487</w:t>
            </w:r>
          </w:p>
        </w:tc>
        <w:tc>
          <w:tcPr>
            <w:tcW w:w="760" w:type="dxa"/>
            <w:vAlign w:val="bottom"/>
            <w:tcBorders>
              <w:bottom w:val="single" w:sz="8" w:color="auto"/>
            </w:tcBorders>
            <w:shd w:val="clear" w:color="auto" w:fill="CEFFE7"/>
          </w:tcPr>
          <w:p>
            <w:pPr>
              <w:jc w:val="right"/>
              <w:ind w:right="5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97,224</w:t>
            </w:r>
          </w:p>
        </w:tc>
      </w:tr>
      <w:tr>
        <w:trPr>
          <w:trHeight w:val="253"/>
        </w:trPr>
        <w:tc>
          <w:tcPr>
            <w:tcW w:w="74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16"/>
        </w:trPr>
        <w:tc>
          <w:tcPr>
            <w:tcW w:w="7440" w:type="dxa"/>
            <w:vAlign w:val="bottom"/>
            <w:shd w:val="clear" w:color="auto" w:fill="CEFFE7"/>
          </w:tcPr>
          <w:p>
            <w:pPr>
              <w:ind w:left="20"/>
              <w:spacing w:after="0"/>
              <w:rPr>
                <w:sz w:val="20"/>
                <w:szCs w:val="20"/>
                <w:color w:val="auto"/>
              </w:rPr>
            </w:pPr>
            <w:r>
              <w:rPr>
                <w:rFonts w:ascii="Arial" w:cs="Arial" w:eastAsia="Arial" w:hAnsi="Arial"/>
                <w:sz w:val="16"/>
                <w:szCs w:val="16"/>
                <w:color w:val="auto"/>
              </w:rPr>
              <w:t>Other comprehensive income (loss), net of tax:</w:t>
            </w:r>
          </w:p>
        </w:tc>
        <w:tc>
          <w:tcPr>
            <w:tcW w:w="1120" w:type="dxa"/>
            <w:vAlign w:val="bottom"/>
            <w:shd w:val="clear" w:color="auto" w:fill="CEFFE7"/>
          </w:tcPr>
          <w:p>
            <w:pPr>
              <w:spacing w:after="0"/>
              <w:rPr>
                <w:sz w:val="18"/>
                <w:szCs w:val="18"/>
                <w:color w:val="auto"/>
              </w:rPr>
            </w:pPr>
          </w:p>
        </w:tc>
        <w:tc>
          <w:tcPr>
            <w:tcW w:w="760" w:type="dxa"/>
            <w:vAlign w:val="bottom"/>
            <w:shd w:val="clear" w:color="auto" w:fill="CEFFE7"/>
          </w:tcPr>
          <w:p>
            <w:pPr>
              <w:spacing w:after="0"/>
              <w:rPr>
                <w:sz w:val="18"/>
                <w:szCs w:val="18"/>
                <w:color w:val="auto"/>
              </w:rPr>
            </w:pPr>
          </w:p>
        </w:tc>
        <w:tc>
          <w:tcPr>
            <w:tcW w:w="760" w:type="dxa"/>
            <w:vAlign w:val="bottom"/>
            <w:shd w:val="clear" w:color="auto" w:fill="CEFFE7"/>
          </w:tcPr>
          <w:p>
            <w:pPr>
              <w:spacing w:after="0"/>
              <w:rPr>
                <w:sz w:val="18"/>
                <w:szCs w:val="18"/>
                <w:color w:val="auto"/>
              </w:rPr>
            </w:pPr>
          </w:p>
        </w:tc>
        <w:tc>
          <w:tcPr>
            <w:tcW w:w="1120" w:type="dxa"/>
            <w:vAlign w:val="bottom"/>
            <w:shd w:val="clear" w:color="auto" w:fill="CEFFE7"/>
          </w:tcPr>
          <w:p>
            <w:pPr>
              <w:spacing w:after="0"/>
              <w:rPr>
                <w:sz w:val="18"/>
                <w:szCs w:val="18"/>
                <w:color w:val="auto"/>
              </w:rPr>
            </w:pPr>
          </w:p>
        </w:tc>
      </w:tr>
      <w:tr>
        <w:trPr>
          <w:trHeight w:val="213"/>
        </w:trPr>
        <w:tc>
          <w:tcPr>
            <w:tcW w:w="7440" w:type="dxa"/>
            <w:vAlign w:val="bottom"/>
          </w:tcPr>
          <w:p>
            <w:pPr>
              <w:ind w:left="360"/>
              <w:spacing w:after="0"/>
              <w:rPr>
                <w:sz w:val="20"/>
                <w:szCs w:val="20"/>
                <w:color w:val="auto"/>
              </w:rPr>
            </w:pPr>
            <w:r>
              <w:rPr>
                <w:rFonts w:ascii="Arial" w:cs="Arial" w:eastAsia="Arial" w:hAnsi="Arial"/>
                <w:sz w:val="16"/>
                <w:szCs w:val="16"/>
                <w:color w:val="auto"/>
              </w:rPr>
              <w:t>Benefit plan liability adjustments - net gain (net of tax of $0 and $(17), respectively)</w:t>
            </w:r>
          </w:p>
        </w:tc>
        <w:tc>
          <w:tcPr>
            <w:tcW w:w="1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55</w:t>
            </w:r>
          </w:p>
        </w:tc>
      </w:tr>
      <w:tr>
        <w:trPr>
          <w:trHeight w:val="180"/>
        </w:trPr>
        <w:tc>
          <w:tcPr>
            <w:tcW w:w="7440" w:type="dxa"/>
            <w:vAlign w:val="bottom"/>
            <w:shd w:val="clear" w:color="auto" w:fill="CEFFE7"/>
          </w:tcPr>
          <w:p>
            <w:pPr>
              <w:ind w:left="360"/>
              <w:spacing w:after="0" w:line="181" w:lineRule="exact"/>
              <w:rPr>
                <w:sz w:val="20"/>
                <w:szCs w:val="20"/>
                <w:color w:val="auto"/>
              </w:rPr>
            </w:pPr>
            <w:r>
              <w:rPr>
                <w:rFonts w:ascii="Arial" w:cs="Arial" w:eastAsia="Arial" w:hAnsi="Arial"/>
                <w:sz w:val="16"/>
                <w:szCs w:val="16"/>
                <w:color w:val="auto"/>
              </w:rPr>
              <w:t>Reclassification adjustments of benefit plan liability - prior service cost (net of tax of $9 and $7,</w:t>
            </w:r>
          </w:p>
        </w:tc>
        <w:tc>
          <w:tcPr>
            <w:tcW w:w="1120" w:type="dxa"/>
            <w:vAlign w:val="bottom"/>
            <w:shd w:val="clear" w:color="auto" w:fill="CEFFE7"/>
          </w:tcPr>
          <w:p>
            <w:pPr>
              <w:spacing w:after="0"/>
              <w:rPr>
                <w:sz w:val="15"/>
                <w:szCs w:val="15"/>
                <w:color w:val="auto"/>
              </w:rPr>
            </w:pPr>
          </w:p>
        </w:tc>
        <w:tc>
          <w:tcPr>
            <w:tcW w:w="760" w:type="dxa"/>
            <w:vAlign w:val="bottom"/>
            <w:shd w:val="clear" w:color="auto" w:fill="CEFFE7"/>
          </w:tcPr>
          <w:p>
            <w:pPr>
              <w:spacing w:after="0"/>
              <w:rPr>
                <w:sz w:val="15"/>
                <w:szCs w:val="15"/>
                <w:color w:val="auto"/>
              </w:rPr>
            </w:pPr>
          </w:p>
        </w:tc>
        <w:tc>
          <w:tcPr>
            <w:tcW w:w="760" w:type="dxa"/>
            <w:vAlign w:val="bottom"/>
            <w:shd w:val="clear" w:color="auto" w:fill="CEFFE7"/>
          </w:tcPr>
          <w:p>
            <w:pPr>
              <w:spacing w:after="0"/>
              <w:rPr>
                <w:sz w:val="15"/>
                <w:szCs w:val="15"/>
                <w:color w:val="auto"/>
              </w:rPr>
            </w:pPr>
          </w:p>
        </w:tc>
        <w:tc>
          <w:tcPr>
            <w:tcW w:w="1120" w:type="dxa"/>
            <w:vAlign w:val="bottom"/>
            <w:shd w:val="clear" w:color="auto" w:fill="CEFFE7"/>
          </w:tcPr>
          <w:p>
            <w:pPr>
              <w:spacing w:after="0"/>
              <w:rPr>
                <w:sz w:val="15"/>
                <w:szCs w:val="15"/>
                <w:color w:val="auto"/>
              </w:rPr>
            </w:pPr>
          </w:p>
        </w:tc>
      </w:tr>
      <w:tr>
        <w:trPr>
          <w:trHeight w:val="201"/>
        </w:trPr>
        <w:tc>
          <w:tcPr>
            <w:tcW w:w="7440" w:type="dxa"/>
            <w:vAlign w:val="bottom"/>
            <w:shd w:val="clear" w:color="auto" w:fill="CEFFE7"/>
          </w:tcPr>
          <w:p>
            <w:pPr>
              <w:ind w:left="360"/>
              <w:spacing w:after="0"/>
              <w:rPr>
                <w:sz w:val="20"/>
                <w:szCs w:val="20"/>
                <w:color w:val="auto"/>
              </w:rPr>
            </w:pPr>
            <w:r>
              <w:rPr>
                <w:rFonts w:ascii="Arial" w:cs="Arial" w:eastAsia="Arial" w:hAnsi="Arial"/>
                <w:sz w:val="16"/>
                <w:szCs w:val="16"/>
                <w:color w:val="auto"/>
              </w:rPr>
              <w:t>respectively)</w:t>
            </w:r>
          </w:p>
        </w:tc>
        <w:tc>
          <w:tcPr>
            <w:tcW w:w="1120" w:type="dxa"/>
            <w:vAlign w:val="bottom"/>
            <w:shd w:val="clear" w:color="auto" w:fill="CEFFE7"/>
          </w:tcPr>
          <w:p>
            <w:pPr>
              <w:spacing w:after="0"/>
              <w:rPr>
                <w:sz w:val="17"/>
                <w:szCs w:val="17"/>
                <w:color w:val="auto"/>
              </w:rPr>
            </w:pPr>
          </w:p>
        </w:tc>
        <w:tc>
          <w:tcPr>
            <w:tcW w:w="7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(16)</w:t>
            </w:r>
          </w:p>
        </w:tc>
        <w:tc>
          <w:tcPr>
            <w:tcW w:w="760" w:type="dxa"/>
            <w:vAlign w:val="bottom"/>
            <w:shd w:val="clear" w:color="auto" w:fill="CEFFE7"/>
          </w:tcPr>
          <w:p>
            <w:pPr>
              <w:spacing w:after="0"/>
              <w:rPr>
                <w:sz w:val="17"/>
                <w:szCs w:val="17"/>
                <w:color w:val="auto"/>
              </w:rPr>
            </w:pPr>
          </w:p>
        </w:tc>
        <w:tc>
          <w:tcPr>
            <w:tcW w:w="11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(23)</w:t>
            </w:r>
          </w:p>
        </w:tc>
      </w:tr>
      <w:tr>
        <w:trPr>
          <w:trHeight w:val="177"/>
        </w:trPr>
        <w:tc>
          <w:tcPr>
            <w:tcW w:w="7440" w:type="dxa"/>
            <w:vAlign w:val="bottom"/>
          </w:tcPr>
          <w:p>
            <w:pPr>
              <w:ind w:left="360"/>
              <w:spacing w:after="0" w:line="178" w:lineRule="exact"/>
              <w:rPr>
                <w:sz w:val="20"/>
                <w:szCs w:val="20"/>
                <w:color w:val="auto"/>
              </w:rPr>
            </w:pPr>
            <w:r>
              <w:rPr>
                <w:rFonts w:ascii="Arial" w:cs="Arial" w:eastAsia="Arial" w:hAnsi="Arial"/>
                <w:sz w:val="16"/>
                <w:szCs w:val="16"/>
                <w:color w:val="auto"/>
              </w:rPr>
              <w:t>Reclassification adjustments of benefit plan liability - net loss (net of tax of $(217) and $(95),</w:t>
            </w:r>
          </w:p>
        </w:tc>
        <w:tc>
          <w:tcPr>
            <w:tcW w:w="1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98"/>
        </w:trPr>
        <w:tc>
          <w:tcPr>
            <w:tcW w:w="7440" w:type="dxa"/>
            <w:vAlign w:val="bottom"/>
          </w:tcPr>
          <w:p>
            <w:pPr>
              <w:ind w:left="360"/>
              <w:spacing w:after="0"/>
              <w:rPr>
                <w:sz w:val="20"/>
                <w:szCs w:val="20"/>
                <w:color w:val="auto"/>
              </w:rPr>
            </w:pPr>
            <w:r>
              <w:rPr>
                <w:rFonts w:ascii="Arial" w:cs="Arial" w:eastAsia="Arial" w:hAnsi="Arial"/>
                <w:sz w:val="16"/>
                <w:szCs w:val="16"/>
                <w:color w:val="auto"/>
              </w:rPr>
              <w:t>respectively)</w:t>
            </w:r>
          </w:p>
        </w:tc>
        <w:tc>
          <w:tcPr>
            <w:tcW w:w="1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381</w:t>
            </w:r>
          </w:p>
        </w:tc>
        <w:tc>
          <w:tcPr>
            <w:tcW w:w="7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502</w:t>
            </w:r>
          </w:p>
        </w:tc>
      </w:tr>
      <w:tr>
        <w:trPr>
          <w:trHeight w:val="219"/>
        </w:trPr>
        <w:tc>
          <w:tcPr>
            <w:tcW w:w="7440" w:type="dxa"/>
            <w:vAlign w:val="bottom"/>
            <w:shd w:val="clear" w:color="auto" w:fill="CEFFE7"/>
          </w:tcPr>
          <w:p>
            <w:pPr>
              <w:ind w:left="140"/>
              <w:spacing w:after="0"/>
              <w:rPr>
                <w:sz w:val="20"/>
                <w:szCs w:val="20"/>
                <w:color w:val="auto"/>
              </w:rPr>
            </w:pPr>
            <w:r>
              <w:rPr>
                <w:rFonts w:ascii="Arial" w:cs="Arial" w:eastAsia="Arial" w:hAnsi="Arial"/>
                <w:sz w:val="16"/>
                <w:szCs w:val="16"/>
                <w:color w:val="auto"/>
              </w:rPr>
              <w:t>Derivative instruments designated as cash flow hedges:</w:t>
            </w:r>
          </w:p>
        </w:tc>
        <w:tc>
          <w:tcPr>
            <w:tcW w:w="1120" w:type="dxa"/>
            <w:vAlign w:val="bottom"/>
            <w:shd w:val="clear" w:color="auto" w:fill="CEFFE7"/>
          </w:tcPr>
          <w:p>
            <w:pPr>
              <w:spacing w:after="0"/>
              <w:rPr>
                <w:sz w:val="19"/>
                <w:szCs w:val="19"/>
                <w:color w:val="auto"/>
              </w:rPr>
            </w:pPr>
          </w:p>
        </w:tc>
        <w:tc>
          <w:tcPr>
            <w:tcW w:w="760" w:type="dxa"/>
            <w:vAlign w:val="bottom"/>
            <w:shd w:val="clear" w:color="auto" w:fill="CEFFE7"/>
          </w:tcPr>
          <w:p>
            <w:pPr>
              <w:spacing w:after="0"/>
              <w:rPr>
                <w:sz w:val="19"/>
                <w:szCs w:val="19"/>
                <w:color w:val="auto"/>
              </w:rPr>
            </w:pPr>
          </w:p>
        </w:tc>
        <w:tc>
          <w:tcPr>
            <w:tcW w:w="760" w:type="dxa"/>
            <w:vAlign w:val="bottom"/>
            <w:shd w:val="clear" w:color="auto" w:fill="CEFFE7"/>
          </w:tcPr>
          <w:p>
            <w:pPr>
              <w:spacing w:after="0"/>
              <w:rPr>
                <w:sz w:val="19"/>
                <w:szCs w:val="19"/>
                <w:color w:val="auto"/>
              </w:rPr>
            </w:pPr>
          </w:p>
        </w:tc>
        <w:tc>
          <w:tcPr>
            <w:tcW w:w="1120" w:type="dxa"/>
            <w:vAlign w:val="bottom"/>
            <w:shd w:val="clear" w:color="auto" w:fill="CEFFE7"/>
          </w:tcPr>
          <w:p>
            <w:pPr>
              <w:spacing w:after="0"/>
              <w:rPr>
                <w:sz w:val="19"/>
                <w:szCs w:val="19"/>
                <w:color w:val="auto"/>
              </w:rPr>
            </w:pPr>
          </w:p>
        </w:tc>
      </w:tr>
      <w:tr>
        <w:trPr>
          <w:trHeight w:val="177"/>
        </w:trPr>
        <w:tc>
          <w:tcPr>
            <w:tcW w:w="7440" w:type="dxa"/>
            <w:vAlign w:val="bottom"/>
          </w:tcPr>
          <w:p>
            <w:pPr>
              <w:ind w:left="360"/>
              <w:spacing w:after="0" w:line="178" w:lineRule="exact"/>
              <w:rPr>
                <w:sz w:val="20"/>
                <w:szCs w:val="20"/>
                <w:color w:val="auto"/>
              </w:rPr>
            </w:pPr>
            <w:r>
              <w:rPr>
                <w:rFonts w:ascii="Arial" w:cs="Arial" w:eastAsia="Arial" w:hAnsi="Arial"/>
                <w:sz w:val="16"/>
                <w:szCs w:val="16"/>
                <w:color w:val="auto"/>
              </w:rPr>
              <w:t>Reclassification of net realized losses on settled/amortized interest rate swaps (net of tax of $(190)</w:t>
            </w:r>
          </w:p>
        </w:tc>
        <w:tc>
          <w:tcPr>
            <w:tcW w:w="1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98"/>
        </w:trPr>
        <w:tc>
          <w:tcPr>
            <w:tcW w:w="7440" w:type="dxa"/>
            <w:vAlign w:val="bottom"/>
          </w:tcPr>
          <w:p>
            <w:pPr>
              <w:ind w:left="360"/>
              <w:spacing w:after="0"/>
              <w:rPr>
                <w:sz w:val="20"/>
                <w:szCs w:val="20"/>
                <w:color w:val="auto"/>
              </w:rPr>
            </w:pPr>
            <w:r>
              <w:rPr>
                <w:rFonts w:ascii="Arial" w:cs="Arial" w:eastAsia="Arial" w:hAnsi="Arial"/>
                <w:sz w:val="16"/>
                <w:szCs w:val="16"/>
                <w:color w:val="auto"/>
              </w:rPr>
              <w:t>and $(170), respectively)</w:t>
            </w:r>
          </w:p>
        </w:tc>
        <w:tc>
          <w:tcPr>
            <w:tcW w:w="1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523</w:t>
            </w:r>
          </w:p>
        </w:tc>
        <w:tc>
          <w:tcPr>
            <w:tcW w:w="7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543</w:t>
            </w:r>
          </w:p>
        </w:tc>
      </w:tr>
      <w:tr>
        <w:trPr>
          <w:trHeight w:val="219"/>
        </w:trPr>
        <w:tc>
          <w:tcPr>
            <w:tcW w:w="7440" w:type="dxa"/>
            <w:vAlign w:val="bottom"/>
            <w:shd w:val="clear" w:color="auto" w:fill="CEFFE7"/>
          </w:tcPr>
          <w:p>
            <w:pPr>
              <w:ind w:left="360"/>
              <w:spacing w:after="0"/>
              <w:rPr>
                <w:sz w:val="20"/>
                <w:szCs w:val="20"/>
                <w:color w:val="auto"/>
              </w:rPr>
            </w:pPr>
            <w:r>
              <w:rPr>
                <w:rFonts w:ascii="Arial" w:cs="Arial" w:eastAsia="Arial" w:hAnsi="Arial"/>
                <w:sz w:val="16"/>
                <w:szCs w:val="16"/>
                <w:color w:val="auto"/>
              </w:rPr>
              <w:t>Net unrealized gains (losses) on commodity derivatives (net of tax of $(35) and $54, respectively)</w:t>
            </w:r>
          </w:p>
        </w:tc>
        <w:tc>
          <w:tcPr>
            <w:tcW w:w="1120" w:type="dxa"/>
            <w:vAlign w:val="bottom"/>
            <w:shd w:val="clear" w:color="auto" w:fill="CEFFE7"/>
          </w:tcPr>
          <w:p>
            <w:pPr>
              <w:spacing w:after="0"/>
              <w:rPr>
                <w:sz w:val="19"/>
                <w:szCs w:val="19"/>
                <w:color w:val="auto"/>
              </w:rPr>
            </w:pPr>
          </w:p>
        </w:tc>
        <w:tc>
          <w:tcPr>
            <w:tcW w:w="7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107</w:t>
            </w:r>
          </w:p>
        </w:tc>
        <w:tc>
          <w:tcPr>
            <w:tcW w:w="760" w:type="dxa"/>
            <w:vAlign w:val="bottom"/>
            <w:shd w:val="clear" w:color="auto" w:fill="CEFFE7"/>
          </w:tcPr>
          <w:p>
            <w:pPr>
              <w:spacing w:after="0"/>
              <w:rPr>
                <w:sz w:val="19"/>
                <w:szCs w:val="19"/>
                <w:color w:val="auto"/>
              </w:rPr>
            </w:pPr>
          </w:p>
        </w:tc>
        <w:tc>
          <w:tcPr>
            <w:tcW w:w="11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(175)</w:t>
            </w:r>
          </w:p>
        </w:tc>
      </w:tr>
      <w:tr>
        <w:trPr>
          <w:trHeight w:val="177"/>
        </w:trPr>
        <w:tc>
          <w:tcPr>
            <w:tcW w:w="7440" w:type="dxa"/>
            <w:vAlign w:val="bottom"/>
          </w:tcPr>
          <w:p>
            <w:pPr>
              <w:ind w:left="360"/>
              <w:spacing w:after="0" w:line="178" w:lineRule="exact"/>
              <w:rPr>
                <w:sz w:val="20"/>
                <w:szCs w:val="20"/>
                <w:color w:val="auto"/>
              </w:rPr>
            </w:pPr>
            <w:r>
              <w:rPr>
                <w:rFonts w:ascii="Arial" w:cs="Arial" w:eastAsia="Arial" w:hAnsi="Arial"/>
                <w:sz w:val="16"/>
                <w:szCs w:val="16"/>
                <w:color w:val="auto"/>
              </w:rPr>
              <w:t>Reclassification of net realized losses on settled commodity derivatives (net of tax of $(8) and</w:t>
            </w:r>
          </w:p>
        </w:tc>
        <w:tc>
          <w:tcPr>
            <w:tcW w:w="1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98"/>
        </w:trPr>
        <w:tc>
          <w:tcPr>
            <w:tcW w:w="7440" w:type="dxa"/>
            <w:vAlign w:val="bottom"/>
            <w:tcBorders>
              <w:bottom w:val="single" w:sz="8" w:color="CEFFE7"/>
            </w:tcBorders>
          </w:tcPr>
          <w:p>
            <w:pPr>
              <w:ind w:left="360"/>
              <w:spacing w:after="0"/>
              <w:rPr>
                <w:sz w:val="20"/>
                <w:szCs w:val="20"/>
                <w:color w:val="auto"/>
              </w:rPr>
            </w:pPr>
            <w:r>
              <w:rPr>
                <w:rFonts w:ascii="Arial" w:cs="Arial" w:eastAsia="Arial" w:hAnsi="Arial"/>
                <w:sz w:val="16"/>
                <w:szCs w:val="16"/>
                <w:color w:val="auto"/>
              </w:rPr>
              <w:t>$(115), respectively)</w:t>
            </w:r>
          </w:p>
        </w:tc>
        <w:tc>
          <w:tcPr>
            <w:tcW w:w="1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w:t>
            </w:r>
          </w:p>
        </w:tc>
        <w:tc>
          <w:tcPr>
            <w:tcW w:w="7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371</w:t>
            </w:r>
          </w:p>
        </w:tc>
      </w:tr>
      <w:tr>
        <w:trPr>
          <w:trHeight w:val="209"/>
        </w:trPr>
        <w:tc>
          <w:tcPr>
            <w:tcW w:w="7440" w:type="dxa"/>
            <w:vAlign w:val="bottom"/>
            <w:shd w:val="clear" w:color="auto" w:fill="CEFFE7"/>
          </w:tcPr>
          <w:p>
            <w:pPr>
              <w:ind w:left="20"/>
              <w:spacing w:after="0"/>
              <w:rPr>
                <w:sz w:val="20"/>
                <w:szCs w:val="20"/>
                <w:color w:val="auto"/>
              </w:rPr>
            </w:pPr>
            <w:r>
              <w:rPr>
                <w:rFonts w:ascii="Arial" w:cs="Arial" w:eastAsia="Arial" w:hAnsi="Arial"/>
                <w:sz w:val="16"/>
                <w:szCs w:val="16"/>
                <w:color w:val="auto"/>
              </w:rPr>
              <w:t>Other comprehensive income, net of tax</w:t>
            </w:r>
          </w:p>
        </w:tc>
        <w:tc>
          <w:tcPr>
            <w:tcW w:w="1120" w:type="dxa"/>
            <w:vAlign w:val="bottom"/>
            <w:tcBorders>
              <w:bottom w:val="single" w:sz="8" w:color="auto"/>
            </w:tcBorders>
            <w:shd w:val="clear" w:color="auto" w:fill="CEFFE7"/>
          </w:tcPr>
          <w:p>
            <w:pPr>
              <w:spacing w:after="0"/>
              <w:rPr>
                <w:sz w:val="18"/>
                <w:szCs w:val="18"/>
                <w:color w:val="auto"/>
              </w:rPr>
            </w:pPr>
          </w:p>
        </w:tc>
        <w:tc>
          <w:tcPr>
            <w:tcW w:w="7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1,018</w:t>
            </w:r>
          </w:p>
        </w:tc>
        <w:tc>
          <w:tcPr>
            <w:tcW w:w="760" w:type="dxa"/>
            <w:vAlign w:val="bottom"/>
            <w:tcBorders>
              <w:bottom w:val="single" w:sz="8" w:color="auto"/>
            </w:tcBorders>
            <w:shd w:val="clear" w:color="auto" w:fill="CEFFE7"/>
          </w:tcPr>
          <w:p>
            <w:pPr>
              <w:spacing w:after="0"/>
              <w:rPr>
                <w:sz w:val="18"/>
                <w:szCs w:val="18"/>
                <w:color w:val="auto"/>
              </w:rPr>
            </w:pPr>
          </w:p>
        </w:tc>
        <w:tc>
          <w:tcPr>
            <w:tcW w:w="11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1,273</w:t>
            </w:r>
          </w:p>
        </w:tc>
      </w:tr>
      <w:tr>
        <w:trPr>
          <w:trHeight w:val="253"/>
        </w:trPr>
        <w:tc>
          <w:tcPr>
            <w:tcW w:w="74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16"/>
        </w:trPr>
        <w:tc>
          <w:tcPr>
            <w:tcW w:w="7440" w:type="dxa"/>
            <w:vAlign w:val="bottom"/>
            <w:shd w:val="clear" w:color="auto" w:fill="CEFFE7"/>
          </w:tcPr>
          <w:p>
            <w:pPr>
              <w:ind w:left="20"/>
              <w:spacing w:after="0"/>
              <w:rPr>
                <w:sz w:val="20"/>
                <w:szCs w:val="20"/>
                <w:color w:val="auto"/>
              </w:rPr>
            </w:pPr>
            <w:r>
              <w:rPr>
                <w:rFonts w:ascii="Arial" w:cs="Arial" w:eastAsia="Arial" w:hAnsi="Arial"/>
                <w:sz w:val="16"/>
                <w:szCs w:val="16"/>
                <w:color w:val="auto"/>
              </w:rPr>
              <w:t>Comprehensive income</w:t>
            </w:r>
          </w:p>
        </w:tc>
        <w:tc>
          <w:tcPr>
            <w:tcW w:w="1120" w:type="dxa"/>
            <w:vAlign w:val="bottom"/>
            <w:shd w:val="clear" w:color="auto" w:fill="CEFFE7"/>
          </w:tcPr>
          <w:p>
            <w:pPr>
              <w:spacing w:after="0"/>
              <w:rPr>
                <w:sz w:val="18"/>
                <w:szCs w:val="18"/>
                <w:color w:val="auto"/>
              </w:rPr>
            </w:pPr>
          </w:p>
        </w:tc>
        <w:tc>
          <w:tcPr>
            <w:tcW w:w="7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101,505</w:t>
            </w:r>
          </w:p>
        </w:tc>
        <w:tc>
          <w:tcPr>
            <w:tcW w:w="760" w:type="dxa"/>
            <w:vAlign w:val="bottom"/>
            <w:shd w:val="clear" w:color="auto" w:fill="CEFFE7"/>
          </w:tcPr>
          <w:p>
            <w:pPr>
              <w:spacing w:after="0"/>
              <w:rPr>
                <w:sz w:val="18"/>
                <w:szCs w:val="18"/>
                <w:color w:val="auto"/>
              </w:rPr>
            </w:pPr>
          </w:p>
        </w:tc>
        <w:tc>
          <w:tcPr>
            <w:tcW w:w="11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98,497</w:t>
            </w:r>
          </w:p>
        </w:tc>
      </w:tr>
      <w:tr>
        <w:trPr>
          <w:trHeight w:val="213"/>
        </w:trPr>
        <w:tc>
          <w:tcPr>
            <w:tcW w:w="7440" w:type="dxa"/>
            <w:vAlign w:val="bottom"/>
            <w:tcBorders>
              <w:bottom w:val="single" w:sz="8" w:color="CEFFE7"/>
            </w:tcBorders>
          </w:tcPr>
          <w:p>
            <w:pPr>
              <w:ind w:left="20"/>
              <w:spacing w:after="0"/>
              <w:rPr>
                <w:sz w:val="20"/>
                <w:szCs w:val="20"/>
                <w:color w:val="auto"/>
              </w:rPr>
            </w:pPr>
            <w:r>
              <w:rPr>
                <w:rFonts w:ascii="Arial" w:cs="Arial" w:eastAsia="Arial" w:hAnsi="Arial"/>
                <w:sz w:val="16"/>
                <w:szCs w:val="16"/>
                <w:color w:val="auto"/>
              </w:rPr>
              <w:t>Less: comprehensive income attributable to noncontrolling interest</w:t>
            </w:r>
          </w:p>
        </w:tc>
        <w:tc>
          <w:tcPr>
            <w:tcW w:w="1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(4,171)</w:t>
            </w:r>
          </w:p>
        </w:tc>
        <w:tc>
          <w:tcPr>
            <w:tcW w:w="7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(4,050)</w:t>
            </w:r>
          </w:p>
        </w:tc>
      </w:tr>
      <w:tr>
        <w:trPr>
          <w:trHeight w:val="237"/>
        </w:trPr>
        <w:tc>
          <w:tcPr>
            <w:tcW w:w="744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Comprehensive income available for common stock</w:t>
            </w:r>
          </w:p>
        </w:tc>
        <w:tc>
          <w:tcPr>
            <w:tcW w:w="1120" w:type="dxa"/>
            <w:vAlign w:val="bottom"/>
            <w:tcBorders>
              <w:bottom w:val="single" w:sz="8" w:color="auto"/>
            </w:tcBorders>
            <w:shd w:val="clear" w:color="auto" w:fill="CEFFE7"/>
          </w:tcPr>
          <w:p>
            <w:pPr>
              <w:jc w:val="right"/>
              <w:ind w:right="91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97,334</w:t>
            </w:r>
          </w:p>
        </w:tc>
        <w:tc>
          <w:tcPr>
            <w:tcW w:w="760" w:type="dxa"/>
            <w:vAlign w:val="bottom"/>
            <w:tcBorders>
              <w:bottom w:val="single" w:sz="8" w:color="auto"/>
            </w:tcBorders>
            <w:shd w:val="clear" w:color="auto" w:fill="CEFFE7"/>
          </w:tcPr>
          <w:p>
            <w:pPr>
              <w:jc w:val="right"/>
              <w:ind w:right="5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94,447</w:t>
            </w:r>
          </w:p>
        </w:tc>
      </w:tr>
      <w:tr>
        <w:trPr>
          <w:trHeight w:val="20"/>
        </w:trPr>
        <w:tc>
          <w:tcPr>
            <w:tcW w:w="7440" w:type="dxa"/>
            <w:vAlign w:val="bottom"/>
            <w:tcBorders>
              <w:top w:val="single" w:sz="8" w:color="CEFFE7"/>
            </w:tcBorders>
          </w:tcPr>
          <w:p>
            <w:pPr>
              <w:spacing w:after="0" w:line="20" w:lineRule="exact"/>
              <w:rPr>
                <w:sz w:val="1"/>
                <w:szCs w:val="1"/>
                <w:color w:val="auto"/>
              </w:rPr>
            </w:pPr>
          </w:p>
        </w:tc>
        <w:tc>
          <w:tcPr>
            <w:tcW w:w="1120" w:type="dxa"/>
            <w:vAlign w:val="bottom"/>
            <w:tcBorders>
              <w:top w:val="single" w:sz="8" w:color="CEFFE7"/>
              <w:bottom w:val="single" w:sz="8" w:color="auto"/>
            </w:tcBorders>
          </w:tcPr>
          <w:p>
            <w:pPr>
              <w:spacing w:after="0" w:line="20" w:lineRule="exact"/>
              <w:rPr>
                <w:sz w:val="1"/>
                <w:szCs w:val="1"/>
                <w:color w:val="auto"/>
              </w:rPr>
            </w:pPr>
          </w:p>
        </w:tc>
        <w:tc>
          <w:tcPr>
            <w:tcW w:w="760" w:type="dxa"/>
            <w:vAlign w:val="bottom"/>
            <w:tcBorders>
              <w:top w:val="single" w:sz="8" w:color="CEFFE7"/>
              <w:bottom w:val="single" w:sz="8" w:color="auto"/>
            </w:tcBorders>
          </w:tcPr>
          <w:p>
            <w:pPr>
              <w:spacing w:after="0" w:line="20" w:lineRule="exact"/>
              <w:rPr>
                <w:sz w:val="1"/>
                <w:szCs w:val="1"/>
                <w:color w:val="auto"/>
              </w:rPr>
            </w:pPr>
          </w:p>
        </w:tc>
        <w:tc>
          <w:tcPr>
            <w:tcW w:w="760" w:type="dxa"/>
            <w:vAlign w:val="bottom"/>
            <w:tcBorders>
              <w:top w:val="single" w:sz="8" w:color="CEFFE7"/>
              <w:bottom w:val="single" w:sz="8" w:color="auto"/>
            </w:tcBorders>
          </w:tcPr>
          <w:p>
            <w:pPr>
              <w:spacing w:after="0" w:line="20" w:lineRule="exact"/>
              <w:rPr>
                <w:sz w:val="1"/>
                <w:szCs w:val="1"/>
                <w:color w:val="auto"/>
              </w:rPr>
            </w:pPr>
          </w:p>
        </w:tc>
        <w:tc>
          <w:tcPr>
            <w:tcW w:w="1120" w:type="dxa"/>
            <w:vAlign w:val="bottom"/>
            <w:tcBorders>
              <w:top w:val="single" w:sz="8" w:color="CEFFE7"/>
              <w:bottom w:val="single" w:sz="8" w:color="auto"/>
            </w:tcBorders>
          </w:tcPr>
          <w:p>
            <w:pPr>
              <w:spacing w:after="0" w:line="20" w:lineRule="exact"/>
              <w:rPr>
                <w:sz w:val="1"/>
                <w:szCs w:val="1"/>
                <w:color w:val="auto"/>
              </w:rPr>
            </w:pPr>
          </w:p>
        </w:tc>
      </w:tr>
    </w:tbl>
    <w:p>
      <w:pPr>
        <w:spacing w:after="0" w:line="329" w:lineRule="exact"/>
        <w:rPr>
          <w:sz w:val="20"/>
          <w:szCs w:val="20"/>
          <w:color w:val="auto"/>
        </w:rPr>
      </w:pPr>
    </w:p>
    <w:p>
      <w:pPr>
        <w:jc w:val="center"/>
        <w:ind w:right="-39"/>
        <w:spacing w:after="0"/>
        <w:rPr>
          <w:rFonts w:ascii="Arial" w:cs="Arial" w:eastAsia="Arial" w:hAnsi="Arial"/>
          <w:sz w:val="14"/>
          <w:szCs w:val="14"/>
          <w:color w:val="auto"/>
        </w:rPr>
      </w:pPr>
      <w:r>
        <w:rPr>
          <w:rFonts w:ascii="Arial" w:cs="Arial" w:eastAsia="Arial" w:hAnsi="Arial"/>
          <w:sz w:val="14"/>
          <w:szCs w:val="14"/>
          <w:color w:val="auto"/>
        </w:rPr>
        <w:t xml:space="preserve">See </w:t>
      </w:r>
      <w:hyperlink w:anchor="page25">
        <w:r>
          <w:rPr>
            <w:rFonts w:ascii="Arial" w:cs="Arial" w:eastAsia="Arial" w:hAnsi="Arial"/>
            <w:sz w:val="14"/>
            <w:szCs w:val="14"/>
            <w:u w:val="single" w:color="auto"/>
            <w:color w:val="0000FF"/>
          </w:rPr>
          <w:t>Note 9</w:t>
        </w:r>
        <w:r>
          <w:rPr>
            <w:rFonts w:ascii="Arial" w:cs="Arial" w:eastAsia="Arial" w:hAnsi="Arial"/>
            <w:sz w:val="14"/>
            <w:szCs w:val="14"/>
            <w:u w:val="single" w:color="auto"/>
            <w:color w:val="auto"/>
          </w:rPr>
          <w:t xml:space="preserve"> </w:t>
        </w:r>
      </w:hyperlink>
      <w:r>
        <w:rPr>
          <w:rFonts w:ascii="Arial" w:cs="Arial" w:eastAsia="Arial" w:hAnsi="Arial"/>
          <w:sz w:val="14"/>
          <w:szCs w:val="14"/>
          <w:color w:val="auto"/>
        </w:rPr>
        <w:t>for additional disclosures.</w:t>
      </w:r>
    </w:p>
    <w:p>
      <w:pPr>
        <w:spacing w:after="0" w:line="244" w:lineRule="exact"/>
        <w:rPr>
          <w:sz w:val="20"/>
          <w:szCs w:val="20"/>
          <w:color w:val="auto"/>
        </w:rPr>
      </w:pPr>
    </w:p>
    <w:p>
      <w:pPr>
        <w:jc w:val="center"/>
        <w:ind w:right="-39"/>
        <w:spacing w:after="0"/>
        <w:rPr>
          <w:rFonts w:ascii="Arial" w:cs="Arial" w:eastAsia="Arial" w:hAnsi="Arial"/>
          <w:sz w:val="14"/>
          <w:szCs w:val="14"/>
          <w:color w:val="auto"/>
        </w:rPr>
      </w:pPr>
      <w:r>
        <w:rPr>
          <w:rFonts w:ascii="Arial" w:cs="Arial" w:eastAsia="Arial" w:hAnsi="Arial"/>
          <w:sz w:val="14"/>
          <w:szCs w:val="14"/>
          <w:color w:val="auto"/>
        </w:rPr>
        <w:t xml:space="preserve">The accompanying </w:t>
      </w:r>
      <w:hyperlink w:anchor="page13">
        <w:r>
          <w:rPr>
            <w:rFonts w:ascii="Arial" w:cs="Arial" w:eastAsia="Arial" w:hAnsi="Arial"/>
            <w:sz w:val="14"/>
            <w:szCs w:val="14"/>
            <w:u w:val="single" w:color="auto"/>
            <w:color w:val="0000FF"/>
          </w:rPr>
          <w:t>Notes to Condensed Consolidated Financial Statements</w:t>
        </w:r>
        <w:r>
          <w:rPr>
            <w:rFonts w:ascii="Arial" w:cs="Arial" w:eastAsia="Arial" w:hAnsi="Arial"/>
            <w:sz w:val="14"/>
            <w:szCs w:val="14"/>
            <w:u w:val="single" w:color="auto"/>
            <w:color w:val="auto"/>
          </w:rPr>
          <w:t xml:space="preserve"> </w:t>
        </w:r>
      </w:hyperlink>
      <w:r>
        <w:rPr>
          <w:rFonts w:ascii="Arial" w:cs="Arial" w:eastAsia="Arial" w:hAnsi="Arial"/>
          <w:sz w:val="14"/>
          <w:szCs w:val="14"/>
          <w:color w:val="auto"/>
        </w:rPr>
        <w:t>are an integral part of these Condensed Consolidated Financial Statements.</w:t>
      </w:r>
    </w:p>
    <w:p>
      <w:pPr>
        <w:spacing w:after="0" w:line="33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9" w:name="page10"/>
    <w:bookmarkEnd w:id="9"/>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BLACK HILLS CORPORATION</w:t>
      </w:r>
    </w:p>
    <w:p>
      <w:pPr>
        <w:spacing w:after="0" w:line="25"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CONDENSED CONSOLIDATED BALANCE SHEETS</w:t>
      </w:r>
    </w:p>
    <w:p>
      <w:pPr>
        <w:sectPr>
          <w:pgSz w:w="11900" w:h="16838" w:orient="portrait"/>
          <w:cols w:equalWidth="0" w:num="1">
            <w:col w:w="11220"/>
          </w:cols>
          <w:pgMar w:left="320" w:top="121" w:right="359" w:bottom="1440" w:gutter="0" w:footer="0" w:header="0"/>
        </w:sectPr>
      </w:pPr>
    </w:p>
    <w:p>
      <w:pPr>
        <w:spacing w:after="0" w:line="383" w:lineRule="exact"/>
        <w:rPr>
          <w:sz w:val="20"/>
          <w:szCs w:val="20"/>
          <w:color w:val="auto"/>
        </w:rPr>
      </w:pPr>
    </w:p>
    <w:p>
      <w:pPr>
        <w:ind w:left="40"/>
        <w:spacing w:after="0"/>
        <w:rPr>
          <w:sz w:val="20"/>
          <w:szCs w:val="20"/>
          <w:color w:val="auto"/>
        </w:rPr>
      </w:pPr>
      <w:r>
        <w:rPr>
          <w:rFonts w:ascii="Arial" w:cs="Arial" w:eastAsia="Arial" w:hAnsi="Arial"/>
          <w:sz w:val="16"/>
          <w:szCs w:val="16"/>
          <w:color w:val="auto"/>
        </w:rPr>
        <w:t>(unaudited)</w:t>
      </w:r>
    </w:p>
    <w:p>
      <w:pPr>
        <w:spacing w:after="0" w:line="200" w:lineRule="exact"/>
        <w:rPr>
          <w:sz w:val="20"/>
          <w:szCs w:val="20"/>
          <w:color w:val="auto"/>
        </w:rPr>
      </w:pPr>
    </w:p>
    <w:p>
      <w:pPr>
        <w:spacing w:after="0" w:line="258" w:lineRule="exact"/>
        <w:rPr>
          <w:sz w:val="20"/>
          <w:szCs w:val="20"/>
          <w:color w:val="auto"/>
        </w:rPr>
      </w:pPr>
    </w:p>
    <w:p>
      <w:pPr>
        <w:jc w:val="center"/>
        <w:ind w:left="740"/>
        <w:spacing w:after="0"/>
        <w:rPr>
          <w:sz w:val="20"/>
          <w:szCs w:val="20"/>
          <w:color w:val="auto"/>
        </w:rPr>
      </w:pPr>
      <w:r>
        <w:rPr>
          <w:rFonts w:ascii="Arial" w:cs="Arial" w:eastAsia="Arial" w:hAnsi="Arial"/>
          <w:sz w:val="15"/>
          <w:szCs w:val="15"/>
          <w:b w:val="1"/>
          <w:bCs w:val="1"/>
          <w:color w:val="auto"/>
        </w:rPr>
        <w:t>ASSETS</w:t>
      </w:r>
    </w:p>
    <w:p>
      <w:pPr>
        <w:spacing w:after="0" w:line="64" w:lineRule="exact"/>
        <w:rPr>
          <w:sz w:val="20"/>
          <w:szCs w:val="20"/>
          <w:color w:val="auto"/>
        </w:rPr>
      </w:pPr>
    </w:p>
    <w:p>
      <w:pPr>
        <w:ind w:left="40"/>
        <w:spacing w:after="0"/>
        <w:rPr>
          <w:sz w:val="20"/>
          <w:szCs w:val="20"/>
          <w:color w:val="auto"/>
        </w:rPr>
      </w:pPr>
      <w:r>
        <w:rPr>
          <w:rFonts w:ascii="Arial" w:cs="Arial" w:eastAsia="Arial" w:hAnsi="Arial"/>
          <w:sz w:val="16"/>
          <w:szCs w:val="16"/>
          <w:color w:val="auto"/>
        </w:rPr>
        <w:t>Current assets: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Cash and cash equivalents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Restricted cash and equivalents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Accounts receivable, net</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Materials, supplies and fuel</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Derivative assets, current</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Income tax receivable, net</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Regulatory assets, current</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Other current assets</w:t>
      </w:r>
    </w:p>
    <w:p>
      <w:pPr>
        <w:spacing w:after="0" w:line="46"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Total current assets</w:t>
      </w:r>
    </w:p>
    <w:p>
      <w:pPr>
        <w:spacing w:after="0" w:line="20" w:lineRule="exact"/>
        <w:rPr>
          <w:sz w:val="20"/>
          <w:szCs w:val="20"/>
          <w:color w:val="auto"/>
        </w:rPr>
      </w:pPr>
      <w:r>
        <w:rPr>
          <w:sz w:val="20"/>
          <w:szCs w:val="20"/>
          <w:color w:val="auto"/>
        </w:rPr>
        <w:br w:type="column"/>
      </w:r>
    </w:p>
    <w:p>
      <w:pPr>
        <w:spacing w:after="0" w:line="36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280" w:type="dxa"/>
            <w:vAlign w:val="bottom"/>
          </w:tcPr>
          <w:p>
            <w:pPr>
              <w:spacing w:after="0"/>
              <w:rPr>
                <w:sz w:val="16"/>
                <w:szCs w:val="16"/>
                <w:color w:val="auto"/>
              </w:rPr>
            </w:pPr>
          </w:p>
        </w:tc>
        <w:tc>
          <w:tcPr>
            <w:tcW w:w="2020" w:type="dxa"/>
            <w:vAlign w:val="bottom"/>
            <w:gridSpan w:val="2"/>
          </w:tcPr>
          <w:p>
            <w:pPr>
              <w:jc w:val="right"/>
              <w:spacing w:after="0"/>
              <w:rPr>
                <w:sz w:val="20"/>
                <w:szCs w:val="20"/>
                <w:color w:val="auto"/>
              </w:rPr>
            </w:pPr>
            <w:r>
              <w:rPr>
                <w:rFonts w:ascii="Arial" w:cs="Arial" w:eastAsia="Arial" w:hAnsi="Arial"/>
                <w:sz w:val="16"/>
                <w:szCs w:val="16"/>
                <w:color w:val="auto"/>
              </w:rPr>
              <w:t>As of</w:t>
            </w:r>
          </w:p>
        </w:tc>
        <w:tc>
          <w:tcPr>
            <w:tcW w:w="1780" w:type="dxa"/>
            <w:vAlign w:val="bottom"/>
          </w:tcPr>
          <w:p>
            <w:pPr>
              <w:spacing w:after="0"/>
              <w:rPr>
                <w:sz w:val="16"/>
                <w:szCs w:val="16"/>
                <w:color w:val="auto"/>
              </w:rPr>
            </w:pPr>
          </w:p>
        </w:tc>
      </w:tr>
      <w:tr>
        <w:trPr>
          <w:trHeight w:val="219"/>
        </w:trPr>
        <w:tc>
          <w:tcPr>
            <w:tcW w:w="28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March 31, 2021</w:t>
            </w:r>
          </w:p>
        </w:tc>
        <w:tc>
          <w:tcPr>
            <w:tcW w:w="2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December 31, 2020</w:t>
            </w:r>
          </w:p>
        </w:tc>
      </w:tr>
      <w:tr>
        <w:trPr>
          <w:trHeight w:val="207"/>
        </w:trPr>
        <w:tc>
          <w:tcPr>
            <w:tcW w:w="280" w:type="dxa"/>
            <w:vAlign w:val="bottom"/>
          </w:tcPr>
          <w:p>
            <w:pPr>
              <w:spacing w:after="0"/>
              <w:rPr>
                <w:sz w:val="17"/>
                <w:szCs w:val="17"/>
                <w:color w:val="auto"/>
              </w:rPr>
            </w:pPr>
          </w:p>
        </w:tc>
        <w:tc>
          <w:tcPr>
            <w:tcW w:w="3800" w:type="dxa"/>
            <w:vAlign w:val="bottom"/>
            <w:gridSpan w:val="3"/>
          </w:tcPr>
          <w:p>
            <w:pPr>
              <w:jc w:val="right"/>
              <w:ind w:right="1439"/>
              <w:spacing w:after="0"/>
              <w:rPr>
                <w:sz w:val="20"/>
                <w:szCs w:val="20"/>
                <w:color w:val="auto"/>
              </w:rPr>
            </w:pPr>
            <w:r>
              <w:rPr>
                <w:rFonts w:ascii="Arial" w:cs="Arial" w:eastAsia="Arial" w:hAnsi="Arial"/>
                <w:sz w:val="16"/>
                <w:szCs w:val="16"/>
                <w:color w:val="auto"/>
              </w:rPr>
              <w:t>(in thousands)</w:t>
            </w:r>
          </w:p>
        </w:tc>
      </w:tr>
      <w:tr>
        <w:trPr>
          <w:trHeight w:val="648"/>
        </w:trPr>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740" w:type="dxa"/>
            <w:vAlign w:val="bottom"/>
          </w:tcPr>
          <w:p>
            <w:pPr>
              <w:jc w:val="right"/>
              <w:ind w:right="19"/>
              <w:spacing w:after="0"/>
              <w:rPr>
                <w:sz w:val="20"/>
                <w:szCs w:val="20"/>
                <w:color w:val="auto"/>
              </w:rPr>
            </w:pPr>
            <w:r>
              <w:rPr>
                <w:rFonts w:ascii="Arial" w:cs="Arial" w:eastAsia="Arial" w:hAnsi="Arial"/>
                <w:sz w:val="16"/>
                <w:szCs w:val="16"/>
                <w:color w:val="auto"/>
              </w:rPr>
              <w:t>13,442</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780" w:type="dxa"/>
            <w:vAlign w:val="bottom"/>
          </w:tcPr>
          <w:p>
            <w:pPr>
              <w:jc w:val="right"/>
              <w:spacing w:after="0"/>
              <w:rPr>
                <w:sz w:val="20"/>
                <w:szCs w:val="20"/>
                <w:color w:val="auto"/>
              </w:rPr>
            </w:pPr>
            <w:r>
              <w:rPr>
                <w:rFonts w:ascii="Arial" w:cs="Arial" w:eastAsia="Arial" w:hAnsi="Arial"/>
                <w:sz w:val="16"/>
                <w:szCs w:val="16"/>
                <w:color w:val="auto"/>
              </w:rPr>
              <w:t>6,356</w:t>
            </w:r>
          </w:p>
        </w:tc>
      </w:tr>
      <w:tr>
        <w:trPr>
          <w:trHeight w:val="216"/>
        </w:trPr>
        <w:tc>
          <w:tcPr>
            <w:tcW w:w="280" w:type="dxa"/>
            <w:vAlign w:val="bottom"/>
          </w:tcPr>
          <w:p>
            <w:pPr>
              <w:spacing w:after="0"/>
              <w:rPr>
                <w:sz w:val="18"/>
                <w:szCs w:val="18"/>
                <w:color w:val="auto"/>
              </w:rPr>
            </w:pPr>
          </w:p>
        </w:tc>
        <w:tc>
          <w:tcPr>
            <w:tcW w:w="1740" w:type="dxa"/>
            <w:vAlign w:val="bottom"/>
          </w:tcPr>
          <w:p>
            <w:pPr>
              <w:jc w:val="right"/>
              <w:ind w:right="19"/>
              <w:spacing w:after="0"/>
              <w:rPr>
                <w:sz w:val="20"/>
                <w:szCs w:val="20"/>
                <w:color w:val="auto"/>
              </w:rPr>
            </w:pPr>
            <w:r>
              <w:rPr>
                <w:rFonts w:ascii="Arial" w:cs="Arial" w:eastAsia="Arial" w:hAnsi="Arial"/>
                <w:sz w:val="16"/>
                <w:szCs w:val="16"/>
                <w:color w:val="auto"/>
              </w:rPr>
              <w:t>4,483</w:t>
            </w:r>
          </w:p>
        </w:tc>
        <w:tc>
          <w:tcPr>
            <w:tcW w:w="28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4,383</w:t>
            </w:r>
          </w:p>
        </w:tc>
      </w:tr>
      <w:tr>
        <w:trPr>
          <w:trHeight w:val="216"/>
        </w:trPr>
        <w:tc>
          <w:tcPr>
            <w:tcW w:w="280" w:type="dxa"/>
            <w:vAlign w:val="bottom"/>
          </w:tcPr>
          <w:p>
            <w:pPr>
              <w:spacing w:after="0"/>
              <w:rPr>
                <w:sz w:val="18"/>
                <w:szCs w:val="18"/>
                <w:color w:val="auto"/>
              </w:rPr>
            </w:pPr>
          </w:p>
        </w:tc>
        <w:tc>
          <w:tcPr>
            <w:tcW w:w="1740" w:type="dxa"/>
            <w:vAlign w:val="bottom"/>
          </w:tcPr>
          <w:p>
            <w:pPr>
              <w:jc w:val="right"/>
              <w:ind w:right="19"/>
              <w:spacing w:after="0"/>
              <w:rPr>
                <w:sz w:val="20"/>
                <w:szCs w:val="20"/>
                <w:color w:val="auto"/>
              </w:rPr>
            </w:pPr>
            <w:r>
              <w:rPr>
                <w:rFonts w:ascii="Arial" w:cs="Arial" w:eastAsia="Arial" w:hAnsi="Arial"/>
                <w:sz w:val="16"/>
                <w:szCs w:val="16"/>
                <w:color w:val="auto"/>
              </w:rPr>
              <w:t>282,382</w:t>
            </w:r>
          </w:p>
        </w:tc>
        <w:tc>
          <w:tcPr>
            <w:tcW w:w="28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265,961</w:t>
            </w:r>
          </w:p>
        </w:tc>
      </w:tr>
      <w:tr>
        <w:trPr>
          <w:trHeight w:val="216"/>
        </w:trPr>
        <w:tc>
          <w:tcPr>
            <w:tcW w:w="280" w:type="dxa"/>
            <w:vAlign w:val="bottom"/>
          </w:tcPr>
          <w:p>
            <w:pPr>
              <w:spacing w:after="0"/>
              <w:rPr>
                <w:sz w:val="18"/>
                <w:szCs w:val="18"/>
                <w:color w:val="auto"/>
              </w:rPr>
            </w:pPr>
          </w:p>
        </w:tc>
        <w:tc>
          <w:tcPr>
            <w:tcW w:w="1740" w:type="dxa"/>
            <w:vAlign w:val="bottom"/>
          </w:tcPr>
          <w:p>
            <w:pPr>
              <w:jc w:val="right"/>
              <w:ind w:right="19"/>
              <w:spacing w:after="0"/>
              <w:rPr>
                <w:sz w:val="20"/>
                <w:szCs w:val="20"/>
                <w:color w:val="auto"/>
              </w:rPr>
            </w:pPr>
            <w:r>
              <w:rPr>
                <w:rFonts w:ascii="Arial" w:cs="Arial" w:eastAsia="Arial" w:hAnsi="Arial"/>
                <w:sz w:val="16"/>
                <w:szCs w:val="16"/>
                <w:color w:val="auto"/>
              </w:rPr>
              <w:t>102,603</w:t>
            </w:r>
          </w:p>
        </w:tc>
        <w:tc>
          <w:tcPr>
            <w:tcW w:w="28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117,400</w:t>
            </w:r>
          </w:p>
        </w:tc>
      </w:tr>
      <w:tr>
        <w:trPr>
          <w:trHeight w:val="216"/>
        </w:trPr>
        <w:tc>
          <w:tcPr>
            <w:tcW w:w="280" w:type="dxa"/>
            <w:vAlign w:val="bottom"/>
          </w:tcPr>
          <w:p>
            <w:pPr>
              <w:spacing w:after="0"/>
              <w:rPr>
                <w:sz w:val="18"/>
                <w:szCs w:val="18"/>
                <w:color w:val="auto"/>
              </w:rPr>
            </w:pPr>
          </w:p>
        </w:tc>
        <w:tc>
          <w:tcPr>
            <w:tcW w:w="1740" w:type="dxa"/>
            <w:vAlign w:val="bottom"/>
          </w:tcPr>
          <w:p>
            <w:pPr>
              <w:jc w:val="right"/>
              <w:ind w:right="19"/>
              <w:spacing w:after="0"/>
              <w:rPr>
                <w:sz w:val="20"/>
                <w:szCs w:val="20"/>
                <w:color w:val="auto"/>
              </w:rPr>
            </w:pPr>
            <w:r>
              <w:rPr>
                <w:rFonts w:ascii="Arial" w:cs="Arial" w:eastAsia="Arial" w:hAnsi="Arial"/>
                <w:sz w:val="16"/>
                <w:szCs w:val="16"/>
                <w:color w:val="auto"/>
              </w:rPr>
              <w:t>1,917</w:t>
            </w:r>
          </w:p>
        </w:tc>
        <w:tc>
          <w:tcPr>
            <w:tcW w:w="28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1,848</w:t>
            </w:r>
          </w:p>
        </w:tc>
      </w:tr>
      <w:tr>
        <w:trPr>
          <w:trHeight w:val="216"/>
        </w:trPr>
        <w:tc>
          <w:tcPr>
            <w:tcW w:w="280" w:type="dxa"/>
            <w:vAlign w:val="bottom"/>
          </w:tcPr>
          <w:p>
            <w:pPr>
              <w:spacing w:after="0"/>
              <w:rPr>
                <w:sz w:val="18"/>
                <w:szCs w:val="18"/>
                <w:color w:val="auto"/>
              </w:rPr>
            </w:pPr>
          </w:p>
        </w:tc>
        <w:tc>
          <w:tcPr>
            <w:tcW w:w="1740" w:type="dxa"/>
            <w:vAlign w:val="bottom"/>
          </w:tcPr>
          <w:p>
            <w:pPr>
              <w:jc w:val="right"/>
              <w:ind w:right="19"/>
              <w:spacing w:after="0"/>
              <w:rPr>
                <w:sz w:val="20"/>
                <w:szCs w:val="20"/>
                <w:color w:val="auto"/>
              </w:rPr>
            </w:pPr>
            <w:r>
              <w:rPr>
                <w:rFonts w:ascii="Arial" w:cs="Arial" w:eastAsia="Arial" w:hAnsi="Arial"/>
                <w:sz w:val="16"/>
                <w:szCs w:val="16"/>
                <w:color w:val="auto"/>
              </w:rPr>
              <w:t>18,115</w:t>
            </w:r>
          </w:p>
        </w:tc>
        <w:tc>
          <w:tcPr>
            <w:tcW w:w="28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19,446</w:t>
            </w:r>
          </w:p>
        </w:tc>
      </w:tr>
      <w:tr>
        <w:trPr>
          <w:trHeight w:val="216"/>
        </w:trPr>
        <w:tc>
          <w:tcPr>
            <w:tcW w:w="280" w:type="dxa"/>
            <w:vAlign w:val="bottom"/>
          </w:tcPr>
          <w:p>
            <w:pPr>
              <w:spacing w:after="0"/>
              <w:rPr>
                <w:sz w:val="18"/>
                <w:szCs w:val="18"/>
                <w:color w:val="auto"/>
              </w:rPr>
            </w:pPr>
          </w:p>
        </w:tc>
        <w:tc>
          <w:tcPr>
            <w:tcW w:w="1740" w:type="dxa"/>
            <w:vAlign w:val="bottom"/>
          </w:tcPr>
          <w:p>
            <w:pPr>
              <w:jc w:val="right"/>
              <w:ind w:right="19"/>
              <w:spacing w:after="0"/>
              <w:rPr>
                <w:sz w:val="20"/>
                <w:szCs w:val="20"/>
                <w:color w:val="auto"/>
              </w:rPr>
            </w:pPr>
            <w:r>
              <w:rPr>
                <w:rFonts w:ascii="Arial" w:cs="Arial" w:eastAsia="Arial" w:hAnsi="Arial"/>
                <w:sz w:val="16"/>
                <w:szCs w:val="16"/>
                <w:color w:val="auto"/>
              </w:rPr>
              <w:t>129,951</w:t>
            </w:r>
          </w:p>
        </w:tc>
        <w:tc>
          <w:tcPr>
            <w:tcW w:w="28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51,676</w:t>
            </w:r>
          </w:p>
        </w:tc>
      </w:tr>
      <w:tr>
        <w:trPr>
          <w:trHeight w:val="219"/>
        </w:trPr>
        <w:tc>
          <w:tcPr>
            <w:tcW w:w="28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25,722</w:t>
            </w:r>
          </w:p>
        </w:tc>
        <w:tc>
          <w:tcPr>
            <w:tcW w:w="2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26,221</w:t>
            </w:r>
          </w:p>
        </w:tc>
      </w:tr>
      <w:tr>
        <w:trPr>
          <w:trHeight w:val="210"/>
        </w:trPr>
        <w:tc>
          <w:tcPr>
            <w:tcW w:w="28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578,615</w:t>
            </w:r>
          </w:p>
        </w:tc>
        <w:tc>
          <w:tcPr>
            <w:tcW w:w="28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493,291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-4511040</wp:posOffset>
            </wp:positionH>
            <wp:positionV relativeFrom="paragraph">
              <wp:posOffset>-1250950</wp:posOffset>
            </wp:positionV>
            <wp:extent cx="7106285"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06285" cy="137160"/>
                    </a:xfrm>
                    <a:prstGeom prst="rect">
                      <a:avLst/>
                    </a:prstGeom>
                    <a:noFill/>
                  </pic:spPr>
                </pic:pic>
              </a:graphicData>
            </a:graphic>
          </wp:anchor>
        </w:drawing>
        <w:drawing>
          <wp:anchor simplePos="0" relativeHeight="251657728" behindDoc="1" locked="0" layoutInCell="0" allowOverlap="1">
            <wp:simplePos x="0" y="0"/>
            <wp:positionH relativeFrom="column">
              <wp:posOffset>-4511040</wp:posOffset>
            </wp:positionH>
            <wp:positionV relativeFrom="paragraph">
              <wp:posOffset>-976630</wp:posOffset>
            </wp:positionV>
            <wp:extent cx="7106285"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06285" cy="137160"/>
                    </a:xfrm>
                    <a:prstGeom prst="rect">
                      <a:avLst/>
                    </a:prstGeom>
                    <a:noFill/>
                  </pic:spPr>
                </pic:pic>
              </a:graphicData>
            </a:graphic>
          </wp:anchor>
        </w:drawing>
        <w:drawing>
          <wp:anchor simplePos="0" relativeHeight="251657728" behindDoc="1" locked="0" layoutInCell="0" allowOverlap="1">
            <wp:simplePos x="0" y="0"/>
            <wp:positionH relativeFrom="column">
              <wp:posOffset>-4511040</wp:posOffset>
            </wp:positionH>
            <wp:positionV relativeFrom="paragraph">
              <wp:posOffset>-702310</wp:posOffset>
            </wp:positionV>
            <wp:extent cx="7106285"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06285" cy="137160"/>
                    </a:xfrm>
                    <a:prstGeom prst="rect">
                      <a:avLst/>
                    </a:prstGeom>
                    <a:noFill/>
                  </pic:spPr>
                </pic:pic>
              </a:graphicData>
            </a:graphic>
          </wp:anchor>
        </w:drawing>
        <w:drawing>
          <wp:anchor simplePos="0" relativeHeight="251657728" behindDoc="1" locked="0" layoutInCell="0" allowOverlap="1">
            <wp:simplePos x="0" y="0"/>
            <wp:positionH relativeFrom="column">
              <wp:posOffset>-4511040</wp:posOffset>
            </wp:positionH>
            <wp:positionV relativeFrom="paragraph">
              <wp:posOffset>-427990</wp:posOffset>
            </wp:positionV>
            <wp:extent cx="7106285"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06285" cy="137160"/>
                    </a:xfrm>
                    <a:prstGeom prst="rect">
                      <a:avLst/>
                    </a:prstGeom>
                    <a:noFill/>
                  </pic:spPr>
                </pic:pic>
              </a:graphicData>
            </a:graphic>
          </wp:anchor>
        </w:drawing>
        <w:drawing>
          <wp:anchor simplePos="0" relativeHeight="251657728" behindDoc="1" locked="0" layoutInCell="0" allowOverlap="1">
            <wp:simplePos x="0" y="0"/>
            <wp:positionH relativeFrom="column">
              <wp:posOffset>-4511040</wp:posOffset>
            </wp:positionH>
            <wp:positionV relativeFrom="paragraph">
              <wp:posOffset>-153670</wp:posOffset>
            </wp:positionV>
            <wp:extent cx="7106285" cy="1454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06285" cy="1454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420" w:space="720"/>
            <w:col w:w="4080"/>
          </w:cols>
          <w:pgMar w:left="320" w:top="121" w:right="359" w:bottom="1440" w:gutter="0" w:footer="0" w:header="0"/>
          <w:type w:val="continuous"/>
        </w:sectPr>
      </w:pPr>
    </w:p>
    <w:p>
      <w:pPr>
        <w:spacing w:after="0" w:line="43"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7100" w:type="dxa"/>
            <w:vAlign w:val="bottom"/>
            <w:shd w:val="clear" w:color="auto" w:fill="CEFFE7"/>
          </w:tcPr>
          <w:p>
            <w:pPr>
              <w:spacing w:after="0"/>
              <w:rPr>
                <w:sz w:val="20"/>
                <w:szCs w:val="20"/>
                <w:color w:val="auto"/>
              </w:rPr>
            </w:pPr>
            <w:r>
              <w:rPr>
                <w:rFonts w:ascii="Arial" w:cs="Arial" w:eastAsia="Arial" w:hAnsi="Arial"/>
                <w:sz w:val="16"/>
                <w:szCs w:val="16"/>
                <w:color w:val="auto"/>
              </w:rPr>
              <w:t>Property, plant and equipment</w:t>
            </w:r>
          </w:p>
        </w:tc>
        <w:tc>
          <w:tcPr>
            <w:tcW w:w="620" w:type="dxa"/>
            <w:vAlign w:val="bottom"/>
            <w:shd w:val="clear" w:color="auto" w:fill="CEFFE7"/>
          </w:tcPr>
          <w:p>
            <w:pPr>
              <w:spacing w:after="0"/>
              <w:rPr>
                <w:sz w:val="18"/>
                <w:szCs w:val="18"/>
                <w:color w:val="auto"/>
              </w:rPr>
            </w:pPr>
          </w:p>
        </w:tc>
        <w:tc>
          <w:tcPr>
            <w:tcW w:w="1420" w:type="dxa"/>
            <w:vAlign w:val="bottom"/>
            <w:shd w:val="clear" w:color="auto" w:fill="CEFFE7"/>
          </w:tcPr>
          <w:p>
            <w:pPr>
              <w:jc w:val="right"/>
              <w:ind w:right="39"/>
              <w:spacing w:after="0"/>
              <w:rPr>
                <w:sz w:val="20"/>
                <w:szCs w:val="20"/>
                <w:color w:val="auto"/>
              </w:rPr>
            </w:pPr>
            <w:r>
              <w:rPr>
                <w:rFonts w:ascii="Arial" w:cs="Arial" w:eastAsia="Arial" w:hAnsi="Arial"/>
                <w:sz w:val="16"/>
                <w:szCs w:val="16"/>
                <w:color w:val="auto"/>
              </w:rPr>
              <w:t>7,415,818</w:t>
            </w:r>
          </w:p>
        </w:tc>
        <w:tc>
          <w:tcPr>
            <w:tcW w:w="680" w:type="dxa"/>
            <w:vAlign w:val="bottom"/>
            <w:shd w:val="clear" w:color="auto" w:fill="CEFFE7"/>
          </w:tcPr>
          <w:p>
            <w:pPr>
              <w:spacing w:after="0"/>
              <w:rPr>
                <w:sz w:val="18"/>
                <w:szCs w:val="18"/>
                <w:color w:val="auto"/>
              </w:rPr>
            </w:pPr>
          </w:p>
        </w:tc>
        <w:tc>
          <w:tcPr>
            <w:tcW w:w="13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7,305,530</w:t>
            </w:r>
          </w:p>
        </w:tc>
      </w:tr>
      <w:tr>
        <w:trPr>
          <w:trHeight w:val="213"/>
        </w:trPr>
        <w:tc>
          <w:tcPr>
            <w:tcW w:w="7100" w:type="dxa"/>
            <w:vAlign w:val="bottom"/>
            <w:tcBorders>
              <w:bottom w:val="single" w:sz="8" w:color="CEFFE7"/>
            </w:tcBorders>
          </w:tcPr>
          <w:p>
            <w:pPr>
              <w:ind w:left="160"/>
              <w:spacing w:after="0"/>
              <w:rPr>
                <w:sz w:val="20"/>
                <w:szCs w:val="20"/>
                <w:color w:val="auto"/>
              </w:rPr>
            </w:pPr>
            <w:r>
              <w:rPr>
                <w:rFonts w:ascii="Arial" w:cs="Arial" w:eastAsia="Arial" w:hAnsi="Arial"/>
                <w:sz w:val="16"/>
                <w:szCs w:val="16"/>
                <w:color w:val="auto"/>
              </w:rPr>
              <w:t>Less: accumulated depreciation and depletion</w:t>
            </w:r>
          </w:p>
        </w:tc>
        <w:tc>
          <w:tcPr>
            <w:tcW w:w="6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(1,320,525)</w:t>
            </w:r>
          </w:p>
        </w:tc>
        <w:tc>
          <w:tcPr>
            <w:tcW w:w="6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(1,285,816)</w:t>
            </w:r>
          </w:p>
        </w:tc>
      </w:tr>
      <w:tr>
        <w:trPr>
          <w:trHeight w:val="209"/>
        </w:trPr>
        <w:tc>
          <w:tcPr>
            <w:tcW w:w="7100" w:type="dxa"/>
            <w:vAlign w:val="bottom"/>
            <w:shd w:val="clear" w:color="auto" w:fill="CEFFE7"/>
          </w:tcPr>
          <w:p>
            <w:pPr>
              <w:ind w:left="540"/>
              <w:spacing w:after="0"/>
              <w:rPr>
                <w:sz w:val="20"/>
                <w:szCs w:val="20"/>
                <w:color w:val="auto"/>
              </w:rPr>
            </w:pPr>
            <w:r>
              <w:rPr>
                <w:rFonts w:ascii="Arial" w:cs="Arial" w:eastAsia="Arial" w:hAnsi="Arial"/>
                <w:sz w:val="16"/>
                <w:szCs w:val="16"/>
                <w:color w:val="auto"/>
              </w:rPr>
              <w:t>Total property, plant and equipment, net</w:t>
            </w:r>
          </w:p>
        </w:tc>
        <w:tc>
          <w:tcPr>
            <w:tcW w:w="620" w:type="dxa"/>
            <w:vAlign w:val="bottom"/>
            <w:tcBorders>
              <w:bottom w:val="single" w:sz="8" w:color="auto"/>
            </w:tcBorders>
            <w:shd w:val="clear" w:color="auto" w:fill="CEFFE7"/>
          </w:tcPr>
          <w:p>
            <w:pPr>
              <w:spacing w:after="0"/>
              <w:rPr>
                <w:sz w:val="18"/>
                <w:szCs w:val="18"/>
                <w:color w:val="auto"/>
              </w:rPr>
            </w:pPr>
          </w:p>
        </w:tc>
        <w:tc>
          <w:tcPr>
            <w:tcW w:w="1420" w:type="dxa"/>
            <w:vAlign w:val="bottom"/>
            <w:tcBorders>
              <w:bottom w:val="single" w:sz="8" w:color="auto"/>
            </w:tcBorders>
            <w:shd w:val="clear" w:color="auto" w:fill="CEFFE7"/>
          </w:tcPr>
          <w:p>
            <w:pPr>
              <w:jc w:val="right"/>
              <w:ind w:right="39"/>
              <w:spacing w:after="0"/>
              <w:rPr>
                <w:sz w:val="20"/>
                <w:szCs w:val="20"/>
                <w:color w:val="auto"/>
              </w:rPr>
            </w:pPr>
            <w:r>
              <w:rPr>
                <w:rFonts w:ascii="Arial" w:cs="Arial" w:eastAsia="Arial" w:hAnsi="Arial"/>
                <w:sz w:val="16"/>
                <w:szCs w:val="16"/>
                <w:color w:val="auto"/>
              </w:rPr>
              <w:t>6,095,293</w:t>
            </w:r>
          </w:p>
        </w:tc>
        <w:tc>
          <w:tcPr>
            <w:tcW w:w="680" w:type="dxa"/>
            <w:vAlign w:val="bottom"/>
            <w:tcBorders>
              <w:bottom w:val="single" w:sz="8" w:color="auto"/>
            </w:tcBorders>
            <w:shd w:val="clear" w:color="auto" w:fill="CEFFE7"/>
          </w:tcPr>
          <w:p>
            <w:pPr>
              <w:spacing w:after="0"/>
              <w:rPr>
                <w:sz w:val="18"/>
                <w:szCs w:val="18"/>
                <w:color w:val="auto"/>
              </w:rPr>
            </w:pPr>
          </w:p>
        </w:tc>
        <w:tc>
          <w:tcPr>
            <w:tcW w:w="13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6,019,714</w:t>
            </w:r>
          </w:p>
        </w:tc>
      </w:tr>
      <w:tr>
        <w:trPr>
          <w:trHeight w:val="240"/>
        </w:trPr>
        <w:tc>
          <w:tcPr>
            <w:tcW w:w="7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16"/>
        </w:trPr>
        <w:tc>
          <w:tcPr>
            <w:tcW w:w="7100" w:type="dxa"/>
            <w:vAlign w:val="bottom"/>
            <w:shd w:val="clear" w:color="auto" w:fill="CEFFE7"/>
          </w:tcPr>
          <w:p>
            <w:pPr>
              <w:spacing w:after="0"/>
              <w:rPr>
                <w:sz w:val="20"/>
                <w:szCs w:val="20"/>
                <w:color w:val="auto"/>
              </w:rPr>
            </w:pPr>
            <w:r>
              <w:rPr>
                <w:rFonts w:ascii="Arial" w:cs="Arial" w:eastAsia="Arial" w:hAnsi="Arial"/>
                <w:sz w:val="16"/>
                <w:szCs w:val="16"/>
                <w:color w:val="auto"/>
              </w:rPr>
              <w:t>Other assets:</w:t>
            </w:r>
          </w:p>
        </w:tc>
        <w:tc>
          <w:tcPr>
            <w:tcW w:w="620" w:type="dxa"/>
            <w:vAlign w:val="bottom"/>
            <w:shd w:val="clear" w:color="auto" w:fill="CEFFE7"/>
          </w:tcPr>
          <w:p>
            <w:pPr>
              <w:spacing w:after="0"/>
              <w:rPr>
                <w:sz w:val="18"/>
                <w:szCs w:val="18"/>
                <w:color w:val="auto"/>
              </w:rPr>
            </w:pPr>
          </w:p>
        </w:tc>
        <w:tc>
          <w:tcPr>
            <w:tcW w:w="1420" w:type="dxa"/>
            <w:vAlign w:val="bottom"/>
            <w:shd w:val="clear" w:color="auto" w:fill="CEFFE7"/>
          </w:tcPr>
          <w:p>
            <w:pPr>
              <w:spacing w:after="0"/>
              <w:rPr>
                <w:sz w:val="18"/>
                <w:szCs w:val="18"/>
                <w:color w:val="auto"/>
              </w:rPr>
            </w:pPr>
          </w:p>
        </w:tc>
        <w:tc>
          <w:tcPr>
            <w:tcW w:w="680" w:type="dxa"/>
            <w:vAlign w:val="bottom"/>
            <w:shd w:val="clear" w:color="auto" w:fill="CEFFE7"/>
          </w:tcPr>
          <w:p>
            <w:pPr>
              <w:spacing w:after="0"/>
              <w:rPr>
                <w:sz w:val="18"/>
                <w:szCs w:val="18"/>
                <w:color w:val="auto"/>
              </w:rPr>
            </w:pPr>
          </w:p>
        </w:tc>
        <w:tc>
          <w:tcPr>
            <w:tcW w:w="1360" w:type="dxa"/>
            <w:vAlign w:val="bottom"/>
            <w:shd w:val="clear" w:color="auto" w:fill="CEFFE7"/>
          </w:tcPr>
          <w:p>
            <w:pPr>
              <w:spacing w:after="0"/>
              <w:rPr>
                <w:sz w:val="18"/>
                <w:szCs w:val="18"/>
                <w:color w:val="auto"/>
              </w:rPr>
            </w:pPr>
          </w:p>
        </w:tc>
      </w:tr>
      <w:tr>
        <w:trPr>
          <w:trHeight w:val="213"/>
        </w:trPr>
        <w:tc>
          <w:tcPr>
            <w:tcW w:w="7100" w:type="dxa"/>
            <w:vAlign w:val="bottom"/>
          </w:tcPr>
          <w:p>
            <w:pPr>
              <w:ind w:left="160"/>
              <w:spacing w:after="0"/>
              <w:rPr>
                <w:sz w:val="20"/>
                <w:szCs w:val="20"/>
                <w:color w:val="auto"/>
              </w:rPr>
            </w:pPr>
            <w:r>
              <w:rPr>
                <w:rFonts w:ascii="Arial" w:cs="Arial" w:eastAsia="Arial" w:hAnsi="Arial"/>
                <w:sz w:val="16"/>
                <w:szCs w:val="16"/>
                <w:color w:val="auto"/>
              </w:rPr>
              <w:t>Goodwill</w:t>
            </w:r>
          </w:p>
        </w:tc>
        <w:tc>
          <w:tcPr>
            <w:tcW w:w="620" w:type="dxa"/>
            <w:vAlign w:val="bottom"/>
          </w:tcPr>
          <w:p>
            <w:pPr>
              <w:spacing w:after="0"/>
              <w:rPr>
                <w:sz w:val="18"/>
                <w:szCs w:val="18"/>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1,299,454</w:t>
            </w:r>
          </w:p>
        </w:tc>
        <w:tc>
          <w:tcPr>
            <w:tcW w:w="6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1,299,454</w:t>
            </w:r>
          </w:p>
        </w:tc>
      </w:tr>
      <w:tr>
        <w:trPr>
          <w:trHeight w:val="219"/>
        </w:trPr>
        <w:tc>
          <w:tcPr>
            <w:tcW w:w="7100" w:type="dxa"/>
            <w:vAlign w:val="bottom"/>
            <w:shd w:val="clear" w:color="auto" w:fill="CEFFE7"/>
          </w:tcPr>
          <w:p>
            <w:pPr>
              <w:ind w:left="160"/>
              <w:spacing w:after="0"/>
              <w:rPr>
                <w:sz w:val="20"/>
                <w:szCs w:val="20"/>
                <w:color w:val="auto"/>
              </w:rPr>
            </w:pPr>
            <w:r>
              <w:rPr>
                <w:rFonts w:ascii="Arial" w:cs="Arial" w:eastAsia="Arial" w:hAnsi="Arial"/>
                <w:sz w:val="16"/>
                <w:szCs w:val="16"/>
                <w:color w:val="auto"/>
              </w:rPr>
              <w:t>Intangible assets, net</w:t>
            </w:r>
          </w:p>
        </w:tc>
        <w:tc>
          <w:tcPr>
            <w:tcW w:w="620" w:type="dxa"/>
            <w:vAlign w:val="bottom"/>
            <w:shd w:val="clear" w:color="auto" w:fill="CEFFE7"/>
          </w:tcPr>
          <w:p>
            <w:pPr>
              <w:spacing w:after="0"/>
              <w:rPr>
                <w:sz w:val="19"/>
                <w:szCs w:val="19"/>
                <w:color w:val="auto"/>
              </w:rPr>
            </w:pPr>
          </w:p>
        </w:tc>
        <w:tc>
          <w:tcPr>
            <w:tcW w:w="1420" w:type="dxa"/>
            <w:vAlign w:val="bottom"/>
            <w:shd w:val="clear" w:color="auto" w:fill="CEFFE7"/>
          </w:tcPr>
          <w:p>
            <w:pPr>
              <w:jc w:val="right"/>
              <w:ind w:right="39"/>
              <w:spacing w:after="0"/>
              <w:rPr>
                <w:sz w:val="20"/>
                <w:szCs w:val="20"/>
                <w:color w:val="auto"/>
              </w:rPr>
            </w:pPr>
            <w:r>
              <w:rPr>
                <w:rFonts w:ascii="Arial" w:cs="Arial" w:eastAsia="Arial" w:hAnsi="Arial"/>
                <w:sz w:val="16"/>
                <w:szCs w:val="16"/>
                <w:color w:val="auto"/>
              </w:rPr>
              <w:t>11,649</w:t>
            </w:r>
          </w:p>
        </w:tc>
        <w:tc>
          <w:tcPr>
            <w:tcW w:w="680" w:type="dxa"/>
            <w:vAlign w:val="bottom"/>
            <w:shd w:val="clear" w:color="auto" w:fill="CEFFE7"/>
          </w:tcPr>
          <w:p>
            <w:pPr>
              <w:spacing w:after="0"/>
              <w:rPr>
                <w:sz w:val="19"/>
                <w:szCs w:val="19"/>
                <w:color w:val="auto"/>
              </w:rPr>
            </w:pPr>
          </w:p>
        </w:tc>
        <w:tc>
          <w:tcPr>
            <w:tcW w:w="13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11,944</w:t>
            </w:r>
          </w:p>
        </w:tc>
      </w:tr>
      <w:tr>
        <w:trPr>
          <w:trHeight w:val="213"/>
        </w:trPr>
        <w:tc>
          <w:tcPr>
            <w:tcW w:w="7100" w:type="dxa"/>
            <w:vAlign w:val="bottom"/>
          </w:tcPr>
          <w:p>
            <w:pPr>
              <w:ind w:left="160"/>
              <w:spacing w:after="0"/>
              <w:rPr>
                <w:sz w:val="20"/>
                <w:szCs w:val="20"/>
                <w:color w:val="auto"/>
              </w:rPr>
            </w:pPr>
            <w:r>
              <w:rPr>
                <w:rFonts w:ascii="Arial" w:cs="Arial" w:eastAsia="Arial" w:hAnsi="Arial"/>
                <w:sz w:val="16"/>
                <w:szCs w:val="16"/>
                <w:color w:val="auto"/>
              </w:rPr>
              <w:t>Regulatory assets, non-current</w:t>
            </w:r>
          </w:p>
        </w:tc>
        <w:tc>
          <w:tcPr>
            <w:tcW w:w="620" w:type="dxa"/>
            <w:vAlign w:val="bottom"/>
          </w:tcPr>
          <w:p>
            <w:pPr>
              <w:spacing w:after="0"/>
              <w:rPr>
                <w:sz w:val="18"/>
                <w:szCs w:val="18"/>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672,306</w:t>
            </w:r>
          </w:p>
        </w:tc>
        <w:tc>
          <w:tcPr>
            <w:tcW w:w="6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226,582</w:t>
            </w:r>
          </w:p>
        </w:tc>
      </w:tr>
      <w:tr>
        <w:trPr>
          <w:trHeight w:val="216"/>
        </w:trPr>
        <w:tc>
          <w:tcPr>
            <w:tcW w:w="7100" w:type="dxa"/>
            <w:vAlign w:val="bottom"/>
            <w:shd w:val="clear" w:color="auto" w:fill="CEFFE7"/>
          </w:tcPr>
          <w:p>
            <w:pPr>
              <w:ind w:left="160"/>
              <w:spacing w:after="0"/>
              <w:rPr>
                <w:sz w:val="20"/>
                <w:szCs w:val="20"/>
                <w:color w:val="auto"/>
              </w:rPr>
            </w:pPr>
            <w:r>
              <w:rPr>
                <w:rFonts w:ascii="Arial" w:cs="Arial" w:eastAsia="Arial" w:hAnsi="Arial"/>
                <w:sz w:val="16"/>
                <w:szCs w:val="16"/>
                <w:color w:val="auto"/>
              </w:rPr>
              <w:t>Other assets, non-current</w:t>
            </w:r>
          </w:p>
        </w:tc>
        <w:tc>
          <w:tcPr>
            <w:tcW w:w="620" w:type="dxa"/>
            <w:vAlign w:val="bottom"/>
            <w:tcBorders>
              <w:bottom w:val="single" w:sz="8" w:color="auto"/>
            </w:tcBorders>
            <w:shd w:val="clear" w:color="auto" w:fill="CEFFE7"/>
          </w:tcPr>
          <w:p>
            <w:pPr>
              <w:spacing w:after="0"/>
              <w:rPr>
                <w:sz w:val="18"/>
                <w:szCs w:val="18"/>
                <w:color w:val="auto"/>
              </w:rPr>
            </w:pPr>
          </w:p>
        </w:tc>
        <w:tc>
          <w:tcPr>
            <w:tcW w:w="1420" w:type="dxa"/>
            <w:vAlign w:val="bottom"/>
            <w:tcBorders>
              <w:bottom w:val="single" w:sz="8" w:color="auto"/>
            </w:tcBorders>
            <w:shd w:val="clear" w:color="auto" w:fill="CEFFE7"/>
          </w:tcPr>
          <w:p>
            <w:pPr>
              <w:jc w:val="right"/>
              <w:ind w:right="39"/>
              <w:spacing w:after="0"/>
              <w:rPr>
                <w:sz w:val="20"/>
                <w:szCs w:val="20"/>
                <w:color w:val="auto"/>
              </w:rPr>
            </w:pPr>
            <w:r>
              <w:rPr>
                <w:rFonts w:ascii="Arial" w:cs="Arial" w:eastAsia="Arial" w:hAnsi="Arial"/>
                <w:sz w:val="16"/>
                <w:szCs w:val="16"/>
                <w:color w:val="auto"/>
              </w:rPr>
              <w:t>38,882</w:t>
            </w:r>
          </w:p>
        </w:tc>
        <w:tc>
          <w:tcPr>
            <w:tcW w:w="680" w:type="dxa"/>
            <w:vAlign w:val="bottom"/>
            <w:tcBorders>
              <w:bottom w:val="single" w:sz="8" w:color="auto"/>
            </w:tcBorders>
            <w:shd w:val="clear" w:color="auto" w:fill="CEFFE7"/>
          </w:tcPr>
          <w:p>
            <w:pPr>
              <w:spacing w:after="0"/>
              <w:rPr>
                <w:sz w:val="18"/>
                <w:szCs w:val="18"/>
                <w:color w:val="auto"/>
              </w:rPr>
            </w:pPr>
          </w:p>
        </w:tc>
        <w:tc>
          <w:tcPr>
            <w:tcW w:w="13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37,801</w:t>
            </w:r>
          </w:p>
        </w:tc>
      </w:tr>
      <w:tr>
        <w:trPr>
          <w:trHeight w:val="209"/>
        </w:trPr>
        <w:tc>
          <w:tcPr>
            <w:tcW w:w="7100" w:type="dxa"/>
            <w:vAlign w:val="bottom"/>
            <w:tcBorders>
              <w:bottom w:val="single" w:sz="8" w:color="CEFFE7"/>
            </w:tcBorders>
          </w:tcPr>
          <w:p>
            <w:pPr>
              <w:ind w:left="540"/>
              <w:spacing w:after="0"/>
              <w:rPr>
                <w:sz w:val="20"/>
                <w:szCs w:val="20"/>
                <w:color w:val="auto"/>
              </w:rPr>
            </w:pPr>
            <w:r>
              <w:rPr>
                <w:rFonts w:ascii="Arial" w:cs="Arial" w:eastAsia="Arial" w:hAnsi="Arial"/>
                <w:sz w:val="16"/>
                <w:szCs w:val="16"/>
                <w:color w:val="auto"/>
              </w:rPr>
              <w:t>Total other assets, non-current</w:t>
            </w:r>
          </w:p>
        </w:tc>
        <w:tc>
          <w:tcPr>
            <w:tcW w:w="6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2,022,291</w:t>
            </w:r>
          </w:p>
        </w:tc>
        <w:tc>
          <w:tcPr>
            <w:tcW w:w="6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1,575,781</w:t>
            </w:r>
          </w:p>
        </w:tc>
      </w:tr>
      <w:tr>
        <w:trPr>
          <w:trHeight w:val="240"/>
        </w:trPr>
        <w:tc>
          <w:tcPr>
            <w:tcW w:w="7100" w:type="dxa"/>
            <w:vAlign w:val="bottom"/>
            <w:shd w:val="clear" w:color="auto" w:fill="CEFFE7"/>
          </w:tcPr>
          <w:p>
            <w:pPr>
              <w:spacing w:after="0"/>
              <w:rPr>
                <w:sz w:val="20"/>
                <w:szCs w:val="20"/>
                <w:color w:val="auto"/>
              </w:rPr>
            </w:pPr>
          </w:p>
        </w:tc>
        <w:tc>
          <w:tcPr>
            <w:tcW w:w="620" w:type="dxa"/>
            <w:vAlign w:val="bottom"/>
            <w:shd w:val="clear" w:color="auto" w:fill="CEFFE7"/>
          </w:tcPr>
          <w:p>
            <w:pPr>
              <w:spacing w:after="0"/>
              <w:rPr>
                <w:sz w:val="20"/>
                <w:szCs w:val="20"/>
                <w:color w:val="auto"/>
              </w:rPr>
            </w:pPr>
          </w:p>
        </w:tc>
        <w:tc>
          <w:tcPr>
            <w:tcW w:w="1420" w:type="dxa"/>
            <w:vAlign w:val="bottom"/>
            <w:shd w:val="clear" w:color="auto" w:fill="CEFFE7"/>
          </w:tcPr>
          <w:p>
            <w:pPr>
              <w:spacing w:after="0"/>
              <w:rPr>
                <w:sz w:val="20"/>
                <w:szCs w:val="20"/>
                <w:color w:val="auto"/>
              </w:rPr>
            </w:pPr>
          </w:p>
        </w:tc>
        <w:tc>
          <w:tcPr>
            <w:tcW w:w="680" w:type="dxa"/>
            <w:vAlign w:val="bottom"/>
            <w:shd w:val="clear" w:color="auto" w:fill="CEFFE7"/>
          </w:tcPr>
          <w:p>
            <w:pPr>
              <w:spacing w:after="0"/>
              <w:rPr>
                <w:sz w:val="20"/>
                <w:szCs w:val="20"/>
                <w:color w:val="auto"/>
              </w:rPr>
            </w:pPr>
          </w:p>
        </w:tc>
        <w:tc>
          <w:tcPr>
            <w:tcW w:w="1360" w:type="dxa"/>
            <w:vAlign w:val="bottom"/>
            <w:shd w:val="clear" w:color="auto" w:fill="CEFFE7"/>
          </w:tcPr>
          <w:p>
            <w:pPr>
              <w:spacing w:after="0"/>
              <w:rPr>
                <w:sz w:val="20"/>
                <w:szCs w:val="20"/>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6"/>
                <w:szCs w:val="16"/>
                <w:color w:val="auto"/>
              </w:rPr>
              <w:t>TOTAL ASSETS</w:t>
            </w:r>
          </w:p>
        </w:tc>
        <w:tc>
          <w:tcPr>
            <w:tcW w:w="6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8,696,199</w:t>
            </w:r>
          </w:p>
        </w:tc>
        <w:tc>
          <w:tcPr>
            <w:tcW w:w="6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8,088,786</w:t>
            </w:r>
          </w:p>
        </w:tc>
      </w:tr>
      <w:tr>
        <w:trPr>
          <w:trHeight w:val="20"/>
        </w:trPr>
        <w:tc>
          <w:tcPr>
            <w:tcW w:w="7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329" w:lineRule="exact"/>
        <w:rPr>
          <w:sz w:val="20"/>
          <w:szCs w:val="20"/>
          <w:color w:val="auto"/>
        </w:rPr>
      </w:pPr>
    </w:p>
    <w:p>
      <w:pPr>
        <w:jc w:val="center"/>
        <w:ind w:right="-19"/>
        <w:spacing w:after="0"/>
        <w:rPr>
          <w:rFonts w:ascii="Arial" w:cs="Arial" w:eastAsia="Arial" w:hAnsi="Arial"/>
          <w:sz w:val="14"/>
          <w:szCs w:val="14"/>
          <w:color w:val="auto"/>
        </w:rPr>
      </w:pPr>
      <w:r>
        <w:rPr>
          <w:rFonts w:ascii="Arial" w:cs="Arial" w:eastAsia="Arial" w:hAnsi="Arial"/>
          <w:sz w:val="14"/>
          <w:szCs w:val="14"/>
          <w:color w:val="auto"/>
        </w:rPr>
        <w:t xml:space="preserve">The accompanying </w:t>
      </w:r>
      <w:hyperlink w:anchor="page13">
        <w:r>
          <w:rPr>
            <w:rFonts w:ascii="Arial" w:cs="Arial" w:eastAsia="Arial" w:hAnsi="Arial"/>
            <w:sz w:val="14"/>
            <w:szCs w:val="14"/>
            <w:u w:val="single" w:color="auto"/>
            <w:color w:val="0000FF"/>
          </w:rPr>
          <w:t>Notes to Condensed Consolidated Financial Statements</w:t>
        </w:r>
        <w:r>
          <w:rPr>
            <w:rFonts w:ascii="Arial" w:cs="Arial" w:eastAsia="Arial" w:hAnsi="Arial"/>
            <w:sz w:val="14"/>
            <w:szCs w:val="14"/>
            <w:u w:val="single" w:color="auto"/>
            <w:color w:val="auto"/>
          </w:rPr>
          <w:t xml:space="preserve"> </w:t>
        </w:r>
      </w:hyperlink>
      <w:r>
        <w:rPr>
          <w:rFonts w:ascii="Arial" w:cs="Arial" w:eastAsia="Arial" w:hAnsi="Arial"/>
          <w:sz w:val="14"/>
          <w:szCs w:val="14"/>
          <w:color w:val="auto"/>
        </w:rPr>
        <w:t>are an integral part of these Condensed Consolidated Financial Statements.</w:t>
      </w: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10" w:name="page11"/>
    <w:bookmarkEnd w:id="10"/>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BLACK HILLS CORPORATION</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(Continued)</w:t>
      </w:r>
    </w:p>
    <w:p>
      <w:pPr>
        <w:spacing w:after="0" w:line="140"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7100" w:type="dxa"/>
            <w:vAlign w:val="bottom"/>
          </w:tcPr>
          <w:p>
            <w:pPr>
              <w:spacing w:after="0"/>
              <w:rPr>
                <w:sz w:val="20"/>
                <w:szCs w:val="20"/>
                <w:color w:val="auto"/>
              </w:rPr>
            </w:pPr>
            <w:r>
              <w:rPr>
                <w:rFonts w:ascii="Arial" w:cs="Arial" w:eastAsia="Arial" w:hAnsi="Arial"/>
                <w:sz w:val="16"/>
                <w:szCs w:val="16"/>
                <w:color w:val="auto"/>
              </w:rPr>
              <w:t>(unaudited)</w:t>
            </w:r>
          </w:p>
        </w:tc>
        <w:tc>
          <w:tcPr>
            <w:tcW w:w="280" w:type="dxa"/>
            <w:vAlign w:val="bottom"/>
          </w:tcPr>
          <w:p>
            <w:pPr>
              <w:spacing w:after="0"/>
              <w:rPr>
                <w:sz w:val="16"/>
                <w:szCs w:val="16"/>
                <w:color w:val="auto"/>
              </w:rPr>
            </w:pPr>
          </w:p>
        </w:tc>
        <w:tc>
          <w:tcPr>
            <w:tcW w:w="2020" w:type="dxa"/>
            <w:vAlign w:val="bottom"/>
            <w:gridSpan w:val="2"/>
          </w:tcPr>
          <w:p>
            <w:pPr>
              <w:jc w:val="right"/>
              <w:spacing w:after="0"/>
              <w:rPr>
                <w:sz w:val="20"/>
                <w:szCs w:val="20"/>
                <w:color w:val="auto"/>
              </w:rPr>
            </w:pPr>
            <w:r>
              <w:rPr>
                <w:rFonts w:ascii="Arial" w:cs="Arial" w:eastAsia="Arial" w:hAnsi="Arial"/>
                <w:sz w:val="16"/>
                <w:szCs w:val="16"/>
                <w:color w:val="auto"/>
              </w:rPr>
              <w:t>As of</w:t>
            </w:r>
          </w:p>
        </w:tc>
        <w:tc>
          <w:tcPr>
            <w:tcW w:w="1780" w:type="dxa"/>
            <w:vAlign w:val="bottom"/>
          </w:tcPr>
          <w:p>
            <w:pPr>
              <w:spacing w:after="0"/>
              <w:rPr>
                <w:sz w:val="16"/>
                <w:szCs w:val="16"/>
                <w:color w:val="auto"/>
              </w:rPr>
            </w:pPr>
          </w:p>
        </w:tc>
      </w:tr>
      <w:tr>
        <w:trPr>
          <w:trHeight w:val="219"/>
        </w:trPr>
        <w:tc>
          <w:tcPr>
            <w:tcW w:w="7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March 31, 2021</w:t>
            </w:r>
          </w:p>
        </w:tc>
        <w:tc>
          <w:tcPr>
            <w:tcW w:w="2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December 31, 2020</w:t>
            </w:r>
          </w:p>
        </w:tc>
      </w:tr>
      <w:tr>
        <w:trPr>
          <w:trHeight w:val="207"/>
        </w:trPr>
        <w:tc>
          <w:tcPr>
            <w:tcW w:w="7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0" w:type="dxa"/>
            <w:vAlign w:val="bottom"/>
            <w:gridSpan w:val="3"/>
          </w:tcPr>
          <w:p>
            <w:pPr>
              <w:jc w:val="right"/>
              <w:ind w:right="599"/>
              <w:spacing w:after="0"/>
              <w:rPr>
                <w:sz w:val="20"/>
                <w:szCs w:val="20"/>
                <w:color w:val="auto"/>
              </w:rPr>
            </w:pPr>
            <w:r>
              <w:rPr>
                <w:rFonts w:ascii="Arial" w:cs="Arial" w:eastAsia="Arial" w:hAnsi="Arial"/>
                <w:sz w:val="16"/>
                <w:szCs w:val="16"/>
                <w:color w:val="auto"/>
              </w:rPr>
              <w:t>(in thousands, except share amounts)</w:t>
            </w:r>
          </w:p>
        </w:tc>
      </w:tr>
      <w:tr>
        <w:trPr>
          <w:trHeight w:val="216"/>
        </w:trPr>
        <w:tc>
          <w:tcPr>
            <w:tcW w:w="7100" w:type="dxa"/>
            <w:vAlign w:val="bottom"/>
          </w:tcPr>
          <w:p>
            <w:pPr>
              <w:ind w:left="2560"/>
              <w:spacing w:after="0"/>
              <w:rPr>
                <w:sz w:val="20"/>
                <w:szCs w:val="20"/>
                <w:color w:val="auto"/>
              </w:rPr>
            </w:pPr>
            <w:r>
              <w:rPr>
                <w:rFonts w:ascii="Arial" w:cs="Arial" w:eastAsia="Arial" w:hAnsi="Arial"/>
                <w:sz w:val="16"/>
                <w:szCs w:val="16"/>
                <w:b w:val="1"/>
                <w:bCs w:val="1"/>
                <w:color w:val="auto"/>
              </w:rPr>
              <w:t>LIABILITIES AND EQUITY</w:t>
            </w:r>
          </w:p>
        </w:tc>
        <w:tc>
          <w:tcPr>
            <w:tcW w:w="2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219"/>
        </w:trPr>
        <w:tc>
          <w:tcPr>
            <w:tcW w:w="7100" w:type="dxa"/>
            <w:vAlign w:val="bottom"/>
          </w:tcPr>
          <w:p>
            <w:pPr>
              <w:spacing w:after="0"/>
              <w:rPr>
                <w:sz w:val="20"/>
                <w:szCs w:val="20"/>
                <w:color w:val="auto"/>
              </w:rPr>
            </w:pPr>
            <w:r>
              <w:rPr>
                <w:rFonts w:ascii="Arial" w:cs="Arial" w:eastAsia="Arial" w:hAnsi="Arial"/>
                <w:sz w:val="16"/>
                <w:szCs w:val="16"/>
                <w:color w:val="auto"/>
              </w:rPr>
              <w:t>Current liabilities:</w:t>
            </w:r>
          </w:p>
        </w:tc>
        <w:tc>
          <w:tcPr>
            <w:tcW w:w="2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219"/>
        </w:trPr>
        <w:tc>
          <w:tcPr>
            <w:tcW w:w="7100" w:type="dxa"/>
            <w:vAlign w:val="bottom"/>
            <w:shd w:val="clear" w:color="auto" w:fill="CEFFE7"/>
          </w:tcPr>
          <w:p>
            <w:pPr>
              <w:ind w:left="160"/>
              <w:spacing w:after="0"/>
              <w:rPr>
                <w:sz w:val="20"/>
                <w:szCs w:val="20"/>
                <w:color w:val="auto"/>
              </w:rPr>
            </w:pPr>
            <w:r>
              <w:rPr>
                <w:rFonts w:ascii="Arial" w:cs="Arial" w:eastAsia="Arial" w:hAnsi="Arial"/>
                <w:sz w:val="16"/>
                <w:szCs w:val="16"/>
                <w:color w:val="auto"/>
              </w:rPr>
              <w:t>Accounts payable</w:t>
            </w:r>
          </w:p>
        </w:tc>
        <w:tc>
          <w:tcPr>
            <w:tcW w:w="280" w:type="dxa"/>
            <w:vAlign w:val="bottom"/>
            <w:shd w:val="clear" w:color="auto" w:fill="CEFFE7"/>
          </w:tcPr>
          <w:p>
            <w:pPr>
              <w:jc w:val="right"/>
              <w:ind w:right="79"/>
              <w:spacing w:after="0"/>
              <w:rPr>
                <w:sz w:val="20"/>
                <w:szCs w:val="20"/>
                <w:color w:val="auto"/>
              </w:rPr>
            </w:pPr>
            <w:r>
              <w:rPr>
                <w:rFonts w:ascii="Arial" w:cs="Arial" w:eastAsia="Arial" w:hAnsi="Arial"/>
                <w:sz w:val="16"/>
                <w:szCs w:val="16"/>
                <w:color w:val="auto"/>
              </w:rPr>
              <w:t>$</w:t>
            </w:r>
          </w:p>
        </w:tc>
        <w:tc>
          <w:tcPr>
            <w:tcW w:w="1740" w:type="dxa"/>
            <w:vAlign w:val="bottom"/>
            <w:shd w:val="clear" w:color="auto" w:fill="CEFFE7"/>
          </w:tcPr>
          <w:p>
            <w:pPr>
              <w:jc w:val="right"/>
              <w:ind w:right="19"/>
              <w:spacing w:after="0"/>
              <w:rPr>
                <w:sz w:val="20"/>
                <w:szCs w:val="20"/>
                <w:color w:val="auto"/>
              </w:rPr>
            </w:pPr>
            <w:r>
              <w:rPr>
                <w:rFonts w:ascii="Arial" w:cs="Arial" w:eastAsia="Arial" w:hAnsi="Arial"/>
                <w:sz w:val="16"/>
                <w:szCs w:val="16"/>
                <w:color w:val="auto"/>
              </w:rPr>
              <w:t>160,179</w:t>
            </w:r>
          </w:p>
        </w:tc>
        <w:tc>
          <w:tcPr>
            <w:tcW w:w="280" w:type="dxa"/>
            <w:vAlign w:val="bottom"/>
            <w:shd w:val="clear" w:color="auto" w:fill="CEFFE7"/>
          </w:tcPr>
          <w:p>
            <w:pPr>
              <w:jc w:val="right"/>
              <w:ind w:right="19"/>
              <w:spacing w:after="0"/>
              <w:rPr>
                <w:sz w:val="20"/>
                <w:szCs w:val="20"/>
                <w:color w:val="auto"/>
              </w:rPr>
            </w:pPr>
            <w:r>
              <w:rPr>
                <w:rFonts w:ascii="Arial" w:cs="Arial" w:eastAsia="Arial" w:hAnsi="Arial"/>
                <w:sz w:val="16"/>
                <w:szCs w:val="16"/>
                <w:color w:val="auto"/>
              </w:rPr>
              <w:t>$</w:t>
            </w:r>
          </w:p>
        </w:tc>
        <w:tc>
          <w:tcPr>
            <w:tcW w:w="17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183,340</w:t>
            </w:r>
          </w:p>
        </w:tc>
      </w:tr>
      <w:tr>
        <w:trPr>
          <w:trHeight w:val="213"/>
        </w:trPr>
        <w:tc>
          <w:tcPr>
            <w:tcW w:w="7100" w:type="dxa"/>
            <w:vAlign w:val="bottom"/>
          </w:tcPr>
          <w:p>
            <w:pPr>
              <w:ind w:left="160"/>
              <w:spacing w:after="0"/>
              <w:rPr>
                <w:sz w:val="20"/>
                <w:szCs w:val="20"/>
                <w:color w:val="auto"/>
              </w:rPr>
            </w:pPr>
            <w:r>
              <w:rPr>
                <w:rFonts w:ascii="Arial" w:cs="Arial" w:eastAsia="Arial" w:hAnsi="Arial"/>
                <w:sz w:val="16"/>
                <w:szCs w:val="16"/>
                <w:color w:val="auto"/>
              </w:rPr>
              <w:t>Accrued liabilities</w:t>
            </w:r>
          </w:p>
        </w:tc>
        <w:tc>
          <w:tcPr>
            <w:tcW w:w="280" w:type="dxa"/>
            <w:vAlign w:val="bottom"/>
          </w:tcPr>
          <w:p>
            <w:pPr>
              <w:spacing w:after="0"/>
              <w:rPr>
                <w:sz w:val="18"/>
                <w:szCs w:val="18"/>
                <w:color w:val="auto"/>
              </w:rPr>
            </w:pPr>
          </w:p>
        </w:tc>
        <w:tc>
          <w:tcPr>
            <w:tcW w:w="1740" w:type="dxa"/>
            <w:vAlign w:val="bottom"/>
          </w:tcPr>
          <w:p>
            <w:pPr>
              <w:jc w:val="right"/>
              <w:ind w:right="19"/>
              <w:spacing w:after="0"/>
              <w:rPr>
                <w:sz w:val="20"/>
                <w:szCs w:val="20"/>
                <w:color w:val="auto"/>
              </w:rPr>
            </w:pPr>
            <w:r>
              <w:rPr>
                <w:rFonts w:ascii="Arial" w:cs="Arial" w:eastAsia="Arial" w:hAnsi="Arial"/>
                <w:sz w:val="16"/>
                <w:szCs w:val="16"/>
                <w:color w:val="auto"/>
              </w:rPr>
              <w:t>230,444</w:t>
            </w:r>
          </w:p>
        </w:tc>
        <w:tc>
          <w:tcPr>
            <w:tcW w:w="28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243,612</w:t>
            </w:r>
          </w:p>
        </w:tc>
      </w:tr>
      <w:tr>
        <w:trPr>
          <w:trHeight w:val="219"/>
        </w:trPr>
        <w:tc>
          <w:tcPr>
            <w:tcW w:w="7100" w:type="dxa"/>
            <w:vAlign w:val="bottom"/>
            <w:shd w:val="clear" w:color="auto" w:fill="CEFFE7"/>
          </w:tcPr>
          <w:p>
            <w:pPr>
              <w:ind w:left="160"/>
              <w:spacing w:after="0"/>
              <w:rPr>
                <w:sz w:val="20"/>
                <w:szCs w:val="20"/>
                <w:color w:val="auto"/>
              </w:rPr>
            </w:pPr>
            <w:r>
              <w:rPr>
                <w:rFonts w:ascii="Arial" w:cs="Arial" w:eastAsia="Arial" w:hAnsi="Arial"/>
                <w:sz w:val="16"/>
                <w:szCs w:val="16"/>
                <w:color w:val="auto"/>
              </w:rPr>
              <w:t>Derivative liabilities, current</w:t>
            </w:r>
          </w:p>
        </w:tc>
        <w:tc>
          <w:tcPr>
            <w:tcW w:w="280" w:type="dxa"/>
            <w:vAlign w:val="bottom"/>
            <w:shd w:val="clear" w:color="auto" w:fill="CEFFE7"/>
          </w:tcPr>
          <w:p>
            <w:pPr>
              <w:spacing w:after="0"/>
              <w:rPr>
                <w:sz w:val="19"/>
                <w:szCs w:val="19"/>
                <w:color w:val="auto"/>
              </w:rPr>
            </w:pPr>
          </w:p>
        </w:tc>
        <w:tc>
          <w:tcPr>
            <w:tcW w:w="1740" w:type="dxa"/>
            <w:vAlign w:val="bottom"/>
            <w:shd w:val="clear" w:color="auto" w:fill="CEFFE7"/>
          </w:tcPr>
          <w:p>
            <w:pPr>
              <w:jc w:val="right"/>
              <w:ind w:right="19"/>
              <w:spacing w:after="0"/>
              <w:rPr>
                <w:sz w:val="20"/>
                <w:szCs w:val="20"/>
                <w:color w:val="auto"/>
              </w:rPr>
            </w:pPr>
            <w:r>
              <w:rPr>
                <w:rFonts w:ascii="Arial" w:cs="Arial" w:eastAsia="Arial" w:hAnsi="Arial"/>
                <w:sz w:val="16"/>
                <w:szCs w:val="16"/>
                <w:color w:val="auto"/>
              </w:rPr>
              <w:t>2,526</w:t>
            </w:r>
          </w:p>
        </w:tc>
        <w:tc>
          <w:tcPr>
            <w:tcW w:w="280" w:type="dxa"/>
            <w:vAlign w:val="bottom"/>
            <w:shd w:val="clear" w:color="auto" w:fill="CEFFE7"/>
          </w:tcPr>
          <w:p>
            <w:pPr>
              <w:spacing w:after="0"/>
              <w:rPr>
                <w:sz w:val="19"/>
                <w:szCs w:val="19"/>
                <w:color w:val="auto"/>
              </w:rPr>
            </w:pPr>
          </w:p>
        </w:tc>
        <w:tc>
          <w:tcPr>
            <w:tcW w:w="17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2,044</w:t>
            </w:r>
          </w:p>
        </w:tc>
      </w:tr>
      <w:tr>
        <w:trPr>
          <w:trHeight w:val="213"/>
        </w:trPr>
        <w:tc>
          <w:tcPr>
            <w:tcW w:w="7100" w:type="dxa"/>
            <w:vAlign w:val="bottom"/>
          </w:tcPr>
          <w:p>
            <w:pPr>
              <w:ind w:left="160"/>
              <w:spacing w:after="0"/>
              <w:rPr>
                <w:sz w:val="20"/>
                <w:szCs w:val="20"/>
                <w:color w:val="auto"/>
              </w:rPr>
            </w:pPr>
            <w:r>
              <w:rPr>
                <w:rFonts w:ascii="Arial" w:cs="Arial" w:eastAsia="Arial" w:hAnsi="Arial"/>
                <w:sz w:val="16"/>
                <w:szCs w:val="16"/>
                <w:color w:val="auto"/>
              </w:rPr>
              <w:t>Regulatory liabilities, current</w:t>
            </w:r>
          </w:p>
        </w:tc>
        <w:tc>
          <w:tcPr>
            <w:tcW w:w="280" w:type="dxa"/>
            <w:vAlign w:val="bottom"/>
          </w:tcPr>
          <w:p>
            <w:pPr>
              <w:spacing w:after="0"/>
              <w:rPr>
                <w:sz w:val="18"/>
                <w:szCs w:val="18"/>
                <w:color w:val="auto"/>
              </w:rPr>
            </w:pPr>
          </w:p>
        </w:tc>
        <w:tc>
          <w:tcPr>
            <w:tcW w:w="1740" w:type="dxa"/>
            <w:vAlign w:val="bottom"/>
          </w:tcPr>
          <w:p>
            <w:pPr>
              <w:jc w:val="right"/>
              <w:ind w:right="19"/>
              <w:spacing w:after="0"/>
              <w:rPr>
                <w:sz w:val="20"/>
                <w:szCs w:val="20"/>
                <w:color w:val="auto"/>
              </w:rPr>
            </w:pPr>
            <w:r>
              <w:rPr>
                <w:rFonts w:ascii="Arial" w:cs="Arial" w:eastAsia="Arial" w:hAnsi="Arial"/>
                <w:sz w:val="16"/>
                <w:szCs w:val="16"/>
                <w:color w:val="auto"/>
              </w:rPr>
              <w:t>13,580</w:t>
            </w:r>
          </w:p>
        </w:tc>
        <w:tc>
          <w:tcPr>
            <w:tcW w:w="28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25,061</w:t>
            </w:r>
          </w:p>
        </w:tc>
      </w:tr>
      <w:tr>
        <w:trPr>
          <w:trHeight w:val="219"/>
        </w:trPr>
        <w:tc>
          <w:tcPr>
            <w:tcW w:w="7100" w:type="dxa"/>
            <w:vAlign w:val="bottom"/>
            <w:shd w:val="clear" w:color="auto" w:fill="CEFFE7"/>
          </w:tcPr>
          <w:p>
            <w:pPr>
              <w:ind w:left="160"/>
              <w:spacing w:after="0"/>
              <w:rPr>
                <w:sz w:val="20"/>
                <w:szCs w:val="20"/>
                <w:color w:val="auto"/>
              </w:rPr>
            </w:pPr>
            <w:r>
              <w:rPr>
                <w:rFonts w:ascii="Arial" w:cs="Arial" w:eastAsia="Arial" w:hAnsi="Arial"/>
                <w:sz w:val="16"/>
                <w:szCs w:val="16"/>
                <w:color w:val="auto"/>
              </w:rPr>
              <w:t>Notes payable</w:t>
            </w:r>
          </w:p>
        </w:tc>
        <w:tc>
          <w:tcPr>
            <w:tcW w:w="280" w:type="dxa"/>
            <w:vAlign w:val="bottom"/>
            <w:shd w:val="clear" w:color="auto" w:fill="CEFFE7"/>
          </w:tcPr>
          <w:p>
            <w:pPr>
              <w:spacing w:after="0"/>
              <w:rPr>
                <w:sz w:val="19"/>
                <w:szCs w:val="19"/>
                <w:color w:val="auto"/>
              </w:rPr>
            </w:pPr>
          </w:p>
        </w:tc>
        <w:tc>
          <w:tcPr>
            <w:tcW w:w="1740" w:type="dxa"/>
            <w:vAlign w:val="bottom"/>
            <w:shd w:val="clear" w:color="auto" w:fill="CEFFE7"/>
          </w:tcPr>
          <w:p>
            <w:pPr>
              <w:jc w:val="right"/>
              <w:ind w:right="19"/>
              <w:spacing w:after="0"/>
              <w:rPr>
                <w:sz w:val="20"/>
                <w:szCs w:val="20"/>
                <w:color w:val="auto"/>
              </w:rPr>
            </w:pPr>
            <w:r>
              <w:rPr>
                <w:rFonts w:ascii="Arial" w:cs="Arial" w:eastAsia="Arial" w:hAnsi="Arial"/>
                <w:sz w:val="16"/>
                <w:szCs w:val="16"/>
                <w:color w:val="auto"/>
              </w:rPr>
              <w:t>815,870</w:t>
            </w:r>
          </w:p>
        </w:tc>
        <w:tc>
          <w:tcPr>
            <w:tcW w:w="280" w:type="dxa"/>
            <w:vAlign w:val="bottom"/>
            <w:shd w:val="clear" w:color="auto" w:fill="CEFFE7"/>
          </w:tcPr>
          <w:p>
            <w:pPr>
              <w:spacing w:after="0"/>
              <w:rPr>
                <w:sz w:val="19"/>
                <w:szCs w:val="19"/>
                <w:color w:val="auto"/>
              </w:rPr>
            </w:pPr>
          </w:p>
        </w:tc>
        <w:tc>
          <w:tcPr>
            <w:tcW w:w="17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234,040</w:t>
            </w:r>
          </w:p>
        </w:tc>
      </w:tr>
      <w:tr>
        <w:trPr>
          <w:trHeight w:val="213"/>
        </w:trPr>
        <w:tc>
          <w:tcPr>
            <w:tcW w:w="7100" w:type="dxa"/>
            <w:vAlign w:val="bottom"/>
            <w:tcBorders>
              <w:bottom w:val="single" w:sz="8" w:color="CEFFE7"/>
            </w:tcBorders>
          </w:tcPr>
          <w:p>
            <w:pPr>
              <w:ind w:left="160"/>
              <w:spacing w:after="0"/>
              <w:rPr>
                <w:sz w:val="20"/>
                <w:szCs w:val="20"/>
                <w:color w:val="auto"/>
              </w:rPr>
            </w:pPr>
            <w:r>
              <w:rPr>
                <w:rFonts w:ascii="Arial" w:cs="Arial" w:eastAsia="Arial" w:hAnsi="Arial"/>
                <w:sz w:val="16"/>
                <w:szCs w:val="16"/>
                <w:color w:val="auto"/>
              </w:rPr>
              <w:t>Current maturities of long-term debt</w:t>
            </w:r>
          </w:p>
        </w:tc>
        <w:tc>
          <w:tcPr>
            <w:tcW w:w="28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7,000</w:t>
            </w:r>
          </w:p>
        </w:tc>
        <w:tc>
          <w:tcPr>
            <w:tcW w:w="28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8,436</w:t>
            </w:r>
          </w:p>
        </w:tc>
      </w:tr>
      <w:tr>
        <w:trPr>
          <w:trHeight w:val="209"/>
        </w:trPr>
        <w:tc>
          <w:tcPr>
            <w:tcW w:w="7100" w:type="dxa"/>
            <w:vAlign w:val="bottom"/>
            <w:shd w:val="clear" w:color="auto" w:fill="CEFFE7"/>
          </w:tcPr>
          <w:p>
            <w:pPr>
              <w:ind w:left="540"/>
              <w:spacing w:after="0"/>
              <w:rPr>
                <w:sz w:val="20"/>
                <w:szCs w:val="20"/>
                <w:color w:val="auto"/>
              </w:rPr>
            </w:pPr>
            <w:r>
              <w:rPr>
                <w:rFonts w:ascii="Arial" w:cs="Arial" w:eastAsia="Arial" w:hAnsi="Arial"/>
                <w:sz w:val="16"/>
                <w:szCs w:val="16"/>
                <w:color w:val="auto"/>
              </w:rPr>
              <w:t>Total current liabilities</w:t>
            </w:r>
          </w:p>
        </w:tc>
        <w:tc>
          <w:tcPr>
            <w:tcW w:w="280" w:type="dxa"/>
            <w:vAlign w:val="bottom"/>
            <w:tcBorders>
              <w:bottom w:val="single" w:sz="8" w:color="auto"/>
            </w:tcBorders>
            <w:shd w:val="clear" w:color="auto" w:fill="CEFFE7"/>
          </w:tcPr>
          <w:p>
            <w:pPr>
              <w:spacing w:after="0"/>
              <w:rPr>
                <w:sz w:val="18"/>
                <w:szCs w:val="18"/>
                <w:color w:val="auto"/>
              </w:rPr>
            </w:pPr>
          </w:p>
        </w:tc>
        <w:tc>
          <w:tcPr>
            <w:tcW w:w="1740" w:type="dxa"/>
            <w:vAlign w:val="bottom"/>
            <w:tcBorders>
              <w:bottom w:val="single" w:sz="8" w:color="auto"/>
            </w:tcBorders>
            <w:shd w:val="clear" w:color="auto" w:fill="CEFFE7"/>
          </w:tcPr>
          <w:p>
            <w:pPr>
              <w:jc w:val="right"/>
              <w:ind w:right="19"/>
              <w:spacing w:after="0"/>
              <w:rPr>
                <w:sz w:val="20"/>
                <w:szCs w:val="20"/>
                <w:color w:val="auto"/>
              </w:rPr>
            </w:pPr>
            <w:r>
              <w:rPr>
                <w:rFonts w:ascii="Arial" w:cs="Arial" w:eastAsia="Arial" w:hAnsi="Arial"/>
                <w:sz w:val="16"/>
                <w:szCs w:val="16"/>
                <w:color w:val="auto"/>
              </w:rPr>
              <w:t>1,229,599</w:t>
            </w:r>
          </w:p>
        </w:tc>
        <w:tc>
          <w:tcPr>
            <w:tcW w:w="280" w:type="dxa"/>
            <w:vAlign w:val="bottom"/>
            <w:tcBorders>
              <w:bottom w:val="single" w:sz="8" w:color="auto"/>
            </w:tcBorders>
            <w:shd w:val="clear" w:color="auto" w:fill="CEFFE7"/>
          </w:tcPr>
          <w:p>
            <w:pPr>
              <w:spacing w:after="0"/>
              <w:rPr>
                <w:sz w:val="18"/>
                <w:szCs w:val="18"/>
                <w:color w:val="auto"/>
              </w:rPr>
            </w:pPr>
          </w:p>
        </w:tc>
        <w:tc>
          <w:tcPr>
            <w:tcW w:w="17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696,533</w:t>
            </w:r>
          </w:p>
        </w:tc>
      </w:tr>
      <w:tr>
        <w:trPr>
          <w:trHeight w:val="240"/>
        </w:trPr>
        <w:tc>
          <w:tcPr>
            <w:tcW w:w="7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213"/>
        </w:trPr>
        <w:tc>
          <w:tcPr>
            <w:tcW w:w="7100" w:type="dxa"/>
            <w:vAlign w:val="bottom"/>
            <w:shd w:val="clear" w:color="auto" w:fill="CEFFE7"/>
          </w:tcPr>
          <w:p>
            <w:pPr>
              <w:spacing w:after="0"/>
              <w:rPr>
                <w:sz w:val="20"/>
                <w:szCs w:val="20"/>
                <w:color w:val="auto"/>
              </w:rPr>
            </w:pPr>
            <w:r>
              <w:rPr>
                <w:rFonts w:ascii="Arial" w:cs="Arial" w:eastAsia="Arial" w:hAnsi="Arial"/>
                <w:sz w:val="16"/>
                <w:szCs w:val="16"/>
                <w:color w:val="auto"/>
              </w:rPr>
              <w:t>Long-term debt, net of current maturities</w:t>
            </w:r>
          </w:p>
        </w:tc>
        <w:tc>
          <w:tcPr>
            <w:tcW w:w="280" w:type="dxa"/>
            <w:vAlign w:val="bottom"/>
            <w:tcBorders>
              <w:bottom w:val="single" w:sz="8" w:color="auto"/>
            </w:tcBorders>
            <w:shd w:val="clear" w:color="auto" w:fill="CEFFE7"/>
          </w:tcPr>
          <w:p>
            <w:pPr>
              <w:spacing w:after="0"/>
              <w:rPr>
                <w:sz w:val="18"/>
                <w:szCs w:val="18"/>
                <w:color w:val="auto"/>
              </w:rPr>
            </w:pPr>
          </w:p>
        </w:tc>
        <w:tc>
          <w:tcPr>
            <w:tcW w:w="1740" w:type="dxa"/>
            <w:vAlign w:val="bottom"/>
            <w:tcBorders>
              <w:bottom w:val="single" w:sz="8" w:color="auto"/>
            </w:tcBorders>
            <w:shd w:val="clear" w:color="auto" w:fill="CEFFE7"/>
          </w:tcPr>
          <w:p>
            <w:pPr>
              <w:jc w:val="right"/>
              <w:ind w:right="19"/>
              <w:spacing w:after="0"/>
              <w:rPr>
                <w:sz w:val="20"/>
                <w:szCs w:val="20"/>
                <w:color w:val="auto"/>
              </w:rPr>
            </w:pPr>
            <w:r>
              <w:rPr>
                <w:rFonts w:ascii="Arial" w:cs="Arial" w:eastAsia="Arial" w:hAnsi="Arial"/>
                <w:sz w:val="16"/>
                <w:szCs w:val="16"/>
                <w:color w:val="auto"/>
              </w:rPr>
              <w:t>3,529,158</w:t>
            </w:r>
          </w:p>
        </w:tc>
        <w:tc>
          <w:tcPr>
            <w:tcW w:w="280" w:type="dxa"/>
            <w:vAlign w:val="bottom"/>
            <w:tcBorders>
              <w:bottom w:val="single" w:sz="8" w:color="auto"/>
            </w:tcBorders>
            <w:shd w:val="clear" w:color="auto" w:fill="CEFFE7"/>
          </w:tcPr>
          <w:p>
            <w:pPr>
              <w:spacing w:after="0"/>
              <w:rPr>
                <w:sz w:val="18"/>
                <w:szCs w:val="18"/>
                <w:color w:val="auto"/>
              </w:rPr>
            </w:pPr>
          </w:p>
        </w:tc>
        <w:tc>
          <w:tcPr>
            <w:tcW w:w="17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3,528,100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154305</wp:posOffset>
            </wp:positionV>
            <wp:extent cx="7106285"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06285" cy="13716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p>
      <w:pPr>
        <w:spacing w:after="0" w:line="258" w:lineRule="exact"/>
        <w:rPr>
          <w:sz w:val="20"/>
          <w:szCs w:val="20"/>
          <w:color w:val="auto"/>
        </w:rPr>
      </w:pPr>
    </w:p>
    <w:p>
      <w:pPr>
        <w:ind w:left="40"/>
        <w:spacing w:after="0"/>
        <w:rPr>
          <w:sz w:val="20"/>
          <w:szCs w:val="20"/>
          <w:color w:val="auto"/>
        </w:rPr>
      </w:pPr>
      <w:r>
        <w:rPr>
          <w:rFonts w:ascii="Arial" w:cs="Arial" w:eastAsia="Arial" w:hAnsi="Arial"/>
          <w:sz w:val="16"/>
          <w:szCs w:val="16"/>
          <w:color w:val="auto"/>
        </w:rPr>
        <w:t>Deferred credits and other liabilities: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Deferred income tax liabilities, net</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Regulatory liabilities, non-current</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Benefit plan liabilities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Other deferred credits and other liabilities</w:t>
      </w:r>
    </w:p>
    <w:p>
      <w:pPr>
        <w:spacing w:after="0" w:line="46"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Total deferred credits and other liabilities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2600" w:type="dxa"/>
            <w:vAlign w:val="bottom"/>
          </w:tcPr>
          <w:p>
            <w:pPr>
              <w:jc w:val="right"/>
              <w:ind w:right="599"/>
              <w:spacing w:after="0"/>
              <w:rPr>
                <w:sz w:val="20"/>
                <w:szCs w:val="20"/>
                <w:color w:val="auto"/>
              </w:rPr>
            </w:pPr>
            <w:r>
              <w:rPr>
                <w:rFonts w:ascii="Arial" w:cs="Arial" w:eastAsia="Arial" w:hAnsi="Arial"/>
                <w:sz w:val="16"/>
                <w:szCs w:val="16"/>
                <w:color w:val="auto"/>
              </w:rPr>
              <w:t>428,127</w:t>
            </w:r>
          </w:p>
        </w:tc>
        <w:tc>
          <w:tcPr>
            <w:tcW w:w="1480" w:type="dxa"/>
            <w:vAlign w:val="bottom"/>
          </w:tcPr>
          <w:p>
            <w:pPr>
              <w:jc w:val="right"/>
              <w:spacing w:after="0"/>
              <w:rPr>
                <w:sz w:val="20"/>
                <w:szCs w:val="20"/>
                <w:color w:val="auto"/>
              </w:rPr>
            </w:pPr>
            <w:r>
              <w:rPr>
                <w:rFonts w:ascii="Arial" w:cs="Arial" w:eastAsia="Arial" w:hAnsi="Arial"/>
                <w:sz w:val="16"/>
                <w:szCs w:val="16"/>
                <w:color w:val="auto"/>
              </w:rPr>
              <w:t>408,624</w:t>
            </w:r>
          </w:p>
        </w:tc>
      </w:tr>
      <w:tr>
        <w:trPr>
          <w:trHeight w:val="216"/>
        </w:trPr>
        <w:tc>
          <w:tcPr>
            <w:tcW w:w="2600" w:type="dxa"/>
            <w:vAlign w:val="bottom"/>
          </w:tcPr>
          <w:p>
            <w:pPr>
              <w:jc w:val="right"/>
              <w:ind w:right="599"/>
              <w:spacing w:after="0"/>
              <w:rPr>
                <w:sz w:val="20"/>
                <w:szCs w:val="20"/>
                <w:color w:val="auto"/>
              </w:rPr>
            </w:pPr>
            <w:r>
              <w:rPr>
                <w:rFonts w:ascii="Arial" w:cs="Arial" w:eastAsia="Arial" w:hAnsi="Arial"/>
                <w:sz w:val="16"/>
                <w:szCs w:val="16"/>
                <w:color w:val="auto"/>
              </w:rPr>
              <w:t>497,810</w:t>
            </w:r>
          </w:p>
        </w:tc>
        <w:tc>
          <w:tcPr>
            <w:tcW w:w="1480" w:type="dxa"/>
            <w:vAlign w:val="bottom"/>
          </w:tcPr>
          <w:p>
            <w:pPr>
              <w:jc w:val="right"/>
              <w:spacing w:after="0"/>
              <w:rPr>
                <w:sz w:val="20"/>
                <w:szCs w:val="20"/>
                <w:color w:val="auto"/>
              </w:rPr>
            </w:pPr>
            <w:r>
              <w:rPr>
                <w:rFonts w:ascii="Arial" w:cs="Arial" w:eastAsia="Arial" w:hAnsi="Arial"/>
                <w:sz w:val="16"/>
                <w:szCs w:val="16"/>
                <w:color w:val="auto"/>
              </w:rPr>
              <w:t>507,659</w:t>
            </w:r>
          </w:p>
        </w:tc>
      </w:tr>
      <w:tr>
        <w:trPr>
          <w:trHeight w:val="216"/>
        </w:trPr>
        <w:tc>
          <w:tcPr>
            <w:tcW w:w="2600" w:type="dxa"/>
            <w:vAlign w:val="bottom"/>
          </w:tcPr>
          <w:p>
            <w:pPr>
              <w:jc w:val="right"/>
              <w:ind w:right="599"/>
              <w:spacing w:after="0"/>
              <w:rPr>
                <w:sz w:val="20"/>
                <w:szCs w:val="20"/>
                <w:color w:val="auto"/>
              </w:rPr>
            </w:pPr>
            <w:r>
              <w:rPr>
                <w:rFonts w:ascii="Arial" w:cs="Arial" w:eastAsia="Arial" w:hAnsi="Arial"/>
                <w:sz w:val="16"/>
                <w:szCs w:val="16"/>
                <w:color w:val="auto"/>
              </w:rPr>
              <w:t>150,979</w:t>
            </w:r>
          </w:p>
        </w:tc>
        <w:tc>
          <w:tcPr>
            <w:tcW w:w="1480" w:type="dxa"/>
            <w:vAlign w:val="bottom"/>
          </w:tcPr>
          <w:p>
            <w:pPr>
              <w:jc w:val="right"/>
              <w:spacing w:after="0"/>
              <w:rPr>
                <w:sz w:val="20"/>
                <w:szCs w:val="20"/>
                <w:color w:val="auto"/>
              </w:rPr>
            </w:pPr>
            <w:r>
              <w:rPr>
                <w:rFonts w:ascii="Arial" w:cs="Arial" w:eastAsia="Arial" w:hAnsi="Arial"/>
                <w:sz w:val="16"/>
                <w:szCs w:val="16"/>
                <w:color w:val="auto"/>
              </w:rPr>
              <w:t>150,556</w:t>
            </w:r>
          </w:p>
        </w:tc>
      </w:tr>
      <w:tr>
        <w:trPr>
          <w:trHeight w:val="219"/>
        </w:trPr>
        <w:tc>
          <w:tcPr>
            <w:tcW w:w="260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color w:val="auto"/>
              </w:rPr>
              <w:t>135,224</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134,667</w:t>
            </w:r>
          </w:p>
        </w:tc>
      </w:tr>
      <w:tr>
        <w:trPr>
          <w:trHeight w:val="209"/>
        </w:trPr>
        <w:tc>
          <w:tcPr>
            <w:tcW w:w="260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color w:val="auto"/>
              </w:rPr>
              <w:t>1,212,140</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1,201,506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-4511040</wp:posOffset>
            </wp:positionH>
            <wp:positionV relativeFrom="paragraph">
              <wp:posOffset>-565150</wp:posOffset>
            </wp:positionV>
            <wp:extent cx="7106285"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06285" cy="137160"/>
                    </a:xfrm>
                    <a:prstGeom prst="rect">
                      <a:avLst/>
                    </a:prstGeom>
                    <a:noFill/>
                  </pic:spPr>
                </pic:pic>
              </a:graphicData>
            </a:graphic>
          </wp:anchor>
        </w:drawing>
        <w:drawing>
          <wp:anchor simplePos="0" relativeHeight="251657728" behindDoc="1" locked="0" layoutInCell="0" allowOverlap="1">
            <wp:simplePos x="0" y="0"/>
            <wp:positionH relativeFrom="column">
              <wp:posOffset>-4511040</wp:posOffset>
            </wp:positionH>
            <wp:positionV relativeFrom="paragraph">
              <wp:posOffset>-290830</wp:posOffset>
            </wp:positionV>
            <wp:extent cx="7106285"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06285" cy="137160"/>
                    </a:xfrm>
                    <a:prstGeom prst="rect">
                      <a:avLst/>
                    </a:prstGeom>
                    <a:noFill/>
                  </pic:spPr>
                </pic:pic>
              </a:graphicData>
            </a:graphic>
          </wp:anchor>
        </w:drawing>
        <w:drawing>
          <wp:anchor simplePos="0" relativeHeight="251657728" behindDoc="1" locked="0" layoutInCell="0" allowOverlap="1">
            <wp:simplePos x="0" y="0"/>
            <wp:positionH relativeFrom="column">
              <wp:posOffset>-4511040</wp:posOffset>
            </wp:positionH>
            <wp:positionV relativeFrom="paragraph">
              <wp:posOffset>-7620</wp:posOffset>
            </wp:positionV>
            <wp:extent cx="7106285" cy="1625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06285" cy="1625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420" w:space="720"/>
            <w:col w:w="4080"/>
          </w:cols>
          <w:pgMar w:left="320" w:top="121" w:right="359" w:bottom="1440" w:gutter="0" w:footer="0" w:header="0"/>
          <w:type w:val="continuous"/>
        </w:sectPr>
      </w:pPr>
    </w:p>
    <w:p>
      <w:pPr>
        <w:spacing w:after="0" w:line="58" w:lineRule="exact"/>
        <w:rPr>
          <w:sz w:val="20"/>
          <w:szCs w:val="20"/>
          <w:color w:val="auto"/>
        </w:rPr>
      </w:pPr>
    </w:p>
    <w:p>
      <w:pPr>
        <w:ind w:left="40"/>
        <w:spacing w:after="0"/>
        <w:rPr>
          <w:rFonts w:ascii="Arial" w:cs="Arial" w:eastAsia="Arial" w:hAnsi="Arial"/>
          <w:sz w:val="16"/>
          <w:szCs w:val="16"/>
          <w:color w:val="auto"/>
        </w:rPr>
      </w:pPr>
      <w:r>
        <w:rPr>
          <w:rFonts w:ascii="Arial" w:cs="Arial" w:eastAsia="Arial" w:hAnsi="Arial"/>
          <w:sz w:val="16"/>
          <w:szCs w:val="16"/>
          <w:color w:val="auto"/>
        </w:rPr>
        <w:t>Commitments, contingencies and guarantees (</w:t>
      </w:r>
      <w:hyperlink w:anchor="page17">
        <w:r>
          <w:rPr>
            <w:rFonts w:ascii="Arial" w:cs="Arial" w:eastAsia="Arial" w:hAnsi="Arial"/>
            <w:sz w:val="16"/>
            <w:szCs w:val="16"/>
            <w:u w:val="single" w:color="auto"/>
            <w:color w:val="0000FF"/>
          </w:rPr>
          <w:t>Note 3</w:t>
        </w:r>
      </w:hyperlink>
      <w:r>
        <w:rPr>
          <w:rFonts w:ascii="Arial" w:cs="Arial" w:eastAsia="Arial" w:hAnsi="Arial"/>
          <w:sz w:val="16"/>
          <w:szCs w:val="16"/>
          <w:color w:val="auto"/>
        </w:rPr>
        <w:t>)</w:t>
      </w:r>
    </w:p>
    <w:p>
      <w:pPr>
        <w:spacing w:after="0" w:line="31" w:lineRule="exact"/>
        <w:rPr>
          <w:sz w:val="20"/>
          <w:szCs w:val="20"/>
          <w:color w:val="auto"/>
        </w:rPr>
      </w:pPr>
    </w:p>
    <w:tbl>
      <w:tblPr>
        <w:tblLayout w:type="fixed"/>
        <w:tblInd w:w="40" w:type="dxa"/>
        <w:tblCellMar>
          <w:top w:w="0" w:type="dxa"/>
          <w:left w:w="0" w:type="dxa"/>
          <w:bottom w:w="0" w:type="dxa"/>
          <w:right w:w="0" w:type="dxa"/>
        </w:tblCellMar>
      </w:tblPr>
      <w:tr>
        <w:trPr>
          <w:trHeight w:val="243"/>
        </w:trPr>
        <w:tc>
          <w:tcPr>
            <w:tcW w:w="7100" w:type="dxa"/>
            <w:vAlign w:val="bottom"/>
            <w:shd w:val="clear" w:color="auto" w:fill="CEFFE7"/>
          </w:tcPr>
          <w:p>
            <w:pPr>
              <w:spacing w:after="0"/>
              <w:rPr>
                <w:sz w:val="21"/>
                <w:szCs w:val="21"/>
                <w:color w:val="auto"/>
              </w:rPr>
            </w:pPr>
          </w:p>
        </w:tc>
        <w:tc>
          <w:tcPr>
            <w:tcW w:w="660" w:type="dxa"/>
            <w:vAlign w:val="bottom"/>
            <w:shd w:val="clear" w:color="auto" w:fill="CEFFE7"/>
          </w:tcPr>
          <w:p>
            <w:pPr>
              <w:spacing w:after="0"/>
              <w:rPr>
                <w:sz w:val="21"/>
                <w:szCs w:val="21"/>
                <w:color w:val="auto"/>
              </w:rPr>
            </w:pPr>
          </w:p>
        </w:tc>
        <w:tc>
          <w:tcPr>
            <w:tcW w:w="1380" w:type="dxa"/>
            <w:vAlign w:val="bottom"/>
            <w:shd w:val="clear" w:color="auto" w:fill="CEFFE7"/>
          </w:tcPr>
          <w:p>
            <w:pPr>
              <w:spacing w:after="0"/>
              <w:rPr>
                <w:sz w:val="21"/>
                <w:szCs w:val="21"/>
                <w:color w:val="auto"/>
              </w:rPr>
            </w:pPr>
          </w:p>
        </w:tc>
        <w:tc>
          <w:tcPr>
            <w:tcW w:w="700" w:type="dxa"/>
            <w:vAlign w:val="bottom"/>
            <w:shd w:val="clear" w:color="auto" w:fill="CEFFE7"/>
          </w:tcPr>
          <w:p>
            <w:pPr>
              <w:spacing w:after="0"/>
              <w:rPr>
                <w:sz w:val="21"/>
                <w:szCs w:val="21"/>
                <w:color w:val="auto"/>
              </w:rPr>
            </w:pPr>
          </w:p>
        </w:tc>
        <w:tc>
          <w:tcPr>
            <w:tcW w:w="1340" w:type="dxa"/>
            <w:vAlign w:val="bottom"/>
            <w:shd w:val="clear" w:color="auto" w:fill="CEFFE7"/>
          </w:tcPr>
          <w:p>
            <w:pPr>
              <w:spacing w:after="0"/>
              <w:rPr>
                <w:sz w:val="21"/>
                <w:szCs w:val="21"/>
                <w:color w:val="auto"/>
              </w:rPr>
            </w:pPr>
          </w:p>
        </w:tc>
      </w:tr>
      <w:tr>
        <w:trPr>
          <w:trHeight w:val="213"/>
        </w:trPr>
        <w:tc>
          <w:tcPr>
            <w:tcW w:w="7100" w:type="dxa"/>
            <w:vAlign w:val="bottom"/>
          </w:tcPr>
          <w:p>
            <w:pPr>
              <w:spacing w:after="0"/>
              <w:rPr>
                <w:sz w:val="20"/>
                <w:szCs w:val="20"/>
                <w:color w:val="auto"/>
              </w:rPr>
            </w:pPr>
            <w:r>
              <w:rPr>
                <w:rFonts w:ascii="Arial" w:cs="Arial" w:eastAsia="Arial" w:hAnsi="Arial"/>
                <w:sz w:val="16"/>
                <w:szCs w:val="16"/>
                <w:color w:val="auto"/>
              </w:rPr>
              <w:t>Equity:</w:t>
            </w:r>
          </w:p>
        </w:tc>
        <w:tc>
          <w:tcPr>
            <w:tcW w:w="6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9"/>
        </w:trPr>
        <w:tc>
          <w:tcPr>
            <w:tcW w:w="7100" w:type="dxa"/>
            <w:vAlign w:val="bottom"/>
            <w:shd w:val="clear" w:color="auto" w:fill="CEFFE7"/>
          </w:tcPr>
          <w:p>
            <w:pPr>
              <w:ind w:left="160"/>
              <w:spacing w:after="0"/>
              <w:rPr>
                <w:sz w:val="20"/>
                <w:szCs w:val="20"/>
                <w:color w:val="auto"/>
              </w:rPr>
            </w:pPr>
            <w:r>
              <w:rPr>
                <w:rFonts w:ascii="Arial" w:cs="Arial" w:eastAsia="Arial" w:hAnsi="Arial"/>
                <w:sz w:val="16"/>
                <w:szCs w:val="16"/>
                <w:color w:val="auto"/>
              </w:rPr>
              <w:t>Stockholders’ equity —</w:t>
            </w:r>
          </w:p>
        </w:tc>
        <w:tc>
          <w:tcPr>
            <w:tcW w:w="660" w:type="dxa"/>
            <w:vAlign w:val="bottom"/>
            <w:shd w:val="clear" w:color="auto" w:fill="CEFFE7"/>
          </w:tcPr>
          <w:p>
            <w:pPr>
              <w:spacing w:after="0"/>
              <w:rPr>
                <w:sz w:val="19"/>
                <w:szCs w:val="19"/>
                <w:color w:val="auto"/>
              </w:rPr>
            </w:pPr>
          </w:p>
        </w:tc>
        <w:tc>
          <w:tcPr>
            <w:tcW w:w="1380" w:type="dxa"/>
            <w:vAlign w:val="bottom"/>
            <w:shd w:val="clear" w:color="auto" w:fill="CEFFE7"/>
          </w:tcPr>
          <w:p>
            <w:pPr>
              <w:spacing w:after="0"/>
              <w:rPr>
                <w:sz w:val="19"/>
                <w:szCs w:val="19"/>
                <w:color w:val="auto"/>
              </w:rPr>
            </w:pPr>
          </w:p>
        </w:tc>
        <w:tc>
          <w:tcPr>
            <w:tcW w:w="700" w:type="dxa"/>
            <w:vAlign w:val="bottom"/>
            <w:shd w:val="clear" w:color="auto" w:fill="CEFFE7"/>
          </w:tcPr>
          <w:p>
            <w:pPr>
              <w:spacing w:after="0"/>
              <w:rPr>
                <w:sz w:val="19"/>
                <w:szCs w:val="19"/>
                <w:color w:val="auto"/>
              </w:rPr>
            </w:pPr>
          </w:p>
        </w:tc>
        <w:tc>
          <w:tcPr>
            <w:tcW w:w="1340" w:type="dxa"/>
            <w:vAlign w:val="bottom"/>
            <w:shd w:val="clear" w:color="auto" w:fill="CEFFE7"/>
          </w:tcPr>
          <w:p>
            <w:pPr>
              <w:spacing w:after="0"/>
              <w:rPr>
                <w:sz w:val="19"/>
                <w:szCs w:val="19"/>
                <w:color w:val="auto"/>
              </w:rPr>
            </w:pPr>
          </w:p>
        </w:tc>
      </w:tr>
      <w:tr>
        <w:trPr>
          <w:trHeight w:val="177"/>
        </w:trPr>
        <w:tc>
          <w:tcPr>
            <w:tcW w:w="7100" w:type="dxa"/>
            <w:vAlign w:val="bottom"/>
          </w:tcPr>
          <w:p>
            <w:pPr>
              <w:ind w:left="200"/>
              <w:spacing w:after="0" w:line="178" w:lineRule="exact"/>
              <w:rPr>
                <w:sz w:val="20"/>
                <w:szCs w:val="20"/>
                <w:color w:val="auto"/>
              </w:rPr>
            </w:pPr>
            <w:r>
              <w:rPr>
                <w:rFonts w:ascii="Arial" w:cs="Arial" w:eastAsia="Arial" w:hAnsi="Arial"/>
                <w:sz w:val="16"/>
                <w:szCs w:val="16"/>
                <w:color w:val="auto"/>
              </w:rPr>
              <w:t>Common stock $1 par value; 100,000,000 shares authorized; issued 62,909,973 and</w:t>
            </w:r>
          </w:p>
        </w:tc>
        <w:tc>
          <w:tcPr>
            <w:tcW w:w="6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98"/>
        </w:trPr>
        <w:tc>
          <w:tcPr>
            <w:tcW w:w="7100" w:type="dxa"/>
            <w:vAlign w:val="bottom"/>
          </w:tcPr>
          <w:p>
            <w:pPr>
              <w:ind w:left="200"/>
              <w:spacing w:after="0"/>
              <w:rPr>
                <w:sz w:val="20"/>
                <w:szCs w:val="20"/>
                <w:color w:val="auto"/>
              </w:rPr>
            </w:pPr>
            <w:r>
              <w:rPr>
                <w:rFonts w:ascii="Arial" w:cs="Arial" w:eastAsia="Arial" w:hAnsi="Arial"/>
                <w:sz w:val="16"/>
                <w:szCs w:val="16"/>
                <w:color w:val="auto"/>
              </w:rPr>
              <w:t>62,827,179 shares, respectively</w:t>
            </w:r>
          </w:p>
        </w:tc>
        <w:tc>
          <w:tcPr>
            <w:tcW w:w="660" w:type="dxa"/>
            <w:vAlign w:val="bottom"/>
          </w:tcPr>
          <w:p>
            <w:pPr>
              <w:spacing w:after="0"/>
              <w:rPr>
                <w:sz w:val="17"/>
                <w:szCs w:val="17"/>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62,910</w:t>
            </w:r>
          </w:p>
        </w:tc>
        <w:tc>
          <w:tcPr>
            <w:tcW w:w="7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62,827</w:t>
            </w:r>
          </w:p>
        </w:tc>
      </w:tr>
      <w:tr>
        <w:trPr>
          <w:trHeight w:val="219"/>
        </w:trPr>
        <w:tc>
          <w:tcPr>
            <w:tcW w:w="7100" w:type="dxa"/>
            <w:vAlign w:val="bottom"/>
            <w:shd w:val="clear" w:color="auto" w:fill="CEFFE7"/>
          </w:tcPr>
          <w:p>
            <w:pPr>
              <w:ind w:left="200"/>
              <w:spacing w:after="0"/>
              <w:rPr>
                <w:sz w:val="20"/>
                <w:szCs w:val="20"/>
                <w:color w:val="auto"/>
              </w:rPr>
            </w:pPr>
            <w:r>
              <w:rPr>
                <w:rFonts w:ascii="Arial" w:cs="Arial" w:eastAsia="Arial" w:hAnsi="Arial"/>
                <w:sz w:val="16"/>
                <w:szCs w:val="16"/>
                <w:color w:val="auto"/>
              </w:rPr>
              <w:t>Additional paid-in capital</w:t>
            </w:r>
          </w:p>
        </w:tc>
        <w:tc>
          <w:tcPr>
            <w:tcW w:w="660" w:type="dxa"/>
            <w:vAlign w:val="bottom"/>
            <w:shd w:val="clear" w:color="auto" w:fill="CEFFE7"/>
          </w:tcPr>
          <w:p>
            <w:pPr>
              <w:spacing w:after="0"/>
              <w:rPr>
                <w:sz w:val="19"/>
                <w:szCs w:val="19"/>
                <w:color w:val="auto"/>
              </w:rPr>
            </w:pPr>
          </w:p>
        </w:tc>
        <w:tc>
          <w:tcPr>
            <w:tcW w:w="1380" w:type="dxa"/>
            <w:vAlign w:val="bottom"/>
            <w:shd w:val="clear" w:color="auto" w:fill="CEFFE7"/>
          </w:tcPr>
          <w:p>
            <w:pPr>
              <w:jc w:val="right"/>
              <w:ind w:right="39"/>
              <w:spacing w:after="0"/>
              <w:rPr>
                <w:sz w:val="20"/>
                <w:szCs w:val="20"/>
                <w:color w:val="auto"/>
              </w:rPr>
            </w:pPr>
            <w:r>
              <w:rPr>
                <w:rFonts w:ascii="Arial" w:cs="Arial" w:eastAsia="Arial" w:hAnsi="Arial"/>
                <w:sz w:val="16"/>
                <w:szCs w:val="16"/>
                <w:color w:val="auto"/>
              </w:rPr>
              <w:t>1,658,957</w:t>
            </w:r>
          </w:p>
        </w:tc>
        <w:tc>
          <w:tcPr>
            <w:tcW w:w="700" w:type="dxa"/>
            <w:vAlign w:val="bottom"/>
            <w:shd w:val="clear" w:color="auto" w:fill="CEFFE7"/>
          </w:tcPr>
          <w:p>
            <w:pPr>
              <w:spacing w:after="0"/>
              <w:rPr>
                <w:sz w:val="19"/>
                <w:szCs w:val="19"/>
                <w:color w:val="auto"/>
              </w:rPr>
            </w:pPr>
          </w:p>
        </w:tc>
        <w:tc>
          <w:tcPr>
            <w:tcW w:w="13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1,657,285</w:t>
            </w:r>
          </w:p>
        </w:tc>
      </w:tr>
      <w:tr>
        <w:trPr>
          <w:trHeight w:val="213"/>
        </w:trPr>
        <w:tc>
          <w:tcPr>
            <w:tcW w:w="7100" w:type="dxa"/>
            <w:vAlign w:val="bottom"/>
          </w:tcPr>
          <w:p>
            <w:pPr>
              <w:ind w:left="200"/>
              <w:spacing w:after="0"/>
              <w:rPr>
                <w:sz w:val="20"/>
                <w:szCs w:val="20"/>
                <w:color w:val="auto"/>
              </w:rPr>
            </w:pPr>
            <w:r>
              <w:rPr>
                <w:rFonts w:ascii="Arial" w:cs="Arial" w:eastAsia="Arial" w:hAnsi="Arial"/>
                <w:sz w:val="16"/>
                <w:szCs w:val="16"/>
                <w:color w:val="auto"/>
              </w:rPr>
              <w:t>Retained earnings</w:t>
            </w:r>
          </w:p>
        </w:tc>
        <w:tc>
          <w:tcPr>
            <w:tcW w:w="660" w:type="dxa"/>
            <w:vAlign w:val="bottom"/>
          </w:tcPr>
          <w:p>
            <w:pPr>
              <w:spacing w:after="0"/>
              <w:rPr>
                <w:sz w:val="18"/>
                <w:szCs w:val="18"/>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931,538</w:t>
            </w:r>
          </w:p>
        </w:tc>
        <w:tc>
          <w:tcPr>
            <w:tcW w:w="7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870,738</w:t>
            </w:r>
          </w:p>
        </w:tc>
      </w:tr>
      <w:tr>
        <w:trPr>
          <w:trHeight w:val="219"/>
        </w:trPr>
        <w:tc>
          <w:tcPr>
            <w:tcW w:w="7100" w:type="dxa"/>
            <w:vAlign w:val="bottom"/>
            <w:shd w:val="clear" w:color="auto" w:fill="CEFFE7"/>
          </w:tcPr>
          <w:p>
            <w:pPr>
              <w:ind w:left="200"/>
              <w:spacing w:after="0"/>
              <w:rPr>
                <w:sz w:val="20"/>
                <w:szCs w:val="20"/>
                <w:color w:val="auto"/>
              </w:rPr>
            </w:pPr>
            <w:r>
              <w:rPr>
                <w:rFonts w:ascii="Arial" w:cs="Arial" w:eastAsia="Arial" w:hAnsi="Arial"/>
                <w:sz w:val="16"/>
                <w:szCs w:val="16"/>
                <w:color w:val="auto"/>
              </w:rPr>
              <w:t>Treasury stock, at cost – 39,940 and 32,492 shares, respectively</w:t>
            </w:r>
          </w:p>
        </w:tc>
        <w:tc>
          <w:tcPr>
            <w:tcW w:w="660" w:type="dxa"/>
            <w:vAlign w:val="bottom"/>
            <w:shd w:val="clear" w:color="auto" w:fill="CEFFE7"/>
          </w:tcPr>
          <w:p>
            <w:pPr>
              <w:spacing w:after="0"/>
              <w:rPr>
                <w:sz w:val="19"/>
                <w:szCs w:val="19"/>
                <w:color w:val="auto"/>
              </w:rPr>
            </w:pPr>
          </w:p>
        </w:tc>
        <w:tc>
          <w:tcPr>
            <w:tcW w:w="13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(2,564)</w:t>
            </w:r>
          </w:p>
        </w:tc>
        <w:tc>
          <w:tcPr>
            <w:tcW w:w="700" w:type="dxa"/>
            <w:vAlign w:val="bottom"/>
            <w:shd w:val="clear" w:color="auto" w:fill="CEFFE7"/>
          </w:tcPr>
          <w:p>
            <w:pPr>
              <w:spacing w:after="0"/>
              <w:rPr>
                <w:sz w:val="19"/>
                <w:szCs w:val="19"/>
                <w:color w:val="auto"/>
              </w:rPr>
            </w:pPr>
          </w:p>
        </w:tc>
        <w:tc>
          <w:tcPr>
            <w:tcW w:w="13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(2,119)</w:t>
            </w:r>
          </w:p>
        </w:tc>
      </w:tr>
      <w:tr>
        <w:trPr>
          <w:trHeight w:val="213"/>
        </w:trPr>
        <w:tc>
          <w:tcPr>
            <w:tcW w:w="7100" w:type="dxa"/>
            <w:vAlign w:val="bottom"/>
            <w:tcBorders>
              <w:bottom w:val="single" w:sz="8" w:color="CEFFE7"/>
            </w:tcBorders>
          </w:tcPr>
          <w:p>
            <w:pPr>
              <w:ind w:left="200"/>
              <w:spacing w:after="0"/>
              <w:rPr>
                <w:sz w:val="20"/>
                <w:szCs w:val="20"/>
                <w:color w:val="auto"/>
              </w:rPr>
            </w:pPr>
            <w:r>
              <w:rPr>
                <w:rFonts w:ascii="Arial" w:cs="Arial" w:eastAsia="Arial" w:hAnsi="Arial"/>
                <w:sz w:val="16"/>
                <w:szCs w:val="16"/>
                <w:color w:val="auto"/>
              </w:rPr>
              <w:t>Accumulated other comprehensive income (loss)</w:t>
            </w:r>
          </w:p>
        </w:tc>
        <w:tc>
          <w:tcPr>
            <w:tcW w:w="6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(26,328)</w:t>
            </w:r>
          </w:p>
        </w:tc>
        <w:tc>
          <w:tcPr>
            <w:tcW w:w="7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(27,346)</w:t>
            </w:r>
          </w:p>
        </w:tc>
      </w:tr>
      <w:tr>
        <w:trPr>
          <w:trHeight w:val="212"/>
        </w:trPr>
        <w:tc>
          <w:tcPr>
            <w:tcW w:w="7100" w:type="dxa"/>
            <w:vAlign w:val="bottom"/>
            <w:shd w:val="clear" w:color="auto" w:fill="CEFFE7"/>
          </w:tcPr>
          <w:p>
            <w:pPr>
              <w:ind w:left="580"/>
              <w:spacing w:after="0"/>
              <w:rPr>
                <w:sz w:val="20"/>
                <w:szCs w:val="20"/>
                <w:color w:val="auto"/>
              </w:rPr>
            </w:pPr>
            <w:r>
              <w:rPr>
                <w:rFonts w:ascii="Arial" w:cs="Arial" w:eastAsia="Arial" w:hAnsi="Arial"/>
                <w:sz w:val="16"/>
                <w:szCs w:val="16"/>
                <w:color w:val="auto"/>
              </w:rPr>
              <w:t>Total stockholders’ equity</w:t>
            </w:r>
          </w:p>
        </w:tc>
        <w:tc>
          <w:tcPr>
            <w:tcW w:w="660" w:type="dxa"/>
            <w:vAlign w:val="bottom"/>
            <w:shd w:val="clear" w:color="auto" w:fill="CEFFE7"/>
          </w:tcPr>
          <w:p>
            <w:pPr>
              <w:spacing w:after="0"/>
              <w:rPr>
                <w:sz w:val="18"/>
                <w:szCs w:val="18"/>
                <w:color w:val="auto"/>
              </w:rPr>
            </w:pPr>
          </w:p>
        </w:tc>
        <w:tc>
          <w:tcPr>
            <w:tcW w:w="1380" w:type="dxa"/>
            <w:vAlign w:val="bottom"/>
            <w:shd w:val="clear" w:color="auto" w:fill="CEFFE7"/>
          </w:tcPr>
          <w:p>
            <w:pPr>
              <w:jc w:val="right"/>
              <w:ind w:right="39"/>
              <w:spacing w:after="0"/>
              <w:rPr>
                <w:sz w:val="20"/>
                <w:szCs w:val="20"/>
                <w:color w:val="auto"/>
              </w:rPr>
            </w:pPr>
            <w:r>
              <w:rPr>
                <w:rFonts w:ascii="Arial" w:cs="Arial" w:eastAsia="Arial" w:hAnsi="Arial"/>
                <w:sz w:val="16"/>
                <w:szCs w:val="16"/>
                <w:color w:val="auto"/>
              </w:rPr>
              <w:t>2,624,513</w:t>
            </w:r>
          </w:p>
        </w:tc>
        <w:tc>
          <w:tcPr>
            <w:tcW w:w="700" w:type="dxa"/>
            <w:vAlign w:val="bottom"/>
            <w:shd w:val="clear" w:color="auto" w:fill="CEFFE7"/>
          </w:tcPr>
          <w:p>
            <w:pPr>
              <w:spacing w:after="0"/>
              <w:rPr>
                <w:sz w:val="18"/>
                <w:szCs w:val="18"/>
                <w:color w:val="auto"/>
              </w:rPr>
            </w:pPr>
          </w:p>
        </w:tc>
        <w:tc>
          <w:tcPr>
            <w:tcW w:w="13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2,561,385</w:t>
            </w:r>
          </w:p>
        </w:tc>
      </w:tr>
      <w:tr>
        <w:trPr>
          <w:trHeight w:val="213"/>
        </w:trPr>
        <w:tc>
          <w:tcPr>
            <w:tcW w:w="7100" w:type="dxa"/>
            <w:vAlign w:val="bottom"/>
            <w:tcBorders>
              <w:bottom w:val="single" w:sz="8" w:color="CEFFE7"/>
            </w:tcBorders>
          </w:tcPr>
          <w:p>
            <w:pPr>
              <w:ind w:left="160"/>
              <w:spacing w:after="0"/>
              <w:rPr>
                <w:sz w:val="20"/>
                <w:szCs w:val="20"/>
                <w:color w:val="auto"/>
              </w:rPr>
            </w:pPr>
            <w:r>
              <w:rPr>
                <w:rFonts w:ascii="Arial" w:cs="Arial" w:eastAsia="Arial" w:hAnsi="Arial"/>
                <w:sz w:val="16"/>
                <w:szCs w:val="16"/>
                <w:color w:val="auto"/>
              </w:rPr>
              <w:t>Noncontrolling interest</w:t>
            </w:r>
          </w:p>
        </w:tc>
        <w:tc>
          <w:tcPr>
            <w:tcW w:w="6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100,789</w:t>
            </w:r>
          </w:p>
        </w:tc>
        <w:tc>
          <w:tcPr>
            <w:tcW w:w="7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101,262</w:t>
            </w:r>
          </w:p>
        </w:tc>
      </w:tr>
      <w:tr>
        <w:trPr>
          <w:trHeight w:val="210"/>
        </w:trPr>
        <w:tc>
          <w:tcPr>
            <w:tcW w:w="7100" w:type="dxa"/>
            <w:vAlign w:val="bottom"/>
            <w:shd w:val="clear" w:color="auto" w:fill="CEFFE7"/>
          </w:tcPr>
          <w:p>
            <w:pPr>
              <w:ind w:left="580"/>
              <w:spacing w:after="0"/>
              <w:rPr>
                <w:sz w:val="20"/>
                <w:szCs w:val="20"/>
                <w:color w:val="auto"/>
              </w:rPr>
            </w:pPr>
            <w:r>
              <w:rPr>
                <w:rFonts w:ascii="Arial" w:cs="Arial" w:eastAsia="Arial" w:hAnsi="Arial"/>
                <w:sz w:val="16"/>
                <w:szCs w:val="16"/>
                <w:color w:val="auto"/>
              </w:rPr>
              <w:t>Total equity</w:t>
            </w:r>
          </w:p>
        </w:tc>
        <w:tc>
          <w:tcPr>
            <w:tcW w:w="660" w:type="dxa"/>
            <w:vAlign w:val="bottom"/>
            <w:tcBorders>
              <w:bottom w:val="single" w:sz="8" w:color="auto"/>
            </w:tcBorders>
            <w:shd w:val="clear" w:color="auto" w:fill="CEFFE7"/>
          </w:tcPr>
          <w:p>
            <w:pPr>
              <w:spacing w:after="0"/>
              <w:rPr>
                <w:sz w:val="18"/>
                <w:szCs w:val="18"/>
                <w:color w:val="auto"/>
              </w:rPr>
            </w:pPr>
          </w:p>
        </w:tc>
        <w:tc>
          <w:tcPr>
            <w:tcW w:w="1380" w:type="dxa"/>
            <w:vAlign w:val="bottom"/>
            <w:tcBorders>
              <w:bottom w:val="single" w:sz="8" w:color="auto"/>
            </w:tcBorders>
            <w:shd w:val="clear" w:color="auto" w:fill="CEFFE7"/>
          </w:tcPr>
          <w:p>
            <w:pPr>
              <w:jc w:val="right"/>
              <w:ind w:right="39"/>
              <w:spacing w:after="0"/>
              <w:rPr>
                <w:sz w:val="20"/>
                <w:szCs w:val="20"/>
                <w:color w:val="auto"/>
              </w:rPr>
            </w:pPr>
            <w:r>
              <w:rPr>
                <w:rFonts w:ascii="Arial" w:cs="Arial" w:eastAsia="Arial" w:hAnsi="Arial"/>
                <w:sz w:val="16"/>
                <w:szCs w:val="16"/>
                <w:color w:val="auto"/>
              </w:rPr>
              <w:t>2,725,302</w:t>
            </w:r>
          </w:p>
        </w:tc>
        <w:tc>
          <w:tcPr>
            <w:tcW w:w="700" w:type="dxa"/>
            <w:vAlign w:val="bottom"/>
            <w:tcBorders>
              <w:bottom w:val="single" w:sz="8" w:color="auto"/>
            </w:tcBorders>
            <w:shd w:val="clear" w:color="auto" w:fill="CEFFE7"/>
          </w:tcPr>
          <w:p>
            <w:pPr>
              <w:spacing w:after="0"/>
              <w:rPr>
                <w:sz w:val="18"/>
                <w:szCs w:val="18"/>
                <w:color w:val="auto"/>
              </w:rPr>
            </w:pPr>
          </w:p>
        </w:tc>
        <w:tc>
          <w:tcPr>
            <w:tcW w:w="13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2,662,647</w:t>
            </w:r>
          </w:p>
        </w:tc>
      </w:tr>
      <w:tr>
        <w:trPr>
          <w:trHeight w:val="239"/>
        </w:trPr>
        <w:tc>
          <w:tcPr>
            <w:tcW w:w="7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41"/>
        </w:trPr>
        <w:tc>
          <w:tcPr>
            <w:tcW w:w="7100" w:type="dxa"/>
            <w:vAlign w:val="bottom"/>
            <w:tcBorders>
              <w:bottom w:val="single" w:sz="8" w:color="CEFFE7"/>
            </w:tcBorders>
            <w:shd w:val="clear" w:color="auto" w:fill="CEFFE7"/>
          </w:tcPr>
          <w:p>
            <w:pPr>
              <w:spacing w:after="0"/>
              <w:rPr>
                <w:sz w:val="20"/>
                <w:szCs w:val="20"/>
                <w:color w:val="auto"/>
              </w:rPr>
            </w:pPr>
            <w:r>
              <w:rPr>
                <w:rFonts w:ascii="Arial" w:cs="Arial" w:eastAsia="Arial" w:hAnsi="Arial"/>
                <w:sz w:val="16"/>
                <w:szCs w:val="16"/>
                <w:color w:val="auto"/>
              </w:rPr>
              <w:t>TOTAL LIABILITIES AND TOTAL EQUITY</w:t>
            </w:r>
          </w:p>
        </w:tc>
        <w:tc>
          <w:tcPr>
            <w:tcW w:w="660" w:type="dxa"/>
            <w:vAlign w:val="bottom"/>
            <w:tcBorders>
              <w:bottom w:val="single" w:sz="8" w:color="auto"/>
            </w:tcBorders>
            <w:shd w:val="clear" w:color="auto" w:fill="CEFFE7"/>
          </w:tcPr>
          <w:p>
            <w:pPr>
              <w:jc w:val="right"/>
              <w:ind w:right="45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EFFE7"/>
          </w:tcPr>
          <w:p>
            <w:pPr>
              <w:jc w:val="right"/>
              <w:ind w:right="39"/>
              <w:spacing w:after="0"/>
              <w:rPr>
                <w:sz w:val="20"/>
                <w:szCs w:val="20"/>
                <w:color w:val="auto"/>
              </w:rPr>
            </w:pPr>
            <w:r>
              <w:rPr>
                <w:rFonts w:ascii="Arial" w:cs="Arial" w:eastAsia="Arial" w:hAnsi="Arial"/>
                <w:sz w:val="16"/>
                <w:szCs w:val="16"/>
                <w:color w:val="auto"/>
              </w:rPr>
              <w:t>8,696,199</w:t>
            </w:r>
          </w:p>
        </w:tc>
        <w:tc>
          <w:tcPr>
            <w:tcW w:w="700" w:type="dxa"/>
            <w:vAlign w:val="bottom"/>
            <w:tcBorders>
              <w:bottom w:val="single" w:sz="8" w:color="auto"/>
            </w:tcBorders>
            <w:shd w:val="clear" w:color="auto" w:fill="CEFFE7"/>
          </w:tcPr>
          <w:p>
            <w:pPr>
              <w:jc w:val="right"/>
              <w:ind w:right="45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8,088,786</w:t>
            </w:r>
          </w:p>
        </w:tc>
      </w:tr>
      <w:tr>
        <w:trPr>
          <w:trHeight w:val="20"/>
        </w:trPr>
        <w:tc>
          <w:tcPr>
            <w:tcW w:w="7100" w:type="dxa"/>
            <w:vAlign w:val="bottom"/>
            <w:tcBorders>
              <w:top w:val="single" w:sz="8" w:color="CEFFE7"/>
            </w:tcBorders>
          </w:tcPr>
          <w:p>
            <w:pPr>
              <w:spacing w:after="0" w:line="20" w:lineRule="exact"/>
              <w:rPr>
                <w:sz w:val="1"/>
                <w:szCs w:val="1"/>
                <w:color w:val="auto"/>
              </w:rPr>
            </w:pPr>
          </w:p>
        </w:tc>
        <w:tc>
          <w:tcPr>
            <w:tcW w:w="660" w:type="dxa"/>
            <w:vAlign w:val="bottom"/>
            <w:tcBorders>
              <w:top w:val="single" w:sz="8" w:color="CEFFE7"/>
              <w:bottom w:val="single" w:sz="8" w:color="auto"/>
            </w:tcBorders>
          </w:tcPr>
          <w:p>
            <w:pPr>
              <w:spacing w:after="0" w:line="20" w:lineRule="exact"/>
              <w:rPr>
                <w:sz w:val="1"/>
                <w:szCs w:val="1"/>
                <w:color w:val="auto"/>
              </w:rPr>
            </w:pPr>
          </w:p>
        </w:tc>
        <w:tc>
          <w:tcPr>
            <w:tcW w:w="1380" w:type="dxa"/>
            <w:vAlign w:val="bottom"/>
            <w:tcBorders>
              <w:top w:val="single" w:sz="8" w:color="CEFFE7"/>
              <w:bottom w:val="single" w:sz="8" w:color="auto"/>
            </w:tcBorders>
          </w:tcPr>
          <w:p>
            <w:pPr>
              <w:spacing w:after="0" w:line="20" w:lineRule="exact"/>
              <w:rPr>
                <w:sz w:val="1"/>
                <w:szCs w:val="1"/>
                <w:color w:val="auto"/>
              </w:rPr>
            </w:pPr>
          </w:p>
        </w:tc>
        <w:tc>
          <w:tcPr>
            <w:tcW w:w="700" w:type="dxa"/>
            <w:vAlign w:val="bottom"/>
            <w:tcBorders>
              <w:top w:val="single" w:sz="8" w:color="CEFFE7"/>
              <w:bottom w:val="single" w:sz="8" w:color="auto"/>
            </w:tcBorders>
          </w:tcPr>
          <w:p>
            <w:pPr>
              <w:spacing w:after="0" w:line="20" w:lineRule="exact"/>
              <w:rPr>
                <w:sz w:val="1"/>
                <w:szCs w:val="1"/>
                <w:color w:val="auto"/>
              </w:rPr>
            </w:pPr>
          </w:p>
        </w:tc>
        <w:tc>
          <w:tcPr>
            <w:tcW w:w="1340" w:type="dxa"/>
            <w:vAlign w:val="bottom"/>
            <w:tcBorders>
              <w:top w:val="single" w:sz="8" w:color="CEFFE7"/>
              <w:bottom w:val="single" w:sz="8" w:color="auto"/>
            </w:tcBorders>
          </w:tcPr>
          <w:p>
            <w:pPr>
              <w:spacing w:after="0" w:line="20" w:lineRule="exact"/>
              <w:rPr>
                <w:sz w:val="1"/>
                <w:szCs w:val="1"/>
                <w:color w:val="auto"/>
              </w:rPr>
            </w:pPr>
          </w:p>
        </w:tc>
      </w:tr>
    </w:tbl>
    <w:p>
      <w:pPr>
        <w:spacing w:after="0" w:line="329" w:lineRule="exact"/>
        <w:rPr>
          <w:sz w:val="20"/>
          <w:szCs w:val="20"/>
          <w:color w:val="auto"/>
        </w:rPr>
      </w:pPr>
    </w:p>
    <w:p>
      <w:pPr>
        <w:jc w:val="center"/>
        <w:ind w:right="-19"/>
        <w:spacing w:after="0"/>
        <w:rPr>
          <w:rFonts w:ascii="Arial" w:cs="Arial" w:eastAsia="Arial" w:hAnsi="Arial"/>
          <w:sz w:val="14"/>
          <w:szCs w:val="14"/>
          <w:color w:val="auto"/>
        </w:rPr>
      </w:pPr>
      <w:r>
        <w:rPr>
          <w:rFonts w:ascii="Arial" w:cs="Arial" w:eastAsia="Arial" w:hAnsi="Arial"/>
          <w:sz w:val="14"/>
          <w:szCs w:val="14"/>
          <w:color w:val="auto"/>
        </w:rPr>
        <w:t xml:space="preserve">The accompanying </w:t>
      </w:r>
      <w:hyperlink w:anchor="page13">
        <w:r>
          <w:rPr>
            <w:rFonts w:ascii="Arial" w:cs="Arial" w:eastAsia="Arial" w:hAnsi="Arial"/>
            <w:sz w:val="14"/>
            <w:szCs w:val="14"/>
            <w:u w:val="single" w:color="auto"/>
            <w:color w:val="0000FF"/>
          </w:rPr>
          <w:t>Notes to Condensed Consolidated Financial Statements</w:t>
        </w:r>
        <w:r>
          <w:rPr>
            <w:rFonts w:ascii="Arial" w:cs="Arial" w:eastAsia="Arial" w:hAnsi="Arial"/>
            <w:sz w:val="14"/>
            <w:szCs w:val="14"/>
            <w:u w:val="single" w:color="auto"/>
            <w:color w:val="auto"/>
          </w:rPr>
          <w:t xml:space="preserve"> </w:t>
        </w:r>
      </w:hyperlink>
      <w:r>
        <w:rPr>
          <w:rFonts w:ascii="Arial" w:cs="Arial" w:eastAsia="Arial" w:hAnsi="Arial"/>
          <w:sz w:val="14"/>
          <w:szCs w:val="14"/>
          <w:color w:val="auto"/>
        </w:rPr>
        <w:t>are an integral part of these Condensed Consolidated Financial Statements.</w:t>
      </w: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11" w:name="page12"/>
    <w:bookmarkEnd w:id="11"/>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BLACK HILLS CORPORATION</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386" w:lineRule="exact"/>
        <w:rPr>
          <w:sz w:val="20"/>
          <w:szCs w:val="20"/>
          <w:color w:val="auto"/>
        </w:rPr>
      </w:pPr>
    </w:p>
    <w:tbl>
      <w:tblPr>
        <w:tblLayout w:type="fixed"/>
        <w:tblInd w:w="20" w:type="dxa"/>
        <w:tblCellMar>
          <w:top w:w="0" w:type="dxa"/>
          <w:left w:w="0" w:type="dxa"/>
          <w:bottom w:w="0" w:type="dxa"/>
          <w:right w:w="0" w:type="dxa"/>
        </w:tblCellMar>
      </w:tblPr>
      <w:tr>
        <w:trPr>
          <w:trHeight w:val="172"/>
        </w:trPr>
        <w:tc>
          <w:tcPr>
            <w:tcW w:w="7920" w:type="dxa"/>
            <w:vAlign w:val="bottom"/>
          </w:tcPr>
          <w:p>
            <w:pPr>
              <w:ind w:left="20"/>
              <w:spacing w:after="0"/>
              <w:rPr>
                <w:sz w:val="20"/>
                <w:szCs w:val="20"/>
                <w:color w:val="auto"/>
              </w:rPr>
            </w:pPr>
            <w:r>
              <w:rPr>
                <w:rFonts w:ascii="Arial" w:cs="Arial" w:eastAsia="Arial" w:hAnsi="Arial"/>
                <w:sz w:val="14"/>
                <w:szCs w:val="14"/>
                <w:color w:val="auto"/>
              </w:rPr>
              <w:t>(unaudited)</w:t>
            </w:r>
          </w:p>
        </w:tc>
        <w:tc>
          <w:tcPr>
            <w:tcW w:w="360" w:type="dxa"/>
            <w:vAlign w:val="bottom"/>
          </w:tcPr>
          <w:p>
            <w:pPr>
              <w:spacing w:after="0"/>
              <w:rPr>
                <w:sz w:val="14"/>
                <w:szCs w:val="14"/>
                <w:color w:val="auto"/>
              </w:rPr>
            </w:pPr>
          </w:p>
        </w:tc>
        <w:tc>
          <w:tcPr>
            <w:tcW w:w="2920" w:type="dxa"/>
            <w:vAlign w:val="bottom"/>
            <w:gridSpan w:val="3"/>
          </w:tcPr>
          <w:p>
            <w:pPr>
              <w:jc w:val="right"/>
              <w:ind w:right="548"/>
              <w:spacing w:after="0"/>
              <w:rPr>
                <w:sz w:val="20"/>
                <w:szCs w:val="20"/>
                <w:color w:val="auto"/>
              </w:rPr>
            </w:pPr>
            <w:r>
              <w:rPr>
                <w:rFonts w:ascii="Arial" w:cs="Arial" w:eastAsia="Arial" w:hAnsi="Arial"/>
                <w:sz w:val="14"/>
                <w:szCs w:val="14"/>
                <w:color w:val="auto"/>
              </w:rPr>
              <w:t>Three Months Ended March 31,</w:t>
            </w:r>
          </w:p>
        </w:tc>
      </w:tr>
      <w:tr>
        <w:trPr>
          <w:trHeight w:val="188"/>
        </w:trPr>
        <w:tc>
          <w:tcPr>
            <w:tcW w:w="79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color w:val="auto"/>
              </w:rPr>
              <w:t>2021</w:t>
            </w:r>
          </w:p>
        </w:tc>
        <w:tc>
          <w:tcPr>
            <w:tcW w:w="5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color w:val="auto"/>
              </w:rPr>
              <w:t>2020</w:t>
            </w:r>
          </w:p>
        </w:tc>
      </w:tr>
      <w:tr>
        <w:trPr>
          <w:trHeight w:val="183"/>
        </w:trPr>
        <w:tc>
          <w:tcPr>
            <w:tcW w:w="7920" w:type="dxa"/>
            <w:vAlign w:val="bottom"/>
          </w:tcPr>
          <w:p>
            <w:pPr>
              <w:ind w:left="20"/>
              <w:spacing w:after="0"/>
              <w:rPr>
                <w:sz w:val="20"/>
                <w:szCs w:val="20"/>
                <w:color w:val="auto"/>
              </w:rPr>
            </w:pPr>
            <w:r>
              <w:rPr>
                <w:rFonts w:ascii="Arial" w:cs="Arial" w:eastAsia="Arial" w:hAnsi="Arial"/>
                <w:sz w:val="14"/>
                <w:szCs w:val="14"/>
                <w:color w:val="auto"/>
              </w:rPr>
              <w:t>Operating activities:</w:t>
            </w:r>
          </w:p>
        </w:tc>
        <w:tc>
          <w:tcPr>
            <w:tcW w:w="360" w:type="dxa"/>
            <w:vAlign w:val="bottom"/>
          </w:tcPr>
          <w:p>
            <w:pPr>
              <w:spacing w:after="0"/>
              <w:rPr>
                <w:sz w:val="15"/>
                <w:szCs w:val="15"/>
                <w:color w:val="auto"/>
              </w:rPr>
            </w:pPr>
          </w:p>
        </w:tc>
        <w:tc>
          <w:tcPr>
            <w:tcW w:w="1840" w:type="dxa"/>
            <w:vAlign w:val="bottom"/>
            <w:gridSpan w:val="2"/>
          </w:tcPr>
          <w:p>
            <w:pPr>
              <w:jc w:val="right"/>
              <w:ind w:right="28"/>
              <w:spacing w:after="0"/>
              <w:rPr>
                <w:sz w:val="20"/>
                <w:szCs w:val="20"/>
                <w:color w:val="auto"/>
              </w:rPr>
            </w:pPr>
            <w:r>
              <w:rPr>
                <w:rFonts w:ascii="Arial" w:cs="Arial" w:eastAsia="Arial" w:hAnsi="Arial"/>
                <w:sz w:val="14"/>
                <w:szCs w:val="14"/>
                <w:color w:val="auto"/>
              </w:rPr>
              <w:t>(in thousands)</w:t>
            </w:r>
          </w:p>
        </w:tc>
        <w:tc>
          <w:tcPr>
            <w:tcW w:w="1080" w:type="dxa"/>
            <w:vAlign w:val="bottom"/>
          </w:tcPr>
          <w:p>
            <w:pPr>
              <w:spacing w:after="0"/>
              <w:rPr>
                <w:sz w:val="15"/>
                <w:szCs w:val="15"/>
                <w:color w:val="auto"/>
              </w:rPr>
            </w:pPr>
          </w:p>
        </w:tc>
      </w:tr>
      <w:tr>
        <w:trPr>
          <w:trHeight w:val="189"/>
        </w:trPr>
        <w:tc>
          <w:tcPr>
            <w:tcW w:w="7920" w:type="dxa"/>
            <w:vAlign w:val="bottom"/>
            <w:shd w:val="clear" w:color="auto" w:fill="CEFFE7"/>
          </w:tcPr>
          <w:p>
            <w:pPr>
              <w:ind w:left="20"/>
              <w:spacing w:after="0"/>
              <w:rPr>
                <w:sz w:val="20"/>
                <w:szCs w:val="20"/>
                <w:color w:val="auto"/>
              </w:rPr>
            </w:pPr>
            <w:r>
              <w:rPr>
                <w:rFonts w:ascii="Arial" w:cs="Arial" w:eastAsia="Arial" w:hAnsi="Arial"/>
                <w:sz w:val="14"/>
                <w:szCs w:val="14"/>
                <w:color w:val="auto"/>
              </w:rPr>
              <w:t>Net income</w:t>
            </w:r>
          </w:p>
        </w:tc>
        <w:tc>
          <w:tcPr>
            <w:tcW w:w="360" w:type="dxa"/>
            <w:vAlign w:val="bottom"/>
            <w:shd w:val="clear" w:color="auto" w:fill="CEFFE7"/>
          </w:tcPr>
          <w:p>
            <w:pPr>
              <w:jc w:val="right"/>
              <w:ind w:right="188"/>
              <w:spacing w:after="0"/>
              <w:rPr>
                <w:sz w:val="20"/>
                <w:szCs w:val="20"/>
                <w:color w:val="auto"/>
              </w:rPr>
            </w:pPr>
            <w:r>
              <w:rPr>
                <w:rFonts w:ascii="Arial" w:cs="Arial" w:eastAsia="Arial" w:hAnsi="Arial"/>
                <w:sz w:val="14"/>
                <w:szCs w:val="14"/>
                <w:color w:val="auto"/>
              </w:rPr>
              <w:t>$</w:t>
            </w:r>
          </w:p>
        </w:tc>
        <w:tc>
          <w:tcPr>
            <w:tcW w:w="1280" w:type="dxa"/>
            <w:vAlign w:val="bottom"/>
            <w:shd w:val="clear" w:color="auto" w:fill="CEFFE7"/>
          </w:tcPr>
          <w:p>
            <w:pPr>
              <w:jc w:val="right"/>
              <w:spacing w:after="0"/>
              <w:rPr>
                <w:sz w:val="20"/>
                <w:szCs w:val="20"/>
                <w:color w:val="auto"/>
              </w:rPr>
            </w:pPr>
            <w:r>
              <w:rPr>
                <w:rFonts w:ascii="Arial" w:cs="Arial" w:eastAsia="Arial" w:hAnsi="Arial"/>
                <w:sz w:val="14"/>
                <w:szCs w:val="14"/>
                <w:color w:val="auto"/>
              </w:rPr>
              <w:t>100,487</w:t>
            </w:r>
          </w:p>
        </w:tc>
        <w:tc>
          <w:tcPr>
            <w:tcW w:w="560" w:type="dxa"/>
            <w:vAlign w:val="bottom"/>
            <w:shd w:val="clear" w:color="auto" w:fill="CEFFE7"/>
          </w:tcPr>
          <w:p>
            <w:pPr>
              <w:jc w:val="right"/>
              <w:ind w:right="38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EFFE7"/>
          </w:tcPr>
          <w:p>
            <w:pPr>
              <w:jc w:val="right"/>
              <w:spacing w:after="0"/>
              <w:rPr>
                <w:sz w:val="20"/>
                <w:szCs w:val="20"/>
                <w:color w:val="auto"/>
              </w:rPr>
            </w:pPr>
            <w:r>
              <w:rPr>
                <w:rFonts w:ascii="Arial" w:cs="Arial" w:eastAsia="Arial" w:hAnsi="Arial"/>
                <w:sz w:val="14"/>
                <w:szCs w:val="14"/>
                <w:color w:val="auto"/>
              </w:rPr>
              <w:t>97,224</w:t>
            </w:r>
          </w:p>
        </w:tc>
      </w:tr>
      <w:tr>
        <w:trPr>
          <w:trHeight w:val="189"/>
        </w:trPr>
        <w:tc>
          <w:tcPr>
            <w:tcW w:w="7920" w:type="dxa"/>
            <w:vAlign w:val="bottom"/>
          </w:tcPr>
          <w:p>
            <w:pPr>
              <w:ind w:left="100"/>
              <w:spacing w:after="0"/>
              <w:rPr>
                <w:sz w:val="20"/>
                <w:szCs w:val="20"/>
                <w:color w:val="auto"/>
              </w:rPr>
            </w:pPr>
            <w:r>
              <w:rPr>
                <w:rFonts w:ascii="Arial" w:cs="Arial" w:eastAsia="Arial" w:hAnsi="Arial"/>
                <w:sz w:val="14"/>
                <w:szCs w:val="14"/>
                <w:color w:val="auto"/>
              </w:rPr>
              <w:t>Adjustments to reconcile net income to net cash provided by (used in) operating activities:</w:t>
            </w:r>
          </w:p>
        </w:tc>
        <w:tc>
          <w:tcPr>
            <w:tcW w:w="3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89"/>
        </w:trPr>
        <w:tc>
          <w:tcPr>
            <w:tcW w:w="7920" w:type="dxa"/>
            <w:vAlign w:val="bottom"/>
            <w:shd w:val="clear" w:color="auto" w:fill="CEFFE7"/>
          </w:tcPr>
          <w:p>
            <w:pPr>
              <w:ind w:left="340"/>
              <w:spacing w:after="0"/>
              <w:rPr>
                <w:sz w:val="20"/>
                <w:szCs w:val="20"/>
                <w:color w:val="auto"/>
              </w:rPr>
            </w:pPr>
            <w:r>
              <w:rPr>
                <w:rFonts w:ascii="Arial" w:cs="Arial" w:eastAsia="Arial" w:hAnsi="Arial"/>
                <w:sz w:val="14"/>
                <w:szCs w:val="14"/>
                <w:color w:val="auto"/>
              </w:rPr>
              <w:t>Depreciation, depletion and amortization</w:t>
            </w:r>
          </w:p>
        </w:tc>
        <w:tc>
          <w:tcPr>
            <w:tcW w:w="360" w:type="dxa"/>
            <w:vAlign w:val="bottom"/>
            <w:shd w:val="clear" w:color="auto" w:fill="CEFFE7"/>
          </w:tcPr>
          <w:p>
            <w:pPr>
              <w:spacing w:after="0"/>
              <w:rPr>
                <w:sz w:val="16"/>
                <w:szCs w:val="16"/>
                <w:color w:val="auto"/>
              </w:rPr>
            </w:pPr>
          </w:p>
        </w:tc>
        <w:tc>
          <w:tcPr>
            <w:tcW w:w="1280" w:type="dxa"/>
            <w:vAlign w:val="bottom"/>
            <w:shd w:val="clear" w:color="auto" w:fill="CEFFE7"/>
          </w:tcPr>
          <w:p>
            <w:pPr>
              <w:jc w:val="right"/>
              <w:spacing w:after="0"/>
              <w:rPr>
                <w:sz w:val="20"/>
                <w:szCs w:val="20"/>
                <w:color w:val="auto"/>
              </w:rPr>
            </w:pPr>
            <w:r>
              <w:rPr>
                <w:rFonts w:ascii="Arial" w:cs="Arial" w:eastAsia="Arial" w:hAnsi="Arial"/>
                <w:sz w:val="14"/>
                <w:szCs w:val="14"/>
                <w:color w:val="auto"/>
              </w:rPr>
              <w:t>57,269</w:t>
            </w:r>
          </w:p>
        </w:tc>
        <w:tc>
          <w:tcPr>
            <w:tcW w:w="560" w:type="dxa"/>
            <w:vAlign w:val="bottom"/>
            <w:shd w:val="clear" w:color="auto" w:fill="CEFFE7"/>
          </w:tcPr>
          <w:p>
            <w:pPr>
              <w:spacing w:after="0"/>
              <w:rPr>
                <w:sz w:val="16"/>
                <w:szCs w:val="16"/>
                <w:color w:val="auto"/>
              </w:rPr>
            </w:pPr>
          </w:p>
        </w:tc>
        <w:tc>
          <w:tcPr>
            <w:tcW w:w="1080" w:type="dxa"/>
            <w:vAlign w:val="bottom"/>
            <w:shd w:val="clear" w:color="auto" w:fill="CEFFE7"/>
          </w:tcPr>
          <w:p>
            <w:pPr>
              <w:jc w:val="right"/>
              <w:spacing w:after="0"/>
              <w:rPr>
                <w:sz w:val="20"/>
                <w:szCs w:val="20"/>
                <w:color w:val="auto"/>
              </w:rPr>
            </w:pPr>
            <w:r>
              <w:rPr>
                <w:rFonts w:ascii="Arial" w:cs="Arial" w:eastAsia="Arial" w:hAnsi="Arial"/>
                <w:sz w:val="14"/>
                <w:szCs w:val="14"/>
                <w:color w:val="auto"/>
              </w:rPr>
              <w:t>56,402</w:t>
            </w:r>
          </w:p>
        </w:tc>
      </w:tr>
      <w:tr>
        <w:trPr>
          <w:trHeight w:val="189"/>
        </w:trPr>
        <w:tc>
          <w:tcPr>
            <w:tcW w:w="7920" w:type="dxa"/>
            <w:vAlign w:val="bottom"/>
          </w:tcPr>
          <w:p>
            <w:pPr>
              <w:ind w:left="340"/>
              <w:spacing w:after="0"/>
              <w:rPr>
                <w:sz w:val="20"/>
                <w:szCs w:val="20"/>
                <w:color w:val="auto"/>
              </w:rPr>
            </w:pPr>
            <w:r>
              <w:rPr>
                <w:rFonts w:ascii="Arial" w:cs="Arial" w:eastAsia="Arial" w:hAnsi="Arial"/>
                <w:sz w:val="14"/>
                <w:szCs w:val="14"/>
                <w:color w:val="auto"/>
              </w:rPr>
              <w:t>Deferred financing cost amortization</w:t>
            </w:r>
          </w:p>
        </w:tc>
        <w:tc>
          <w:tcPr>
            <w:tcW w:w="3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2,214</w:t>
            </w:r>
          </w:p>
        </w:tc>
        <w:tc>
          <w:tcPr>
            <w:tcW w:w="5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2,237</w:t>
            </w:r>
          </w:p>
        </w:tc>
      </w:tr>
      <w:tr>
        <w:trPr>
          <w:trHeight w:val="189"/>
        </w:trPr>
        <w:tc>
          <w:tcPr>
            <w:tcW w:w="7920" w:type="dxa"/>
            <w:vAlign w:val="bottom"/>
            <w:shd w:val="clear" w:color="auto" w:fill="CEFFE7"/>
          </w:tcPr>
          <w:p>
            <w:pPr>
              <w:ind w:left="340"/>
              <w:spacing w:after="0"/>
              <w:rPr>
                <w:sz w:val="20"/>
                <w:szCs w:val="20"/>
                <w:color w:val="auto"/>
              </w:rPr>
            </w:pPr>
            <w:r>
              <w:rPr>
                <w:rFonts w:ascii="Arial" w:cs="Arial" w:eastAsia="Arial" w:hAnsi="Arial"/>
                <w:sz w:val="14"/>
                <w:szCs w:val="14"/>
                <w:color w:val="auto"/>
              </w:rPr>
              <w:t>Impairment of investment</w:t>
            </w:r>
          </w:p>
        </w:tc>
        <w:tc>
          <w:tcPr>
            <w:tcW w:w="360" w:type="dxa"/>
            <w:vAlign w:val="bottom"/>
            <w:shd w:val="clear" w:color="auto" w:fill="CEFFE7"/>
          </w:tcPr>
          <w:p>
            <w:pPr>
              <w:spacing w:after="0"/>
              <w:rPr>
                <w:sz w:val="16"/>
                <w:szCs w:val="16"/>
                <w:color w:val="auto"/>
              </w:rPr>
            </w:pPr>
          </w:p>
        </w:tc>
        <w:tc>
          <w:tcPr>
            <w:tcW w:w="1280" w:type="dxa"/>
            <w:vAlign w:val="bottom"/>
            <w:shd w:val="clear" w:color="auto" w:fill="CEFFE7"/>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EFFE7"/>
          </w:tcPr>
          <w:p>
            <w:pPr>
              <w:spacing w:after="0"/>
              <w:rPr>
                <w:sz w:val="16"/>
                <w:szCs w:val="16"/>
                <w:color w:val="auto"/>
              </w:rPr>
            </w:pPr>
          </w:p>
        </w:tc>
        <w:tc>
          <w:tcPr>
            <w:tcW w:w="1080" w:type="dxa"/>
            <w:vAlign w:val="bottom"/>
            <w:shd w:val="clear" w:color="auto" w:fill="CEFFE7"/>
          </w:tcPr>
          <w:p>
            <w:pPr>
              <w:jc w:val="right"/>
              <w:spacing w:after="0"/>
              <w:rPr>
                <w:sz w:val="20"/>
                <w:szCs w:val="20"/>
                <w:color w:val="auto"/>
              </w:rPr>
            </w:pPr>
            <w:r>
              <w:rPr>
                <w:rFonts w:ascii="Arial" w:cs="Arial" w:eastAsia="Arial" w:hAnsi="Arial"/>
                <w:sz w:val="14"/>
                <w:szCs w:val="14"/>
                <w:color w:val="auto"/>
              </w:rPr>
              <w:t>6,859</w:t>
            </w:r>
          </w:p>
        </w:tc>
      </w:tr>
      <w:tr>
        <w:trPr>
          <w:trHeight w:val="189"/>
        </w:trPr>
        <w:tc>
          <w:tcPr>
            <w:tcW w:w="7920" w:type="dxa"/>
            <w:vAlign w:val="bottom"/>
          </w:tcPr>
          <w:p>
            <w:pPr>
              <w:ind w:left="340"/>
              <w:spacing w:after="0"/>
              <w:rPr>
                <w:sz w:val="20"/>
                <w:szCs w:val="20"/>
                <w:color w:val="auto"/>
              </w:rPr>
            </w:pPr>
            <w:r>
              <w:rPr>
                <w:rFonts w:ascii="Arial" w:cs="Arial" w:eastAsia="Arial" w:hAnsi="Arial"/>
                <w:sz w:val="14"/>
                <w:szCs w:val="14"/>
                <w:color w:val="auto"/>
              </w:rPr>
              <w:t>Stock compensation</w:t>
            </w:r>
          </w:p>
        </w:tc>
        <w:tc>
          <w:tcPr>
            <w:tcW w:w="3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3,257</w:t>
            </w:r>
          </w:p>
        </w:tc>
        <w:tc>
          <w:tcPr>
            <w:tcW w:w="5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291</w:t>
            </w:r>
          </w:p>
        </w:tc>
      </w:tr>
      <w:tr>
        <w:trPr>
          <w:trHeight w:val="189"/>
        </w:trPr>
        <w:tc>
          <w:tcPr>
            <w:tcW w:w="7920" w:type="dxa"/>
            <w:vAlign w:val="bottom"/>
            <w:shd w:val="clear" w:color="auto" w:fill="CEFFE7"/>
          </w:tcPr>
          <w:p>
            <w:pPr>
              <w:ind w:left="340"/>
              <w:spacing w:after="0"/>
              <w:rPr>
                <w:sz w:val="20"/>
                <w:szCs w:val="20"/>
                <w:color w:val="auto"/>
              </w:rPr>
            </w:pPr>
            <w:r>
              <w:rPr>
                <w:rFonts w:ascii="Arial" w:cs="Arial" w:eastAsia="Arial" w:hAnsi="Arial"/>
                <w:sz w:val="14"/>
                <w:szCs w:val="14"/>
                <w:color w:val="auto"/>
              </w:rPr>
              <w:t>Deferred income taxes</w:t>
            </w:r>
          </w:p>
        </w:tc>
        <w:tc>
          <w:tcPr>
            <w:tcW w:w="360" w:type="dxa"/>
            <w:vAlign w:val="bottom"/>
            <w:shd w:val="clear" w:color="auto" w:fill="CEFFE7"/>
          </w:tcPr>
          <w:p>
            <w:pPr>
              <w:spacing w:after="0"/>
              <w:rPr>
                <w:sz w:val="16"/>
                <w:szCs w:val="16"/>
                <w:color w:val="auto"/>
              </w:rPr>
            </w:pPr>
          </w:p>
        </w:tc>
        <w:tc>
          <w:tcPr>
            <w:tcW w:w="1280" w:type="dxa"/>
            <w:vAlign w:val="bottom"/>
            <w:shd w:val="clear" w:color="auto" w:fill="CEFFE7"/>
          </w:tcPr>
          <w:p>
            <w:pPr>
              <w:jc w:val="right"/>
              <w:spacing w:after="0"/>
              <w:rPr>
                <w:sz w:val="20"/>
                <w:szCs w:val="20"/>
                <w:color w:val="auto"/>
              </w:rPr>
            </w:pPr>
            <w:r>
              <w:rPr>
                <w:rFonts w:ascii="Arial" w:cs="Arial" w:eastAsia="Arial" w:hAnsi="Arial"/>
                <w:sz w:val="14"/>
                <w:szCs w:val="14"/>
                <w:color w:val="auto"/>
              </w:rPr>
              <w:t>153</w:t>
            </w:r>
          </w:p>
        </w:tc>
        <w:tc>
          <w:tcPr>
            <w:tcW w:w="560" w:type="dxa"/>
            <w:vAlign w:val="bottom"/>
            <w:shd w:val="clear" w:color="auto" w:fill="CEFFE7"/>
          </w:tcPr>
          <w:p>
            <w:pPr>
              <w:spacing w:after="0"/>
              <w:rPr>
                <w:sz w:val="16"/>
                <w:szCs w:val="16"/>
                <w:color w:val="auto"/>
              </w:rPr>
            </w:pPr>
          </w:p>
        </w:tc>
        <w:tc>
          <w:tcPr>
            <w:tcW w:w="1080" w:type="dxa"/>
            <w:vAlign w:val="bottom"/>
            <w:shd w:val="clear" w:color="auto" w:fill="CEFFE7"/>
          </w:tcPr>
          <w:p>
            <w:pPr>
              <w:jc w:val="right"/>
              <w:spacing w:after="0"/>
              <w:rPr>
                <w:sz w:val="20"/>
                <w:szCs w:val="20"/>
                <w:color w:val="auto"/>
              </w:rPr>
            </w:pPr>
            <w:r>
              <w:rPr>
                <w:rFonts w:ascii="Arial" w:cs="Arial" w:eastAsia="Arial" w:hAnsi="Arial"/>
                <w:sz w:val="14"/>
                <w:szCs w:val="14"/>
                <w:color w:val="auto"/>
              </w:rPr>
              <w:t>21,876</w:t>
            </w:r>
          </w:p>
        </w:tc>
      </w:tr>
      <w:tr>
        <w:trPr>
          <w:trHeight w:val="189"/>
        </w:trPr>
        <w:tc>
          <w:tcPr>
            <w:tcW w:w="7920" w:type="dxa"/>
            <w:vAlign w:val="bottom"/>
          </w:tcPr>
          <w:p>
            <w:pPr>
              <w:ind w:left="340"/>
              <w:spacing w:after="0"/>
              <w:rPr>
                <w:sz w:val="20"/>
                <w:szCs w:val="20"/>
                <w:color w:val="auto"/>
              </w:rPr>
            </w:pPr>
            <w:r>
              <w:rPr>
                <w:rFonts w:ascii="Arial" w:cs="Arial" w:eastAsia="Arial" w:hAnsi="Arial"/>
                <w:sz w:val="14"/>
                <w:szCs w:val="14"/>
                <w:color w:val="auto"/>
              </w:rPr>
              <w:t>Employee benefit plans</w:t>
            </w:r>
          </w:p>
        </w:tc>
        <w:tc>
          <w:tcPr>
            <w:tcW w:w="3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2,304</w:t>
            </w:r>
          </w:p>
        </w:tc>
        <w:tc>
          <w:tcPr>
            <w:tcW w:w="5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1,235</w:t>
            </w:r>
          </w:p>
        </w:tc>
      </w:tr>
      <w:tr>
        <w:trPr>
          <w:trHeight w:val="189"/>
        </w:trPr>
        <w:tc>
          <w:tcPr>
            <w:tcW w:w="7920" w:type="dxa"/>
            <w:vAlign w:val="bottom"/>
            <w:shd w:val="clear" w:color="auto" w:fill="CEFFE7"/>
          </w:tcPr>
          <w:p>
            <w:pPr>
              <w:ind w:left="340"/>
              <w:spacing w:after="0"/>
              <w:rPr>
                <w:sz w:val="20"/>
                <w:szCs w:val="20"/>
                <w:color w:val="auto"/>
              </w:rPr>
            </w:pPr>
            <w:r>
              <w:rPr>
                <w:rFonts w:ascii="Arial" w:cs="Arial" w:eastAsia="Arial" w:hAnsi="Arial"/>
                <w:sz w:val="14"/>
                <w:szCs w:val="14"/>
                <w:color w:val="auto"/>
              </w:rPr>
              <w:t>Other adjustments, net</w:t>
            </w:r>
          </w:p>
        </w:tc>
        <w:tc>
          <w:tcPr>
            <w:tcW w:w="360" w:type="dxa"/>
            <w:vAlign w:val="bottom"/>
            <w:shd w:val="clear" w:color="auto" w:fill="CEFFE7"/>
          </w:tcPr>
          <w:p>
            <w:pPr>
              <w:spacing w:after="0"/>
              <w:rPr>
                <w:sz w:val="16"/>
                <w:szCs w:val="16"/>
                <w:color w:val="auto"/>
              </w:rPr>
            </w:pPr>
          </w:p>
        </w:tc>
        <w:tc>
          <w:tcPr>
            <w:tcW w:w="1280" w:type="dxa"/>
            <w:vAlign w:val="bottom"/>
            <w:shd w:val="clear" w:color="auto" w:fill="CEFFE7"/>
          </w:tcPr>
          <w:p>
            <w:pPr>
              <w:jc w:val="right"/>
              <w:spacing w:after="0"/>
              <w:rPr>
                <w:sz w:val="20"/>
                <w:szCs w:val="20"/>
                <w:color w:val="auto"/>
              </w:rPr>
            </w:pPr>
            <w:r>
              <w:rPr>
                <w:rFonts w:ascii="Arial" w:cs="Arial" w:eastAsia="Arial" w:hAnsi="Arial"/>
                <w:sz w:val="14"/>
                <w:szCs w:val="14"/>
                <w:color w:val="auto"/>
              </w:rPr>
              <w:t>6,151</w:t>
            </w:r>
          </w:p>
        </w:tc>
        <w:tc>
          <w:tcPr>
            <w:tcW w:w="560" w:type="dxa"/>
            <w:vAlign w:val="bottom"/>
            <w:shd w:val="clear" w:color="auto" w:fill="CEFFE7"/>
          </w:tcPr>
          <w:p>
            <w:pPr>
              <w:spacing w:after="0"/>
              <w:rPr>
                <w:sz w:val="16"/>
                <w:szCs w:val="16"/>
                <w:color w:val="auto"/>
              </w:rPr>
            </w:pPr>
          </w:p>
        </w:tc>
        <w:tc>
          <w:tcPr>
            <w:tcW w:w="1080" w:type="dxa"/>
            <w:vAlign w:val="bottom"/>
            <w:shd w:val="clear" w:color="auto" w:fill="CEFFE7"/>
          </w:tcPr>
          <w:p>
            <w:pPr>
              <w:jc w:val="right"/>
              <w:spacing w:after="0"/>
              <w:rPr>
                <w:sz w:val="20"/>
                <w:szCs w:val="20"/>
                <w:color w:val="auto"/>
              </w:rPr>
            </w:pPr>
            <w:r>
              <w:rPr>
                <w:rFonts w:ascii="Arial" w:cs="Arial" w:eastAsia="Arial" w:hAnsi="Arial"/>
                <w:sz w:val="14"/>
                <w:szCs w:val="14"/>
                <w:color w:val="auto"/>
              </w:rPr>
              <w:t>892</w:t>
            </w:r>
          </w:p>
        </w:tc>
      </w:tr>
      <w:tr>
        <w:trPr>
          <w:trHeight w:val="189"/>
        </w:trPr>
        <w:tc>
          <w:tcPr>
            <w:tcW w:w="7920" w:type="dxa"/>
            <w:vAlign w:val="bottom"/>
          </w:tcPr>
          <w:p>
            <w:pPr>
              <w:ind w:left="100"/>
              <w:spacing w:after="0"/>
              <w:rPr>
                <w:sz w:val="20"/>
                <w:szCs w:val="20"/>
                <w:color w:val="auto"/>
              </w:rPr>
            </w:pPr>
            <w:r>
              <w:rPr>
                <w:rFonts w:ascii="Arial" w:cs="Arial" w:eastAsia="Arial" w:hAnsi="Arial"/>
                <w:sz w:val="14"/>
                <w:szCs w:val="14"/>
                <w:color w:val="auto"/>
              </w:rPr>
              <w:t>Changes in certain operating assets and liabilities:</w:t>
            </w:r>
          </w:p>
        </w:tc>
        <w:tc>
          <w:tcPr>
            <w:tcW w:w="3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89"/>
        </w:trPr>
        <w:tc>
          <w:tcPr>
            <w:tcW w:w="7920" w:type="dxa"/>
            <w:vAlign w:val="bottom"/>
            <w:shd w:val="clear" w:color="auto" w:fill="CEFFE7"/>
          </w:tcPr>
          <w:p>
            <w:pPr>
              <w:ind w:left="340"/>
              <w:spacing w:after="0"/>
              <w:rPr>
                <w:sz w:val="20"/>
                <w:szCs w:val="20"/>
                <w:color w:val="auto"/>
              </w:rPr>
            </w:pPr>
            <w:r>
              <w:rPr>
                <w:rFonts w:ascii="Arial" w:cs="Arial" w:eastAsia="Arial" w:hAnsi="Arial"/>
                <w:sz w:val="14"/>
                <w:szCs w:val="14"/>
                <w:color w:val="auto"/>
              </w:rPr>
              <w:t>Materials, supplies and fuel</w:t>
            </w:r>
          </w:p>
        </w:tc>
        <w:tc>
          <w:tcPr>
            <w:tcW w:w="360" w:type="dxa"/>
            <w:vAlign w:val="bottom"/>
            <w:shd w:val="clear" w:color="auto" w:fill="CEFFE7"/>
          </w:tcPr>
          <w:p>
            <w:pPr>
              <w:spacing w:after="0"/>
              <w:rPr>
                <w:sz w:val="16"/>
                <w:szCs w:val="16"/>
                <w:color w:val="auto"/>
              </w:rPr>
            </w:pPr>
          </w:p>
        </w:tc>
        <w:tc>
          <w:tcPr>
            <w:tcW w:w="1280" w:type="dxa"/>
            <w:vAlign w:val="bottom"/>
            <w:shd w:val="clear" w:color="auto" w:fill="CEFFE7"/>
          </w:tcPr>
          <w:p>
            <w:pPr>
              <w:jc w:val="right"/>
              <w:spacing w:after="0"/>
              <w:rPr>
                <w:sz w:val="20"/>
                <w:szCs w:val="20"/>
                <w:color w:val="auto"/>
              </w:rPr>
            </w:pPr>
            <w:r>
              <w:rPr>
                <w:rFonts w:ascii="Arial" w:cs="Arial" w:eastAsia="Arial" w:hAnsi="Arial"/>
                <w:sz w:val="14"/>
                <w:szCs w:val="14"/>
                <w:color w:val="auto"/>
              </w:rPr>
              <w:t>15,932</w:t>
            </w:r>
          </w:p>
        </w:tc>
        <w:tc>
          <w:tcPr>
            <w:tcW w:w="560" w:type="dxa"/>
            <w:vAlign w:val="bottom"/>
            <w:shd w:val="clear" w:color="auto" w:fill="CEFFE7"/>
          </w:tcPr>
          <w:p>
            <w:pPr>
              <w:spacing w:after="0"/>
              <w:rPr>
                <w:sz w:val="16"/>
                <w:szCs w:val="16"/>
                <w:color w:val="auto"/>
              </w:rPr>
            </w:pPr>
          </w:p>
        </w:tc>
        <w:tc>
          <w:tcPr>
            <w:tcW w:w="1080" w:type="dxa"/>
            <w:vAlign w:val="bottom"/>
            <w:shd w:val="clear" w:color="auto" w:fill="CEFFE7"/>
          </w:tcPr>
          <w:p>
            <w:pPr>
              <w:jc w:val="right"/>
              <w:spacing w:after="0"/>
              <w:rPr>
                <w:sz w:val="20"/>
                <w:szCs w:val="20"/>
                <w:color w:val="auto"/>
              </w:rPr>
            </w:pPr>
            <w:r>
              <w:rPr>
                <w:rFonts w:ascii="Arial" w:cs="Arial" w:eastAsia="Arial" w:hAnsi="Arial"/>
                <w:sz w:val="14"/>
                <w:szCs w:val="14"/>
                <w:color w:val="auto"/>
              </w:rPr>
              <w:t>19,222</w:t>
            </w:r>
          </w:p>
        </w:tc>
      </w:tr>
      <w:tr>
        <w:trPr>
          <w:trHeight w:val="189"/>
        </w:trPr>
        <w:tc>
          <w:tcPr>
            <w:tcW w:w="7920" w:type="dxa"/>
            <w:vAlign w:val="bottom"/>
          </w:tcPr>
          <w:p>
            <w:pPr>
              <w:ind w:left="340"/>
              <w:spacing w:after="0"/>
              <w:rPr>
                <w:sz w:val="20"/>
                <w:szCs w:val="20"/>
                <w:color w:val="auto"/>
              </w:rPr>
            </w:pPr>
            <w:r>
              <w:rPr>
                <w:rFonts w:ascii="Arial" w:cs="Arial" w:eastAsia="Arial" w:hAnsi="Arial"/>
                <w:sz w:val="14"/>
                <w:szCs w:val="14"/>
                <w:color w:val="auto"/>
              </w:rPr>
              <w:t>Accounts receivable and other current assets</w:t>
            </w:r>
          </w:p>
        </w:tc>
        <w:tc>
          <w:tcPr>
            <w:tcW w:w="3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(11,599)</w:t>
            </w:r>
          </w:p>
        </w:tc>
        <w:tc>
          <w:tcPr>
            <w:tcW w:w="5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8,171</w:t>
            </w:r>
          </w:p>
        </w:tc>
      </w:tr>
      <w:tr>
        <w:trPr>
          <w:trHeight w:val="189"/>
        </w:trPr>
        <w:tc>
          <w:tcPr>
            <w:tcW w:w="7920" w:type="dxa"/>
            <w:vAlign w:val="bottom"/>
            <w:shd w:val="clear" w:color="auto" w:fill="CEFFE7"/>
          </w:tcPr>
          <w:p>
            <w:pPr>
              <w:ind w:left="340"/>
              <w:spacing w:after="0"/>
              <w:rPr>
                <w:sz w:val="20"/>
                <w:szCs w:val="20"/>
                <w:color w:val="auto"/>
              </w:rPr>
            </w:pPr>
            <w:r>
              <w:rPr>
                <w:rFonts w:ascii="Arial" w:cs="Arial" w:eastAsia="Arial" w:hAnsi="Arial"/>
                <w:sz w:val="14"/>
                <w:szCs w:val="14"/>
                <w:color w:val="auto"/>
              </w:rPr>
              <w:t>Accounts payable and other current liabilities</w:t>
            </w:r>
          </w:p>
        </w:tc>
        <w:tc>
          <w:tcPr>
            <w:tcW w:w="360" w:type="dxa"/>
            <w:vAlign w:val="bottom"/>
            <w:shd w:val="clear" w:color="auto" w:fill="CEFFE7"/>
          </w:tcPr>
          <w:p>
            <w:pPr>
              <w:spacing w:after="0"/>
              <w:rPr>
                <w:sz w:val="16"/>
                <w:szCs w:val="16"/>
                <w:color w:val="auto"/>
              </w:rPr>
            </w:pPr>
          </w:p>
        </w:tc>
        <w:tc>
          <w:tcPr>
            <w:tcW w:w="1280" w:type="dxa"/>
            <w:vAlign w:val="bottom"/>
            <w:shd w:val="clear" w:color="auto" w:fill="CEFFE7"/>
          </w:tcPr>
          <w:p>
            <w:pPr>
              <w:jc w:val="right"/>
              <w:spacing w:after="0"/>
              <w:rPr>
                <w:sz w:val="20"/>
                <w:szCs w:val="20"/>
                <w:color w:val="auto"/>
              </w:rPr>
            </w:pPr>
            <w:r>
              <w:rPr>
                <w:rFonts w:ascii="Arial" w:cs="Arial" w:eastAsia="Arial" w:hAnsi="Arial"/>
                <w:sz w:val="14"/>
                <w:szCs w:val="14"/>
                <w:color w:val="auto"/>
              </w:rPr>
              <w:t>(23,602)</w:t>
            </w:r>
          </w:p>
        </w:tc>
        <w:tc>
          <w:tcPr>
            <w:tcW w:w="560" w:type="dxa"/>
            <w:vAlign w:val="bottom"/>
            <w:shd w:val="clear" w:color="auto" w:fill="CEFFE7"/>
          </w:tcPr>
          <w:p>
            <w:pPr>
              <w:spacing w:after="0"/>
              <w:rPr>
                <w:sz w:val="16"/>
                <w:szCs w:val="16"/>
                <w:color w:val="auto"/>
              </w:rPr>
            </w:pPr>
          </w:p>
        </w:tc>
        <w:tc>
          <w:tcPr>
            <w:tcW w:w="1080" w:type="dxa"/>
            <w:vAlign w:val="bottom"/>
            <w:shd w:val="clear" w:color="auto" w:fill="CEFFE7"/>
          </w:tcPr>
          <w:p>
            <w:pPr>
              <w:jc w:val="right"/>
              <w:spacing w:after="0"/>
              <w:rPr>
                <w:sz w:val="20"/>
                <w:szCs w:val="20"/>
                <w:color w:val="auto"/>
              </w:rPr>
            </w:pPr>
            <w:r>
              <w:rPr>
                <w:rFonts w:ascii="Arial" w:cs="Arial" w:eastAsia="Arial" w:hAnsi="Arial"/>
                <w:sz w:val="14"/>
                <w:szCs w:val="14"/>
                <w:color w:val="auto"/>
              </w:rPr>
              <w:t>(43,297)</w:t>
            </w:r>
          </w:p>
        </w:tc>
      </w:tr>
      <w:tr>
        <w:trPr>
          <w:trHeight w:val="189"/>
        </w:trPr>
        <w:tc>
          <w:tcPr>
            <w:tcW w:w="7920" w:type="dxa"/>
            <w:vAlign w:val="bottom"/>
          </w:tcPr>
          <w:p>
            <w:pPr>
              <w:ind w:left="340"/>
              <w:spacing w:after="0"/>
              <w:rPr>
                <w:sz w:val="20"/>
                <w:szCs w:val="20"/>
                <w:color w:val="auto"/>
              </w:rPr>
            </w:pPr>
            <w:r>
              <w:rPr>
                <w:rFonts w:ascii="Arial" w:cs="Arial" w:eastAsia="Arial" w:hAnsi="Arial"/>
                <w:sz w:val="14"/>
                <w:szCs w:val="14"/>
                <w:color w:val="auto"/>
              </w:rPr>
              <w:t>Regulatory assets</w:t>
            </w:r>
          </w:p>
        </w:tc>
        <w:tc>
          <w:tcPr>
            <w:tcW w:w="3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(533,006)</w:t>
            </w:r>
          </w:p>
        </w:tc>
        <w:tc>
          <w:tcPr>
            <w:tcW w:w="5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20,679</w:t>
            </w:r>
          </w:p>
        </w:tc>
      </w:tr>
      <w:tr>
        <w:trPr>
          <w:trHeight w:val="189"/>
        </w:trPr>
        <w:tc>
          <w:tcPr>
            <w:tcW w:w="7920" w:type="dxa"/>
            <w:vAlign w:val="bottom"/>
            <w:shd w:val="clear" w:color="auto" w:fill="CEFFE7"/>
          </w:tcPr>
          <w:p>
            <w:pPr>
              <w:ind w:left="340"/>
              <w:spacing w:after="0"/>
              <w:rPr>
                <w:sz w:val="20"/>
                <w:szCs w:val="20"/>
                <w:color w:val="auto"/>
              </w:rPr>
            </w:pPr>
            <w:r>
              <w:rPr>
                <w:rFonts w:ascii="Arial" w:cs="Arial" w:eastAsia="Arial" w:hAnsi="Arial"/>
                <w:sz w:val="14"/>
                <w:szCs w:val="14"/>
                <w:color w:val="auto"/>
              </w:rPr>
              <w:t>Regulatory liabilities</w:t>
            </w:r>
          </w:p>
        </w:tc>
        <w:tc>
          <w:tcPr>
            <w:tcW w:w="360" w:type="dxa"/>
            <w:vAlign w:val="bottom"/>
            <w:shd w:val="clear" w:color="auto" w:fill="CEFFE7"/>
          </w:tcPr>
          <w:p>
            <w:pPr>
              <w:spacing w:after="0"/>
              <w:rPr>
                <w:sz w:val="16"/>
                <w:szCs w:val="16"/>
                <w:color w:val="auto"/>
              </w:rPr>
            </w:pPr>
          </w:p>
        </w:tc>
        <w:tc>
          <w:tcPr>
            <w:tcW w:w="1280" w:type="dxa"/>
            <w:vAlign w:val="bottom"/>
            <w:shd w:val="clear" w:color="auto" w:fill="CEFFE7"/>
          </w:tcPr>
          <w:p>
            <w:pPr>
              <w:jc w:val="right"/>
              <w:spacing w:after="0"/>
              <w:rPr>
                <w:sz w:val="20"/>
                <w:szCs w:val="20"/>
                <w:color w:val="auto"/>
              </w:rPr>
            </w:pPr>
            <w:r>
              <w:rPr>
                <w:rFonts w:ascii="Arial" w:cs="Arial" w:eastAsia="Arial" w:hAnsi="Arial"/>
                <w:sz w:val="14"/>
                <w:szCs w:val="14"/>
                <w:color w:val="auto"/>
              </w:rPr>
              <w:t>(5,291)</w:t>
            </w:r>
          </w:p>
        </w:tc>
        <w:tc>
          <w:tcPr>
            <w:tcW w:w="560" w:type="dxa"/>
            <w:vAlign w:val="bottom"/>
            <w:shd w:val="clear" w:color="auto" w:fill="CEFFE7"/>
          </w:tcPr>
          <w:p>
            <w:pPr>
              <w:spacing w:after="0"/>
              <w:rPr>
                <w:sz w:val="16"/>
                <w:szCs w:val="16"/>
                <w:color w:val="auto"/>
              </w:rPr>
            </w:pPr>
          </w:p>
        </w:tc>
        <w:tc>
          <w:tcPr>
            <w:tcW w:w="1080" w:type="dxa"/>
            <w:vAlign w:val="bottom"/>
            <w:shd w:val="clear" w:color="auto" w:fill="CEFFE7"/>
          </w:tcPr>
          <w:p>
            <w:pPr>
              <w:jc w:val="right"/>
              <w:spacing w:after="0"/>
              <w:rPr>
                <w:sz w:val="20"/>
                <w:szCs w:val="20"/>
                <w:color w:val="auto"/>
              </w:rPr>
            </w:pPr>
            <w:r>
              <w:rPr>
                <w:rFonts w:ascii="Arial" w:cs="Arial" w:eastAsia="Arial" w:hAnsi="Arial"/>
                <w:sz w:val="14"/>
                <w:szCs w:val="14"/>
                <w:color w:val="auto"/>
              </w:rPr>
              <w:t>1,316</w:t>
            </w:r>
          </w:p>
        </w:tc>
      </w:tr>
      <w:tr>
        <w:trPr>
          <w:trHeight w:val="189"/>
        </w:trPr>
        <w:tc>
          <w:tcPr>
            <w:tcW w:w="7920" w:type="dxa"/>
            <w:vAlign w:val="bottom"/>
            <w:tcBorders>
              <w:bottom w:val="single" w:sz="8" w:color="CEFFE7"/>
            </w:tcBorders>
          </w:tcPr>
          <w:p>
            <w:pPr>
              <w:ind w:left="140"/>
              <w:spacing w:after="0"/>
              <w:rPr>
                <w:sz w:val="20"/>
                <w:szCs w:val="20"/>
                <w:color w:val="auto"/>
              </w:rPr>
            </w:pPr>
            <w:r>
              <w:rPr>
                <w:rFonts w:ascii="Arial" w:cs="Arial" w:eastAsia="Arial" w:hAnsi="Arial"/>
                <w:sz w:val="14"/>
                <w:szCs w:val="14"/>
                <w:color w:val="auto"/>
              </w:rPr>
              <w:t>Other operating activities, net</w:t>
            </w:r>
          </w:p>
        </w:tc>
        <w:tc>
          <w:tcPr>
            <w:tcW w:w="3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(355)</w:t>
            </w:r>
          </w:p>
        </w:tc>
        <w:tc>
          <w:tcPr>
            <w:tcW w:w="5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(1,138)</w:t>
            </w:r>
          </w:p>
        </w:tc>
      </w:tr>
      <w:tr>
        <w:trPr>
          <w:trHeight w:val="183"/>
        </w:trPr>
        <w:tc>
          <w:tcPr>
            <w:tcW w:w="7920" w:type="dxa"/>
            <w:vAlign w:val="bottom"/>
            <w:shd w:val="clear" w:color="auto" w:fill="CEFFE7"/>
          </w:tcPr>
          <w:p>
            <w:pPr>
              <w:ind w:left="20"/>
              <w:spacing w:after="0"/>
              <w:rPr>
                <w:sz w:val="20"/>
                <w:szCs w:val="20"/>
                <w:color w:val="auto"/>
              </w:rPr>
            </w:pPr>
            <w:r>
              <w:rPr>
                <w:rFonts w:ascii="Arial" w:cs="Arial" w:eastAsia="Arial" w:hAnsi="Arial"/>
                <w:sz w:val="14"/>
                <w:szCs w:val="14"/>
                <w:color w:val="auto"/>
              </w:rPr>
              <w:t>Net cash provided by (used in) operating activities</w:t>
            </w:r>
          </w:p>
        </w:tc>
        <w:tc>
          <w:tcPr>
            <w:tcW w:w="360" w:type="dxa"/>
            <w:vAlign w:val="bottom"/>
            <w:tcBorders>
              <w:bottom w:val="single" w:sz="8" w:color="auto"/>
            </w:tcBorders>
            <w:shd w:val="clear" w:color="auto" w:fill="CEFFE7"/>
          </w:tcPr>
          <w:p>
            <w:pPr>
              <w:spacing w:after="0"/>
              <w:rPr>
                <w:sz w:val="15"/>
                <w:szCs w:val="15"/>
                <w:color w:val="auto"/>
              </w:rPr>
            </w:pPr>
          </w:p>
        </w:tc>
        <w:tc>
          <w:tcPr>
            <w:tcW w:w="12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(386,086)</w:t>
            </w:r>
          </w:p>
        </w:tc>
        <w:tc>
          <w:tcPr>
            <w:tcW w:w="560" w:type="dxa"/>
            <w:vAlign w:val="bottom"/>
            <w:tcBorders>
              <w:bottom w:val="single" w:sz="8" w:color="auto"/>
            </w:tcBorders>
            <w:shd w:val="clear" w:color="auto" w:fill="CEFFE7"/>
          </w:tcPr>
          <w:p>
            <w:pPr>
              <w:spacing w:after="0"/>
              <w:rPr>
                <w:sz w:val="15"/>
                <w:szCs w:val="15"/>
                <w:color w:val="auto"/>
              </w:rPr>
            </w:pPr>
          </w:p>
        </w:tc>
        <w:tc>
          <w:tcPr>
            <w:tcW w:w="10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191,969</w:t>
            </w:r>
          </w:p>
        </w:tc>
      </w:tr>
      <w:tr>
        <w:trPr>
          <w:trHeight w:val="196"/>
        </w:trPr>
        <w:tc>
          <w:tcPr>
            <w:tcW w:w="79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189"/>
        </w:trPr>
        <w:tc>
          <w:tcPr>
            <w:tcW w:w="7920" w:type="dxa"/>
            <w:vAlign w:val="bottom"/>
            <w:shd w:val="clear" w:color="auto" w:fill="CEFFE7"/>
          </w:tcPr>
          <w:p>
            <w:pPr>
              <w:ind w:left="20"/>
              <w:spacing w:after="0"/>
              <w:rPr>
                <w:sz w:val="20"/>
                <w:szCs w:val="20"/>
                <w:color w:val="auto"/>
              </w:rPr>
            </w:pPr>
            <w:r>
              <w:rPr>
                <w:rFonts w:ascii="Arial" w:cs="Arial" w:eastAsia="Arial" w:hAnsi="Arial"/>
                <w:sz w:val="14"/>
                <w:szCs w:val="14"/>
                <w:color w:val="auto"/>
              </w:rPr>
              <w:t>Investing activities:</w:t>
            </w:r>
          </w:p>
        </w:tc>
        <w:tc>
          <w:tcPr>
            <w:tcW w:w="360" w:type="dxa"/>
            <w:vAlign w:val="bottom"/>
            <w:shd w:val="clear" w:color="auto" w:fill="CEFFE7"/>
          </w:tcPr>
          <w:p>
            <w:pPr>
              <w:spacing w:after="0"/>
              <w:rPr>
                <w:sz w:val="16"/>
                <w:szCs w:val="16"/>
                <w:color w:val="auto"/>
              </w:rPr>
            </w:pPr>
          </w:p>
        </w:tc>
        <w:tc>
          <w:tcPr>
            <w:tcW w:w="1280" w:type="dxa"/>
            <w:vAlign w:val="bottom"/>
            <w:shd w:val="clear" w:color="auto" w:fill="CEFFE7"/>
          </w:tcPr>
          <w:p>
            <w:pPr>
              <w:spacing w:after="0"/>
              <w:rPr>
                <w:sz w:val="16"/>
                <w:szCs w:val="16"/>
                <w:color w:val="auto"/>
              </w:rPr>
            </w:pPr>
          </w:p>
        </w:tc>
        <w:tc>
          <w:tcPr>
            <w:tcW w:w="560" w:type="dxa"/>
            <w:vAlign w:val="bottom"/>
            <w:shd w:val="clear" w:color="auto" w:fill="CEFFE7"/>
          </w:tcPr>
          <w:p>
            <w:pPr>
              <w:spacing w:after="0"/>
              <w:rPr>
                <w:sz w:val="16"/>
                <w:szCs w:val="16"/>
                <w:color w:val="auto"/>
              </w:rPr>
            </w:pPr>
          </w:p>
        </w:tc>
        <w:tc>
          <w:tcPr>
            <w:tcW w:w="1080" w:type="dxa"/>
            <w:vAlign w:val="bottom"/>
            <w:shd w:val="clear" w:color="auto" w:fill="CEFFE7"/>
          </w:tcPr>
          <w:p>
            <w:pPr>
              <w:spacing w:after="0"/>
              <w:rPr>
                <w:sz w:val="16"/>
                <w:szCs w:val="16"/>
                <w:color w:val="auto"/>
              </w:rPr>
            </w:pPr>
          </w:p>
        </w:tc>
      </w:tr>
      <w:tr>
        <w:trPr>
          <w:trHeight w:val="189"/>
        </w:trPr>
        <w:tc>
          <w:tcPr>
            <w:tcW w:w="7920" w:type="dxa"/>
            <w:vAlign w:val="bottom"/>
          </w:tcPr>
          <w:p>
            <w:pPr>
              <w:ind w:left="180"/>
              <w:spacing w:after="0"/>
              <w:rPr>
                <w:sz w:val="20"/>
                <w:szCs w:val="20"/>
                <w:color w:val="auto"/>
              </w:rPr>
            </w:pPr>
            <w:r>
              <w:rPr>
                <w:rFonts w:ascii="Arial" w:cs="Arial" w:eastAsia="Arial" w:hAnsi="Arial"/>
                <w:sz w:val="14"/>
                <w:szCs w:val="14"/>
                <w:color w:val="auto"/>
              </w:rPr>
              <w:t>Property, plant and equipment additions</w:t>
            </w:r>
          </w:p>
        </w:tc>
        <w:tc>
          <w:tcPr>
            <w:tcW w:w="3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(146,302)</w:t>
            </w:r>
          </w:p>
        </w:tc>
        <w:tc>
          <w:tcPr>
            <w:tcW w:w="5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(171,882)</w:t>
            </w:r>
          </w:p>
        </w:tc>
      </w:tr>
      <w:tr>
        <w:trPr>
          <w:trHeight w:val="189"/>
        </w:trPr>
        <w:tc>
          <w:tcPr>
            <w:tcW w:w="7920" w:type="dxa"/>
            <w:vAlign w:val="bottom"/>
            <w:shd w:val="clear" w:color="auto" w:fill="CEFFE7"/>
          </w:tcPr>
          <w:p>
            <w:pPr>
              <w:ind w:left="180"/>
              <w:spacing w:after="0"/>
              <w:rPr>
                <w:sz w:val="20"/>
                <w:szCs w:val="20"/>
                <w:color w:val="auto"/>
              </w:rPr>
            </w:pPr>
            <w:r>
              <w:rPr>
                <w:rFonts w:ascii="Arial" w:cs="Arial" w:eastAsia="Arial" w:hAnsi="Arial"/>
                <w:sz w:val="14"/>
                <w:szCs w:val="14"/>
                <w:color w:val="auto"/>
              </w:rPr>
              <w:t>Other investing activities</w:t>
            </w:r>
          </w:p>
        </w:tc>
        <w:tc>
          <w:tcPr>
            <w:tcW w:w="360" w:type="dxa"/>
            <w:vAlign w:val="bottom"/>
            <w:tcBorders>
              <w:bottom w:val="single" w:sz="8" w:color="auto"/>
            </w:tcBorders>
            <w:shd w:val="clear" w:color="auto" w:fill="CEFFE7"/>
          </w:tcPr>
          <w:p>
            <w:pPr>
              <w:spacing w:after="0"/>
              <w:rPr>
                <w:sz w:val="16"/>
                <w:szCs w:val="16"/>
                <w:color w:val="auto"/>
              </w:rPr>
            </w:pPr>
          </w:p>
        </w:tc>
        <w:tc>
          <w:tcPr>
            <w:tcW w:w="12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78</w:t>
            </w:r>
          </w:p>
        </w:tc>
        <w:tc>
          <w:tcPr>
            <w:tcW w:w="560" w:type="dxa"/>
            <w:vAlign w:val="bottom"/>
            <w:tcBorders>
              <w:bottom w:val="single" w:sz="8" w:color="auto"/>
            </w:tcBorders>
            <w:shd w:val="clear" w:color="auto" w:fill="CEFFE7"/>
          </w:tcPr>
          <w:p>
            <w:pPr>
              <w:spacing w:after="0"/>
              <w:rPr>
                <w:sz w:val="16"/>
                <w:szCs w:val="16"/>
                <w:color w:val="auto"/>
              </w:rPr>
            </w:pPr>
          </w:p>
        </w:tc>
        <w:tc>
          <w:tcPr>
            <w:tcW w:w="10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(1,202)</w:t>
            </w:r>
          </w:p>
        </w:tc>
      </w:tr>
      <w:tr>
        <w:trPr>
          <w:trHeight w:val="183"/>
        </w:trPr>
        <w:tc>
          <w:tcPr>
            <w:tcW w:w="7920" w:type="dxa"/>
            <w:vAlign w:val="bottom"/>
            <w:tcBorders>
              <w:bottom w:val="single" w:sz="8" w:color="CEFFE7"/>
            </w:tcBorders>
          </w:tcPr>
          <w:p>
            <w:pPr>
              <w:ind w:left="20"/>
              <w:spacing w:after="0"/>
              <w:rPr>
                <w:sz w:val="20"/>
                <w:szCs w:val="20"/>
                <w:color w:val="auto"/>
              </w:rPr>
            </w:pPr>
            <w:r>
              <w:rPr>
                <w:rFonts w:ascii="Arial" w:cs="Arial" w:eastAsia="Arial" w:hAnsi="Arial"/>
                <w:sz w:val="14"/>
                <w:szCs w:val="14"/>
                <w:color w:val="auto"/>
              </w:rPr>
              <w:t>Net cash (used in) investing activities</w:t>
            </w:r>
          </w:p>
        </w:tc>
        <w:tc>
          <w:tcPr>
            <w:tcW w:w="3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(146,224)</w:t>
            </w:r>
          </w:p>
        </w:tc>
        <w:tc>
          <w:tcPr>
            <w:tcW w:w="5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(173,084)</w:t>
            </w:r>
          </w:p>
        </w:tc>
      </w:tr>
      <w:tr>
        <w:trPr>
          <w:trHeight w:val="196"/>
        </w:trPr>
        <w:tc>
          <w:tcPr>
            <w:tcW w:w="7920" w:type="dxa"/>
            <w:vAlign w:val="bottom"/>
            <w:shd w:val="clear" w:color="auto" w:fill="CEFFE7"/>
          </w:tcPr>
          <w:p>
            <w:pPr>
              <w:spacing w:after="0"/>
              <w:rPr>
                <w:sz w:val="17"/>
                <w:szCs w:val="17"/>
                <w:color w:val="auto"/>
              </w:rPr>
            </w:pPr>
          </w:p>
        </w:tc>
        <w:tc>
          <w:tcPr>
            <w:tcW w:w="360" w:type="dxa"/>
            <w:vAlign w:val="bottom"/>
            <w:shd w:val="clear" w:color="auto" w:fill="CEFFE7"/>
          </w:tcPr>
          <w:p>
            <w:pPr>
              <w:spacing w:after="0"/>
              <w:rPr>
                <w:sz w:val="17"/>
                <w:szCs w:val="17"/>
                <w:color w:val="auto"/>
              </w:rPr>
            </w:pPr>
          </w:p>
        </w:tc>
        <w:tc>
          <w:tcPr>
            <w:tcW w:w="1280" w:type="dxa"/>
            <w:vAlign w:val="bottom"/>
            <w:shd w:val="clear" w:color="auto" w:fill="CEFFE7"/>
          </w:tcPr>
          <w:p>
            <w:pPr>
              <w:spacing w:after="0"/>
              <w:rPr>
                <w:sz w:val="17"/>
                <w:szCs w:val="17"/>
                <w:color w:val="auto"/>
              </w:rPr>
            </w:pPr>
          </w:p>
        </w:tc>
        <w:tc>
          <w:tcPr>
            <w:tcW w:w="560" w:type="dxa"/>
            <w:vAlign w:val="bottom"/>
            <w:shd w:val="clear" w:color="auto" w:fill="CEFFE7"/>
          </w:tcPr>
          <w:p>
            <w:pPr>
              <w:spacing w:after="0"/>
              <w:rPr>
                <w:sz w:val="17"/>
                <w:szCs w:val="17"/>
                <w:color w:val="auto"/>
              </w:rPr>
            </w:pPr>
          </w:p>
        </w:tc>
        <w:tc>
          <w:tcPr>
            <w:tcW w:w="1080" w:type="dxa"/>
            <w:vAlign w:val="bottom"/>
            <w:shd w:val="clear" w:color="auto" w:fill="CEFFE7"/>
          </w:tcPr>
          <w:p>
            <w:pPr>
              <w:spacing w:after="0"/>
              <w:rPr>
                <w:sz w:val="17"/>
                <w:szCs w:val="17"/>
                <w:color w:val="auto"/>
              </w:rPr>
            </w:pPr>
          </w:p>
        </w:tc>
      </w:tr>
      <w:tr>
        <w:trPr>
          <w:trHeight w:val="189"/>
        </w:trPr>
        <w:tc>
          <w:tcPr>
            <w:tcW w:w="7920" w:type="dxa"/>
            <w:vAlign w:val="bottom"/>
          </w:tcPr>
          <w:p>
            <w:pPr>
              <w:ind w:left="20"/>
              <w:spacing w:after="0"/>
              <w:rPr>
                <w:sz w:val="20"/>
                <w:szCs w:val="20"/>
                <w:color w:val="auto"/>
              </w:rPr>
            </w:pPr>
            <w:r>
              <w:rPr>
                <w:rFonts w:ascii="Arial" w:cs="Arial" w:eastAsia="Arial" w:hAnsi="Arial"/>
                <w:sz w:val="14"/>
                <w:szCs w:val="14"/>
                <w:color w:val="auto"/>
              </w:rPr>
              <w:t>Financing activities:</w:t>
            </w:r>
          </w:p>
        </w:tc>
        <w:tc>
          <w:tcPr>
            <w:tcW w:w="3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89"/>
        </w:trPr>
        <w:tc>
          <w:tcPr>
            <w:tcW w:w="7920" w:type="dxa"/>
            <w:vAlign w:val="bottom"/>
            <w:shd w:val="clear" w:color="auto" w:fill="CEFFE7"/>
          </w:tcPr>
          <w:p>
            <w:pPr>
              <w:ind w:left="220"/>
              <w:spacing w:after="0"/>
              <w:rPr>
                <w:sz w:val="20"/>
                <w:szCs w:val="20"/>
                <w:color w:val="auto"/>
              </w:rPr>
            </w:pPr>
            <w:r>
              <w:rPr>
                <w:rFonts w:ascii="Arial" w:cs="Arial" w:eastAsia="Arial" w:hAnsi="Arial"/>
                <w:sz w:val="14"/>
                <w:szCs w:val="14"/>
                <w:color w:val="auto"/>
              </w:rPr>
              <w:t>Dividends paid on common stock</w:t>
            </w:r>
          </w:p>
        </w:tc>
        <w:tc>
          <w:tcPr>
            <w:tcW w:w="360" w:type="dxa"/>
            <w:vAlign w:val="bottom"/>
            <w:shd w:val="clear" w:color="auto" w:fill="CEFFE7"/>
          </w:tcPr>
          <w:p>
            <w:pPr>
              <w:spacing w:after="0"/>
              <w:rPr>
                <w:sz w:val="16"/>
                <w:szCs w:val="16"/>
                <w:color w:val="auto"/>
              </w:rPr>
            </w:pPr>
          </w:p>
        </w:tc>
        <w:tc>
          <w:tcPr>
            <w:tcW w:w="1280" w:type="dxa"/>
            <w:vAlign w:val="bottom"/>
            <w:shd w:val="clear" w:color="auto" w:fill="CEFFE7"/>
          </w:tcPr>
          <w:p>
            <w:pPr>
              <w:jc w:val="right"/>
              <w:spacing w:after="0"/>
              <w:rPr>
                <w:sz w:val="20"/>
                <w:szCs w:val="20"/>
                <w:color w:val="auto"/>
              </w:rPr>
            </w:pPr>
            <w:r>
              <w:rPr>
                <w:rFonts w:ascii="Arial" w:cs="Arial" w:eastAsia="Arial" w:hAnsi="Arial"/>
                <w:sz w:val="14"/>
                <w:szCs w:val="14"/>
                <w:color w:val="auto"/>
              </w:rPr>
              <w:t>(35,514)</w:t>
            </w:r>
          </w:p>
        </w:tc>
        <w:tc>
          <w:tcPr>
            <w:tcW w:w="560" w:type="dxa"/>
            <w:vAlign w:val="bottom"/>
            <w:shd w:val="clear" w:color="auto" w:fill="CEFFE7"/>
          </w:tcPr>
          <w:p>
            <w:pPr>
              <w:spacing w:after="0"/>
              <w:rPr>
                <w:sz w:val="16"/>
                <w:szCs w:val="16"/>
                <w:color w:val="auto"/>
              </w:rPr>
            </w:pPr>
          </w:p>
        </w:tc>
        <w:tc>
          <w:tcPr>
            <w:tcW w:w="1080" w:type="dxa"/>
            <w:vAlign w:val="bottom"/>
            <w:shd w:val="clear" w:color="auto" w:fill="CEFFE7"/>
          </w:tcPr>
          <w:p>
            <w:pPr>
              <w:jc w:val="right"/>
              <w:spacing w:after="0"/>
              <w:rPr>
                <w:sz w:val="20"/>
                <w:szCs w:val="20"/>
                <w:color w:val="auto"/>
              </w:rPr>
            </w:pPr>
            <w:r>
              <w:rPr>
                <w:rFonts w:ascii="Arial" w:cs="Arial" w:eastAsia="Arial" w:hAnsi="Arial"/>
                <w:sz w:val="14"/>
                <w:szCs w:val="14"/>
                <w:color w:val="auto"/>
              </w:rPr>
              <w:t>(32,902)</w:t>
            </w:r>
          </w:p>
        </w:tc>
      </w:tr>
      <w:tr>
        <w:trPr>
          <w:trHeight w:val="189"/>
        </w:trPr>
        <w:tc>
          <w:tcPr>
            <w:tcW w:w="7920" w:type="dxa"/>
            <w:vAlign w:val="bottom"/>
          </w:tcPr>
          <w:p>
            <w:pPr>
              <w:ind w:left="220"/>
              <w:spacing w:after="0"/>
              <w:rPr>
                <w:sz w:val="20"/>
                <w:szCs w:val="20"/>
                <w:color w:val="auto"/>
              </w:rPr>
            </w:pPr>
            <w:r>
              <w:rPr>
                <w:rFonts w:ascii="Arial" w:cs="Arial" w:eastAsia="Arial" w:hAnsi="Arial"/>
                <w:sz w:val="14"/>
                <w:szCs w:val="14"/>
                <w:color w:val="auto"/>
              </w:rPr>
              <w:t>Common stock issued</w:t>
            </w:r>
          </w:p>
        </w:tc>
        <w:tc>
          <w:tcPr>
            <w:tcW w:w="3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99,321</w:t>
            </w:r>
          </w:p>
        </w:tc>
      </w:tr>
      <w:tr>
        <w:trPr>
          <w:trHeight w:val="189"/>
        </w:trPr>
        <w:tc>
          <w:tcPr>
            <w:tcW w:w="7920" w:type="dxa"/>
            <w:vAlign w:val="bottom"/>
            <w:shd w:val="clear" w:color="auto" w:fill="CEFFE7"/>
          </w:tcPr>
          <w:p>
            <w:pPr>
              <w:ind w:left="220"/>
              <w:spacing w:after="0"/>
              <w:rPr>
                <w:sz w:val="20"/>
                <w:szCs w:val="20"/>
                <w:color w:val="auto"/>
              </w:rPr>
            </w:pPr>
            <w:r>
              <w:rPr>
                <w:rFonts w:ascii="Arial" w:cs="Arial" w:eastAsia="Arial" w:hAnsi="Arial"/>
                <w:sz w:val="14"/>
                <w:szCs w:val="14"/>
                <w:color w:val="auto"/>
              </w:rPr>
              <w:t>Term loan - borrowings</w:t>
            </w:r>
          </w:p>
        </w:tc>
        <w:tc>
          <w:tcPr>
            <w:tcW w:w="360" w:type="dxa"/>
            <w:vAlign w:val="bottom"/>
            <w:shd w:val="clear" w:color="auto" w:fill="CEFFE7"/>
          </w:tcPr>
          <w:p>
            <w:pPr>
              <w:spacing w:after="0"/>
              <w:rPr>
                <w:sz w:val="16"/>
                <w:szCs w:val="16"/>
                <w:color w:val="auto"/>
              </w:rPr>
            </w:pPr>
          </w:p>
        </w:tc>
        <w:tc>
          <w:tcPr>
            <w:tcW w:w="1280" w:type="dxa"/>
            <w:vAlign w:val="bottom"/>
            <w:shd w:val="clear" w:color="auto" w:fill="CEFFE7"/>
          </w:tcPr>
          <w:p>
            <w:pPr>
              <w:jc w:val="right"/>
              <w:spacing w:after="0"/>
              <w:rPr>
                <w:sz w:val="20"/>
                <w:szCs w:val="20"/>
                <w:color w:val="auto"/>
              </w:rPr>
            </w:pPr>
            <w:r>
              <w:rPr>
                <w:rFonts w:ascii="Arial" w:cs="Arial" w:eastAsia="Arial" w:hAnsi="Arial"/>
                <w:sz w:val="14"/>
                <w:szCs w:val="14"/>
                <w:color w:val="auto"/>
              </w:rPr>
              <w:t>800,000</w:t>
            </w:r>
          </w:p>
        </w:tc>
        <w:tc>
          <w:tcPr>
            <w:tcW w:w="560" w:type="dxa"/>
            <w:vAlign w:val="bottom"/>
            <w:shd w:val="clear" w:color="auto" w:fill="CEFFE7"/>
          </w:tcPr>
          <w:p>
            <w:pPr>
              <w:spacing w:after="0"/>
              <w:rPr>
                <w:sz w:val="16"/>
                <w:szCs w:val="16"/>
                <w:color w:val="auto"/>
              </w:rPr>
            </w:pPr>
          </w:p>
        </w:tc>
        <w:tc>
          <w:tcPr>
            <w:tcW w:w="1080" w:type="dxa"/>
            <w:vAlign w:val="bottom"/>
            <w:shd w:val="clear" w:color="auto" w:fill="CEFFE7"/>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7920" w:type="dxa"/>
            <w:vAlign w:val="bottom"/>
          </w:tcPr>
          <w:p>
            <w:pPr>
              <w:ind w:left="220"/>
              <w:spacing w:after="0"/>
              <w:rPr>
                <w:sz w:val="20"/>
                <w:szCs w:val="20"/>
                <w:color w:val="auto"/>
              </w:rPr>
            </w:pPr>
            <w:r>
              <w:rPr>
                <w:rFonts w:ascii="Arial" w:cs="Arial" w:eastAsia="Arial" w:hAnsi="Arial"/>
                <w:sz w:val="14"/>
                <w:szCs w:val="14"/>
                <w:color w:val="auto"/>
              </w:rPr>
              <w:t>Term loan - repayments</w:t>
            </w:r>
          </w:p>
        </w:tc>
        <w:tc>
          <w:tcPr>
            <w:tcW w:w="3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(200,000)</w:t>
            </w:r>
          </w:p>
        </w:tc>
        <w:tc>
          <w:tcPr>
            <w:tcW w:w="5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7920" w:type="dxa"/>
            <w:vAlign w:val="bottom"/>
            <w:shd w:val="clear" w:color="auto" w:fill="CEFFE7"/>
          </w:tcPr>
          <w:p>
            <w:pPr>
              <w:ind w:left="220"/>
              <w:spacing w:after="0"/>
              <w:rPr>
                <w:sz w:val="20"/>
                <w:szCs w:val="20"/>
                <w:color w:val="auto"/>
              </w:rPr>
            </w:pPr>
            <w:r>
              <w:rPr>
                <w:rFonts w:ascii="Arial" w:cs="Arial" w:eastAsia="Arial" w:hAnsi="Arial"/>
                <w:sz w:val="14"/>
                <w:szCs w:val="14"/>
                <w:color w:val="auto"/>
              </w:rPr>
              <w:t>Net (payments) borrowings of Revolving Credit Facility and CP Program</w:t>
            </w:r>
          </w:p>
        </w:tc>
        <w:tc>
          <w:tcPr>
            <w:tcW w:w="360" w:type="dxa"/>
            <w:vAlign w:val="bottom"/>
            <w:shd w:val="clear" w:color="auto" w:fill="CEFFE7"/>
          </w:tcPr>
          <w:p>
            <w:pPr>
              <w:spacing w:after="0"/>
              <w:rPr>
                <w:sz w:val="16"/>
                <w:szCs w:val="16"/>
                <w:color w:val="auto"/>
              </w:rPr>
            </w:pPr>
          </w:p>
        </w:tc>
        <w:tc>
          <w:tcPr>
            <w:tcW w:w="1280" w:type="dxa"/>
            <w:vAlign w:val="bottom"/>
            <w:shd w:val="clear" w:color="auto" w:fill="CEFFE7"/>
          </w:tcPr>
          <w:p>
            <w:pPr>
              <w:jc w:val="right"/>
              <w:spacing w:after="0"/>
              <w:rPr>
                <w:sz w:val="20"/>
                <w:szCs w:val="20"/>
                <w:color w:val="auto"/>
              </w:rPr>
            </w:pPr>
            <w:r>
              <w:rPr>
                <w:rFonts w:ascii="Arial" w:cs="Arial" w:eastAsia="Arial" w:hAnsi="Arial"/>
                <w:sz w:val="14"/>
                <w:szCs w:val="14"/>
                <w:color w:val="auto"/>
              </w:rPr>
              <w:t>(18,170)</w:t>
            </w:r>
          </w:p>
        </w:tc>
        <w:tc>
          <w:tcPr>
            <w:tcW w:w="560" w:type="dxa"/>
            <w:vAlign w:val="bottom"/>
            <w:shd w:val="clear" w:color="auto" w:fill="CEFFE7"/>
          </w:tcPr>
          <w:p>
            <w:pPr>
              <w:spacing w:after="0"/>
              <w:rPr>
                <w:sz w:val="16"/>
                <w:szCs w:val="16"/>
                <w:color w:val="auto"/>
              </w:rPr>
            </w:pPr>
          </w:p>
        </w:tc>
        <w:tc>
          <w:tcPr>
            <w:tcW w:w="1080" w:type="dxa"/>
            <w:vAlign w:val="bottom"/>
            <w:shd w:val="clear" w:color="auto" w:fill="CEFFE7"/>
          </w:tcPr>
          <w:p>
            <w:pPr>
              <w:jc w:val="right"/>
              <w:spacing w:after="0"/>
              <w:rPr>
                <w:sz w:val="20"/>
                <w:szCs w:val="20"/>
                <w:color w:val="auto"/>
              </w:rPr>
            </w:pPr>
            <w:r>
              <w:rPr>
                <w:rFonts w:ascii="Arial" w:cs="Arial" w:eastAsia="Arial" w:hAnsi="Arial"/>
                <w:sz w:val="14"/>
                <w:szCs w:val="14"/>
                <w:color w:val="auto"/>
              </w:rPr>
              <w:t>(30,375)</w:t>
            </w:r>
          </w:p>
        </w:tc>
      </w:tr>
      <w:tr>
        <w:trPr>
          <w:trHeight w:val="189"/>
        </w:trPr>
        <w:tc>
          <w:tcPr>
            <w:tcW w:w="7920" w:type="dxa"/>
            <w:vAlign w:val="bottom"/>
          </w:tcPr>
          <w:p>
            <w:pPr>
              <w:ind w:left="220"/>
              <w:spacing w:after="0"/>
              <w:rPr>
                <w:sz w:val="20"/>
                <w:szCs w:val="20"/>
                <w:color w:val="auto"/>
              </w:rPr>
            </w:pPr>
            <w:r>
              <w:rPr>
                <w:rFonts w:ascii="Arial" w:cs="Arial" w:eastAsia="Arial" w:hAnsi="Arial"/>
                <w:sz w:val="14"/>
                <w:szCs w:val="14"/>
                <w:color w:val="auto"/>
              </w:rPr>
              <w:t>Long-term debt - repayments</w:t>
            </w:r>
          </w:p>
        </w:tc>
        <w:tc>
          <w:tcPr>
            <w:tcW w:w="3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(1,436)</w:t>
            </w:r>
          </w:p>
        </w:tc>
        <w:tc>
          <w:tcPr>
            <w:tcW w:w="5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(4,291)</w:t>
            </w:r>
          </w:p>
        </w:tc>
      </w:tr>
      <w:tr>
        <w:trPr>
          <w:trHeight w:val="189"/>
        </w:trPr>
        <w:tc>
          <w:tcPr>
            <w:tcW w:w="7920" w:type="dxa"/>
            <w:vAlign w:val="bottom"/>
            <w:shd w:val="clear" w:color="auto" w:fill="CEFFE7"/>
          </w:tcPr>
          <w:p>
            <w:pPr>
              <w:ind w:left="220"/>
              <w:spacing w:after="0"/>
              <w:rPr>
                <w:sz w:val="20"/>
                <w:szCs w:val="20"/>
                <w:color w:val="auto"/>
              </w:rPr>
            </w:pPr>
            <w:r>
              <w:rPr>
                <w:rFonts w:ascii="Arial" w:cs="Arial" w:eastAsia="Arial" w:hAnsi="Arial"/>
                <w:sz w:val="14"/>
                <w:szCs w:val="14"/>
                <w:color w:val="auto"/>
              </w:rPr>
              <w:t>Distributions to noncontrolling interest</w:t>
            </w:r>
          </w:p>
        </w:tc>
        <w:tc>
          <w:tcPr>
            <w:tcW w:w="360" w:type="dxa"/>
            <w:vAlign w:val="bottom"/>
            <w:shd w:val="clear" w:color="auto" w:fill="CEFFE7"/>
          </w:tcPr>
          <w:p>
            <w:pPr>
              <w:spacing w:after="0"/>
              <w:rPr>
                <w:sz w:val="16"/>
                <w:szCs w:val="16"/>
                <w:color w:val="auto"/>
              </w:rPr>
            </w:pPr>
          </w:p>
        </w:tc>
        <w:tc>
          <w:tcPr>
            <w:tcW w:w="1280" w:type="dxa"/>
            <w:vAlign w:val="bottom"/>
            <w:shd w:val="clear" w:color="auto" w:fill="CEFFE7"/>
          </w:tcPr>
          <w:p>
            <w:pPr>
              <w:jc w:val="right"/>
              <w:spacing w:after="0"/>
              <w:rPr>
                <w:sz w:val="20"/>
                <w:szCs w:val="20"/>
                <w:color w:val="auto"/>
              </w:rPr>
            </w:pPr>
            <w:r>
              <w:rPr>
                <w:rFonts w:ascii="Arial" w:cs="Arial" w:eastAsia="Arial" w:hAnsi="Arial"/>
                <w:sz w:val="14"/>
                <w:szCs w:val="14"/>
                <w:color w:val="auto"/>
              </w:rPr>
              <w:t>(4,644)</w:t>
            </w:r>
          </w:p>
        </w:tc>
        <w:tc>
          <w:tcPr>
            <w:tcW w:w="560" w:type="dxa"/>
            <w:vAlign w:val="bottom"/>
            <w:shd w:val="clear" w:color="auto" w:fill="CEFFE7"/>
          </w:tcPr>
          <w:p>
            <w:pPr>
              <w:spacing w:after="0"/>
              <w:rPr>
                <w:sz w:val="16"/>
                <w:szCs w:val="16"/>
                <w:color w:val="auto"/>
              </w:rPr>
            </w:pPr>
          </w:p>
        </w:tc>
        <w:tc>
          <w:tcPr>
            <w:tcW w:w="1080" w:type="dxa"/>
            <w:vAlign w:val="bottom"/>
            <w:shd w:val="clear" w:color="auto" w:fill="CEFFE7"/>
          </w:tcPr>
          <w:p>
            <w:pPr>
              <w:jc w:val="right"/>
              <w:spacing w:after="0"/>
              <w:rPr>
                <w:sz w:val="20"/>
                <w:szCs w:val="20"/>
                <w:color w:val="auto"/>
              </w:rPr>
            </w:pPr>
            <w:r>
              <w:rPr>
                <w:rFonts w:ascii="Arial" w:cs="Arial" w:eastAsia="Arial" w:hAnsi="Arial"/>
                <w:sz w:val="14"/>
                <w:szCs w:val="14"/>
                <w:color w:val="auto"/>
              </w:rPr>
              <w:t>(4,741)</w:t>
            </w:r>
          </w:p>
        </w:tc>
      </w:tr>
      <w:tr>
        <w:trPr>
          <w:trHeight w:val="189"/>
        </w:trPr>
        <w:tc>
          <w:tcPr>
            <w:tcW w:w="7920" w:type="dxa"/>
            <w:vAlign w:val="bottom"/>
            <w:tcBorders>
              <w:bottom w:val="single" w:sz="8" w:color="CEFFE7"/>
            </w:tcBorders>
          </w:tcPr>
          <w:p>
            <w:pPr>
              <w:ind w:left="220"/>
              <w:spacing w:after="0"/>
              <w:rPr>
                <w:sz w:val="20"/>
                <w:szCs w:val="20"/>
                <w:color w:val="auto"/>
              </w:rPr>
            </w:pPr>
            <w:r>
              <w:rPr>
                <w:rFonts w:ascii="Arial" w:cs="Arial" w:eastAsia="Arial" w:hAnsi="Arial"/>
                <w:sz w:val="14"/>
                <w:szCs w:val="14"/>
                <w:color w:val="auto"/>
              </w:rPr>
              <w:t>Other financing activities</w:t>
            </w:r>
          </w:p>
        </w:tc>
        <w:tc>
          <w:tcPr>
            <w:tcW w:w="3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(740)</w:t>
            </w:r>
          </w:p>
        </w:tc>
        <w:tc>
          <w:tcPr>
            <w:tcW w:w="5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(1,391)</w:t>
            </w:r>
          </w:p>
        </w:tc>
      </w:tr>
      <w:tr>
        <w:trPr>
          <w:trHeight w:val="183"/>
        </w:trPr>
        <w:tc>
          <w:tcPr>
            <w:tcW w:w="7920" w:type="dxa"/>
            <w:vAlign w:val="bottom"/>
            <w:shd w:val="clear" w:color="auto" w:fill="CEFFE7"/>
          </w:tcPr>
          <w:p>
            <w:pPr>
              <w:ind w:left="20"/>
              <w:spacing w:after="0"/>
              <w:rPr>
                <w:sz w:val="20"/>
                <w:szCs w:val="20"/>
                <w:color w:val="auto"/>
              </w:rPr>
            </w:pPr>
            <w:r>
              <w:rPr>
                <w:rFonts w:ascii="Arial" w:cs="Arial" w:eastAsia="Arial" w:hAnsi="Arial"/>
                <w:sz w:val="14"/>
                <w:szCs w:val="14"/>
                <w:color w:val="auto"/>
              </w:rPr>
              <w:t>Net cash provided by financing activities</w:t>
            </w:r>
          </w:p>
        </w:tc>
        <w:tc>
          <w:tcPr>
            <w:tcW w:w="360" w:type="dxa"/>
            <w:vAlign w:val="bottom"/>
            <w:tcBorders>
              <w:bottom w:val="single" w:sz="8" w:color="auto"/>
            </w:tcBorders>
            <w:shd w:val="clear" w:color="auto" w:fill="CEFFE7"/>
          </w:tcPr>
          <w:p>
            <w:pPr>
              <w:spacing w:after="0"/>
              <w:rPr>
                <w:sz w:val="15"/>
                <w:szCs w:val="15"/>
                <w:color w:val="auto"/>
              </w:rPr>
            </w:pPr>
          </w:p>
        </w:tc>
        <w:tc>
          <w:tcPr>
            <w:tcW w:w="12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539,496</w:t>
            </w:r>
          </w:p>
        </w:tc>
        <w:tc>
          <w:tcPr>
            <w:tcW w:w="560" w:type="dxa"/>
            <w:vAlign w:val="bottom"/>
            <w:tcBorders>
              <w:bottom w:val="single" w:sz="8" w:color="auto"/>
            </w:tcBorders>
            <w:shd w:val="clear" w:color="auto" w:fill="CEFFE7"/>
          </w:tcPr>
          <w:p>
            <w:pPr>
              <w:spacing w:after="0"/>
              <w:rPr>
                <w:sz w:val="15"/>
                <w:szCs w:val="15"/>
                <w:color w:val="auto"/>
              </w:rPr>
            </w:pPr>
          </w:p>
        </w:tc>
        <w:tc>
          <w:tcPr>
            <w:tcW w:w="10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25,621</w:t>
            </w:r>
          </w:p>
        </w:tc>
      </w:tr>
      <w:tr>
        <w:trPr>
          <w:trHeight w:val="196"/>
        </w:trPr>
        <w:tc>
          <w:tcPr>
            <w:tcW w:w="79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189"/>
        </w:trPr>
        <w:tc>
          <w:tcPr>
            <w:tcW w:w="7920" w:type="dxa"/>
            <w:vAlign w:val="bottom"/>
            <w:shd w:val="clear" w:color="auto" w:fill="CEFFE7"/>
          </w:tcPr>
          <w:p>
            <w:pPr>
              <w:ind w:left="220"/>
              <w:spacing w:after="0"/>
              <w:rPr>
                <w:sz w:val="20"/>
                <w:szCs w:val="20"/>
                <w:color w:val="auto"/>
              </w:rPr>
            </w:pPr>
            <w:r>
              <w:rPr>
                <w:rFonts w:ascii="Arial" w:cs="Arial" w:eastAsia="Arial" w:hAnsi="Arial"/>
                <w:sz w:val="14"/>
                <w:szCs w:val="14"/>
                <w:color w:val="auto"/>
              </w:rPr>
              <w:t>Net change in cash, restricted cash and cash equivalents</w:t>
            </w:r>
          </w:p>
        </w:tc>
        <w:tc>
          <w:tcPr>
            <w:tcW w:w="360" w:type="dxa"/>
            <w:vAlign w:val="bottom"/>
            <w:shd w:val="clear" w:color="auto" w:fill="CEFFE7"/>
          </w:tcPr>
          <w:p>
            <w:pPr>
              <w:spacing w:after="0"/>
              <w:rPr>
                <w:sz w:val="16"/>
                <w:szCs w:val="16"/>
                <w:color w:val="auto"/>
              </w:rPr>
            </w:pPr>
          </w:p>
        </w:tc>
        <w:tc>
          <w:tcPr>
            <w:tcW w:w="1280" w:type="dxa"/>
            <w:vAlign w:val="bottom"/>
            <w:shd w:val="clear" w:color="auto" w:fill="CEFFE7"/>
          </w:tcPr>
          <w:p>
            <w:pPr>
              <w:jc w:val="right"/>
              <w:spacing w:after="0"/>
              <w:rPr>
                <w:sz w:val="20"/>
                <w:szCs w:val="20"/>
                <w:color w:val="auto"/>
              </w:rPr>
            </w:pPr>
            <w:r>
              <w:rPr>
                <w:rFonts w:ascii="Arial" w:cs="Arial" w:eastAsia="Arial" w:hAnsi="Arial"/>
                <w:sz w:val="14"/>
                <w:szCs w:val="14"/>
                <w:color w:val="auto"/>
              </w:rPr>
              <w:t>7,186</w:t>
            </w:r>
          </w:p>
        </w:tc>
        <w:tc>
          <w:tcPr>
            <w:tcW w:w="560" w:type="dxa"/>
            <w:vAlign w:val="bottom"/>
            <w:shd w:val="clear" w:color="auto" w:fill="CEFFE7"/>
          </w:tcPr>
          <w:p>
            <w:pPr>
              <w:spacing w:after="0"/>
              <w:rPr>
                <w:sz w:val="16"/>
                <w:szCs w:val="16"/>
                <w:color w:val="auto"/>
              </w:rPr>
            </w:pPr>
          </w:p>
        </w:tc>
        <w:tc>
          <w:tcPr>
            <w:tcW w:w="1080" w:type="dxa"/>
            <w:vAlign w:val="bottom"/>
            <w:shd w:val="clear" w:color="auto" w:fill="CEFFE7"/>
          </w:tcPr>
          <w:p>
            <w:pPr>
              <w:jc w:val="right"/>
              <w:spacing w:after="0"/>
              <w:rPr>
                <w:sz w:val="20"/>
                <w:szCs w:val="20"/>
                <w:color w:val="auto"/>
              </w:rPr>
            </w:pPr>
            <w:r>
              <w:rPr>
                <w:rFonts w:ascii="Arial" w:cs="Arial" w:eastAsia="Arial" w:hAnsi="Arial"/>
                <w:sz w:val="14"/>
                <w:szCs w:val="14"/>
                <w:color w:val="auto"/>
              </w:rPr>
              <w:t>44,506</w:t>
            </w:r>
          </w:p>
        </w:tc>
      </w:tr>
      <w:tr>
        <w:trPr>
          <w:trHeight w:val="216"/>
        </w:trPr>
        <w:tc>
          <w:tcPr>
            <w:tcW w:w="7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189"/>
        </w:trPr>
        <w:tc>
          <w:tcPr>
            <w:tcW w:w="7920" w:type="dxa"/>
            <w:vAlign w:val="bottom"/>
            <w:shd w:val="clear" w:color="auto" w:fill="CEFFE7"/>
          </w:tcPr>
          <w:p>
            <w:pPr>
              <w:ind w:left="20"/>
              <w:spacing w:after="0"/>
              <w:rPr>
                <w:sz w:val="20"/>
                <w:szCs w:val="20"/>
                <w:color w:val="auto"/>
              </w:rPr>
            </w:pPr>
            <w:r>
              <w:rPr>
                <w:rFonts w:ascii="Arial" w:cs="Arial" w:eastAsia="Arial" w:hAnsi="Arial"/>
                <w:sz w:val="14"/>
                <w:szCs w:val="14"/>
                <w:color w:val="auto"/>
              </w:rPr>
              <w:t>Cash, restricted cash and cash equivalents at beginning of period</w:t>
            </w:r>
          </w:p>
        </w:tc>
        <w:tc>
          <w:tcPr>
            <w:tcW w:w="360" w:type="dxa"/>
            <w:vAlign w:val="bottom"/>
            <w:tcBorders>
              <w:bottom w:val="single" w:sz="8" w:color="auto"/>
            </w:tcBorders>
            <w:shd w:val="clear" w:color="auto" w:fill="CEFFE7"/>
          </w:tcPr>
          <w:p>
            <w:pPr>
              <w:spacing w:after="0"/>
              <w:rPr>
                <w:sz w:val="16"/>
                <w:szCs w:val="16"/>
                <w:color w:val="auto"/>
              </w:rPr>
            </w:pPr>
          </w:p>
        </w:tc>
        <w:tc>
          <w:tcPr>
            <w:tcW w:w="12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10,739</w:t>
            </w:r>
          </w:p>
        </w:tc>
        <w:tc>
          <w:tcPr>
            <w:tcW w:w="560" w:type="dxa"/>
            <w:vAlign w:val="bottom"/>
            <w:tcBorders>
              <w:bottom w:val="single" w:sz="8" w:color="auto"/>
            </w:tcBorders>
            <w:shd w:val="clear" w:color="auto" w:fill="CEFFE7"/>
          </w:tcPr>
          <w:p>
            <w:pPr>
              <w:spacing w:after="0"/>
              <w:rPr>
                <w:sz w:val="16"/>
                <w:szCs w:val="16"/>
                <w:color w:val="auto"/>
              </w:rPr>
            </w:pPr>
          </w:p>
        </w:tc>
        <w:tc>
          <w:tcPr>
            <w:tcW w:w="10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13,658</w:t>
            </w:r>
          </w:p>
        </w:tc>
      </w:tr>
      <w:tr>
        <w:trPr>
          <w:trHeight w:val="183"/>
        </w:trPr>
        <w:tc>
          <w:tcPr>
            <w:tcW w:w="7920" w:type="dxa"/>
            <w:vAlign w:val="bottom"/>
          </w:tcPr>
          <w:p>
            <w:pPr>
              <w:ind w:left="20"/>
              <w:spacing w:after="0"/>
              <w:rPr>
                <w:sz w:val="20"/>
                <w:szCs w:val="20"/>
                <w:color w:val="auto"/>
              </w:rPr>
            </w:pPr>
            <w:r>
              <w:rPr>
                <w:rFonts w:ascii="Arial" w:cs="Arial" w:eastAsia="Arial" w:hAnsi="Arial"/>
                <w:sz w:val="14"/>
                <w:szCs w:val="14"/>
                <w:color w:val="auto"/>
              </w:rPr>
              <w:t>Cash, restricted cash and cash equivalents at end of period</w:t>
            </w: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17,925</w:t>
            </w:r>
          </w:p>
        </w:tc>
        <w:tc>
          <w:tcPr>
            <w:tcW w:w="5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58,164</w:t>
            </w:r>
          </w:p>
        </w:tc>
      </w:tr>
      <w:tr>
        <w:trPr>
          <w:trHeight w:val="20"/>
        </w:trPr>
        <w:tc>
          <w:tcPr>
            <w:tcW w:w="7920" w:type="dxa"/>
            <w:vAlign w:val="bottom"/>
            <w:tcBorders>
              <w:bottom w:val="single" w:sz="8" w:color="CEFFE7"/>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83"/>
        </w:trPr>
        <w:tc>
          <w:tcPr>
            <w:tcW w:w="7920" w:type="dxa"/>
            <w:vAlign w:val="bottom"/>
            <w:shd w:val="clear" w:color="auto" w:fill="CEFFE7"/>
          </w:tcPr>
          <w:p>
            <w:pPr>
              <w:spacing w:after="0"/>
              <w:rPr>
                <w:sz w:val="15"/>
                <w:szCs w:val="15"/>
                <w:color w:val="auto"/>
              </w:rPr>
            </w:pPr>
          </w:p>
        </w:tc>
        <w:tc>
          <w:tcPr>
            <w:tcW w:w="360" w:type="dxa"/>
            <w:vAlign w:val="bottom"/>
            <w:shd w:val="clear" w:color="auto" w:fill="CEFFE7"/>
          </w:tcPr>
          <w:p>
            <w:pPr>
              <w:spacing w:after="0"/>
              <w:rPr>
                <w:sz w:val="15"/>
                <w:szCs w:val="15"/>
                <w:color w:val="auto"/>
              </w:rPr>
            </w:pPr>
          </w:p>
        </w:tc>
        <w:tc>
          <w:tcPr>
            <w:tcW w:w="1280" w:type="dxa"/>
            <w:vAlign w:val="bottom"/>
            <w:shd w:val="clear" w:color="auto" w:fill="CEFFE7"/>
          </w:tcPr>
          <w:p>
            <w:pPr>
              <w:spacing w:after="0"/>
              <w:rPr>
                <w:sz w:val="15"/>
                <w:szCs w:val="15"/>
                <w:color w:val="auto"/>
              </w:rPr>
            </w:pPr>
          </w:p>
        </w:tc>
        <w:tc>
          <w:tcPr>
            <w:tcW w:w="560" w:type="dxa"/>
            <w:vAlign w:val="bottom"/>
            <w:shd w:val="clear" w:color="auto" w:fill="CEFFE7"/>
          </w:tcPr>
          <w:p>
            <w:pPr>
              <w:spacing w:after="0"/>
              <w:rPr>
                <w:sz w:val="15"/>
                <w:szCs w:val="15"/>
                <w:color w:val="auto"/>
              </w:rPr>
            </w:pPr>
          </w:p>
        </w:tc>
        <w:tc>
          <w:tcPr>
            <w:tcW w:w="1080" w:type="dxa"/>
            <w:vAlign w:val="bottom"/>
            <w:shd w:val="clear" w:color="auto" w:fill="CEFFE7"/>
          </w:tcPr>
          <w:p>
            <w:pPr>
              <w:spacing w:after="0"/>
              <w:rPr>
                <w:sz w:val="15"/>
                <w:szCs w:val="15"/>
                <w:color w:val="auto"/>
              </w:rPr>
            </w:pPr>
          </w:p>
        </w:tc>
      </w:tr>
      <w:tr>
        <w:trPr>
          <w:trHeight w:val="189"/>
        </w:trPr>
        <w:tc>
          <w:tcPr>
            <w:tcW w:w="7920" w:type="dxa"/>
            <w:vAlign w:val="bottom"/>
          </w:tcPr>
          <w:p>
            <w:pPr>
              <w:ind w:left="20"/>
              <w:spacing w:after="0"/>
              <w:rPr>
                <w:sz w:val="20"/>
                <w:szCs w:val="20"/>
                <w:color w:val="auto"/>
              </w:rPr>
            </w:pPr>
            <w:r>
              <w:rPr>
                <w:rFonts w:ascii="Arial" w:cs="Arial" w:eastAsia="Arial" w:hAnsi="Arial"/>
                <w:sz w:val="14"/>
                <w:szCs w:val="14"/>
                <w:color w:val="auto"/>
              </w:rPr>
              <w:t>Supplemental cash flow information:</w:t>
            </w:r>
          </w:p>
        </w:tc>
        <w:tc>
          <w:tcPr>
            <w:tcW w:w="3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89"/>
        </w:trPr>
        <w:tc>
          <w:tcPr>
            <w:tcW w:w="7920" w:type="dxa"/>
            <w:vAlign w:val="bottom"/>
            <w:shd w:val="clear" w:color="auto" w:fill="CEFFE7"/>
          </w:tcPr>
          <w:p>
            <w:pPr>
              <w:ind w:left="140"/>
              <w:spacing w:after="0"/>
              <w:rPr>
                <w:sz w:val="20"/>
                <w:szCs w:val="20"/>
                <w:color w:val="auto"/>
              </w:rPr>
            </w:pPr>
            <w:r>
              <w:rPr>
                <w:rFonts w:ascii="Arial" w:cs="Arial" w:eastAsia="Arial" w:hAnsi="Arial"/>
                <w:sz w:val="14"/>
                <w:szCs w:val="14"/>
                <w:color w:val="auto"/>
              </w:rPr>
              <w:t>Cash (paid) refunded during the period:</w:t>
            </w:r>
          </w:p>
        </w:tc>
        <w:tc>
          <w:tcPr>
            <w:tcW w:w="360" w:type="dxa"/>
            <w:vAlign w:val="bottom"/>
            <w:shd w:val="clear" w:color="auto" w:fill="CEFFE7"/>
          </w:tcPr>
          <w:p>
            <w:pPr>
              <w:spacing w:after="0"/>
              <w:rPr>
                <w:sz w:val="16"/>
                <w:szCs w:val="16"/>
                <w:color w:val="auto"/>
              </w:rPr>
            </w:pPr>
          </w:p>
        </w:tc>
        <w:tc>
          <w:tcPr>
            <w:tcW w:w="1280" w:type="dxa"/>
            <w:vAlign w:val="bottom"/>
            <w:shd w:val="clear" w:color="auto" w:fill="CEFFE7"/>
          </w:tcPr>
          <w:p>
            <w:pPr>
              <w:spacing w:after="0"/>
              <w:rPr>
                <w:sz w:val="16"/>
                <w:szCs w:val="16"/>
                <w:color w:val="auto"/>
              </w:rPr>
            </w:pPr>
          </w:p>
        </w:tc>
        <w:tc>
          <w:tcPr>
            <w:tcW w:w="560" w:type="dxa"/>
            <w:vAlign w:val="bottom"/>
            <w:shd w:val="clear" w:color="auto" w:fill="CEFFE7"/>
          </w:tcPr>
          <w:p>
            <w:pPr>
              <w:spacing w:after="0"/>
              <w:rPr>
                <w:sz w:val="16"/>
                <w:szCs w:val="16"/>
                <w:color w:val="auto"/>
              </w:rPr>
            </w:pPr>
          </w:p>
        </w:tc>
        <w:tc>
          <w:tcPr>
            <w:tcW w:w="1080" w:type="dxa"/>
            <w:vAlign w:val="bottom"/>
            <w:shd w:val="clear" w:color="auto" w:fill="CEFFE7"/>
          </w:tcPr>
          <w:p>
            <w:pPr>
              <w:spacing w:after="0"/>
              <w:rPr>
                <w:sz w:val="16"/>
                <w:szCs w:val="16"/>
                <w:color w:val="auto"/>
              </w:rPr>
            </w:pPr>
          </w:p>
        </w:tc>
      </w:tr>
      <w:tr>
        <w:trPr>
          <w:trHeight w:val="189"/>
        </w:trPr>
        <w:tc>
          <w:tcPr>
            <w:tcW w:w="7920" w:type="dxa"/>
            <w:vAlign w:val="bottom"/>
          </w:tcPr>
          <w:p>
            <w:pPr>
              <w:ind w:left="220"/>
              <w:spacing w:after="0"/>
              <w:rPr>
                <w:sz w:val="20"/>
                <w:szCs w:val="20"/>
                <w:color w:val="auto"/>
              </w:rPr>
            </w:pPr>
            <w:r>
              <w:rPr>
                <w:rFonts w:ascii="Arial" w:cs="Arial" w:eastAsia="Arial" w:hAnsi="Arial"/>
                <w:sz w:val="14"/>
                <w:szCs w:val="14"/>
                <w:color w:val="auto"/>
              </w:rPr>
              <w:t>Interest, net of amounts capitalized</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(21,232)</w:t>
            </w:r>
          </w:p>
        </w:tc>
        <w:tc>
          <w:tcPr>
            <w:tcW w:w="56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(21,776)</w:t>
            </w:r>
          </w:p>
        </w:tc>
      </w:tr>
      <w:tr>
        <w:trPr>
          <w:trHeight w:val="189"/>
        </w:trPr>
        <w:tc>
          <w:tcPr>
            <w:tcW w:w="7920" w:type="dxa"/>
            <w:vAlign w:val="bottom"/>
            <w:shd w:val="clear" w:color="auto" w:fill="CEFFE7"/>
          </w:tcPr>
          <w:p>
            <w:pPr>
              <w:ind w:left="220"/>
              <w:spacing w:after="0"/>
              <w:rPr>
                <w:sz w:val="20"/>
                <w:szCs w:val="20"/>
                <w:color w:val="auto"/>
              </w:rPr>
            </w:pPr>
            <w:r>
              <w:rPr>
                <w:rFonts w:ascii="Arial" w:cs="Arial" w:eastAsia="Arial" w:hAnsi="Arial"/>
                <w:sz w:val="14"/>
                <w:szCs w:val="14"/>
                <w:color w:val="auto"/>
              </w:rPr>
              <w:t>Income taxes</w:t>
            </w:r>
          </w:p>
        </w:tc>
        <w:tc>
          <w:tcPr>
            <w:tcW w:w="360" w:type="dxa"/>
            <w:vAlign w:val="bottom"/>
            <w:shd w:val="clear" w:color="auto" w:fill="CEFFE7"/>
          </w:tcPr>
          <w:p>
            <w:pPr>
              <w:spacing w:after="0"/>
              <w:rPr>
                <w:sz w:val="16"/>
                <w:szCs w:val="16"/>
                <w:color w:val="auto"/>
              </w:rPr>
            </w:pPr>
          </w:p>
        </w:tc>
        <w:tc>
          <w:tcPr>
            <w:tcW w:w="1280" w:type="dxa"/>
            <w:vAlign w:val="bottom"/>
            <w:shd w:val="clear" w:color="auto" w:fill="CEFFE7"/>
          </w:tcPr>
          <w:p>
            <w:pPr>
              <w:jc w:val="right"/>
              <w:spacing w:after="0"/>
              <w:rPr>
                <w:sz w:val="20"/>
                <w:szCs w:val="20"/>
                <w:color w:val="auto"/>
              </w:rPr>
            </w:pPr>
            <w:r>
              <w:rPr>
                <w:rFonts w:ascii="Arial" w:cs="Arial" w:eastAsia="Arial" w:hAnsi="Arial"/>
                <w:sz w:val="14"/>
                <w:szCs w:val="14"/>
                <w:color w:val="auto"/>
              </w:rPr>
              <w:t>990</w:t>
            </w:r>
          </w:p>
        </w:tc>
        <w:tc>
          <w:tcPr>
            <w:tcW w:w="560" w:type="dxa"/>
            <w:vAlign w:val="bottom"/>
            <w:shd w:val="clear" w:color="auto" w:fill="CEFFE7"/>
          </w:tcPr>
          <w:p>
            <w:pPr>
              <w:spacing w:after="0"/>
              <w:rPr>
                <w:sz w:val="16"/>
                <w:szCs w:val="16"/>
                <w:color w:val="auto"/>
              </w:rPr>
            </w:pPr>
          </w:p>
        </w:tc>
        <w:tc>
          <w:tcPr>
            <w:tcW w:w="1080" w:type="dxa"/>
            <w:vAlign w:val="bottom"/>
            <w:shd w:val="clear" w:color="auto" w:fill="CEFFE7"/>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7920" w:type="dxa"/>
            <w:vAlign w:val="bottom"/>
          </w:tcPr>
          <w:p>
            <w:pPr>
              <w:ind w:left="140"/>
              <w:spacing w:after="0"/>
              <w:rPr>
                <w:sz w:val="20"/>
                <w:szCs w:val="20"/>
                <w:color w:val="auto"/>
              </w:rPr>
            </w:pPr>
            <w:r>
              <w:rPr>
                <w:rFonts w:ascii="Arial" w:cs="Arial" w:eastAsia="Arial" w:hAnsi="Arial"/>
                <w:sz w:val="14"/>
                <w:szCs w:val="14"/>
                <w:color w:val="auto"/>
              </w:rPr>
              <w:t>Non-cash investing and financing activities:</w:t>
            </w:r>
          </w:p>
        </w:tc>
        <w:tc>
          <w:tcPr>
            <w:tcW w:w="3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89"/>
        </w:trPr>
        <w:tc>
          <w:tcPr>
            <w:tcW w:w="7920" w:type="dxa"/>
            <w:vAlign w:val="bottom"/>
            <w:shd w:val="clear" w:color="auto" w:fill="CEFFE7"/>
          </w:tcPr>
          <w:p>
            <w:pPr>
              <w:ind w:left="220"/>
              <w:spacing w:after="0"/>
              <w:rPr>
                <w:sz w:val="20"/>
                <w:szCs w:val="20"/>
                <w:color w:val="auto"/>
              </w:rPr>
            </w:pPr>
            <w:r>
              <w:rPr>
                <w:rFonts w:ascii="Arial" w:cs="Arial" w:eastAsia="Arial" w:hAnsi="Arial"/>
                <w:sz w:val="14"/>
                <w:szCs w:val="14"/>
                <w:color w:val="auto"/>
              </w:rPr>
              <w:t>Accrued property, plant and equipment purchases at March 31</w:t>
            </w:r>
          </w:p>
        </w:tc>
        <w:tc>
          <w:tcPr>
            <w:tcW w:w="360" w:type="dxa"/>
            <w:vAlign w:val="bottom"/>
            <w:shd w:val="clear" w:color="auto" w:fill="CEFFE7"/>
          </w:tcPr>
          <w:p>
            <w:pPr>
              <w:spacing w:after="0"/>
              <w:rPr>
                <w:sz w:val="16"/>
                <w:szCs w:val="16"/>
                <w:color w:val="auto"/>
              </w:rPr>
            </w:pPr>
          </w:p>
        </w:tc>
        <w:tc>
          <w:tcPr>
            <w:tcW w:w="1280" w:type="dxa"/>
            <w:vAlign w:val="bottom"/>
            <w:shd w:val="clear" w:color="auto" w:fill="CEFFE7"/>
          </w:tcPr>
          <w:p>
            <w:pPr>
              <w:jc w:val="right"/>
              <w:spacing w:after="0"/>
              <w:rPr>
                <w:sz w:val="20"/>
                <w:szCs w:val="20"/>
                <w:color w:val="auto"/>
              </w:rPr>
            </w:pPr>
            <w:r>
              <w:rPr>
                <w:rFonts w:ascii="Arial" w:cs="Arial" w:eastAsia="Arial" w:hAnsi="Arial"/>
                <w:sz w:val="14"/>
                <w:szCs w:val="14"/>
                <w:color w:val="auto"/>
              </w:rPr>
              <w:t>51,914</w:t>
            </w:r>
          </w:p>
        </w:tc>
        <w:tc>
          <w:tcPr>
            <w:tcW w:w="560" w:type="dxa"/>
            <w:vAlign w:val="bottom"/>
            <w:shd w:val="clear" w:color="auto" w:fill="CEFFE7"/>
          </w:tcPr>
          <w:p>
            <w:pPr>
              <w:spacing w:after="0"/>
              <w:rPr>
                <w:sz w:val="16"/>
                <w:szCs w:val="16"/>
                <w:color w:val="auto"/>
              </w:rPr>
            </w:pPr>
          </w:p>
        </w:tc>
        <w:tc>
          <w:tcPr>
            <w:tcW w:w="1080" w:type="dxa"/>
            <w:vAlign w:val="bottom"/>
            <w:shd w:val="clear" w:color="auto" w:fill="CEFFE7"/>
          </w:tcPr>
          <w:p>
            <w:pPr>
              <w:jc w:val="right"/>
              <w:spacing w:after="0"/>
              <w:rPr>
                <w:sz w:val="20"/>
                <w:szCs w:val="20"/>
                <w:color w:val="auto"/>
              </w:rPr>
            </w:pPr>
            <w:r>
              <w:rPr>
                <w:rFonts w:ascii="Arial" w:cs="Arial" w:eastAsia="Arial" w:hAnsi="Arial"/>
                <w:sz w:val="14"/>
                <w:szCs w:val="14"/>
                <w:color w:val="auto"/>
              </w:rPr>
              <w:t>53,011</w:t>
            </w:r>
          </w:p>
        </w:tc>
      </w:tr>
    </w:tbl>
    <w:p>
      <w:pPr>
        <w:spacing w:after="0" w:line="315" w:lineRule="exact"/>
        <w:rPr>
          <w:sz w:val="20"/>
          <w:szCs w:val="20"/>
          <w:color w:val="auto"/>
        </w:rPr>
      </w:pPr>
    </w:p>
    <w:p>
      <w:pPr>
        <w:jc w:val="center"/>
        <w:ind w:right="-19"/>
        <w:spacing w:after="0"/>
        <w:rPr>
          <w:rFonts w:ascii="Arial" w:cs="Arial" w:eastAsia="Arial" w:hAnsi="Arial"/>
          <w:sz w:val="14"/>
          <w:szCs w:val="14"/>
          <w:color w:val="auto"/>
        </w:rPr>
      </w:pPr>
      <w:r>
        <w:rPr>
          <w:rFonts w:ascii="Arial" w:cs="Arial" w:eastAsia="Arial" w:hAnsi="Arial"/>
          <w:sz w:val="14"/>
          <w:szCs w:val="14"/>
          <w:color w:val="auto"/>
        </w:rPr>
        <w:t xml:space="preserve">The accompanying </w:t>
      </w:r>
      <w:hyperlink w:anchor="page13">
        <w:r>
          <w:rPr>
            <w:rFonts w:ascii="Arial" w:cs="Arial" w:eastAsia="Arial" w:hAnsi="Arial"/>
            <w:sz w:val="14"/>
            <w:szCs w:val="14"/>
            <w:u w:val="single" w:color="auto"/>
            <w:color w:val="0000FF"/>
          </w:rPr>
          <w:t>Notes to Condensed Consolidated Financial Statements</w:t>
        </w:r>
        <w:r>
          <w:rPr>
            <w:rFonts w:ascii="Arial" w:cs="Arial" w:eastAsia="Arial" w:hAnsi="Arial"/>
            <w:sz w:val="14"/>
            <w:szCs w:val="14"/>
            <w:u w:val="single" w:color="auto"/>
            <w:color w:val="auto"/>
          </w:rPr>
          <w:t xml:space="preserve"> </w:t>
        </w:r>
      </w:hyperlink>
      <w:r>
        <w:rPr>
          <w:rFonts w:ascii="Arial" w:cs="Arial" w:eastAsia="Arial" w:hAnsi="Arial"/>
          <w:sz w:val="14"/>
          <w:szCs w:val="14"/>
          <w:color w:val="auto"/>
        </w:rPr>
        <w:t>are an integral part of these Condensed Consolidated Financial Statements.</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 w:name="page13"/>
    <w:bookmarkEnd w:id="12"/>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BLACK HILLS CORPORATION</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CONDENSED CONSOLIDATED STATEMENTS OF EQUITY</w:t>
      </w:r>
    </w:p>
    <w:p>
      <w:pPr>
        <w:spacing w:after="0" w:line="37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300" w:type="dxa"/>
            <w:vAlign w:val="bottom"/>
          </w:tcPr>
          <w:p>
            <w:pPr>
              <w:spacing w:after="0"/>
              <w:rPr>
                <w:sz w:val="20"/>
                <w:szCs w:val="20"/>
                <w:color w:val="auto"/>
              </w:rPr>
            </w:pPr>
            <w:r>
              <w:rPr>
                <w:rFonts w:ascii="Arial" w:cs="Arial" w:eastAsia="Arial" w:hAnsi="Arial"/>
                <w:sz w:val="13"/>
                <w:szCs w:val="13"/>
                <w:color w:val="auto"/>
              </w:rPr>
              <w:t>(unaudited)</w:t>
            </w:r>
          </w:p>
        </w:tc>
        <w:tc>
          <w:tcPr>
            <w:tcW w:w="1840" w:type="dxa"/>
            <w:vAlign w:val="bottom"/>
            <w:tcBorders>
              <w:bottom w:val="single" w:sz="8" w:color="auto"/>
            </w:tcBorders>
            <w:gridSpan w:val="3"/>
          </w:tcPr>
          <w:p>
            <w:pPr>
              <w:jc w:val="right"/>
              <w:ind w:right="457"/>
              <w:spacing w:after="0"/>
              <w:rPr>
                <w:sz w:val="20"/>
                <w:szCs w:val="20"/>
                <w:color w:val="auto"/>
              </w:rPr>
            </w:pPr>
            <w:r>
              <w:rPr>
                <w:rFonts w:ascii="Arial" w:cs="Arial" w:eastAsia="Arial" w:hAnsi="Arial"/>
                <w:sz w:val="13"/>
                <w:szCs w:val="13"/>
                <w:color w:val="auto"/>
              </w:rPr>
              <w:t>Common Stock</w:t>
            </w:r>
          </w:p>
        </w:tc>
        <w:tc>
          <w:tcPr>
            <w:tcW w:w="1540" w:type="dxa"/>
            <w:vAlign w:val="bottom"/>
            <w:tcBorders>
              <w:bottom w:val="single" w:sz="8" w:color="auto"/>
            </w:tcBorders>
            <w:gridSpan w:val="3"/>
          </w:tcPr>
          <w:p>
            <w:pPr>
              <w:jc w:val="right"/>
              <w:ind w:right="317"/>
              <w:spacing w:after="0"/>
              <w:rPr>
                <w:sz w:val="20"/>
                <w:szCs w:val="20"/>
                <w:color w:val="auto"/>
              </w:rPr>
            </w:pPr>
            <w:r>
              <w:rPr>
                <w:rFonts w:ascii="Arial" w:cs="Arial" w:eastAsia="Arial" w:hAnsi="Arial"/>
                <w:sz w:val="13"/>
                <w:szCs w:val="13"/>
                <w:color w:val="auto"/>
              </w:rPr>
              <w:t>Treasury Stock</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3300" w:type="dxa"/>
            <w:vAlign w:val="bottom"/>
            <w:vMerge w:val="restart"/>
          </w:tcPr>
          <w:p>
            <w:pPr>
              <w:spacing w:after="0"/>
              <w:rPr>
                <w:sz w:val="20"/>
                <w:szCs w:val="20"/>
                <w:color w:val="auto"/>
              </w:rPr>
            </w:pPr>
            <w:r>
              <w:rPr>
                <w:rFonts w:ascii="Arial" w:cs="Arial" w:eastAsia="Arial" w:hAnsi="Arial"/>
                <w:sz w:val="13"/>
                <w:szCs w:val="13"/>
                <w:color w:val="auto"/>
              </w:rPr>
              <w:t>(in thousands except share amounts)</w:t>
            </w:r>
          </w:p>
        </w:tc>
        <w:tc>
          <w:tcPr>
            <w:tcW w:w="960" w:type="dxa"/>
            <w:vAlign w:val="bottom"/>
            <w:vMerge w:val="restart"/>
          </w:tcPr>
          <w:p>
            <w:pPr>
              <w:jc w:val="right"/>
              <w:ind w:right="217"/>
              <w:spacing w:after="0"/>
              <w:rPr>
                <w:sz w:val="20"/>
                <w:szCs w:val="20"/>
                <w:color w:val="auto"/>
              </w:rPr>
            </w:pPr>
            <w:r>
              <w:rPr>
                <w:rFonts w:ascii="Arial" w:cs="Arial" w:eastAsia="Arial" w:hAnsi="Arial"/>
                <w:sz w:val="13"/>
                <w:szCs w:val="13"/>
                <w:color w:val="auto"/>
              </w:rPr>
              <w:t>Shares</w:t>
            </w:r>
          </w:p>
        </w:tc>
        <w:tc>
          <w:tcPr>
            <w:tcW w:w="180" w:type="dxa"/>
            <w:vAlign w:val="bottom"/>
          </w:tcPr>
          <w:p>
            <w:pPr>
              <w:spacing w:after="0"/>
              <w:rPr>
                <w:sz w:val="10"/>
                <w:szCs w:val="10"/>
                <w:color w:val="auto"/>
              </w:rPr>
            </w:pPr>
          </w:p>
        </w:tc>
        <w:tc>
          <w:tcPr>
            <w:tcW w:w="700" w:type="dxa"/>
            <w:vAlign w:val="bottom"/>
            <w:vMerge w:val="restart"/>
          </w:tcPr>
          <w:p>
            <w:pPr>
              <w:jc w:val="right"/>
              <w:ind w:right="237"/>
              <w:spacing w:after="0"/>
              <w:rPr>
                <w:sz w:val="20"/>
                <w:szCs w:val="20"/>
                <w:color w:val="auto"/>
              </w:rPr>
            </w:pPr>
            <w:r>
              <w:rPr>
                <w:rFonts w:ascii="Arial" w:cs="Arial" w:eastAsia="Arial" w:hAnsi="Arial"/>
                <w:sz w:val="13"/>
                <w:szCs w:val="13"/>
                <w:color w:val="auto"/>
              </w:rPr>
              <w:t>Value</w:t>
            </w:r>
          </w:p>
        </w:tc>
        <w:tc>
          <w:tcPr>
            <w:tcW w:w="720" w:type="dxa"/>
            <w:vAlign w:val="bottom"/>
            <w:vMerge w:val="restart"/>
          </w:tcPr>
          <w:p>
            <w:pPr>
              <w:jc w:val="right"/>
              <w:ind w:right="117"/>
              <w:spacing w:after="0"/>
              <w:rPr>
                <w:sz w:val="20"/>
                <w:szCs w:val="20"/>
                <w:color w:val="auto"/>
              </w:rPr>
            </w:pPr>
            <w:r>
              <w:rPr>
                <w:rFonts w:ascii="Arial" w:cs="Arial" w:eastAsia="Arial" w:hAnsi="Arial"/>
                <w:sz w:val="13"/>
                <w:szCs w:val="13"/>
                <w:color w:val="auto"/>
              </w:rPr>
              <w:t>Shares</w:t>
            </w:r>
          </w:p>
        </w:tc>
        <w:tc>
          <w:tcPr>
            <w:tcW w:w="180" w:type="dxa"/>
            <w:vAlign w:val="bottom"/>
          </w:tcPr>
          <w:p>
            <w:pPr>
              <w:spacing w:after="0"/>
              <w:rPr>
                <w:sz w:val="10"/>
                <w:szCs w:val="10"/>
                <w:color w:val="auto"/>
              </w:rPr>
            </w:pPr>
          </w:p>
        </w:tc>
        <w:tc>
          <w:tcPr>
            <w:tcW w:w="640" w:type="dxa"/>
            <w:vAlign w:val="bottom"/>
            <w:vMerge w:val="restart"/>
          </w:tcPr>
          <w:p>
            <w:pPr>
              <w:jc w:val="right"/>
              <w:ind w:right="197"/>
              <w:spacing w:after="0"/>
              <w:rPr>
                <w:sz w:val="20"/>
                <w:szCs w:val="20"/>
                <w:color w:val="auto"/>
              </w:rPr>
            </w:pPr>
            <w:r>
              <w:rPr>
                <w:rFonts w:ascii="Arial" w:cs="Arial" w:eastAsia="Arial" w:hAnsi="Arial"/>
                <w:sz w:val="13"/>
                <w:szCs w:val="13"/>
                <w:color w:val="auto"/>
              </w:rPr>
              <w:t>Value</w:t>
            </w:r>
          </w:p>
        </w:tc>
        <w:tc>
          <w:tcPr>
            <w:tcW w:w="900" w:type="dxa"/>
            <w:vAlign w:val="bottom"/>
            <w:gridSpan w:val="2"/>
          </w:tcPr>
          <w:p>
            <w:pPr>
              <w:ind w:left="20"/>
              <w:spacing w:after="0" w:line="116" w:lineRule="exact"/>
              <w:rPr>
                <w:sz w:val="20"/>
                <w:szCs w:val="20"/>
                <w:color w:val="auto"/>
              </w:rPr>
            </w:pPr>
            <w:r>
              <w:rPr>
                <w:rFonts w:ascii="Arial" w:cs="Arial" w:eastAsia="Arial" w:hAnsi="Arial"/>
                <w:sz w:val="13"/>
                <w:szCs w:val="13"/>
                <w:color w:val="auto"/>
                <w:w w:val="99"/>
              </w:rPr>
              <w:t>Additional Paid</w:t>
            </w:r>
          </w:p>
        </w:tc>
        <w:tc>
          <w:tcPr>
            <w:tcW w:w="140" w:type="dxa"/>
            <w:vAlign w:val="bottom"/>
          </w:tcPr>
          <w:p>
            <w:pPr>
              <w:spacing w:after="0"/>
              <w:rPr>
                <w:sz w:val="10"/>
                <w:szCs w:val="10"/>
                <w:color w:val="auto"/>
              </w:rPr>
            </w:pPr>
          </w:p>
        </w:tc>
        <w:tc>
          <w:tcPr>
            <w:tcW w:w="720" w:type="dxa"/>
            <w:vAlign w:val="bottom"/>
          </w:tcPr>
          <w:p>
            <w:pPr>
              <w:jc w:val="right"/>
              <w:ind w:right="117"/>
              <w:spacing w:after="0" w:line="116" w:lineRule="exact"/>
              <w:rPr>
                <w:sz w:val="20"/>
                <w:szCs w:val="20"/>
                <w:color w:val="auto"/>
              </w:rPr>
            </w:pPr>
            <w:r>
              <w:rPr>
                <w:rFonts w:ascii="Arial" w:cs="Arial" w:eastAsia="Arial" w:hAnsi="Arial"/>
                <w:sz w:val="13"/>
                <w:szCs w:val="13"/>
                <w:color w:val="auto"/>
                <w:w w:val="99"/>
              </w:rPr>
              <w:t>Retained</w:t>
            </w:r>
          </w:p>
        </w:tc>
        <w:tc>
          <w:tcPr>
            <w:tcW w:w="180" w:type="dxa"/>
            <w:vAlign w:val="bottom"/>
          </w:tcPr>
          <w:p>
            <w:pPr>
              <w:spacing w:after="0"/>
              <w:rPr>
                <w:sz w:val="10"/>
                <w:szCs w:val="10"/>
                <w:color w:val="auto"/>
              </w:rPr>
            </w:pPr>
          </w:p>
        </w:tc>
        <w:tc>
          <w:tcPr>
            <w:tcW w:w="620" w:type="dxa"/>
            <w:vAlign w:val="bottom"/>
            <w:vMerge w:val="restart"/>
          </w:tcPr>
          <w:p>
            <w:pPr>
              <w:jc w:val="right"/>
              <w:ind w:right="177"/>
              <w:spacing w:after="0"/>
              <w:rPr>
                <w:sz w:val="20"/>
                <w:szCs w:val="20"/>
                <w:color w:val="auto"/>
              </w:rPr>
            </w:pPr>
            <w:r>
              <w:rPr>
                <w:rFonts w:ascii="Arial" w:cs="Arial" w:eastAsia="Arial" w:hAnsi="Arial"/>
                <w:sz w:val="13"/>
                <w:szCs w:val="13"/>
                <w:color w:val="auto"/>
              </w:rPr>
              <w:t>AOCI</w:t>
            </w:r>
          </w:p>
        </w:tc>
        <w:tc>
          <w:tcPr>
            <w:tcW w:w="920" w:type="dxa"/>
            <w:vAlign w:val="bottom"/>
            <w:gridSpan w:val="2"/>
          </w:tcPr>
          <w:p>
            <w:pPr>
              <w:jc w:val="center"/>
              <w:spacing w:after="0" w:line="116" w:lineRule="exact"/>
              <w:rPr>
                <w:sz w:val="20"/>
                <w:szCs w:val="20"/>
                <w:color w:val="auto"/>
              </w:rPr>
            </w:pPr>
            <w:r>
              <w:rPr>
                <w:rFonts w:ascii="Arial" w:cs="Arial" w:eastAsia="Arial" w:hAnsi="Arial"/>
                <w:sz w:val="13"/>
                <w:szCs w:val="13"/>
                <w:color w:val="auto"/>
                <w:w w:val="96"/>
              </w:rPr>
              <w:t>Non controlling</w:t>
            </w:r>
          </w:p>
        </w:tc>
        <w:tc>
          <w:tcPr>
            <w:tcW w:w="240" w:type="dxa"/>
            <w:vAlign w:val="bottom"/>
          </w:tcPr>
          <w:p>
            <w:pPr>
              <w:spacing w:after="0"/>
              <w:rPr>
                <w:sz w:val="10"/>
                <w:szCs w:val="10"/>
                <w:color w:val="auto"/>
              </w:rPr>
            </w:pPr>
          </w:p>
        </w:tc>
        <w:tc>
          <w:tcPr>
            <w:tcW w:w="780" w:type="dxa"/>
            <w:vAlign w:val="bottom"/>
            <w:vMerge w:val="restart"/>
          </w:tcPr>
          <w:p>
            <w:pPr>
              <w:jc w:val="right"/>
              <w:ind w:right="317"/>
              <w:spacing w:after="0"/>
              <w:rPr>
                <w:sz w:val="20"/>
                <w:szCs w:val="20"/>
                <w:color w:val="auto"/>
              </w:rPr>
            </w:pPr>
            <w:r>
              <w:rPr>
                <w:rFonts w:ascii="Arial" w:cs="Arial" w:eastAsia="Arial" w:hAnsi="Arial"/>
                <w:sz w:val="13"/>
                <w:szCs w:val="13"/>
                <w:color w:val="auto"/>
              </w:rPr>
              <w:t>Total</w:t>
            </w:r>
          </w:p>
        </w:tc>
        <w:tc>
          <w:tcPr>
            <w:tcW w:w="0" w:type="dxa"/>
            <w:vAlign w:val="bottom"/>
          </w:tcPr>
          <w:p>
            <w:pPr>
              <w:spacing w:after="0"/>
              <w:rPr>
                <w:sz w:val="1"/>
                <w:szCs w:val="1"/>
                <w:color w:val="auto"/>
              </w:rPr>
            </w:pPr>
          </w:p>
        </w:tc>
      </w:tr>
      <w:tr>
        <w:trPr>
          <w:trHeight w:val="161"/>
        </w:trPr>
        <w:tc>
          <w:tcPr>
            <w:tcW w:w="3300" w:type="dxa"/>
            <w:vAlign w:val="bottom"/>
            <w:tcBorders>
              <w:bottom w:val="single" w:sz="8" w:color="CEFFE7"/>
            </w:tcBorders>
            <w:vMerge w:val="continue"/>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color w:val="auto"/>
              </w:rPr>
              <w:t>in Capital</w:t>
            </w: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auto"/>
              </w:rPr>
              <w:t>Earnings</w:t>
            </w: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97"/>
              <w:spacing w:after="0"/>
              <w:rPr>
                <w:sz w:val="20"/>
                <w:szCs w:val="20"/>
                <w:color w:val="auto"/>
              </w:rPr>
            </w:pPr>
            <w:r>
              <w:rPr>
                <w:rFonts w:ascii="Arial" w:cs="Arial" w:eastAsia="Arial" w:hAnsi="Arial"/>
                <w:sz w:val="13"/>
                <w:szCs w:val="13"/>
                <w:color w:val="auto"/>
                <w:w w:val="96"/>
              </w:rPr>
              <w:t>Interest</w:t>
            </w: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300" w:type="dxa"/>
            <w:vAlign w:val="bottom"/>
            <w:shd w:val="clear" w:color="auto" w:fill="CEFFE7"/>
          </w:tcPr>
          <w:p>
            <w:pPr>
              <w:spacing w:after="0"/>
              <w:rPr>
                <w:sz w:val="20"/>
                <w:szCs w:val="20"/>
                <w:color w:val="auto"/>
              </w:rPr>
            </w:pPr>
            <w:r>
              <w:rPr>
                <w:rFonts w:ascii="Arial" w:cs="Arial" w:eastAsia="Arial" w:hAnsi="Arial"/>
                <w:sz w:val="13"/>
                <w:szCs w:val="13"/>
                <w:b w:val="1"/>
                <w:bCs w:val="1"/>
                <w:color w:val="auto"/>
              </w:rPr>
              <w:t>December 31, 2020</w:t>
            </w:r>
          </w:p>
        </w:tc>
        <w:tc>
          <w:tcPr>
            <w:tcW w:w="960" w:type="dxa"/>
            <w:vAlign w:val="bottom"/>
            <w:shd w:val="clear" w:color="auto" w:fill="CEFFE7"/>
          </w:tcPr>
          <w:p>
            <w:pPr>
              <w:jc w:val="right"/>
              <w:spacing w:after="0"/>
              <w:rPr>
                <w:sz w:val="20"/>
                <w:szCs w:val="20"/>
                <w:color w:val="auto"/>
              </w:rPr>
            </w:pPr>
            <w:r>
              <w:rPr>
                <w:rFonts w:ascii="Arial" w:cs="Arial" w:eastAsia="Arial" w:hAnsi="Arial"/>
                <w:sz w:val="13"/>
                <w:szCs w:val="13"/>
                <w:color w:val="auto"/>
              </w:rPr>
              <w:t>62,827,179</w:t>
            </w:r>
          </w:p>
        </w:tc>
        <w:tc>
          <w:tcPr>
            <w:tcW w:w="180" w:type="dxa"/>
            <w:vAlign w:val="bottom"/>
            <w:shd w:val="clear" w:color="auto" w:fill="CEFFE7"/>
          </w:tcPr>
          <w:p>
            <w:pPr>
              <w:jc w:val="right"/>
              <w:ind w:right="17"/>
              <w:spacing w:after="0"/>
              <w:rPr>
                <w:sz w:val="20"/>
                <w:szCs w:val="20"/>
                <w:color w:val="auto"/>
              </w:rPr>
            </w:pPr>
            <w:r>
              <w:rPr>
                <w:rFonts w:ascii="Arial" w:cs="Arial" w:eastAsia="Arial" w:hAnsi="Arial"/>
                <w:sz w:val="13"/>
                <w:szCs w:val="13"/>
                <w:color w:val="auto"/>
              </w:rPr>
              <w:t>$</w:t>
            </w:r>
          </w:p>
        </w:tc>
        <w:tc>
          <w:tcPr>
            <w:tcW w:w="700" w:type="dxa"/>
            <w:vAlign w:val="bottom"/>
            <w:shd w:val="clear" w:color="auto" w:fill="CEFFE7"/>
          </w:tcPr>
          <w:p>
            <w:pPr>
              <w:jc w:val="right"/>
              <w:ind w:right="57"/>
              <w:spacing w:after="0"/>
              <w:rPr>
                <w:sz w:val="20"/>
                <w:szCs w:val="20"/>
                <w:color w:val="auto"/>
              </w:rPr>
            </w:pPr>
            <w:r>
              <w:rPr>
                <w:rFonts w:ascii="Arial" w:cs="Arial" w:eastAsia="Arial" w:hAnsi="Arial"/>
                <w:sz w:val="13"/>
                <w:szCs w:val="13"/>
                <w:color w:val="auto"/>
              </w:rPr>
              <w:t>62,827</w:t>
            </w:r>
          </w:p>
        </w:tc>
        <w:tc>
          <w:tcPr>
            <w:tcW w:w="720" w:type="dxa"/>
            <w:vAlign w:val="bottom"/>
            <w:shd w:val="clear" w:color="auto" w:fill="CEFFE7"/>
          </w:tcPr>
          <w:p>
            <w:pPr>
              <w:jc w:val="right"/>
              <w:spacing w:after="0"/>
              <w:rPr>
                <w:sz w:val="20"/>
                <w:szCs w:val="20"/>
                <w:color w:val="auto"/>
              </w:rPr>
            </w:pPr>
            <w:r>
              <w:rPr>
                <w:rFonts w:ascii="Arial" w:cs="Arial" w:eastAsia="Arial" w:hAnsi="Arial"/>
                <w:sz w:val="13"/>
                <w:szCs w:val="13"/>
                <w:color w:val="auto"/>
              </w:rPr>
              <w:t>32,492</w:t>
            </w:r>
          </w:p>
        </w:tc>
        <w:tc>
          <w:tcPr>
            <w:tcW w:w="180" w:type="dxa"/>
            <w:vAlign w:val="bottom"/>
            <w:shd w:val="clear" w:color="auto" w:fill="CEFFE7"/>
          </w:tcPr>
          <w:p>
            <w:pPr>
              <w:jc w:val="right"/>
              <w:ind w:right="17"/>
              <w:spacing w:after="0"/>
              <w:rPr>
                <w:sz w:val="20"/>
                <w:szCs w:val="20"/>
                <w:color w:val="auto"/>
              </w:rPr>
            </w:pPr>
            <w:r>
              <w:rPr>
                <w:rFonts w:ascii="Arial" w:cs="Arial" w:eastAsia="Arial" w:hAnsi="Arial"/>
                <w:sz w:val="13"/>
                <w:szCs w:val="13"/>
                <w:color w:val="auto"/>
              </w:rPr>
              <w:t>$</w:t>
            </w:r>
          </w:p>
        </w:tc>
        <w:tc>
          <w:tcPr>
            <w:tcW w:w="640" w:type="dxa"/>
            <w:vAlign w:val="bottom"/>
            <w:shd w:val="clear" w:color="auto" w:fill="CEFFE7"/>
          </w:tcPr>
          <w:p>
            <w:pPr>
              <w:jc w:val="right"/>
              <w:spacing w:after="0"/>
              <w:rPr>
                <w:sz w:val="20"/>
                <w:szCs w:val="20"/>
                <w:color w:val="auto"/>
              </w:rPr>
            </w:pPr>
            <w:r>
              <w:rPr>
                <w:rFonts w:ascii="Arial" w:cs="Arial" w:eastAsia="Arial" w:hAnsi="Arial"/>
                <w:sz w:val="13"/>
                <w:szCs w:val="13"/>
                <w:color w:val="auto"/>
              </w:rPr>
              <w:t>(2,119)</w:t>
            </w:r>
          </w:p>
        </w:tc>
        <w:tc>
          <w:tcPr>
            <w:tcW w:w="120" w:type="dxa"/>
            <w:vAlign w:val="bottom"/>
            <w:shd w:val="clear" w:color="auto" w:fill="CEFFE7"/>
          </w:tcPr>
          <w:p>
            <w:pPr>
              <w:spacing w:after="0"/>
              <w:rPr>
                <w:sz w:val="20"/>
                <w:szCs w:val="20"/>
                <w:color w:val="auto"/>
              </w:rPr>
            </w:pPr>
            <w:r>
              <w:rPr>
                <w:rFonts w:ascii="Arial" w:cs="Arial" w:eastAsia="Arial" w:hAnsi="Arial"/>
                <w:sz w:val="13"/>
                <w:szCs w:val="13"/>
                <w:color w:val="auto"/>
              </w:rPr>
              <w:t>$</w:t>
            </w:r>
          </w:p>
        </w:tc>
        <w:tc>
          <w:tcPr>
            <w:tcW w:w="780" w:type="dxa"/>
            <w:vAlign w:val="bottom"/>
            <w:shd w:val="clear" w:color="auto" w:fill="CEFFE7"/>
          </w:tcPr>
          <w:p>
            <w:pPr>
              <w:jc w:val="right"/>
              <w:spacing w:after="0"/>
              <w:rPr>
                <w:sz w:val="20"/>
                <w:szCs w:val="20"/>
                <w:color w:val="auto"/>
              </w:rPr>
            </w:pPr>
            <w:r>
              <w:rPr>
                <w:rFonts w:ascii="Arial" w:cs="Arial" w:eastAsia="Arial" w:hAnsi="Arial"/>
                <w:sz w:val="13"/>
                <w:szCs w:val="13"/>
                <w:color w:val="auto"/>
              </w:rPr>
              <w:t>1,657,285</w:t>
            </w:r>
          </w:p>
        </w:tc>
        <w:tc>
          <w:tcPr>
            <w:tcW w:w="140" w:type="dxa"/>
            <w:vAlign w:val="bottom"/>
            <w:shd w:val="clear" w:color="auto" w:fill="CEFFE7"/>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EFFE7"/>
          </w:tcPr>
          <w:p>
            <w:pPr>
              <w:jc w:val="right"/>
              <w:spacing w:after="0"/>
              <w:rPr>
                <w:sz w:val="20"/>
                <w:szCs w:val="20"/>
                <w:color w:val="auto"/>
              </w:rPr>
            </w:pPr>
            <w:r>
              <w:rPr>
                <w:rFonts w:ascii="Arial" w:cs="Arial" w:eastAsia="Arial" w:hAnsi="Arial"/>
                <w:sz w:val="13"/>
                <w:szCs w:val="13"/>
                <w:color w:val="auto"/>
              </w:rPr>
              <w:t>870,738</w:t>
            </w:r>
          </w:p>
        </w:tc>
        <w:tc>
          <w:tcPr>
            <w:tcW w:w="180" w:type="dxa"/>
            <w:vAlign w:val="bottom"/>
            <w:shd w:val="clear" w:color="auto" w:fill="CEFFE7"/>
          </w:tcPr>
          <w:p>
            <w:pPr>
              <w:jc w:val="right"/>
              <w:ind w:right="17"/>
              <w:spacing w:after="0"/>
              <w:rPr>
                <w:sz w:val="20"/>
                <w:szCs w:val="20"/>
                <w:color w:val="auto"/>
              </w:rPr>
            </w:pPr>
            <w:r>
              <w:rPr>
                <w:rFonts w:ascii="Arial" w:cs="Arial" w:eastAsia="Arial" w:hAnsi="Arial"/>
                <w:sz w:val="13"/>
                <w:szCs w:val="13"/>
                <w:color w:val="auto"/>
              </w:rPr>
              <w:t>$</w:t>
            </w:r>
          </w:p>
        </w:tc>
        <w:tc>
          <w:tcPr>
            <w:tcW w:w="620" w:type="dxa"/>
            <w:vAlign w:val="bottom"/>
            <w:shd w:val="clear" w:color="auto" w:fill="CEFFE7"/>
          </w:tcPr>
          <w:p>
            <w:pPr>
              <w:jc w:val="right"/>
              <w:spacing w:after="0"/>
              <w:rPr>
                <w:sz w:val="20"/>
                <w:szCs w:val="20"/>
                <w:color w:val="auto"/>
              </w:rPr>
            </w:pPr>
            <w:r>
              <w:rPr>
                <w:rFonts w:ascii="Arial" w:cs="Arial" w:eastAsia="Arial" w:hAnsi="Arial"/>
                <w:sz w:val="13"/>
                <w:szCs w:val="13"/>
                <w:color w:val="auto"/>
              </w:rPr>
              <w:t>(27,346)</w:t>
            </w:r>
          </w:p>
        </w:tc>
        <w:tc>
          <w:tcPr>
            <w:tcW w:w="180" w:type="dxa"/>
            <w:vAlign w:val="bottom"/>
            <w:shd w:val="clear" w:color="auto" w:fill="CEFFE7"/>
          </w:tcPr>
          <w:p>
            <w:pPr>
              <w:jc w:val="right"/>
              <w:ind w:right="17"/>
              <w:spacing w:after="0"/>
              <w:rPr>
                <w:sz w:val="20"/>
                <w:szCs w:val="20"/>
                <w:color w:val="auto"/>
              </w:rPr>
            </w:pPr>
            <w:r>
              <w:rPr>
                <w:rFonts w:ascii="Arial" w:cs="Arial" w:eastAsia="Arial" w:hAnsi="Arial"/>
                <w:sz w:val="13"/>
                <w:szCs w:val="13"/>
                <w:color w:val="auto"/>
              </w:rPr>
              <w:t>$</w:t>
            </w:r>
          </w:p>
        </w:tc>
        <w:tc>
          <w:tcPr>
            <w:tcW w:w="740" w:type="dxa"/>
            <w:vAlign w:val="bottom"/>
            <w:shd w:val="clear" w:color="auto" w:fill="CEFFE7"/>
          </w:tcPr>
          <w:p>
            <w:pPr>
              <w:jc w:val="right"/>
              <w:spacing w:after="0"/>
              <w:rPr>
                <w:sz w:val="20"/>
                <w:szCs w:val="20"/>
                <w:color w:val="auto"/>
              </w:rPr>
            </w:pPr>
            <w:r>
              <w:rPr>
                <w:rFonts w:ascii="Arial" w:cs="Arial" w:eastAsia="Arial" w:hAnsi="Arial"/>
                <w:sz w:val="13"/>
                <w:szCs w:val="13"/>
                <w:color w:val="auto"/>
              </w:rPr>
              <w:t>101,262</w:t>
            </w:r>
          </w:p>
        </w:tc>
        <w:tc>
          <w:tcPr>
            <w:tcW w:w="240" w:type="dxa"/>
            <w:vAlign w:val="bottom"/>
            <w:shd w:val="clear" w:color="auto" w:fill="CEFFE7"/>
          </w:tcPr>
          <w:p>
            <w:pPr>
              <w:jc w:val="right"/>
              <w:ind w:right="77"/>
              <w:spacing w:after="0"/>
              <w:rPr>
                <w:sz w:val="20"/>
                <w:szCs w:val="20"/>
                <w:color w:val="auto"/>
              </w:rPr>
            </w:pPr>
            <w:r>
              <w:rPr>
                <w:rFonts w:ascii="Arial" w:cs="Arial" w:eastAsia="Arial" w:hAnsi="Arial"/>
                <w:sz w:val="13"/>
                <w:szCs w:val="13"/>
                <w:color w:val="auto"/>
              </w:rPr>
              <w:t>$</w:t>
            </w:r>
          </w:p>
        </w:tc>
        <w:tc>
          <w:tcPr>
            <w:tcW w:w="780" w:type="dxa"/>
            <w:vAlign w:val="bottom"/>
            <w:shd w:val="clear" w:color="auto" w:fill="CEFFE7"/>
          </w:tcPr>
          <w:p>
            <w:pPr>
              <w:jc w:val="right"/>
              <w:spacing w:after="0"/>
              <w:rPr>
                <w:sz w:val="20"/>
                <w:szCs w:val="20"/>
                <w:color w:val="auto"/>
              </w:rPr>
            </w:pPr>
            <w:r>
              <w:rPr>
                <w:rFonts w:ascii="Arial" w:cs="Arial" w:eastAsia="Arial" w:hAnsi="Arial"/>
                <w:sz w:val="13"/>
                <w:szCs w:val="13"/>
                <w:color w:val="auto"/>
              </w:rPr>
              <w:t>2,662,647</w:t>
            </w:r>
          </w:p>
        </w:tc>
        <w:tc>
          <w:tcPr>
            <w:tcW w:w="0" w:type="dxa"/>
            <w:vAlign w:val="bottom"/>
          </w:tcPr>
          <w:p>
            <w:pPr>
              <w:spacing w:after="0"/>
              <w:rPr>
                <w:sz w:val="1"/>
                <w:szCs w:val="1"/>
                <w:color w:val="auto"/>
              </w:rPr>
            </w:pPr>
          </w:p>
        </w:tc>
      </w:tr>
      <w:tr>
        <w:trPr>
          <w:trHeight w:val="168"/>
        </w:trPr>
        <w:tc>
          <w:tcPr>
            <w:tcW w:w="3300" w:type="dxa"/>
            <w:vAlign w:val="bottom"/>
          </w:tcPr>
          <w:p>
            <w:pPr>
              <w:spacing w:after="0"/>
              <w:rPr>
                <w:sz w:val="20"/>
                <w:szCs w:val="20"/>
                <w:color w:val="auto"/>
              </w:rPr>
            </w:pPr>
            <w:r>
              <w:rPr>
                <w:rFonts w:ascii="Arial" w:cs="Arial" w:eastAsia="Arial" w:hAnsi="Arial"/>
                <w:sz w:val="13"/>
                <w:szCs w:val="13"/>
                <w:color w:val="auto"/>
              </w:rPr>
              <w:t>Net income</w:t>
            </w: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96,316</w:t>
            </w: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4,171</w:t>
            </w: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100,487</w:t>
            </w:r>
          </w:p>
        </w:tc>
        <w:tc>
          <w:tcPr>
            <w:tcW w:w="0" w:type="dxa"/>
            <w:vAlign w:val="bottom"/>
          </w:tcPr>
          <w:p>
            <w:pPr>
              <w:spacing w:after="0"/>
              <w:rPr>
                <w:sz w:val="1"/>
                <w:szCs w:val="1"/>
                <w:color w:val="auto"/>
              </w:rPr>
            </w:pPr>
          </w:p>
        </w:tc>
      </w:tr>
      <w:tr>
        <w:trPr>
          <w:trHeight w:val="183"/>
        </w:trPr>
        <w:tc>
          <w:tcPr>
            <w:tcW w:w="3300" w:type="dxa"/>
            <w:vAlign w:val="bottom"/>
            <w:shd w:val="clear" w:color="auto" w:fill="CEFFE7"/>
          </w:tcPr>
          <w:p>
            <w:pPr>
              <w:spacing w:after="0"/>
              <w:rPr>
                <w:sz w:val="20"/>
                <w:szCs w:val="20"/>
                <w:color w:val="auto"/>
              </w:rPr>
            </w:pPr>
            <w:r>
              <w:rPr>
                <w:rFonts w:ascii="Arial" w:cs="Arial" w:eastAsia="Arial" w:hAnsi="Arial"/>
                <w:sz w:val="13"/>
                <w:szCs w:val="13"/>
                <w:color w:val="auto"/>
              </w:rPr>
              <w:t>Other comprehensive income (loss), net of tax</w:t>
            </w:r>
          </w:p>
        </w:tc>
        <w:tc>
          <w:tcPr>
            <w:tcW w:w="96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EFFE7"/>
          </w:tcPr>
          <w:p>
            <w:pPr>
              <w:spacing w:after="0"/>
              <w:rPr>
                <w:sz w:val="15"/>
                <w:szCs w:val="15"/>
                <w:color w:val="auto"/>
              </w:rPr>
            </w:pPr>
          </w:p>
        </w:tc>
        <w:tc>
          <w:tcPr>
            <w:tcW w:w="700" w:type="dxa"/>
            <w:vAlign w:val="bottom"/>
            <w:shd w:val="clear" w:color="auto" w:fill="CEFFE7"/>
          </w:tcPr>
          <w:p>
            <w:pPr>
              <w:jc w:val="right"/>
              <w:ind w:right="57"/>
              <w:spacing w:after="0"/>
              <w:rPr>
                <w:sz w:val="20"/>
                <w:szCs w:val="20"/>
                <w:color w:val="auto"/>
              </w:rPr>
            </w:pPr>
            <w:r>
              <w:rPr>
                <w:rFonts w:ascii="Arial" w:cs="Arial" w:eastAsia="Arial" w:hAnsi="Arial"/>
                <w:sz w:val="13"/>
                <w:szCs w:val="13"/>
                <w:color w:val="auto"/>
              </w:rPr>
              <w:t>—</w:t>
            </w:r>
          </w:p>
        </w:tc>
        <w:tc>
          <w:tcPr>
            <w:tcW w:w="72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EFFE7"/>
          </w:tcPr>
          <w:p>
            <w:pPr>
              <w:spacing w:after="0"/>
              <w:rPr>
                <w:sz w:val="15"/>
                <w:szCs w:val="15"/>
                <w:color w:val="auto"/>
              </w:rPr>
            </w:pPr>
          </w:p>
        </w:tc>
        <w:tc>
          <w:tcPr>
            <w:tcW w:w="640" w:type="dxa"/>
            <w:vAlign w:val="bottom"/>
            <w:shd w:val="clear" w:color="auto" w:fill="CEFFE7"/>
          </w:tcPr>
          <w:p>
            <w:pPr>
              <w:jc w:val="right"/>
              <w:ind w:right="17"/>
              <w:spacing w:after="0"/>
              <w:rPr>
                <w:sz w:val="20"/>
                <w:szCs w:val="20"/>
                <w:color w:val="auto"/>
              </w:rPr>
            </w:pPr>
            <w:r>
              <w:rPr>
                <w:rFonts w:ascii="Arial" w:cs="Arial" w:eastAsia="Arial" w:hAnsi="Arial"/>
                <w:sz w:val="13"/>
                <w:szCs w:val="13"/>
                <w:color w:val="auto"/>
              </w:rPr>
              <w:t>—</w:t>
            </w:r>
          </w:p>
        </w:tc>
        <w:tc>
          <w:tcPr>
            <w:tcW w:w="120" w:type="dxa"/>
            <w:vAlign w:val="bottom"/>
            <w:shd w:val="clear" w:color="auto" w:fill="CEFFE7"/>
          </w:tcPr>
          <w:p>
            <w:pPr>
              <w:spacing w:after="0"/>
              <w:rPr>
                <w:sz w:val="15"/>
                <w:szCs w:val="15"/>
                <w:color w:val="auto"/>
              </w:rPr>
            </w:pPr>
          </w:p>
        </w:tc>
        <w:tc>
          <w:tcPr>
            <w:tcW w:w="78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EFFE7"/>
          </w:tcPr>
          <w:p>
            <w:pPr>
              <w:spacing w:after="0"/>
              <w:rPr>
                <w:sz w:val="15"/>
                <w:szCs w:val="15"/>
                <w:color w:val="auto"/>
              </w:rPr>
            </w:pPr>
          </w:p>
        </w:tc>
        <w:tc>
          <w:tcPr>
            <w:tcW w:w="72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EFFE7"/>
          </w:tcPr>
          <w:p>
            <w:pPr>
              <w:spacing w:after="0"/>
              <w:rPr>
                <w:sz w:val="15"/>
                <w:szCs w:val="15"/>
                <w:color w:val="auto"/>
              </w:rPr>
            </w:pPr>
          </w:p>
        </w:tc>
        <w:tc>
          <w:tcPr>
            <w:tcW w:w="620" w:type="dxa"/>
            <w:vAlign w:val="bottom"/>
            <w:shd w:val="clear" w:color="auto" w:fill="CEFFE7"/>
          </w:tcPr>
          <w:p>
            <w:pPr>
              <w:jc w:val="right"/>
              <w:spacing w:after="0"/>
              <w:rPr>
                <w:sz w:val="20"/>
                <w:szCs w:val="20"/>
                <w:color w:val="auto"/>
              </w:rPr>
            </w:pPr>
            <w:r>
              <w:rPr>
                <w:rFonts w:ascii="Arial" w:cs="Arial" w:eastAsia="Arial" w:hAnsi="Arial"/>
                <w:sz w:val="13"/>
                <w:szCs w:val="13"/>
                <w:color w:val="auto"/>
              </w:rPr>
              <w:t>1,018</w:t>
            </w:r>
          </w:p>
        </w:tc>
        <w:tc>
          <w:tcPr>
            <w:tcW w:w="180" w:type="dxa"/>
            <w:vAlign w:val="bottom"/>
            <w:shd w:val="clear" w:color="auto" w:fill="CEFFE7"/>
          </w:tcPr>
          <w:p>
            <w:pPr>
              <w:spacing w:after="0"/>
              <w:rPr>
                <w:sz w:val="15"/>
                <w:szCs w:val="15"/>
                <w:color w:val="auto"/>
              </w:rPr>
            </w:pPr>
          </w:p>
        </w:tc>
        <w:tc>
          <w:tcPr>
            <w:tcW w:w="74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EFFE7"/>
          </w:tcPr>
          <w:p>
            <w:pPr>
              <w:spacing w:after="0"/>
              <w:rPr>
                <w:sz w:val="15"/>
                <w:szCs w:val="15"/>
                <w:color w:val="auto"/>
              </w:rPr>
            </w:pPr>
          </w:p>
        </w:tc>
        <w:tc>
          <w:tcPr>
            <w:tcW w:w="780" w:type="dxa"/>
            <w:vAlign w:val="bottom"/>
            <w:shd w:val="clear" w:color="auto" w:fill="CEFFE7"/>
          </w:tcPr>
          <w:p>
            <w:pPr>
              <w:jc w:val="right"/>
              <w:spacing w:after="0"/>
              <w:rPr>
                <w:sz w:val="20"/>
                <w:szCs w:val="20"/>
                <w:color w:val="auto"/>
              </w:rPr>
            </w:pPr>
            <w:r>
              <w:rPr>
                <w:rFonts w:ascii="Arial" w:cs="Arial" w:eastAsia="Arial" w:hAnsi="Arial"/>
                <w:sz w:val="13"/>
                <w:szCs w:val="13"/>
                <w:color w:val="auto"/>
              </w:rPr>
              <w:t>1,018</w:t>
            </w:r>
          </w:p>
        </w:tc>
        <w:tc>
          <w:tcPr>
            <w:tcW w:w="0" w:type="dxa"/>
            <w:vAlign w:val="bottom"/>
          </w:tcPr>
          <w:p>
            <w:pPr>
              <w:spacing w:after="0"/>
              <w:rPr>
                <w:sz w:val="1"/>
                <w:szCs w:val="1"/>
                <w:color w:val="auto"/>
              </w:rPr>
            </w:pPr>
          </w:p>
        </w:tc>
      </w:tr>
      <w:tr>
        <w:trPr>
          <w:trHeight w:val="168"/>
        </w:trPr>
        <w:tc>
          <w:tcPr>
            <w:tcW w:w="3300" w:type="dxa"/>
            <w:vAlign w:val="bottom"/>
          </w:tcPr>
          <w:p>
            <w:pPr>
              <w:spacing w:after="0"/>
              <w:rPr>
                <w:sz w:val="20"/>
                <w:szCs w:val="20"/>
                <w:color w:val="auto"/>
              </w:rPr>
            </w:pPr>
            <w:r>
              <w:rPr>
                <w:rFonts w:ascii="Arial" w:cs="Arial" w:eastAsia="Arial" w:hAnsi="Arial"/>
                <w:sz w:val="13"/>
                <w:szCs w:val="13"/>
                <w:color w:val="auto"/>
              </w:rPr>
              <w:t>Dividends on common stock ($0.565 per share)</w:t>
            </w: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(35,514)</w:t>
            </w: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(35,514)</w:t>
            </w:r>
          </w:p>
        </w:tc>
        <w:tc>
          <w:tcPr>
            <w:tcW w:w="0" w:type="dxa"/>
            <w:vAlign w:val="bottom"/>
          </w:tcPr>
          <w:p>
            <w:pPr>
              <w:spacing w:after="0"/>
              <w:rPr>
                <w:sz w:val="1"/>
                <w:szCs w:val="1"/>
                <w:color w:val="auto"/>
              </w:rPr>
            </w:pPr>
          </w:p>
        </w:tc>
      </w:tr>
      <w:tr>
        <w:trPr>
          <w:trHeight w:val="183"/>
        </w:trPr>
        <w:tc>
          <w:tcPr>
            <w:tcW w:w="3300" w:type="dxa"/>
            <w:vAlign w:val="bottom"/>
            <w:shd w:val="clear" w:color="auto" w:fill="CEFFE7"/>
          </w:tcPr>
          <w:p>
            <w:pPr>
              <w:spacing w:after="0"/>
              <w:rPr>
                <w:sz w:val="20"/>
                <w:szCs w:val="20"/>
                <w:color w:val="auto"/>
              </w:rPr>
            </w:pPr>
            <w:r>
              <w:rPr>
                <w:rFonts w:ascii="Arial" w:cs="Arial" w:eastAsia="Arial" w:hAnsi="Arial"/>
                <w:sz w:val="13"/>
                <w:szCs w:val="13"/>
                <w:color w:val="auto"/>
              </w:rPr>
              <w:t>Share-based compensation</w:t>
            </w:r>
          </w:p>
        </w:tc>
        <w:tc>
          <w:tcPr>
            <w:tcW w:w="960" w:type="dxa"/>
            <w:vAlign w:val="bottom"/>
            <w:shd w:val="clear" w:color="auto" w:fill="CEFFE7"/>
          </w:tcPr>
          <w:p>
            <w:pPr>
              <w:jc w:val="right"/>
              <w:spacing w:after="0"/>
              <w:rPr>
                <w:sz w:val="20"/>
                <w:szCs w:val="20"/>
                <w:color w:val="auto"/>
              </w:rPr>
            </w:pPr>
            <w:r>
              <w:rPr>
                <w:rFonts w:ascii="Arial" w:cs="Arial" w:eastAsia="Arial" w:hAnsi="Arial"/>
                <w:sz w:val="13"/>
                <w:szCs w:val="13"/>
                <w:color w:val="auto"/>
              </w:rPr>
              <w:t>82,794</w:t>
            </w:r>
          </w:p>
        </w:tc>
        <w:tc>
          <w:tcPr>
            <w:tcW w:w="180" w:type="dxa"/>
            <w:vAlign w:val="bottom"/>
            <w:shd w:val="clear" w:color="auto" w:fill="CEFFE7"/>
          </w:tcPr>
          <w:p>
            <w:pPr>
              <w:spacing w:after="0"/>
              <w:rPr>
                <w:sz w:val="15"/>
                <w:szCs w:val="15"/>
                <w:color w:val="auto"/>
              </w:rPr>
            </w:pPr>
          </w:p>
        </w:tc>
        <w:tc>
          <w:tcPr>
            <w:tcW w:w="700" w:type="dxa"/>
            <w:vAlign w:val="bottom"/>
            <w:shd w:val="clear" w:color="auto" w:fill="CEFFE7"/>
          </w:tcPr>
          <w:p>
            <w:pPr>
              <w:jc w:val="right"/>
              <w:ind w:right="57"/>
              <w:spacing w:after="0"/>
              <w:rPr>
                <w:sz w:val="20"/>
                <w:szCs w:val="20"/>
                <w:color w:val="auto"/>
              </w:rPr>
            </w:pPr>
            <w:r>
              <w:rPr>
                <w:rFonts w:ascii="Arial" w:cs="Arial" w:eastAsia="Arial" w:hAnsi="Arial"/>
                <w:sz w:val="13"/>
                <w:szCs w:val="13"/>
                <w:color w:val="auto"/>
              </w:rPr>
              <w:t>83</w:t>
            </w:r>
          </w:p>
        </w:tc>
        <w:tc>
          <w:tcPr>
            <w:tcW w:w="720" w:type="dxa"/>
            <w:vAlign w:val="bottom"/>
            <w:shd w:val="clear" w:color="auto" w:fill="CEFFE7"/>
          </w:tcPr>
          <w:p>
            <w:pPr>
              <w:jc w:val="right"/>
              <w:spacing w:after="0"/>
              <w:rPr>
                <w:sz w:val="20"/>
                <w:szCs w:val="20"/>
                <w:color w:val="auto"/>
              </w:rPr>
            </w:pPr>
            <w:r>
              <w:rPr>
                <w:rFonts w:ascii="Arial" w:cs="Arial" w:eastAsia="Arial" w:hAnsi="Arial"/>
                <w:sz w:val="13"/>
                <w:szCs w:val="13"/>
                <w:color w:val="auto"/>
              </w:rPr>
              <w:t>7,448</w:t>
            </w:r>
          </w:p>
        </w:tc>
        <w:tc>
          <w:tcPr>
            <w:tcW w:w="180" w:type="dxa"/>
            <w:vAlign w:val="bottom"/>
            <w:shd w:val="clear" w:color="auto" w:fill="CEFFE7"/>
          </w:tcPr>
          <w:p>
            <w:pPr>
              <w:spacing w:after="0"/>
              <w:rPr>
                <w:sz w:val="15"/>
                <w:szCs w:val="15"/>
                <w:color w:val="auto"/>
              </w:rPr>
            </w:pPr>
          </w:p>
        </w:tc>
        <w:tc>
          <w:tcPr>
            <w:tcW w:w="640" w:type="dxa"/>
            <w:vAlign w:val="bottom"/>
            <w:shd w:val="clear" w:color="auto" w:fill="CEFFE7"/>
          </w:tcPr>
          <w:p>
            <w:pPr>
              <w:jc w:val="right"/>
              <w:spacing w:after="0"/>
              <w:rPr>
                <w:sz w:val="20"/>
                <w:szCs w:val="20"/>
                <w:color w:val="auto"/>
              </w:rPr>
            </w:pPr>
            <w:r>
              <w:rPr>
                <w:rFonts w:ascii="Arial" w:cs="Arial" w:eastAsia="Arial" w:hAnsi="Arial"/>
                <w:sz w:val="13"/>
                <w:szCs w:val="13"/>
                <w:color w:val="auto"/>
              </w:rPr>
              <w:t>(445)</w:t>
            </w:r>
          </w:p>
        </w:tc>
        <w:tc>
          <w:tcPr>
            <w:tcW w:w="120" w:type="dxa"/>
            <w:vAlign w:val="bottom"/>
            <w:shd w:val="clear" w:color="auto" w:fill="CEFFE7"/>
          </w:tcPr>
          <w:p>
            <w:pPr>
              <w:spacing w:after="0"/>
              <w:rPr>
                <w:sz w:val="15"/>
                <w:szCs w:val="15"/>
                <w:color w:val="auto"/>
              </w:rPr>
            </w:pPr>
          </w:p>
        </w:tc>
        <w:tc>
          <w:tcPr>
            <w:tcW w:w="780" w:type="dxa"/>
            <w:vAlign w:val="bottom"/>
            <w:shd w:val="clear" w:color="auto" w:fill="CEFFE7"/>
          </w:tcPr>
          <w:p>
            <w:pPr>
              <w:jc w:val="right"/>
              <w:spacing w:after="0"/>
              <w:rPr>
                <w:sz w:val="20"/>
                <w:szCs w:val="20"/>
                <w:color w:val="auto"/>
              </w:rPr>
            </w:pPr>
            <w:r>
              <w:rPr>
                <w:rFonts w:ascii="Arial" w:cs="Arial" w:eastAsia="Arial" w:hAnsi="Arial"/>
                <w:sz w:val="13"/>
                <w:szCs w:val="13"/>
                <w:color w:val="auto"/>
              </w:rPr>
              <w:t>1,672</w:t>
            </w:r>
          </w:p>
        </w:tc>
        <w:tc>
          <w:tcPr>
            <w:tcW w:w="140" w:type="dxa"/>
            <w:vAlign w:val="bottom"/>
            <w:shd w:val="clear" w:color="auto" w:fill="CEFFE7"/>
          </w:tcPr>
          <w:p>
            <w:pPr>
              <w:spacing w:after="0"/>
              <w:rPr>
                <w:sz w:val="15"/>
                <w:szCs w:val="15"/>
                <w:color w:val="auto"/>
              </w:rPr>
            </w:pPr>
          </w:p>
        </w:tc>
        <w:tc>
          <w:tcPr>
            <w:tcW w:w="72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EFFE7"/>
          </w:tcPr>
          <w:p>
            <w:pPr>
              <w:spacing w:after="0"/>
              <w:rPr>
                <w:sz w:val="15"/>
                <w:szCs w:val="15"/>
                <w:color w:val="auto"/>
              </w:rPr>
            </w:pPr>
          </w:p>
        </w:tc>
        <w:tc>
          <w:tcPr>
            <w:tcW w:w="62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EFFE7"/>
          </w:tcPr>
          <w:p>
            <w:pPr>
              <w:spacing w:after="0"/>
              <w:rPr>
                <w:sz w:val="15"/>
                <w:szCs w:val="15"/>
                <w:color w:val="auto"/>
              </w:rPr>
            </w:pPr>
          </w:p>
        </w:tc>
        <w:tc>
          <w:tcPr>
            <w:tcW w:w="74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EFFE7"/>
          </w:tcPr>
          <w:p>
            <w:pPr>
              <w:spacing w:after="0"/>
              <w:rPr>
                <w:sz w:val="15"/>
                <w:szCs w:val="15"/>
                <w:color w:val="auto"/>
              </w:rPr>
            </w:pPr>
          </w:p>
        </w:tc>
        <w:tc>
          <w:tcPr>
            <w:tcW w:w="780" w:type="dxa"/>
            <w:vAlign w:val="bottom"/>
            <w:shd w:val="clear" w:color="auto" w:fill="CEFFE7"/>
          </w:tcPr>
          <w:p>
            <w:pPr>
              <w:jc w:val="right"/>
              <w:spacing w:after="0"/>
              <w:rPr>
                <w:sz w:val="20"/>
                <w:szCs w:val="20"/>
                <w:color w:val="auto"/>
              </w:rPr>
            </w:pPr>
            <w:r>
              <w:rPr>
                <w:rFonts w:ascii="Arial" w:cs="Arial" w:eastAsia="Arial" w:hAnsi="Arial"/>
                <w:sz w:val="13"/>
                <w:szCs w:val="13"/>
                <w:color w:val="auto"/>
              </w:rPr>
              <w:t>1,310</w:t>
            </w:r>
          </w:p>
        </w:tc>
        <w:tc>
          <w:tcPr>
            <w:tcW w:w="0" w:type="dxa"/>
            <w:vAlign w:val="bottom"/>
          </w:tcPr>
          <w:p>
            <w:pPr>
              <w:spacing w:after="0"/>
              <w:rPr>
                <w:sz w:val="1"/>
                <w:szCs w:val="1"/>
                <w:color w:val="auto"/>
              </w:rPr>
            </w:pPr>
          </w:p>
        </w:tc>
      </w:tr>
      <w:tr>
        <w:trPr>
          <w:trHeight w:val="168"/>
        </w:trPr>
        <w:tc>
          <w:tcPr>
            <w:tcW w:w="3300" w:type="dxa"/>
            <w:vAlign w:val="bottom"/>
          </w:tcPr>
          <w:p>
            <w:pPr>
              <w:spacing w:after="0"/>
              <w:rPr>
                <w:sz w:val="20"/>
                <w:szCs w:val="20"/>
                <w:color w:val="auto"/>
              </w:rPr>
            </w:pPr>
            <w:r>
              <w:rPr>
                <w:rFonts w:ascii="Arial" w:cs="Arial" w:eastAsia="Arial" w:hAnsi="Arial"/>
                <w:sz w:val="13"/>
                <w:szCs w:val="13"/>
                <w:color w:val="auto"/>
              </w:rPr>
              <w:t>Other</w:t>
            </w: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w:t>
            </w: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83"/>
        </w:trPr>
        <w:tc>
          <w:tcPr>
            <w:tcW w:w="3300" w:type="dxa"/>
            <w:vAlign w:val="bottom"/>
            <w:shd w:val="clear" w:color="auto" w:fill="CEFFE7"/>
          </w:tcPr>
          <w:p>
            <w:pPr>
              <w:spacing w:after="0"/>
              <w:rPr>
                <w:sz w:val="20"/>
                <w:szCs w:val="20"/>
                <w:color w:val="auto"/>
              </w:rPr>
            </w:pPr>
            <w:r>
              <w:rPr>
                <w:rFonts w:ascii="Arial" w:cs="Arial" w:eastAsia="Arial" w:hAnsi="Arial"/>
                <w:sz w:val="13"/>
                <w:szCs w:val="13"/>
                <w:color w:val="auto"/>
              </w:rPr>
              <w:t>Distributions to noncontrolling interest</w:t>
            </w:r>
          </w:p>
        </w:tc>
        <w:tc>
          <w:tcPr>
            <w:tcW w:w="9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auto"/>
            </w:tcBorders>
            <w:shd w:val="clear" w:color="auto" w:fill="CEFFE7"/>
          </w:tcPr>
          <w:p>
            <w:pPr>
              <w:spacing w:after="0"/>
              <w:rPr>
                <w:sz w:val="15"/>
                <w:szCs w:val="15"/>
                <w:color w:val="auto"/>
              </w:rPr>
            </w:pPr>
          </w:p>
        </w:tc>
        <w:tc>
          <w:tcPr>
            <w:tcW w:w="700" w:type="dxa"/>
            <w:vAlign w:val="bottom"/>
            <w:tcBorders>
              <w:bottom w:val="single" w:sz="8" w:color="auto"/>
            </w:tcBorders>
            <w:shd w:val="clear" w:color="auto" w:fill="CEFFE7"/>
          </w:tcPr>
          <w:p>
            <w:pPr>
              <w:jc w:val="right"/>
              <w:ind w:right="57"/>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auto"/>
            </w:tcBorders>
            <w:shd w:val="clear" w:color="auto" w:fill="CEFFE7"/>
          </w:tcPr>
          <w:p>
            <w:pPr>
              <w:spacing w:after="0"/>
              <w:rPr>
                <w:sz w:val="15"/>
                <w:szCs w:val="15"/>
                <w:color w:val="auto"/>
              </w:rPr>
            </w:pPr>
          </w:p>
        </w:tc>
        <w:tc>
          <w:tcPr>
            <w:tcW w:w="640" w:type="dxa"/>
            <w:vAlign w:val="bottom"/>
            <w:tcBorders>
              <w:bottom w:val="single" w:sz="8" w:color="auto"/>
            </w:tcBorders>
            <w:shd w:val="clear" w:color="auto" w:fill="CEFFE7"/>
          </w:tcPr>
          <w:p>
            <w:pPr>
              <w:jc w:val="right"/>
              <w:ind w:right="1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shd w:val="clear" w:color="auto" w:fill="CEFFE7"/>
          </w:tcPr>
          <w:p>
            <w:pPr>
              <w:spacing w:after="0"/>
              <w:rPr>
                <w:sz w:val="15"/>
                <w:szCs w:val="15"/>
                <w:color w:val="auto"/>
              </w:rPr>
            </w:pPr>
          </w:p>
        </w:tc>
        <w:tc>
          <w:tcPr>
            <w:tcW w:w="7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auto"/>
            </w:tcBorders>
            <w:shd w:val="clear" w:color="auto" w:fill="CEFFE7"/>
          </w:tcPr>
          <w:p>
            <w:pPr>
              <w:spacing w:after="0"/>
              <w:rPr>
                <w:sz w:val="15"/>
                <w:szCs w:val="15"/>
                <w:color w:val="auto"/>
              </w:rPr>
            </w:pPr>
          </w:p>
        </w:tc>
        <w:tc>
          <w:tcPr>
            <w:tcW w:w="7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auto"/>
            </w:tcBorders>
            <w:shd w:val="clear" w:color="auto" w:fill="CEFFE7"/>
          </w:tcPr>
          <w:p>
            <w:pPr>
              <w:spacing w:after="0"/>
              <w:rPr>
                <w:sz w:val="15"/>
                <w:szCs w:val="15"/>
                <w:color w:val="auto"/>
              </w:rPr>
            </w:pPr>
          </w:p>
        </w:tc>
        <w:tc>
          <w:tcPr>
            <w:tcW w:w="6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auto"/>
            </w:tcBorders>
            <w:shd w:val="clear" w:color="auto" w:fill="CEFFE7"/>
          </w:tcPr>
          <w:p>
            <w:pPr>
              <w:spacing w:after="0"/>
              <w:rPr>
                <w:sz w:val="15"/>
                <w:szCs w:val="15"/>
                <w:color w:val="auto"/>
              </w:rPr>
            </w:pPr>
          </w:p>
        </w:tc>
        <w:tc>
          <w:tcPr>
            <w:tcW w:w="7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3"/>
                <w:szCs w:val="13"/>
                <w:color w:val="auto"/>
              </w:rPr>
              <w:t>(4,644)</w:t>
            </w:r>
          </w:p>
        </w:tc>
        <w:tc>
          <w:tcPr>
            <w:tcW w:w="240" w:type="dxa"/>
            <w:vAlign w:val="bottom"/>
            <w:tcBorders>
              <w:bottom w:val="single" w:sz="8" w:color="auto"/>
            </w:tcBorders>
            <w:shd w:val="clear" w:color="auto" w:fill="CEFFE7"/>
          </w:tcPr>
          <w:p>
            <w:pPr>
              <w:spacing w:after="0"/>
              <w:rPr>
                <w:sz w:val="15"/>
                <w:szCs w:val="15"/>
                <w:color w:val="auto"/>
              </w:rPr>
            </w:pPr>
          </w:p>
        </w:tc>
        <w:tc>
          <w:tcPr>
            <w:tcW w:w="7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3"/>
                <w:szCs w:val="13"/>
                <w:color w:val="auto"/>
              </w:rPr>
              <w:t>(4,644)</w:t>
            </w:r>
          </w:p>
        </w:tc>
        <w:tc>
          <w:tcPr>
            <w:tcW w:w="0" w:type="dxa"/>
            <w:vAlign w:val="bottom"/>
          </w:tcPr>
          <w:p>
            <w:pPr>
              <w:spacing w:after="0"/>
              <w:rPr>
                <w:sz w:val="1"/>
                <w:szCs w:val="1"/>
                <w:color w:val="auto"/>
              </w:rPr>
            </w:pPr>
          </w:p>
        </w:tc>
      </w:tr>
      <w:tr>
        <w:trPr>
          <w:trHeight w:val="142"/>
        </w:trPr>
        <w:tc>
          <w:tcPr>
            <w:tcW w:w="3300" w:type="dxa"/>
            <w:vAlign w:val="bottom"/>
          </w:tcPr>
          <w:p>
            <w:pPr>
              <w:spacing w:after="0" w:line="142" w:lineRule="exact"/>
              <w:rPr>
                <w:sz w:val="20"/>
                <w:szCs w:val="20"/>
                <w:color w:val="auto"/>
              </w:rPr>
            </w:pPr>
            <w:r>
              <w:rPr>
                <w:rFonts w:ascii="Arial" w:cs="Arial" w:eastAsia="Arial" w:hAnsi="Arial"/>
                <w:sz w:val="13"/>
                <w:szCs w:val="13"/>
                <w:b w:val="1"/>
                <w:bCs w:val="1"/>
                <w:color w:val="auto"/>
              </w:rPr>
              <w:t>March 31, 2021</w:t>
            </w:r>
          </w:p>
        </w:tc>
        <w:tc>
          <w:tcPr>
            <w:tcW w:w="9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62,909,973</w:t>
            </w:r>
          </w:p>
        </w:tc>
        <w:tc>
          <w:tcPr>
            <w:tcW w:w="180" w:type="dxa"/>
            <w:vAlign w:val="bottom"/>
            <w:tcBorders>
              <w:bottom w:val="single" w:sz="8" w:color="auto"/>
            </w:tcBorders>
          </w:tcPr>
          <w:p>
            <w:pPr>
              <w:jc w:val="right"/>
              <w:ind w:right="17"/>
              <w:spacing w:after="0" w:line="142" w:lineRule="exact"/>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3"/>
                <w:szCs w:val="13"/>
                <w:color w:val="auto"/>
              </w:rPr>
              <w:t>62,910</w:t>
            </w:r>
          </w:p>
        </w:tc>
        <w:tc>
          <w:tcPr>
            <w:tcW w:w="7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39,940</w:t>
            </w:r>
          </w:p>
        </w:tc>
        <w:tc>
          <w:tcPr>
            <w:tcW w:w="180" w:type="dxa"/>
            <w:vAlign w:val="bottom"/>
            <w:tcBorders>
              <w:bottom w:val="single" w:sz="8" w:color="auto"/>
            </w:tcBorders>
          </w:tcPr>
          <w:p>
            <w:pPr>
              <w:jc w:val="right"/>
              <w:ind w:right="17"/>
              <w:spacing w:after="0" w:line="142" w:lineRule="exact"/>
              <w:rPr>
                <w:sz w:val="20"/>
                <w:szCs w:val="20"/>
                <w:color w:val="auto"/>
              </w:rPr>
            </w:pPr>
            <w:r>
              <w:rPr>
                <w:rFonts w:ascii="Arial" w:cs="Arial" w:eastAsia="Arial" w:hAnsi="Arial"/>
                <w:sz w:val="13"/>
                <w:szCs w:val="13"/>
                <w:color w:val="auto"/>
              </w:rPr>
              <w:t>$</w:t>
            </w:r>
          </w:p>
        </w:tc>
        <w:tc>
          <w:tcPr>
            <w:tcW w:w="6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(2,564)</w:t>
            </w:r>
          </w:p>
        </w:tc>
        <w:tc>
          <w:tcPr>
            <w:tcW w:w="120" w:type="dxa"/>
            <w:vAlign w:val="bottom"/>
            <w:tcBorders>
              <w:bottom w:val="single" w:sz="8" w:color="auto"/>
            </w:tcBorders>
          </w:tcPr>
          <w:p>
            <w:pPr>
              <w:spacing w:after="0" w:line="142" w:lineRule="exact"/>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1,658,957</w:t>
            </w:r>
          </w:p>
        </w:tc>
        <w:tc>
          <w:tcPr>
            <w:tcW w:w="1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82"/>
              </w:rPr>
              <w:t>$</w:t>
            </w:r>
          </w:p>
        </w:tc>
        <w:tc>
          <w:tcPr>
            <w:tcW w:w="7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931,538</w:t>
            </w:r>
          </w:p>
        </w:tc>
        <w:tc>
          <w:tcPr>
            <w:tcW w:w="180" w:type="dxa"/>
            <w:vAlign w:val="bottom"/>
            <w:tcBorders>
              <w:bottom w:val="single" w:sz="8" w:color="auto"/>
            </w:tcBorders>
          </w:tcPr>
          <w:p>
            <w:pPr>
              <w:jc w:val="right"/>
              <w:ind w:right="17"/>
              <w:spacing w:after="0" w:line="142" w:lineRule="exact"/>
              <w:rPr>
                <w:sz w:val="20"/>
                <w:szCs w:val="20"/>
                <w:color w:val="auto"/>
              </w:rPr>
            </w:pPr>
            <w:r>
              <w:rPr>
                <w:rFonts w:ascii="Arial" w:cs="Arial" w:eastAsia="Arial" w:hAnsi="Arial"/>
                <w:sz w:val="13"/>
                <w:szCs w:val="13"/>
                <w:color w:val="auto"/>
              </w:rPr>
              <w:t>$</w:t>
            </w:r>
          </w:p>
        </w:tc>
        <w:tc>
          <w:tcPr>
            <w:tcW w:w="6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(26,328)</w:t>
            </w:r>
          </w:p>
        </w:tc>
        <w:tc>
          <w:tcPr>
            <w:tcW w:w="180" w:type="dxa"/>
            <w:vAlign w:val="bottom"/>
            <w:tcBorders>
              <w:bottom w:val="single" w:sz="8" w:color="auto"/>
            </w:tcBorders>
          </w:tcPr>
          <w:p>
            <w:pPr>
              <w:jc w:val="right"/>
              <w:ind w:right="17"/>
              <w:spacing w:after="0" w:line="142" w:lineRule="exact"/>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100,789</w:t>
            </w:r>
          </w:p>
        </w:tc>
        <w:tc>
          <w:tcPr>
            <w:tcW w:w="240" w:type="dxa"/>
            <w:vAlign w:val="bottom"/>
            <w:tcBorders>
              <w:bottom w:val="single" w:sz="8" w:color="auto"/>
            </w:tcBorders>
          </w:tcPr>
          <w:p>
            <w:pPr>
              <w:jc w:val="right"/>
              <w:ind w:right="77"/>
              <w:spacing w:after="0" w:line="142" w:lineRule="exact"/>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2,725,302</w:t>
            </w: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1840" w:type="dxa"/>
            <w:vAlign w:val="bottom"/>
            <w:tcBorders>
              <w:bottom w:val="single" w:sz="8" w:color="auto"/>
            </w:tcBorders>
            <w:gridSpan w:val="3"/>
          </w:tcPr>
          <w:p>
            <w:pPr>
              <w:spacing w:after="0" w:line="20" w:lineRule="exact"/>
              <w:rPr>
                <w:sz w:val="1"/>
                <w:szCs w:val="1"/>
                <w:color w:val="auto"/>
              </w:rPr>
            </w:pPr>
          </w:p>
        </w:tc>
        <w:tc>
          <w:tcPr>
            <w:tcW w:w="1540" w:type="dxa"/>
            <w:vAlign w:val="bottom"/>
            <w:tcBorders>
              <w:bottom w:val="single" w:sz="8" w:color="auto"/>
            </w:tcBorders>
            <w:gridSpan w:val="3"/>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35"/>
        </w:trPr>
        <w:tc>
          <w:tcPr>
            <w:tcW w:w="3300" w:type="dxa"/>
            <w:vAlign w:val="bottom"/>
          </w:tcPr>
          <w:p>
            <w:pPr>
              <w:spacing w:after="0"/>
              <w:rPr>
                <w:sz w:val="24"/>
                <w:szCs w:val="24"/>
                <w:color w:val="auto"/>
              </w:rPr>
            </w:pPr>
          </w:p>
        </w:tc>
        <w:tc>
          <w:tcPr>
            <w:tcW w:w="1840" w:type="dxa"/>
            <w:vAlign w:val="bottom"/>
            <w:tcBorders>
              <w:bottom w:val="single" w:sz="8" w:color="auto"/>
            </w:tcBorders>
            <w:gridSpan w:val="3"/>
          </w:tcPr>
          <w:p>
            <w:pPr>
              <w:jc w:val="right"/>
              <w:ind w:right="457"/>
              <w:spacing w:after="0"/>
              <w:rPr>
                <w:sz w:val="20"/>
                <w:szCs w:val="20"/>
                <w:color w:val="auto"/>
              </w:rPr>
            </w:pPr>
            <w:r>
              <w:rPr>
                <w:rFonts w:ascii="Arial" w:cs="Arial" w:eastAsia="Arial" w:hAnsi="Arial"/>
                <w:sz w:val="13"/>
                <w:szCs w:val="13"/>
                <w:color w:val="auto"/>
              </w:rPr>
              <w:t>Common Stock</w:t>
            </w:r>
          </w:p>
        </w:tc>
        <w:tc>
          <w:tcPr>
            <w:tcW w:w="1540" w:type="dxa"/>
            <w:vAlign w:val="bottom"/>
            <w:tcBorders>
              <w:bottom w:val="single" w:sz="8" w:color="auto"/>
            </w:tcBorders>
            <w:gridSpan w:val="3"/>
          </w:tcPr>
          <w:p>
            <w:pPr>
              <w:jc w:val="right"/>
              <w:ind w:right="317"/>
              <w:spacing w:after="0"/>
              <w:rPr>
                <w:sz w:val="20"/>
                <w:szCs w:val="20"/>
                <w:color w:val="auto"/>
              </w:rPr>
            </w:pPr>
            <w:r>
              <w:rPr>
                <w:rFonts w:ascii="Arial" w:cs="Arial" w:eastAsia="Arial" w:hAnsi="Arial"/>
                <w:sz w:val="13"/>
                <w:szCs w:val="13"/>
                <w:color w:val="auto"/>
              </w:rPr>
              <w:t>Treasury Stock</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3300" w:type="dxa"/>
            <w:vAlign w:val="bottom"/>
            <w:vMerge w:val="restart"/>
          </w:tcPr>
          <w:p>
            <w:pPr>
              <w:spacing w:after="0"/>
              <w:rPr>
                <w:sz w:val="20"/>
                <w:szCs w:val="20"/>
                <w:color w:val="auto"/>
              </w:rPr>
            </w:pPr>
            <w:r>
              <w:rPr>
                <w:rFonts w:ascii="Arial" w:cs="Arial" w:eastAsia="Arial" w:hAnsi="Arial"/>
                <w:sz w:val="13"/>
                <w:szCs w:val="13"/>
                <w:color w:val="auto"/>
              </w:rPr>
              <w:t>(in thousands except share amounts)</w:t>
            </w:r>
          </w:p>
        </w:tc>
        <w:tc>
          <w:tcPr>
            <w:tcW w:w="960" w:type="dxa"/>
            <w:vAlign w:val="bottom"/>
            <w:vMerge w:val="restart"/>
          </w:tcPr>
          <w:p>
            <w:pPr>
              <w:jc w:val="right"/>
              <w:ind w:right="217"/>
              <w:spacing w:after="0"/>
              <w:rPr>
                <w:sz w:val="20"/>
                <w:szCs w:val="20"/>
                <w:color w:val="auto"/>
              </w:rPr>
            </w:pPr>
            <w:r>
              <w:rPr>
                <w:rFonts w:ascii="Arial" w:cs="Arial" w:eastAsia="Arial" w:hAnsi="Arial"/>
                <w:sz w:val="13"/>
                <w:szCs w:val="13"/>
                <w:color w:val="auto"/>
              </w:rPr>
              <w:t>Shares</w:t>
            </w:r>
          </w:p>
        </w:tc>
        <w:tc>
          <w:tcPr>
            <w:tcW w:w="180" w:type="dxa"/>
            <w:vAlign w:val="bottom"/>
          </w:tcPr>
          <w:p>
            <w:pPr>
              <w:spacing w:after="0"/>
              <w:rPr>
                <w:sz w:val="10"/>
                <w:szCs w:val="10"/>
                <w:color w:val="auto"/>
              </w:rPr>
            </w:pPr>
          </w:p>
        </w:tc>
        <w:tc>
          <w:tcPr>
            <w:tcW w:w="700" w:type="dxa"/>
            <w:vAlign w:val="bottom"/>
            <w:vMerge w:val="restart"/>
          </w:tcPr>
          <w:p>
            <w:pPr>
              <w:jc w:val="right"/>
              <w:ind w:right="237"/>
              <w:spacing w:after="0"/>
              <w:rPr>
                <w:sz w:val="20"/>
                <w:szCs w:val="20"/>
                <w:color w:val="auto"/>
              </w:rPr>
            </w:pPr>
            <w:r>
              <w:rPr>
                <w:rFonts w:ascii="Arial" w:cs="Arial" w:eastAsia="Arial" w:hAnsi="Arial"/>
                <w:sz w:val="13"/>
                <w:szCs w:val="13"/>
                <w:color w:val="auto"/>
              </w:rPr>
              <w:t>Value</w:t>
            </w:r>
          </w:p>
        </w:tc>
        <w:tc>
          <w:tcPr>
            <w:tcW w:w="720" w:type="dxa"/>
            <w:vAlign w:val="bottom"/>
            <w:vMerge w:val="restart"/>
          </w:tcPr>
          <w:p>
            <w:pPr>
              <w:jc w:val="right"/>
              <w:ind w:right="117"/>
              <w:spacing w:after="0"/>
              <w:rPr>
                <w:sz w:val="20"/>
                <w:szCs w:val="20"/>
                <w:color w:val="auto"/>
              </w:rPr>
            </w:pPr>
            <w:r>
              <w:rPr>
                <w:rFonts w:ascii="Arial" w:cs="Arial" w:eastAsia="Arial" w:hAnsi="Arial"/>
                <w:sz w:val="13"/>
                <w:szCs w:val="13"/>
                <w:color w:val="auto"/>
              </w:rPr>
              <w:t>Shares</w:t>
            </w:r>
          </w:p>
        </w:tc>
        <w:tc>
          <w:tcPr>
            <w:tcW w:w="180" w:type="dxa"/>
            <w:vAlign w:val="bottom"/>
          </w:tcPr>
          <w:p>
            <w:pPr>
              <w:spacing w:after="0"/>
              <w:rPr>
                <w:sz w:val="10"/>
                <w:szCs w:val="10"/>
                <w:color w:val="auto"/>
              </w:rPr>
            </w:pPr>
          </w:p>
        </w:tc>
        <w:tc>
          <w:tcPr>
            <w:tcW w:w="640" w:type="dxa"/>
            <w:vAlign w:val="bottom"/>
            <w:vMerge w:val="restart"/>
          </w:tcPr>
          <w:p>
            <w:pPr>
              <w:jc w:val="right"/>
              <w:ind w:right="197"/>
              <w:spacing w:after="0"/>
              <w:rPr>
                <w:sz w:val="20"/>
                <w:szCs w:val="20"/>
                <w:color w:val="auto"/>
              </w:rPr>
            </w:pPr>
            <w:r>
              <w:rPr>
                <w:rFonts w:ascii="Arial" w:cs="Arial" w:eastAsia="Arial" w:hAnsi="Arial"/>
                <w:sz w:val="13"/>
                <w:szCs w:val="13"/>
                <w:color w:val="auto"/>
              </w:rPr>
              <w:t>Value</w:t>
            </w:r>
          </w:p>
        </w:tc>
        <w:tc>
          <w:tcPr>
            <w:tcW w:w="900" w:type="dxa"/>
            <w:vAlign w:val="bottom"/>
            <w:gridSpan w:val="2"/>
          </w:tcPr>
          <w:p>
            <w:pPr>
              <w:ind w:left="20"/>
              <w:spacing w:after="0" w:line="116" w:lineRule="exact"/>
              <w:rPr>
                <w:sz w:val="20"/>
                <w:szCs w:val="20"/>
                <w:color w:val="auto"/>
              </w:rPr>
            </w:pPr>
            <w:r>
              <w:rPr>
                <w:rFonts w:ascii="Arial" w:cs="Arial" w:eastAsia="Arial" w:hAnsi="Arial"/>
                <w:sz w:val="13"/>
                <w:szCs w:val="13"/>
                <w:color w:val="auto"/>
                <w:w w:val="99"/>
              </w:rPr>
              <w:t>Additional Paid</w:t>
            </w:r>
          </w:p>
        </w:tc>
        <w:tc>
          <w:tcPr>
            <w:tcW w:w="140" w:type="dxa"/>
            <w:vAlign w:val="bottom"/>
          </w:tcPr>
          <w:p>
            <w:pPr>
              <w:spacing w:after="0"/>
              <w:rPr>
                <w:sz w:val="10"/>
                <w:szCs w:val="10"/>
                <w:color w:val="auto"/>
              </w:rPr>
            </w:pPr>
          </w:p>
        </w:tc>
        <w:tc>
          <w:tcPr>
            <w:tcW w:w="720" w:type="dxa"/>
            <w:vAlign w:val="bottom"/>
          </w:tcPr>
          <w:p>
            <w:pPr>
              <w:jc w:val="right"/>
              <w:ind w:right="117"/>
              <w:spacing w:after="0" w:line="116" w:lineRule="exact"/>
              <w:rPr>
                <w:sz w:val="20"/>
                <w:szCs w:val="20"/>
                <w:color w:val="auto"/>
              </w:rPr>
            </w:pPr>
            <w:r>
              <w:rPr>
                <w:rFonts w:ascii="Arial" w:cs="Arial" w:eastAsia="Arial" w:hAnsi="Arial"/>
                <w:sz w:val="13"/>
                <w:szCs w:val="13"/>
                <w:color w:val="auto"/>
                <w:w w:val="99"/>
              </w:rPr>
              <w:t>Retained</w:t>
            </w:r>
          </w:p>
        </w:tc>
        <w:tc>
          <w:tcPr>
            <w:tcW w:w="180" w:type="dxa"/>
            <w:vAlign w:val="bottom"/>
          </w:tcPr>
          <w:p>
            <w:pPr>
              <w:spacing w:after="0"/>
              <w:rPr>
                <w:sz w:val="10"/>
                <w:szCs w:val="10"/>
                <w:color w:val="auto"/>
              </w:rPr>
            </w:pPr>
          </w:p>
        </w:tc>
        <w:tc>
          <w:tcPr>
            <w:tcW w:w="620" w:type="dxa"/>
            <w:vAlign w:val="bottom"/>
            <w:vMerge w:val="restart"/>
          </w:tcPr>
          <w:p>
            <w:pPr>
              <w:jc w:val="right"/>
              <w:ind w:right="177"/>
              <w:spacing w:after="0"/>
              <w:rPr>
                <w:sz w:val="20"/>
                <w:szCs w:val="20"/>
                <w:color w:val="auto"/>
              </w:rPr>
            </w:pPr>
            <w:r>
              <w:rPr>
                <w:rFonts w:ascii="Arial" w:cs="Arial" w:eastAsia="Arial" w:hAnsi="Arial"/>
                <w:sz w:val="13"/>
                <w:szCs w:val="13"/>
                <w:color w:val="auto"/>
              </w:rPr>
              <w:t>AOCI</w:t>
            </w:r>
          </w:p>
        </w:tc>
        <w:tc>
          <w:tcPr>
            <w:tcW w:w="920" w:type="dxa"/>
            <w:vAlign w:val="bottom"/>
            <w:gridSpan w:val="2"/>
          </w:tcPr>
          <w:p>
            <w:pPr>
              <w:jc w:val="center"/>
              <w:spacing w:after="0" w:line="116" w:lineRule="exact"/>
              <w:rPr>
                <w:sz w:val="20"/>
                <w:szCs w:val="20"/>
                <w:color w:val="auto"/>
              </w:rPr>
            </w:pPr>
            <w:r>
              <w:rPr>
                <w:rFonts w:ascii="Arial" w:cs="Arial" w:eastAsia="Arial" w:hAnsi="Arial"/>
                <w:sz w:val="13"/>
                <w:szCs w:val="13"/>
                <w:color w:val="auto"/>
                <w:w w:val="96"/>
              </w:rPr>
              <w:t>Non controlling</w:t>
            </w:r>
          </w:p>
        </w:tc>
        <w:tc>
          <w:tcPr>
            <w:tcW w:w="240" w:type="dxa"/>
            <w:vAlign w:val="bottom"/>
          </w:tcPr>
          <w:p>
            <w:pPr>
              <w:spacing w:after="0"/>
              <w:rPr>
                <w:sz w:val="10"/>
                <w:szCs w:val="10"/>
                <w:color w:val="auto"/>
              </w:rPr>
            </w:pPr>
          </w:p>
        </w:tc>
        <w:tc>
          <w:tcPr>
            <w:tcW w:w="780" w:type="dxa"/>
            <w:vAlign w:val="bottom"/>
            <w:vMerge w:val="restart"/>
          </w:tcPr>
          <w:p>
            <w:pPr>
              <w:jc w:val="right"/>
              <w:ind w:right="317"/>
              <w:spacing w:after="0"/>
              <w:rPr>
                <w:sz w:val="20"/>
                <w:szCs w:val="20"/>
                <w:color w:val="auto"/>
              </w:rPr>
            </w:pPr>
            <w:r>
              <w:rPr>
                <w:rFonts w:ascii="Arial" w:cs="Arial" w:eastAsia="Arial" w:hAnsi="Arial"/>
                <w:sz w:val="13"/>
                <w:szCs w:val="13"/>
                <w:color w:val="auto"/>
              </w:rPr>
              <w:t>Total</w:t>
            </w:r>
          </w:p>
        </w:tc>
        <w:tc>
          <w:tcPr>
            <w:tcW w:w="0" w:type="dxa"/>
            <w:vAlign w:val="bottom"/>
          </w:tcPr>
          <w:p>
            <w:pPr>
              <w:spacing w:after="0"/>
              <w:rPr>
                <w:sz w:val="1"/>
                <w:szCs w:val="1"/>
                <w:color w:val="auto"/>
              </w:rPr>
            </w:pPr>
          </w:p>
        </w:tc>
      </w:tr>
      <w:tr>
        <w:trPr>
          <w:trHeight w:val="161"/>
        </w:trPr>
        <w:tc>
          <w:tcPr>
            <w:tcW w:w="3300" w:type="dxa"/>
            <w:vAlign w:val="bottom"/>
            <w:tcBorders>
              <w:bottom w:val="single" w:sz="8" w:color="CEFFE7"/>
            </w:tcBorders>
            <w:vMerge w:val="continue"/>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color w:val="auto"/>
              </w:rPr>
              <w:t>in Capital</w:t>
            </w: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auto"/>
              </w:rPr>
              <w:t>Earnings</w:t>
            </w: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97"/>
              <w:spacing w:after="0"/>
              <w:rPr>
                <w:sz w:val="20"/>
                <w:szCs w:val="20"/>
                <w:color w:val="auto"/>
              </w:rPr>
            </w:pPr>
            <w:r>
              <w:rPr>
                <w:rFonts w:ascii="Arial" w:cs="Arial" w:eastAsia="Arial" w:hAnsi="Arial"/>
                <w:sz w:val="13"/>
                <w:szCs w:val="13"/>
                <w:color w:val="auto"/>
                <w:w w:val="96"/>
              </w:rPr>
              <w:t>Interest</w:t>
            </w: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300" w:type="dxa"/>
            <w:vAlign w:val="bottom"/>
            <w:shd w:val="clear" w:color="auto" w:fill="CEFFE7"/>
          </w:tcPr>
          <w:p>
            <w:pPr>
              <w:spacing w:after="0"/>
              <w:rPr>
                <w:sz w:val="20"/>
                <w:szCs w:val="20"/>
                <w:color w:val="auto"/>
              </w:rPr>
            </w:pPr>
            <w:r>
              <w:rPr>
                <w:rFonts w:ascii="Arial" w:cs="Arial" w:eastAsia="Arial" w:hAnsi="Arial"/>
                <w:sz w:val="13"/>
                <w:szCs w:val="13"/>
                <w:b w:val="1"/>
                <w:bCs w:val="1"/>
                <w:color w:val="auto"/>
              </w:rPr>
              <w:t>December 31, 2019</w:t>
            </w:r>
          </w:p>
        </w:tc>
        <w:tc>
          <w:tcPr>
            <w:tcW w:w="960" w:type="dxa"/>
            <w:vAlign w:val="bottom"/>
            <w:shd w:val="clear" w:color="auto" w:fill="CEFFE7"/>
          </w:tcPr>
          <w:p>
            <w:pPr>
              <w:jc w:val="right"/>
              <w:spacing w:after="0"/>
              <w:rPr>
                <w:sz w:val="20"/>
                <w:szCs w:val="20"/>
                <w:color w:val="auto"/>
              </w:rPr>
            </w:pPr>
            <w:r>
              <w:rPr>
                <w:rFonts w:ascii="Arial" w:cs="Arial" w:eastAsia="Arial" w:hAnsi="Arial"/>
                <w:sz w:val="13"/>
                <w:szCs w:val="13"/>
                <w:color w:val="auto"/>
              </w:rPr>
              <w:t>61,480,658</w:t>
            </w:r>
          </w:p>
        </w:tc>
        <w:tc>
          <w:tcPr>
            <w:tcW w:w="180" w:type="dxa"/>
            <w:vAlign w:val="bottom"/>
            <w:shd w:val="clear" w:color="auto" w:fill="CEFFE7"/>
          </w:tcPr>
          <w:p>
            <w:pPr>
              <w:jc w:val="right"/>
              <w:ind w:right="17"/>
              <w:spacing w:after="0"/>
              <w:rPr>
                <w:sz w:val="20"/>
                <w:szCs w:val="20"/>
                <w:color w:val="auto"/>
              </w:rPr>
            </w:pPr>
            <w:r>
              <w:rPr>
                <w:rFonts w:ascii="Arial" w:cs="Arial" w:eastAsia="Arial" w:hAnsi="Arial"/>
                <w:sz w:val="13"/>
                <w:szCs w:val="13"/>
                <w:color w:val="auto"/>
              </w:rPr>
              <w:t>$</w:t>
            </w:r>
          </w:p>
        </w:tc>
        <w:tc>
          <w:tcPr>
            <w:tcW w:w="700" w:type="dxa"/>
            <w:vAlign w:val="bottom"/>
            <w:shd w:val="clear" w:color="auto" w:fill="CEFFE7"/>
          </w:tcPr>
          <w:p>
            <w:pPr>
              <w:jc w:val="right"/>
              <w:ind w:right="57"/>
              <w:spacing w:after="0"/>
              <w:rPr>
                <w:sz w:val="20"/>
                <w:szCs w:val="20"/>
                <w:color w:val="auto"/>
              </w:rPr>
            </w:pPr>
            <w:r>
              <w:rPr>
                <w:rFonts w:ascii="Arial" w:cs="Arial" w:eastAsia="Arial" w:hAnsi="Arial"/>
                <w:sz w:val="13"/>
                <w:szCs w:val="13"/>
                <w:color w:val="auto"/>
              </w:rPr>
              <w:t>61,481</w:t>
            </w:r>
          </w:p>
        </w:tc>
        <w:tc>
          <w:tcPr>
            <w:tcW w:w="720" w:type="dxa"/>
            <w:vAlign w:val="bottom"/>
            <w:shd w:val="clear" w:color="auto" w:fill="CEFFE7"/>
          </w:tcPr>
          <w:p>
            <w:pPr>
              <w:jc w:val="right"/>
              <w:spacing w:after="0"/>
              <w:rPr>
                <w:sz w:val="20"/>
                <w:szCs w:val="20"/>
                <w:color w:val="auto"/>
              </w:rPr>
            </w:pPr>
            <w:r>
              <w:rPr>
                <w:rFonts w:ascii="Arial" w:cs="Arial" w:eastAsia="Arial" w:hAnsi="Arial"/>
                <w:sz w:val="13"/>
                <w:szCs w:val="13"/>
                <w:color w:val="auto"/>
              </w:rPr>
              <w:t>3,956</w:t>
            </w:r>
          </w:p>
        </w:tc>
        <w:tc>
          <w:tcPr>
            <w:tcW w:w="180" w:type="dxa"/>
            <w:vAlign w:val="bottom"/>
            <w:shd w:val="clear" w:color="auto" w:fill="CEFFE7"/>
          </w:tcPr>
          <w:p>
            <w:pPr>
              <w:jc w:val="right"/>
              <w:ind w:right="17"/>
              <w:spacing w:after="0"/>
              <w:rPr>
                <w:sz w:val="20"/>
                <w:szCs w:val="20"/>
                <w:color w:val="auto"/>
              </w:rPr>
            </w:pPr>
            <w:r>
              <w:rPr>
                <w:rFonts w:ascii="Arial" w:cs="Arial" w:eastAsia="Arial" w:hAnsi="Arial"/>
                <w:sz w:val="13"/>
                <w:szCs w:val="13"/>
                <w:color w:val="auto"/>
              </w:rPr>
              <w:t>$</w:t>
            </w:r>
          </w:p>
        </w:tc>
        <w:tc>
          <w:tcPr>
            <w:tcW w:w="640" w:type="dxa"/>
            <w:vAlign w:val="bottom"/>
            <w:shd w:val="clear" w:color="auto" w:fill="CEFFE7"/>
          </w:tcPr>
          <w:p>
            <w:pPr>
              <w:jc w:val="right"/>
              <w:spacing w:after="0"/>
              <w:rPr>
                <w:sz w:val="20"/>
                <w:szCs w:val="20"/>
                <w:color w:val="auto"/>
              </w:rPr>
            </w:pPr>
            <w:r>
              <w:rPr>
                <w:rFonts w:ascii="Arial" w:cs="Arial" w:eastAsia="Arial" w:hAnsi="Arial"/>
                <w:sz w:val="13"/>
                <w:szCs w:val="13"/>
                <w:color w:val="auto"/>
              </w:rPr>
              <w:t>(267)</w:t>
            </w:r>
          </w:p>
        </w:tc>
        <w:tc>
          <w:tcPr>
            <w:tcW w:w="120" w:type="dxa"/>
            <w:vAlign w:val="bottom"/>
            <w:shd w:val="clear" w:color="auto" w:fill="CEFFE7"/>
          </w:tcPr>
          <w:p>
            <w:pPr>
              <w:spacing w:after="0"/>
              <w:rPr>
                <w:sz w:val="20"/>
                <w:szCs w:val="20"/>
                <w:color w:val="auto"/>
              </w:rPr>
            </w:pPr>
            <w:r>
              <w:rPr>
                <w:rFonts w:ascii="Arial" w:cs="Arial" w:eastAsia="Arial" w:hAnsi="Arial"/>
                <w:sz w:val="13"/>
                <w:szCs w:val="13"/>
                <w:color w:val="auto"/>
              </w:rPr>
              <w:t>$</w:t>
            </w:r>
          </w:p>
        </w:tc>
        <w:tc>
          <w:tcPr>
            <w:tcW w:w="780" w:type="dxa"/>
            <w:vAlign w:val="bottom"/>
            <w:shd w:val="clear" w:color="auto" w:fill="CEFFE7"/>
          </w:tcPr>
          <w:p>
            <w:pPr>
              <w:jc w:val="right"/>
              <w:spacing w:after="0"/>
              <w:rPr>
                <w:sz w:val="20"/>
                <w:szCs w:val="20"/>
                <w:color w:val="auto"/>
              </w:rPr>
            </w:pPr>
            <w:r>
              <w:rPr>
                <w:rFonts w:ascii="Arial" w:cs="Arial" w:eastAsia="Arial" w:hAnsi="Arial"/>
                <w:sz w:val="13"/>
                <w:szCs w:val="13"/>
                <w:color w:val="auto"/>
              </w:rPr>
              <w:t>1,552,788</w:t>
            </w:r>
          </w:p>
        </w:tc>
        <w:tc>
          <w:tcPr>
            <w:tcW w:w="140" w:type="dxa"/>
            <w:vAlign w:val="bottom"/>
            <w:shd w:val="clear" w:color="auto" w:fill="CEFFE7"/>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EFFE7"/>
          </w:tcPr>
          <w:p>
            <w:pPr>
              <w:jc w:val="right"/>
              <w:spacing w:after="0"/>
              <w:rPr>
                <w:sz w:val="20"/>
                <w:szCs w:val="20"/>
                <w:color w:val="auto"/>
              </w:rPr>
            </w:pPr>
            <w:r>
              <w:rPr>
                <w:rFonts w:ascii="Arial" w:cs="Arial" w:eastAsia="Arial" w:hAnsi="Arial"/>
                <w:sz w:val="13"/>
                <w:szCs w:val="13"/>
                <w:color w:val="auto"/>
              </w:rPr>
              <w:t>778,776</w:t>
            </w:r>
          </w:p>
        </w:tc>
        <w:tc>
          <w:tcPr>
            <w:tcW w:w="180" w:type="dxa"/>
            <w:vAlign w:val="bottom"/>
            <w:shd w:val="clear" w:color="auto" w:fill="CEFFE7"/>
          </w:tcPr>
          <w:p>
            <w:pPr>
              <w:jc w:val="right"/>
              <w:ind w:right="17"/>
              <w:spacing w:after="0"/>
              <w:rPr>
                <w:sz w:val="20"/>
                <w:szCs w:val="20"/>
                <w:color w:val="auto"/>
              </w:rPr>
            </w:pPr>
            <w:r>
              <w:rPr>
                <w:rFonts w:ascii="Arial" w:cs="Arial" w:eastAsia="Arial" w:hAnsi="Arial"/>
                <w:sz w:val="13"/>
                <w:szCs w:val="13"/>
                <w:color w:val="auto"/>
              </w:rPr>
              <w:t>$</w:t>
            </w:r>
          </w:p>
        </w:tc>
        <w:tc>
          <w:tcPr>
            <w:tcW w:w="620" w:type="dxa"/>
            <w:vAlign w:val="bottom"/>
            <w:shd w:val="clear" w:color="auto" w:fill="CEFFE7"/>
          </w:tcPr>
          <w:p>
            <w:pPr>
              <w:jc w:val="right"/>
              <w:spacing w:after="0"/>
              <w:rPr>
                <w:sz w:val="20"/>
                <w:szCs w:val="20"/>
                <w:color w:val="auto"/>
              </w:rPr>
            </w:pPr>
            <w:r>
              <w:rPr>
                <w:rFonts w:ascii="Arial" w:cs="Arial" w:eastAsia="Arial" w:hAnsi="Arial"/>
                <w:sz w:val="13"/>
                <w:szCs w:val="13"/>
                <w:color w:val="auto"/>
              </w:rPr>
              <w:t>(30,655)</w:t>
            </w:r>
          </w:p>
        </w:tc>
        <w:tc>
          <w:tcPr>
            <w:tcW w:w="180" w:type="dxa"/>
            <w:vAlign w:val="bottom"/>
            <w:shd w:val="clear" w:color="auto" w:fill="CEFFE7"/>
          </w:tcPr>
          <w:p>
            <w:pPr>
              <w:jc w:val="right"/>
              <w:ind w:right="17"/>
              <w:spacing w:after="0"/>
              <w:rPr>
                <w:sz w:val="20"/>
                <w:szCs w:val="20"/>
                <w:color w:val="auto"/>
              </w:rPr>
            </w:pPr>
            <w:r>
              <w:rPr>
                <w:rFonts w:ascii="Arial" w:cs="Arial" w:eastAsia="Arial" w:hAnsi="Arial"/>
                <w:sz w:val="13"/>
                <w:szCs w:val="13"/>
                <w:color w:val="auto"/>
              </w:rPr>
              <w:t>$</w:t>
            </w:r>
          </w:p>
        </w:tc>
        <w:tc>
          <w:tcPr>
            <w:tcW w:w="740" w:type="dxa"/>
            <w:vAlign w:val="bottom"/>
            <w:shd w:val="clear" w:color="auto" w:fill="CEFFE7"/>
          </w:tcPr>
          <w:p>
            <w:pPr>
              <w:jc w:val="right"/>
              <w:spacing w:after="0"/>
              <w:rPr>
                <w:sz w:val="20"/>
                <w:szCs w:val="20"/>
                <w:color w:val="auto"/>
              </w:rPr>
            </w:pPr>
            <w:r>
              <w:rPr>
                <w:rFonts w:ascii="Arial" w:cs="Arial" w:eastAsia="Arial" w:hAnsi="Arial"/>
                <w:sz w:val="13"/>
                <w:szCs w:val="13"/>
                <w:color w:val="auto"/>
              </w:rPr>
              <w:t>101,946</w:t>
            </w:r>
          </w:p>
        </w:tc>
        <w:tc>
          <w:tcPr>
            <w:tcW w:w="240" w:type="dxa"/>
            <w:vAlign w:val="bottom"/>
            <w:shd w:val="clear" w:color="auto" w:fill="CEFFE7"/>
          </w:tcPr>
          <w:p>
            <w:pPr>
              <w:jc w:val="right"/>
              <w:ind w:right="77"/>
              <w:spacing w:after="0"/>
              <w:rPr>
                <w:sz w:val="20"/>
                <w:szCs w:val="20"/>
                <w:color w:val="auto"/>
              </w:rPr>
            </w:pPr>
            <w:r>
              <w:rPr>
                <w:rFonts w:ascii="Arial" w:cs="Arial" w:eastAsia="Arial" w:hAnsi="Arial"/>
                <w:sz w:val="13"/>
                <w:szCs w:val="13"/>
                <w:color w:val="auto"/>
              </w:rPr>
              <w:t>$</w:t>
            </w:r>
          </w:p>
        </w:tc>
        <w:tc>
          <w:tcPr>
            <w:tcW w:w="780" w:type="dxa"/>
            <w:vAlign w:val="bottom"/>
            <w:shd w:val="clear" w:color="auto" w:fill="CEFFE7"/>
          </w:tcPr>
          <w:p>
            <w:pPr>
              <w:jc w:val="right"/>
              <w:spacing w:after="0"/>
              <w:rPr>
                <w:sz w:val="20"/>
                <w:szCs w:val="20"/>
                <w:color w:val="auto"/>
              </w:rPr>
            </w:pPr>
            <w:r>
              <w:rPr>
                <w:rFonts w:ascii="Arial" w:cs="Arial" w:eastAsia="Arial" w:hAnsi="Arial"/>
                <w:sz w:val="13"/>
                <w:szCs w:val="13"/>
                <w:color w:val="auto"/>
              </w:rPr>
              <w:t>2,464,069</w:t>
            </w:r>
          </w:p>
        </w:tc>
        <w:tc>
          <w:tcPr>
            <w:tcW w:w="0" w:type="dxa"/>
            <w:vAlign w:val="bottom"/>
          </w:tcPr>
          <w:p>
            <w:pPr>
              <w:spacing w:after="0"/>
              <w:rPr>
                <w:sz w:val="1"/>
                <w:szCs w:val="1"/>
                <w:color w:val="auto"/>
              </w:rPr>
            </w:pPr>
          </w:p>
        </w:tc>
      </w:tr>
      <w:tr>
        <w:trPr>
          <w:trHeight w:val="168"/>
        </w:trPr>
        <w:tc>
          <w:tcPr>
            <w:tcW w:w="3300" w:type="dxa"/>
            <w:vAlign w:val="bottom"/>
          </w:tcPr>
          <w:p>
            <w:pPr>
              <w:spacing w:after="0"/>
              <w:rPr>
                <w:sz w:val="20"/>
                <w:szCs w:val="20"/>
                <w:color w:val="auto"/>
              </w:rPr>
            </w:pPr>
            <w:r>
              <w:rPr>
                <w:rFonts w:ascii="Arial" w:cs="Arial" w:eastAsia="Arial" w:hAnsi="Arial"/>
                <w:sz w:val="13"/>
                <w:szCs w:val="13"/>
                <w:color w:val="auto"/>
              </w:rPr>
              <w:t>Net income</w:t>
            </w: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93,174</w:t>
            </w: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4,050</w:t>
            </w: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97,224</w:t>
            </w:r>
          </w:p>
        </w:tc>
        <w:tc>
          <w:tcPr>
            <w:tcW w:w="0" w:type="dxa"/>
            <w:vAlign w:val="bottom"/>
          </w:tcPr>
          <w:p>
            <w:pPr>
              <w:spacing w:after="0"/>
              <w:rPr>
                <w:sz w:val="1"/>
                <w:szCs w:val="1"/>
                <w:color w:val="auto"/>
              </w:rPr>
            </w:pPr>
          </w:p>
        </w:tc>
      </w:tr>
      <w:tr>
        <w:trPr>
          <w:trHeight w:val="184"/>
        </w:trPr>
        <w:tc>
          <w:tcPr>
            <w:tcW w:w="3300" w:type="dxa"/>
            <w:vAlign w:val="bottom"/>
            <w:shd w:val="clear" w:color="auto" w:fill="CEFFE7"/>
          </w:tcPr>
          <w:p>
            <w:pPr>
              <w:spacing w:after="0"/>
              <w:rPr>
                <w:sz w:val="20"/>
                <w:szCs w:val="20"/>
                <w:color w:val="auto"/>
              </w:rPr>
            </w:pPr>
            <w:r>
              <w:rPr>
                <w:rFonts w:ascii="Arial" w:cs="Arial" w:eastAsia="Arial" w:hAnsi="Arial"/>
                <w:sz w:val="13"/>
                <w:szCs w:val="13"/>
                <w:color w:val="auto"/>
              </w:rPr>
              <w:t>Other comprehensive income (loss), net of tax</w:t>
            </w:r>
          </w:p>
        </w:tc>
        <w:tc>
          <w:tcPr>
            <w:tcW w:w="96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EFFE7"/>
          </w:tcPr>
          <w:p>
            <w:pPr>
              <w:spacing w:after="0"/>
              <w:rPr>
                <w:sz w:val="15"/>
                <w:szCs w:val="15"/>
                <w:color w:val="auto"/>
              </w:rPr>
            </w:pPr>
          </w:p>
        </w:tc>
        <w:tc>
          <w:tcPr>
            <w:tcW w:w="700" w:type="dxa"/>
            <w:vAlign w:val="bottom"/>
            <w:shd w:val="clear" w:color="auto" w:fill="CEFFE7"/>
          </w:tcPr>
          <w:p>
            <w:pPr>
              <w:jc w:val="right"/>
              <w:ind w:right="57"/>
              <w:spacing w:after="0"/>
              <w:rPr>
                <w:sz w:val="20"/>
                <w:szCs w:val="20"/>
                <w:color w:val="auto"/>
              </w:rPr>
            </w:pPr>
            <w:r>
              <w:rPr>
                <w:rFonts w:ascii="Arial" w:cs="Arial" w:eastAsia="Arial" w:hAnsi="Arial"/>
                <w:sz w:val="13"/>
                <w:szCs w:val="13"/>
                <w:color w:val="auto"/>
              </w:rPr>
              <w:t>—</w:t>
            </w:r>
          </w:p>
        </w:tc>
        <w:tc>
          <w:tcPr>
            <w:tcW w:w="72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EFFE7"/>
          </w:tcPr>
          <w:p>
            <w:pPr>
              <w:spacing w:after="0"/>
              <w:rPr>
                <w:sz w:val="15"/>
                <w:szCs w:val="15"/>
                <w:color w:val="auto"/>
              </w:rPr>
            </w:pPr>
          </w:p>
        </w:tc>
        <w:tc>
          <w:tcPr>
            <w:tcW w:w="640" w:type="dxa"/>
            <w:vAlign w:val="bottom"/>
            <w:shd w:val="clear" w:color="auto" w:fill="CEFFE7"/>
          </w:tcPr>
          <w:p>
            <w:pPr>
              <w:jc w:val="right"/>
              <w:ind w:right="17"/>
              <w:spacing w:after="0"/>
              <w:rPr>
                <w:sz w:val="20"/>
                <w:szCs w:val="20"/>
                <w:color w:val="auto"/>
              </w:rPr>
            </w:pPr>
            <w:r>
              <w:rPr>
                <w:rFonts w:ascii="Arial" w:cs="Arial" w:eastAsia="Arial" w:hAnsi="Arial"/>
                <w:sz w:val="13"/>
                <w:szCs w:val="13"/>
                <w:color w:val="auto"/>
              </w:rPr>
              <w:t>—</w:t>
            </w:r>
          </w:p>
        </w:tc>
        <w:tc>
          <w:tcPr>
            <w:tcW w:w="120" w:type="dxa"/>
            <w:vAlign w:val="bottom"/>
            <w:shd w:val="clear" w:color="auto" w:fill="CEFFE7"/>
          </w:tcPr>
          <w:p>
            <w:pPr>
              <w:spacing w:after="0"/>
              <w:rPr>
                <w:sz w:val="15"/>
                <w:szCs w:val="15"/>
                <w:color w:val="auto"/>
              </w:rPr>
            </w:pPr>
          </w:p>
        </w:tc>
        <w:tc>
          <w:tcPr>
            <w:tcW w:w="78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EFFE7"/>
          </w:tcPr>
          <w:p>
            <w:pPr>
              <w:spacing w:after="0"/>
              <w:rPr>
                <w:sz w:val="15"/>
                <w:szCs w:val="15"/>
                <w:color w:val="auto"/>
              </w:rPr>
            </w:pPr>
          </w:p>
        </w:tc>
        <w:tc>
          <w:tcPr>
            <w:tcW w:w="72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EFFE7"/>
          </w:tcPr>
          <w:p>
            <w:pPr>
              <w:spacing w:after="0"/>
              <w:rPr>
                <w:sz w:val="15"/>
                <w:szCs w:val="15"/>
                <w:color w:val="auto"/>
              </w:rPr>
            </w:pPr>
          </w:p>
        </w:tc>
        <w:tc>
          <w:tcPr>
            <w:tcW w:w="620" w:type="dxa"/>
            <w:vAlign w:val="bottom"/>
            <w:shd w:val="clear" w:color="auto" w:fill="CEFFE7"/>
          </w:tcPr>
          <w:p>
            <w:pPr>
              <w:jc w:val="right"/>
              <w:spacing w:after="0"/>
              <w:rPr>
                <w:sz w:val="20"/>
                <w:szCs w:val="20"/>
                <w:color w:val="auto"/>
              </w:rPr>
            </w:pPr>
            <w:r>
              <w:rPr>
                <w:rFonts w:ascii="Arial" w:cs="Arial" w:eastAsia="Arial" w:hAnsi="Arial"/>
                <w:sz w:val="13"/>
                <w:szCs w:val="13"/>
                <w:color w:val="auto"/>
              </w:rPr>
              <w:t>1,273</w:t>
            </w:r>
          </w:p>
        </w:tc>
        <w:tc>
          <w:tcPr>
            <w:tcW w:w="180" w:type="dxa"/>
            <w:vAlign w:val="bottom"/>
            <w:shd w:val="clear" w:color="auto" w:fill="CEFFE7"/>
          </w:tcPr>
          <w:p>
            <w:pPr>
              <w:spacing w:after="0"/>
              <w:rPr>
                <w:sz w:val="15"/>
                <w:szCs w:val="15"/>
                <w:color w:val="auto"/>
              </w:rPr>
            </w:pPr>
          </w:p>
        </w:tc>
        <w:tc>
          <w:tcPr>
            <w:tcW w:w="74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EFFE7"/>
          </w:tcPr>
          <w:p>
            <w:pPr>
              <w:spacing w:after="0"/>
              <w:rPr>
                <w:sz w:val="15"/>
                <w:szCs w:val="15"/>
                <w:color w:val="auto"/>
              </w:rPr>
            </w:pPr>
          </w:p>
        </w:tc>
        <w:tc>
          <w:tcPr>
            <w:tcW w:w="780" w:type="dxa"/>
            <w:vAlign w:val="bottom"/>
            <w:shd w:val="clear" w:color="auto" w:fill="CEFFE7"/>
          </w:tcPr>
          <w:p>
            <w:pPr>
              <w:jc w:val="right"/>
              <w:spacing w:after="0"/>
              <w:rPr>
                <w:sz w:val="20"/>
                <w:szCs w:val="20"/>
                <w:color w:val="auto"/>
              </w:rPr>
            </w:pPr>
            <w:r>
              <w:rPr>
                <w:rFonts w:ascii="Arial" w:cs="Arial" w:eastAsia="Arial" w:hAnsi="Arial"/>
                <w:sz w:val="13"/>
                <w:szCs w:val="13"/>
                <w:color w:val="auto"/>
              </w:rPr>
              <w:t>1,273</w:t>
            </w:r>
          </w:p>
        </w:tc>
        <w:tc>
          <w:tcPr>
            <w:tcW w:w="0" w:type="dxa"/>
            <w:vAlign w:val="bottom"/>
          </w:tcPr>
          <w:p>
            <w:pPr>
              <w:spacing w:after="0"/>
              <w:rPr>
                <w:sz w:val="1"/>
                <w:szCs w:val="1"/>
                <w:color w:val="auto"/>
              </w:rPr>
            </w:pPr>
          </w:p>
        </w:tc>
      </w:tr>
      <w:tr>
        <w:trPr>
          <w:trHeight w:val="168"/>
        </w:trPr>
        <w:tc>
          <w:tcPr>
            <w:tcW w:w="3300" w:type="dxa"/>
            <w:vAlign w:val="bottom"/>
          </w:tcPr>
          <w:p>
            <w:pPr>
              <w:spacing w:after="0"/>
              <w:rPr>
                <w:sz w:val="20"/>
                <w:szCs w:val="20"/>
                <w:color w:val="auto"/>
              </w:rPr>
            </w:pPr>
            <w:r>
              <w:rPr>
                <w:rFonts w:ascii="Arial" w:cs="Arial" w:eastAsia="Arial" w:hAnsi="Arial"/>
                <w:sz w:val="13"/>
                <w:szCs w:val="13"/>
                <w:color w:val="auto"/>
              </w:rPr>
              <w:t>Dividends on common stock ($0.535 per share)</w:t>
            </w: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(32,902)</w:t>
            </w: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(32,902)</w:t>
            </w:r>
          </w:p>
        </w:tc>
        <w:tc>
          <w:tcPr>
            <w:tcW w:w="0" w:type="dxa"/>
            <w:vAlign w:val="bottom"/>
          </w:tcPr>
          <w:p>
            <w:pPr>
              <w:spacing w:after="0"/>
              <w:rPr>
                <w:sz w:val="1"/>
                <w:szCs w:val="1"/>
                <w:color w:val="auto"/>
              </w:rPr>
            </w:pPr>
          </w:p>
        </w:tc>
      </w:tr>
      <w:tr>
        <w:trPr>
          <w:trHeight w:val="183"/>
        </w:trPr>
        <w:tc>
          <w:tcPr>
            <w:tcW w:w="3300" w:type="dxa"/>
            <w:vAlign w:val="bottom"/>
            <w:shd w:val="clear" w:color="auto" w:fill="CEFFE7"/>
          </w:tcPr>
          <w:p>
            <w:pPr>
              <w:spacing w:after="0"/>
              <w:rPr>
                <w:sz w:val="20"/>
                <w:szCs w:val="20"/>
                <w:color w:val="auto"/>
              </w:rPr>
            </w:pPr>
            <w:r>
              <w:rPr>
                <w:rFonts w:ascii="Arial" w:cs="Arial" w:eastAsia="Arial" w:hAnsi="Arial"/>
                <w:sz w:val="13"/>
                <w:szCs w:val="13"/>
                <w:color w:val="auto"/>
              </w:rPr>
              <w:t>Share-based compensation</w:t>
            </w:r>
          </w:p>
        </w:tc>
        <w:tc>
          <w:tcPr>
            <w:tcW w:w="960" w:type="dxa"/>
            <w:vAlign w:val="bottom"/>
            <w:shd w:val="clear" w:color="auto" w:fill="CEFFE7"/>
          </w:tcPr>
          <w:p>
            <w:pPr>
              <w:jc w:val="right"/>
              <w:spacing w:after="0"/>
              <w:rPr>
                <w:sz w:val="20"/>
                <w:szCs w:val="20"/>
                <w:color w:val="auto"/>
              </w:rPr>
            </w:pPr>
            <w:r>
              <w:rPr>
                <w:rFonts w:ascii="Arial" w:cs="Arial" w:eastAsia="Arial" w:hAnsi="Arial"/>
                <w:sz w:val="13"/>
                <w:szCs w:val="13"/>
                <w:color w:val="auto"/>
              </w:rPr>
              <w:t>69,378</w:t>
            </w:r>
          </w:p>
        </w:tc>
        <w:tc>
          <w:tcPr>
            <w:tcW w:w="180" w:type="dxa"/>
            <w:vAlign w:val="bottom"/>
            <w:shd w:val="clear" w:color="auto" w:fill="CEFFE7"/>
          </w:tcPr>
          <w:p>
            <w:pPr>
              <w:spacing w:after="0"/>
              <w:rPr>
                <w:sz w:val="15"/>
                <w:szCs w:val="15"/>
                <w:color w:val="auto"/>
              </w:rPr>
            </w:pPr>
          </w:p>
        </w:tc>
        <w:tc>
          <w:tcPr>
            <w:tcW w:w="700" w:type="dxa"/>
            <w:vAlign w:val="bottom"/>
            <w:shd w:val="clear" w:color="auto" w:fill="CEFFE7"/>
          </w:tcPr>
          <w:p>
            <w:pPr>
              <w:jc w:val="right"/>
              <w:ind w:right="57"/>
              <w:spacing w:after="0"/>
              <w:rPr>
                <w:sz w:val="20"/>
                <w:szCs w:val="20"/>
                <w:color w:val="auto"/>
              </w:rPr>
            </w:pPr>
            <w:r>
              <w:rPr>
                <w:rFonts w:ascii="Arial" w:cs="Arial" w:eastAsia="Arial" w:hAnsi="Arial"/>
                <w:sz w:val="13"/>
                <w:szCs w:val="13"/>
                <w:color w:val="auto"/>
              </w:rPr>
              <w:t>69</w:t>
            </w:r>
          </w:p>
        </w:tc>
        <w:tc>
          <w:tcPr>
            <w:tcW w:w="720" w:type="dxa"/>
            <w:vAlign w:val="bottom"/>
            <w:shd w:val="clear" w:color="auto" w:fill="CEFFE7"/>
          </w:tcPr>
          <w:p>
            <w:pPr>
              <w:jc w:val="right"/>
              <w:spacing w:after="0"/>
              <w:rPr>
                <w:sz w:val="20"/>
                <w:szCs w:val="20"/>
                <w:color w:val="auto"/>
              </w:rPr>
            </w:pPr>
            <w:r>
              <w:rPr>
                <w:rFonts w:ascii="Arial" w:cs="Arial" w:eastAsia="Arial" w:hAnsi="Arial"/>
                <w:sz w:val="13"/>
                <w:szCs w:val="13"/>
                <w:color w:val="auto"/>
              </w:rPr>
              <w:t>20,700</w:t>
            </w:r>
          </w:p>
        </w:tc>
        <w:tc>
          <w:tcPr>
            <w:tcW w:w="180" w:type="dxa"/>
            <w:vAlign w:val="bottom"/>
            <w:shd w:val="clear" w:color="auto" w:fill="CEFFE7"/>
          </w:tcPr>
          <w:p>
            <w:pPr>
              <w:spacing w:after="0"/>
              <w:rPr>
                <w:sz w:val="15"/>
                <w:szCs w:val="15"/>
                <w:color w:val="auto"/>
              </w:rPr>
            </w:pPr>
          </w:p>
        </w:tc>
        <w:tc>
          <w:tcPr>
            <w:tcW w:w="640" w:type="dxa"/>
            <w:vAlign w:val="bottom"/>
            <w:shd w:val="clear" w:color="auto" w:fill="CEFFE7"/>
          </w:tcPr>
          <w:p>
            <w:pPr>
              <w:jc w:val="right"/>
              <w:spacing w:after="0"/>
              <w:rPr>
                <w:sz w:val="20"/>
                <w:szCs w:val="20"/>
                <w:color w:val="auto"/>
              </w:rPr>
            </w:pPr>
            <w:r>
              <w:rPr>
                <w:rFonts w:ascii="Arial" w:cs="Arial" w:eastAsia="Arial" w:hAnsi="Arial"/>
                <w:sz w:val="13"/>
                <w:szCs w:val="13"/>
                <w:color w:val="auto"/>
              </w:rPr>
              <w:t>(1,658)</w:t>
            </w:r>
          </w:p>
        </w:tc>
        <w:tc>
          <w:tcPr>
            <w:tcW w:w="120" w:type="dxa"/>
            <w:vAlign w:val="bottom"/>
            <w:shd w:val="clear" w:color="auto" w:fill="CEFFE7"/>
          </w:tcPr>
          <w:p>
            <w:pPr>
              <w:spacing w:after="0"/>
              <w:rPr>
                <w:sz w:val="15"/>
                <w:szCs w:val="15"/>
                <w:color w:val="auto"/>
              </w:rPr>
            </w:pPr>
          </w:p>
        </w:tc>
        <w:tc>
          <w:tcPr>
            <w:tcW w:w="780" w:type="dxa"/>
            <w:vAlign w:val="bottom"/>
            <w:shd w:val="clear" w:color="auto" w:fill="CEFFE7"/>
          </w:tcPr>
          <w:p>
            <w:pPr>
              <w:jc w:val="right"/>
              <w:spacing w:after="0"/>
              <w:rPr>
                <w:sz w:val="20"/>
                <w:szCs w:val="20"/>
                <w:color w:val="auto"/>
              </w:rPr>
            </w:pPr>
            <w:r>
              <w:rPr>
                <w:rFonts w:ascii="Arial" w:cs="Arial" w:eastAsia="Arial" w:hAnsi="Arial"/>
                <w:sz w:val="13"/>
                <w:szCs w:val="13"/>
                <w:color w:val="auto"/>
              </w:rPr>
              <w:t>2,263</w:t>
            </w:r>
          </w:p>
        </w:tc>
        <w:tc>
          <w:tcPr>
            <w:tcW w:w="140" w:type="dxa"/>
            <w:vAlign w:val="bottom"/>
            <w:shd w:val="clear" w:color="auto" w:fill="CEFFE7"/>
          </w:tcPr>
          <w:p>
            <w:pPr>
              <w:spacing w:after="0"/>
              <w:rPr>
                <w:sz w:val="15"/>
                <w:szCs w:val="15"/>
                <w:color w:val="auto"/>
              </w:rPr>
            </w:pPr>
          </w:p>
        </w:tc>
        <w:tc>
          <w:tcPr>
            <w:tcW w:w="72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EFFE7"/>
          </w:tcPr>
          <w:p>
            <w:pPr>
              <w:spacing w:after="0"/>
              <w:rPr>
                <w:sz w:val="15"/>
                <w:szCs w:val="15"/>
                <w:color w:val="auto"/>
              </w:rPr>
            </w:pPr>
          </w:p>
        </w:tc>
        <w:tc>
          <w:tcPr>
            <w:tcW w:w="62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EFFE7"/>
          </w:tcPr>
          <w:p>
            <w:pPr>
              <w:spacing w:after="0"/>
              <w:rPr>
                <w:sz w:val="15"/>
                <w:szCs w:val="15"/>
                <w:color w:val="auto"/>
              </w:rPr>
            </w:pPr>
          </w:p>
        </w:tc>
        <w:tc>
          <w:tcPr>
            <w:tcW w:w="74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EFFE7"/>
          </w:tcPr>
          <w:p>
            <w:pPr>
              <w:spacing w:after="0"/>
              <w:rPr>
                <w:sz w:val="15"/>
                <w:szCs w:val="15"/>
                <w:color w:val="auto"/>
              </w:rPr>
            </w:pPr>
          </w:p>
        </w:tc>
        <w:tc>
          <w:tcPr>
            <w:tcW w:w="780" w:type="dxa"/>
            <w:vAlign w:val="bottom"/>
            <w:shd w:val="clear" w:color="auto" w:fill="CEFFE7"/>
          </w:tcPr>
          <w:p>
            <w:pPr>
              <w:jc w:val="right"/>
              <w:spacing w:after="0"/>
              <w:rPr>
                <w:sz w:val="20"/>
                <w:szCs w:val="20"/>
                <w:color w:val="auto"/>
              </w:rPr>
            </w:pPr>
            <w:r>
              <w:rPr>
                <w:rFonts w:ascii="Arial" w:cs="Arial" w:eastAsia="Arial" w:hAnsi="Arial"/>
                <w:sz w:val="13"/>
                <w:szCs w:val="13"/>
                <w:color w:val="auto"/>
              </w:rPr>
              <w:t>674</w:t>
            </w:r>
          </w:p>
        </w:tc>
        <w:tc>
          <w:tcPr>
            <w:tcW w:w="0" w:type="dxa"/>
            <w:vAlign w:val="bottom"/>
          </w:tcPr>
          <w:p>
            <w:pPr>
              <w:spacing w:after="0"/>
              <w:rPr>
                <w:sz w:val="1"/>
                <w:szCs w:val="1"/>
                <w:color w:val="auto"/>
              </w:rPr>
            </w:pPr>
          </w:p>
        </w:tc>
      </w:tr>
      <w:tr>
        <w:trPr>
          <w:trHeight w:val="168"/>
        </w:trPr>
        <w:tc>
          <w:tcPr>
            <w:tcW w:w="3300" w:type="dxa"/>
            <w:vAlign w:val="bottom"/>
          </w:tcPr>
          <w:p>
            <w:pPr>
              <w:spacing w:after="0"/>
              <w:rPr>
                <w:sz w:val="20"/>
                <w:szCs w:val="20"/>
                <w:color w:val="auto"/>
              </w:rPr>
            </w:pPr>
            <w:r>
              <w:rPr>
                <w:rFonts w:ascii="Arial" w:cs="Arial" w:eastAsia="Arial" w:hAnsi="Arial"/>
                <w:sz w:val="13"/>
                <w:szCs w:val="13"/>
                <w:color w:val="auto"/>
              </w:rPr>
              <w:t>Issuance of common stock</w:t>
            </w:r>
          </w:p>
        </w:tc>
        <w:tc>
          <w:tcPr>
            <w:tcW w:w="960" w:type="dxa"/>
            <w:vAlign w:val="bottom"/>
          </w:tcPr>
          <w:p>
            <w:pPr>
              <w:jc w:val="right"/>
              <w:spacing w:after="0"/>
              <w:rPr>
                <w:sz w:val="20"/>
                <w:szCs w:val="20"/>
                <w:color w:val="auto"/>
              </w:rPr>
            </w:pPr>
            <w:r>
              <w:rPr>
                <w:rFonts w:ascii="Arial" w:cs="Arial" w:eastAsia="Arial" w:hAnsi="Arial"/>
                <w:sz w:val="13"/>
                <w:szCs w:val="13"/>
                <w:color w:val="auto"/>
              </w:rPr>
              <w:t>1,222,942</w:t>
            </w:r>
          </w:p>
        </w:tc>
        <w:tc>
          <w:tcPr>
            <w:tcW w:w="180" w:type="dxa"/>
            <w:vAlign w:val="bottom"/>
          </w:tcPr>
          <w:p>
            <w:pPr>
              <w:spacing w:after="0"/>
              <w:rPr>
                <w:sz w:val="14"/>
                <w:szCs w:val="14"/>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1,223</w:t>
            </w: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98,777</w:t>
            </w: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100,000</w:t>
            </w:r>
          </w:p>
        </w:tc>
        <w:tc>
          <w:tcPr>
            <w:tcW w:w="0" w:type="dxa"/>
            <w:vAlign w:val="bottom"/>
          </w:tcPr>
          <w:p>
            <w:pPr>
              <w:spacing w:after="0"/>
              <w:rPr>
                <w:sz w:val="1"/>
                <w:szCs w:val="1"/>
                <w:color w:val="auto"/>
              </w:rPr>
            </w:pPr>
          </w:p>
        </w:tc>
      </w:tr>
      <w:tr>
        <w:trPr>
          <w:trHeight w:val="183"/>
        </w:trPr>
        <w:tc>
          <w:tcPr>
            <w:tcW w:w="3300" w:type="dxa"/>
            <w:vAlign w:val="bottom"/>
            <w:shd w:val="clear" w:color="auto" w:fill="CEFFE7"/>
          </w:tcPr>
          <w:p>
            <w:pPr>
              <w:spacing w:after="0"/>
              <w:rPr>
                <w:sz w:val="20"/>
                <w:szCs w:val="20"/>
                <w:color w:val="auto"/>
              </w:rPr>
            </w:pPr>
            <w:r>
              <w:rPr>
                <w:rFonts w:ascii="Arial" w:cs="Arial" w:eastAsia="Arial" w:hAnsi="Arial"/>
                <w:sz w:val="13"/>
                <w:szCs w:val="13"/>
                <w:color w:val="auto"/>
              </w:rPr>
              <w:t>Issuance costs</w:t>
            </w:r>
          </w:p>
        </w:tc>
        <w:tc>
          <w:tcPr>
            <w:tcW w:w="96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EFFE7"/>
          </w:tcPr>
          <w:p>
            <w:pPr>
              <w:spacing w:after="0"/>
              <w:rPr>
                <w:sz w:val="15"/>
                <w:szCs w:val="15"/>
                <w:color w:val="auto"/>
              </w:rPr>
            </w:pPr>
          </w:p>
        </w:tc>
        <w:tc>
          <w:tcPr>
            <w:tcW w:w="700" w:type="dxa"/>
            <w:vAlign w:val="bottom"/>
            <w:shd w:val="clear" w:color="auto" w:fill="CEFFE7"/>
          </w:tcPr>
          <w:p>
            <w:pPr>
              <w:jc w:val="right"/>
              <w:ind w:right="57"/>
              <w:spacing w:after="0"/>
              <w:rPr>
                <w:sz w:val="20"/>
                <w:szCs w:val="20"/>
                <w:color w:val="auto"/>
              </w:rPr>
            </w:pPr>
            <w:r>
              <w:rPr>
                <w:rFonts w:ascii="Arial" w:cs="Arial" w:eastAsia="Arial" w:hAnsi="Arial"/>
                <w:sz w:val="13"/>
                <w:szCs w:val="13"/>
                <w:color w:val="auto"/>
              </w:rPr>
              <w:t>—</w:t>
            </w:r>
          </w:p>
        </w:tc>
        <w:tc>
          <w:tcPr>
            <w:tcW w:w="72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EFFE7"/>
          </w:tcPr>
          <w:p>
            <w:pPr>
              <w:spacing w:after="0"/>
              <w:rPr>
                <w:sz w:val="15"/>
                <w:szCs w:val="15"/>
                <w:color w:val="auto"/>
              </w:rPr>
            </w:pPr>
          </w:p>
        </w:tc>
        <w:tc>
          <w:tcPr>
            <w:tcW w:w="640" w:type="dxa"/>
            <w:vAlign w:val="bottom"/>
            <w:shd w:val="clear" w:color="auto" w:fill="CEFFE7"/>
          </w:tcPr>
          <w:p>
            <w:pPr>
              <w:jc w:val="right"/>
              <w:ind w:right="17"/>
              <w:spacing w:after="0"/>
              <w:rPr>
                <w:sz w:val="20"/>
                <w:szCs w:val="20"/>
                <w:color w:val="auto"/>
              </w:rPr>
            </w:pPr>
            <w:r>
              <w:rPr>
                <w:rFonts w:ascii="Arial" w:cs="Arial" w:eastAsia="Arial" w:hAnsi="Arial"/>
                <w:sz w:val="13"/>
                <w:szCs w:val="13"/>
                <w:color w:val="auto"/>
              </w:rPr>
              <w:t>—</w:t>
            </w:r>
          </w:p>
        </w:tc>
        <w:tc>
          <w:tcPr>
            <w:tcW w:w="120" w:type="dxa"/>
            <w:vAlign w:val="bottom"/>
            <w:shd w:val="clear" w:color="auto" w:fill="CEFFE7"/>
          </w:tcPr>
          <w:p>
            <w:pPr>
              <w:spacing w:after="0"/>
              <w:rPr>
                <w:sz w:val="15"/>
                <w:szCs w:val="15"/>
                <w:color w:val="auto"/>
              </w:rPr>
            </w:pPr>
          </w:p>
        </w:tc>
        <w:tc>
          <w:tcPr>
            <w:tcW w:w="780" w:type="dxa"/>
            <w:vAlign w:val="bottom"/>
            <w:shd w:val="clear" w:color="auto" w:fill="CEFFE7"/>
          </w:tcPr>
          <w:p>
            <w:pPr>
              <w:jc w:val="right"/>
              <w:spacing w:after="0"/>
              <w:rPr>
                <w:sz w:val="20"/>
                <w:szCs w:val="20"/>
                <w:color w:val="auto"/>
              </w:rPr>
            </w:pPr>
            <w:r>
              <w:rPr>
                <w:rFonts w:ascii="Arial" w:cs="Arial" w:eastAsia="Arial" w:hAnsi="Arial"/>
                <w:sz w:val="13"/>
                <w:szCs w:val="13"/>
                <w:color w:val="auto"/>
              </w:rPr>
              <w:t>(967)</w:t>
            </w:r>
          </w:p>
        </w:tc>
        <w:tc>
          <w:tcPr>
            <w:tcW w:w="140" w:type="dxa"/>
            <w:vAlign w:val="bottom"/>
            <w:shd w:val="clear" w:color="auto" w:fill="CEFFE7"/>
          </w:tcPr>
          <w:p>
            <w:pPr>
              <w:spacing w:after="0"/>
              <w:rPr>
                <w:sz w:val="15"/>
                <w:szCs w:val="15"/>
                <w:color w:val="auto"/>
              </w:rPr>
            </w:pPr>
          </w:p>
        </w:tc>
        <w:tc>
          <w:tcPr>
            <w:tcW w:w="72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EFFE7"/>
          </w:tcPr>
          <w:p>
            <w:pPr>
              <w:spacing w:after="0"/>
              <w:rPr>
                <w:sz w:val="15"/>
                <w:szCs w:val="15"/>
                <w:color w:val="auto"/>
              </w:rPr>
            </w:pPr>
          </w:p>
        </w:tc>
        <w:tc>
          <w:tcPr>
            <w:tcW w:w="62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EFFE7"/>
          </w:tcPr>
          <w:p>
            <w:pPr>
              <w:spacing w:after="0"/>
              <w:rPr>
                <w:sz w:val="15"/>
                <w:szCs w:val="15"/>
                <w:color w:val="auto"/>
              </w:rPr>
            </w:pPr>
          </w:p>
        </w:tc>
        <w:tc>
          <w:tcPr>
            <w:tcW w:w="74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EFFE7"/>
          </w:tcPr>
          <w:p>
            <w:pPr>
              <w:spacing w:after="0"/>
              <w:rPr>
                <w:sz w:val="15"/>
                <w:szCs w:val="15"/>
                <w:color w:val="auto"/>
              </w:rPr>
            </w:pPr>
          </w:p>
        </w:tc>
        <w:tc>
          <w:tcPr>
            <w:tcW w:w="780" w:type="dxa"/>
            <w:vAlign w:val="bottom"/>
            <w:shd w:val="clear" w:color="auto" w:fill="CEFFE7"/>
          </w:tcPr>
          <w:p>
            <w:pPr>
              <w:jc w:val="right"/>
              <w:spacing w:after="0"/>
              <w:rPr>
                <w:sz w:val="20"/>
                <w:szCs w:val="20"/>
                <w:color w:val="auto"/>
              </w:rPr>
            </w:pPr>
            <w:r>
              <w:rPr>
                <w:rFonts w:ascii="Arial" w:cs="Arial" w:eastAsia="Arial" w:hAnsi="Arial"/>
                <w:sz w:val="13"/>
                <w:szCs w:val="13"/>
                <w:color w:val="auto"/>
              </w:rPr>
              <w:t>(967)</w:t>
            </w:r>
          </w:p>
        </w:tc>
        <w:tc>
          <w:tcPr>
            <w:tcW w:w="0" w:type="dxa"/>
            <w:vAlign w:val="bottom"/>
          </w:tcPr>
          <w:p>
            <w:pPr>
              <w:spacing w:after="0"/>
              <w:rPr>
                <w:sz w:val="1"/>
                <w:szCs w:val="1"/>
                <w:color w:val="auto"/>
              </w:rPr>
            </w:pPr>
          </w:p>
        </w:tc>
      </w:tr>
      <w:tr>
        <w:trPr>
          <w:trHeight w:val="129"/>
        </w:trPr>
        <w:tc>
          <w:tcPr>
            <w:tcW w:w="3300" w:type="dxa"/>
            <w:vAlign w:val="bottom"/>
          </w:tcPr>
          <w:p>
            <w:pPr>
              <w:spacing w:after="0" w:line="129" w:lineRule="exact"/>
              <w:rPr>
                <w:sz w:val="20"/>
                <w:szCs w:val="20"/>
                <w:color w:val="auto"/>
              </w:rPr>
            </w:pPr>
            <w:r>
              <w:rPr>
                <w:rFonts w:ascii="Arial" w:cs="Arial" w:eastAsia="Arial" w:hAnsi="Arial"/>
                <w:sz w:val="13"/>
                <w:szCs w:val="13"/>
                <w:color w:val="auto"/>
              </w:rPr>
              <w:t>Implementation of ASU 2016-13 Financial Instruments --</w:t>
            </w:r>
          </w:p>
        </w:tc>
        <w:tc>
          <w:tcPr>
            <w:tcW w:w="9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700" w:type="dxa"/>
            <w:vAlign w:val="bottom"/>
            <w:vMerge w:val="restart"/>
          </w:tcPr>
          <w:p>
            <w:pPr>
              <w:jc w:val="right"/>
              <w:ind w:right="57"/>
              <w:spacing w:after="0"/>
              <w:rPr>
                <w:sz w:val="20"/>
                <w:szCs w:val="20"/>
                <w:color w:val="auto"/>
              </w:rPr>
            </w:pPr>
            <w:r>
              <w:rPr>
                <w:rFonts w:ascii="Arial" w:cs="Arial" w:eastAsia="Arial" w:hAnsi="Arial"/>
                <w:sz w:val="13"/>
                <w:szCs w:val="13"/>
                <w:color w:val="auto"/>
              </w:rPr>
              <w:t>—</w:t>
            </w: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640" w:type="dxa"/>
            <w:vAlign w:val="bottom"/>
            <w:vMerge w:val="restart"/>
          </w:tcPr>
          <w:p>
            <w:pPr>
              <w:jc w:val="right"/>
              <w:ind w:right="1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(207)</w:t>
            </w:r>
          </w:p>
        </w:tc>
        <w:tc>
          <w:tcPr>
            <w:tcW w:w="18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3"/>
                <w:szCs w:val="13"/>
                <w:color w:val="auto"/>
              </w:rPr>
              <w:t>(207)</w:t>
            </w:r>
          </w:p>
        </w:tc>
        <w:tc>
          <w:tcPr>
            <w:tcW w:w="0" w:type="dxa"/>
            <w:vAlign w:val="bottom"/>
          </w:tcPr>
          <w:p>
            <w:pPr>
              <w:spacing w:after="0"/>
              <w:rPr>
                <w:sz w:val="1"/>
                <w:szCs w:val="1"/>
                <w:color w:val="auto"/>
              </w:rPr>
            </w:pPr>
          </w:p>
        </w:tc>
      </w:tr>
      <w:tr>
        <w:trPr>
          <w:trHeight w:val="160"/>
        </w:trPr>
        <w:tc>
          <w:tcPr>
            <w:tcW w:w="3300" w:type="dxa"/>
            <w:vAlign w:val="bottom"/>
          </w:tcPr>
          <w:p>
            <w:pPr>
              <w:spacing w:after="0"/>
              <w:rPr>
                <w:sz w:val="20"/>
                <w:szCs w:val="20"/>
                <w:color w:val="auto"/>
              </w:rPr>
            </w:pPr>
            <w:r>
              <w:rPr>
                <w:rFonts w:ascii="Arial" w:cs="Arial" w:eastAsia="Arial" w:hAnsi="Arial"/>
                <w:sz w:val="13"/>
                <w:szCs w:val="13"/>
                <w:color w:val="auto"/>
              </w:rPr>
              <w:t>Credit Losses</w:t>
            </w:r>
          </w:p>
        </w:tc>
        <w:tc>
          <w:tcPr>
            <w:tcW w:w="96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3300" w:type="dxa"/>
            <w:vAlign w:val="bottom"/>
            <w:shd w:val="clear" w:color="auto" w:fill="CEFFE7"/>
          </w:tcPr>
          <w:p>
            <w:pPr>
              <w:spacing w:after="0"/>
              <w:rPr>
                <w:sz w:val="20"/>
                <w:szCs w:val="20"/>
                <w:color w:val="auto"/>
              </w:rPr>
            </w:pPr>
            <w:r>
              <w:rPr>
                <w:rFonts w:ascii="Arial" w:cs="Arial" w:eastAsia="Arial" w:hAnsi="Arial"/>
                <w:sz w:val="13"/>
                <w:szCs w:val="13"/>
                <w:color w:val="auto"/>
              </w:rPr>
              <w:t>Distributions to noncontrolling interest</w:t>
            </w:r>
          </w:p>
        </w:tc>
        <w:tc>
          <w:tcPr>
            <w:tcW w:w="9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auto"/>
            </w:tcBorders>
            <w:shd w:val="clear" w:color="auto" w:fill="CEFFE7"/>
          </w:tcPr>
          <w:p>
            <w:pPr>
              <w:spacing w:after="0"/>
              <w:rPr>
                <w:sz w:val="15"/>
                <w:szCs w:val="15"/>
                <w:color w:val="auto"/>
              </w:rPr>
            </w:pPr>
          </w:p>
        </w:tc>
        <w:tc>
          <w:tcPr>
            <w:tcW w:w="700" w:type="dxa"/>
            <w:vAlign w:val="bottom"/>
            <w:tcBorders>
              <w:bottom w:val="single" w:sz="8" w:color="auto"/>
            </w:tcBorders>
            <w:shd w:val="clear" w:color="auto" w:fill="CEFFE7"/>
          </w:tcPr>
          <w:p>
            <w:pPr>
              <w:jc w:val="right"/>
              <w:ind w:right="57"/>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auto"/>
            </w:tcBorders>
            <w:shd w:val="clear" w:color="auto" w:fill="CEFFE7"/>
          </w:tcPr>
          <w:p>
            <w:pPr>
              <w:spacing w:after="0"/>
              <w:rPr>
                <w:sz w:val="15"/>
                <w:szCs w:val="15"/>
                <w:color w:val="auto"/>
              </w:rPr>
            </w:pPr>
          </w:p>
        </w:tc>
        <w:tc>
          <w:tcPr>
            <w:tcW w:w="640" w:type="dxa"/>
            <w:vAlign w:val="bottom"/>
            <w:tcBorders>
              <w:bottom w:val="single" w:sz="8" w:color="auto"/>
            </w:tcBorders>
            <w:shd w:val="clear" w:color="auto" w:fill="CEFFE7"/>
          </w:tcPr>
          <w:p>
            <w:pPr>
              <w:jc w:val="right"/>
              <w:ind w:right="1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shd w:val="clear" w:color="auto" w:fill="CEFFE7"/>
          </w:tcPr>
          <w:p>
            <w:pPr>
              <w:spacing w:after="0"/>
              <w:rPr>
                <w:sz w:val="15"/>
                <w:szCs w:val="15"/>
                <w:color w:val="auto"/>
              </w:rPr>
            </w:pPr>
          </w:p>
        </w:tc>
        <w:tc>
          <w:tcPr>
            <w:tcW w:w="7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auto"/>
            </w:tcBorders>
            <w:shd w:val="clear" w:color="auto" w:fill="CEFFE7"/>
          </w:tcPr>
          <w:p>
            <w:pPr>
              <w:spacing w:after="0"/>
              <w:rPr>
                <w:sz w:val="15"/>
                <w:szCs w:val="15"/>
                <w:color w:val="auto"/>
              </w:rPr>
            </w:pPr>
          </w:p>
        </w:tc>
        <w:tc>
          <w:tcPr>
            <w:tcW w:w="7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auto"/>
            </w:tcBorders>
            <w:shd w:val="clear" w:color="auto" w:fill="CEFFE7"/>
          </w:tcPr>
          <w:p>
            <w:pPr>
              <w:spacing w:after="0"/>
              <w:rPr>
                <w:sz w:val="15"/>
                <w:szCs w:val="15"/>
                <w:color w:val="auto"/>
              </w:rPr>
            </w:pPr>
          </w:p>
        </w:tc>
        <w:tc>
          <w:tcPr>
            <w:tcW w:w="6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auto"/>
            </w:tcBorders>
            <w:shd w:val="clear" w:color="auto" w:fill="CEFFE7"/>
          </w:tcPr>
          <w:p>
            <w:pPr>
              <w:spacing w:after="0"/>
              <w:rPr>
                <w:sz w:val="15"/>
                <w:szCs w:val="15"/>
                <w:color w:val="auto"/>
              </w:rPr>
            </w:pPr>
          </w:p>
        </w:tc>
        <w:tc>
          <w:tcPr>
            <w:tcW w:w="7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3"/>
                <w:szCs w:val="13"/>
                <w:color w:val="auto"/>
              </w:rPr>
              <w:t>(4,741)</w:t>
            </w:r>
          </w:p>
        </w:tc>
        <w:tc>
          <w:tcPr>
            <w:tcW w:w="240" w:type="dxa"/>
            <w:vAlign w:val="bottom"/>
            <w:tcBorders>
              <w:bottom w:val="single" w:sz="8" w:color="auto"/>
            </w:tcBorders>
            <w:shd w:val="clear" w:color="auto" w:fill="CEFFE7"/>
          </w:tcPr>
          <w:p>
            <w:pPr>
              <w:spacing w:after="0"/>
              <w:rPr>
                <w:sz w:val="15"/>
                <w:szCs w:val="15"/>
                <w:color w:val="auto"/>
              </w:rPr>
            </w:pPr>
          </w:p>
        </w:tc>
        <w:tc>
          <w:tcPr>
            <w:tcW w:w="7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3"/>
                <w:szCs w:val="13"/>
                <w:color w:val="auto"/>
              </w:rPr>
              <w:t>(4,741)</w:t>
            </w:r>
          </w:p>
        </w:tc>
        <w:tc>
          <w:tcPr>
            <w:tcW w:w="0" w:type="dxa"/>
            <w:vAlign w:val="bottom"/>
          </w:tcPr>
          <w:p>
            <w:pPr>
              <w:spacing w:after="0"/>
              <w:rPr>
                <w:sz w:val="1"/>
                <w:szCs w:val="1"/>
                <w:color w:val="auto"/>
              </w:rPr>
            </w:pPr>
          </w:p>
        </w:tc>
      </w:tr>
      <w:tr>
        <w:trPr>
          <w:trHeight w:val="175"/>
        </w:trPr>
        <w:tc>
          <w:tcPr>
            <w:tcW w:w="3300" w:type="dxa"/>
            <w:vAlign w:val="bottom"/>
          </w:tcPr>
          <w:p>
            <w:pPr>
              <w:spacing w:after="0"/>
              <w:rPr>
                <w:sz w:val="20"/>
                <w:szCs w:val="20"/>
                <w:color w:val="auto"/>
              </w:rPr>
            </w:pPr>
            <w:r>
              <w:rPr>
                <w:rFonts w:ascii="Arial" w:cs="Arial" w:eastAsia="Arial" w:hAnsi="Arial"/>
                <w:sz w:val="13"/>
                <w:szCs w:val="13"/>
                <w:b w:val="1"/>
                <w:bCs w:val="1"/>
                <w:color w:val="auto"/>
              </w:rPr>
              <w:t>March 31, 2020</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62,772,978</w:t>
            </w:r>
          </w:p>
        </w:tc>
        <w:tc>
          <w:tcPr>
            <w:tcW w:w="1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62,773</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24,656</w:t>
            </w:r>
          </w:p>
        </w:tc>
        <w:tc>
          <w:tcPr>
            <w:tcW w:w="1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(1,925)</w:t>
            </w:r>
          </w:p>
        </w:tc>
        <w:tc>
          <w:tcPr>
            <w:tcW w:w="1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1,652,861</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838,841</w:t>
            </w:r>
          </w:p>
        </w:tc>
        <w:tc>
          <w:tcPr>
            <w:tcW w:w="1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(29,382)</w:t>
            </w:r>
          </w:p>
        </w:tc>
        <w:tc>
          <w:tcPr>
            <w:tcW w:w="1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101,255</w:t>
            </w:r>
          </w:p>
        </w:tc>
        <w:tc>
          <w:tcPr>
            <w:tcW w:w="24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2,624,423</w:t>
            </w: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3" w:name="page14"/>
    <w:bookmarkEnd w:id="13"/>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BLACK HILLS CORPORATION</w:t>
      </w: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Notes to Condensed Consolidated Financial Statements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(unaudited)</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(Reference is made to Notes to Consolidated Financial Statements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included in the Company’s 2020 Annual Report on Form 10-K)</w:t>
      </w:r>
    </w:p>
    <w:p>
      <w:pPr>
        <w:spacing w:after="0" w:line="200" w:lineRule="exact"/>
        <w:rPr>
          <w:sz w:val="20"/>
          <w:szCs w:val="20"/>
          <w:color w:val="auto"/>
        </w:rPr>
      </w:pPr>
    </w:p>
    <w:p>
      <w:pPr>
        <w:spacing w:after="0" w:line="271" w:lineRule="exact"/>
        <w:rPr>
          <w:sz w:val="20"/>
          <w:szCs w:val="20"/>
          <w:color w:val="auto"/>
        </w:rPr>
      </w:pPr>
    </w:p>
    <w:p>
      <w:pPr>
        <w:ind w:left="380" w:hanging="372"/>
        <w:spacing w:after="0"/>
        <w:tabs>
          <w:tab w:leader="none" w:pos="380"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Management’s Statement</w:t>
      </w:r>
    </w:p>
    <w:p>
      <w:pPr>
        <w:spacing w:after="0" w:line="268" w:lineRule="exact"/>
        <w:rPr>
          <w:sz w:val="20"/>
          <w:szCs w:val="20"/>
          <w:color w:val="auto"/>
        </w:rPr>
      </w:pPr>
    </w:p>
    <w:p>
      <w:pPr>
        <w:ind w:right="40"/>
        <w:spacing w:after="0" w:line="249" w:lineRule="auto"/>
        <w:rPr>
          <w:sz w:val="20"/>
          <w:szCs w:val="20"/>
          <w:color w:val="auto"/>
        </w:rPr>
      </w:pPr>
      <w:r>
        <w:rPr>
          <w:rFonts w:ascii="Arial" w:cs="Arial" w:eastAsia="Arial" w:hAnsi="Arial"/>
          <w:sz w:val="16"/>
          <w:szCs w:val="16"/>
          <w:color w:val="auto"/>
        </w:rPr>
        <w:t>The unaudited Condensed Consolidated Financial Statements included herein have been prepared by Black Hills Corporation (together with our subsidiaries the “Company”, “us”, “we” or “our”), pursuant to the rules and regulations of the SEC. Certain information and footnote disclosures normally included in financial statements prepared in accordance with accounting principles generally accepted in the United States of America have been condensed or omitted pursuant to such rules and regulations; however, we believe that the footnotes adequately disclose the information presented. These Condensed Consolidated Financial Statements should be read in conjunction with the consolidated financial statements and the notes included in our 2020 Annual Report on Form 10-K.</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Segment Reporting</w:t>
      </w:r>
    </w:p>
    <w:p>
      <w:pPr>
        <w:spacing w:after="0" w:line="268" w:lineRule="exact"/>
        <w:rPr>
          <w:sz w:val="20"/>
          <w:szCs w:val="20"/>
          <w:color w:val="auto"/>
        </w:rPr>
      </w:pPr>
    </w:p>
    <w:p>
      <w:pPr>
        <w:ind w:right="640"/>
        <w:spacing w:after="0" w:line="253" w:lineRule="auto"/>
        <w:rPr>
          <w:sz w:val="20"/>
          <w:szCs w:val="20"/>
          <w:color w:val="auto"/>
        </w:rPr>
      </w:pPr>
      <w:r>
        <w:rPr>
          <w:rFonts w:ascii="Arial" w:cs="Arial" w:eastAsia="Arial" w:hAnsi="Arial"/>
          <w:sz w:val="16"/>
          <w:szCs w:val="16"/>
          <w:color w:val="auto"/>
        </w:rPr>
        <w:t>We conduct our operations through the following reportable segments: Electric Utilities, Gas Utilities, Power Generation and Mining. Our reportable segments are based on our method of internal reporting, which is generally segregated by differences in products, services and regulation. All of our operations and assets are located within the United States.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Use of Estimates and Basis of Presentation</w:t>
      </w:r>
    </w:p>
    <w:p>
      <w:pPr>
        <w:spacing w:after="0" w:line="268" w:lineRule="exact"/>
        <w:rPr>
          <w:sz w:val="20"/>
          <w:szCs w:val="20"/>
          <w:color w:val="auto"/>
        </w:rPr>
      </w:pPr>
    </w:p>
    <w:p>
      <w:pPr>
        <w:ind w:right="320"/>
        <w:spacing w:after="0" w:line="251" w:lineRule="auto"/>
        <w:rPr>
          <w:sz w:val="20"/>
          <w:szCs w:val="20"/>
          <w:color w:val="auto"/>
        </w:rPr>
      </w:pPr>
      <w:r>
        <w:rPr>
          <w:rFonts w:ascii="Arial" w:cs="Arial" w:eastAsia="Arial" w:hAnsi="Arial"/>
          <w:sz w:val="16"/>
          <w:szCs w:val="16"/>
          <w:color w:val="auto"/>
        </w:rPr>
        <w:t>The information furnished in the accompanying Condensed Consolidated Financial Statements reflects certain estimates required and all adjustments, including accruals, which are, in the opinion of management, necessary for a fair presentation of the March 31, 2021, December 31, 2020 and March 31, 2020 financial information. Certain lines of business in which we operate are highly seasonal, and our interim results of operations are not necessarily indicative of the results of operations to be expected for an entire year.</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COVID-19 Pandemic</w:t>
      </w:r>
    </w:p>
    <w:p>
      <w:pPr>
        <w:spacing w:after="0" w:line="268"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In March 2020, the World Health Organization categorized COVID-19 as a pandemic and the President of the United States declared the outbreak a national emergency. The U.S. government has deemed the electric and natural gas utilities to be critical infrastructure sectors that provide essential services during this emergency. As a provider of essential services, the Company has an obligation to provide services to our customers. The Company remains focused on protecting the health of our customers, employees and the communities in which we operate while assuring the continuity of our business operations.</w:t>
      </w:r>
    </w:p>
    <w:p>
      <w:pPr>
        <w:spacing w:after="0" w:line="229"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The Company’s Condensed Consolidated Financial Statements reflect estimates and assumptions made by management that affect the reported amounts of assets and liabilities and disclosure of contingent assets and liabilities at the date of the Condensed Consolidated Financial Statements and reported amounts of revenue and expenses during the reporting periods presented. The Company considered the impacts of COVID-19 on the assumptions and estimates used and determined that for the three months ended March 31, 2021, there were no material adverse impacts on the Company’s results of operations.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Recently Issued Accounting Standards</w:t>
      </w: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Facilitation of the Effects of Reference Rate Reform on Financial Reporting, ASU 2020-04</w:t>
      </w:r>
    </w:p>
    <w:p>
      <w:pPr>
        <w:spacing w:after="0" w:line="232"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auto"/>
        </w:rPr>
        <w:t xml:space="preserve">In March 2020, the FASB issued ASU 2020-04, </w:t>
      </w:r>
      <w:r>
        <w:rPr>
          <w:rFonts w:ascii="Arial" w:cs="Arial" w:eastAsia="Arial" w:hAnsi="Arial"/>
          <w:sz w:val="16"/>
          <w:szCs w:val="16"/>
          <w:i w:val="1"/>
          <w:iCs w:val="1"/>
          <w:color w:val="auto"/>
        </w:rPr>
        <w:t>Reference Rate Reform (Topic 848): Facilitation of the Effects of Reference Rate Reform on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Reporting, </w:t>
      </w:r>
      <w:r>
        <w:rPr>
          <w:rFonts w:ascii="Arial" w:cs="Arial" w:eastAsia="Arial" w:hAnsi="Arial"/>
          <w:sz w:val="16"/>
          <w:szCs w:val="16"/>
          <w:color w:val="auto"/>
        </w:rPr>
        <w:t>which was subsequently amended by ASU 2021-01. The standard provides relief for companies preparing for discontinuation of interest rates,</w:t>
      </w:r>
      <w:r>
        <w:rPr>
          <w:rFonts w:ascii="Arial" w:cs="Arial" w:eastAsia="Arial" w:hAnsi="Arial"/>
          <w:sz w:val="16"/>
          <w:szCs w:val="16"/>
          <w:i w:val="1"/>
          <w:iCs w:val="1"/>
          <w:color w:val="auto"/>
        </w:rPr>
        <w:t xml:space="preserve"> </w:t>
      </w:r>
      <w:r>
        <w:rPr>
          <w:rFonts w:ascii="Arial" w:cs="Arial" w:eastAsia="Arial" w:hAnsi="Arial"/>
          <w:sz w:val="16"/>
          <w:szCs w:val="16"/>
          <w:color w:val="auto"/>
        </w:rPr>
        <w:t>such as LIBOR, and allows optional expedients and exceptions for applying GAAP to contracts, hedging relationships and other transactions affected by reference rate reform if certain criteria are met. The amendments in this update are elective and are effective upon the ASU issuance through December 31, 2022. We are currently evaluating whether we will apply the optional guidance as we assess the impact of the discontinuance of LIBOR on our current arrangements and the potential impact on our financial position, results of operations and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Recently Adopted Accounting Standards</w:t>
      </w: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Simplifying the Accounting for Income Taxes, ASU 2019-12</w:t>
      </w:r>
    </w:p>
    <w:p>
      <w:pPr>
        <w:spacing w:after="0" w:line="232" w:lineRule="exact"/>
        <w:rPr>
          <w:sz w:val="20"/>
          <w:szCs w:val="20"/>
          <w:color w:val="auto"/>
        </w:rPr>
      </w:pPr>
    </w:p>
    <w:p>
      <w:pPr>
        <w:ind w:right="20"/>
        <w:spacing w:after="0" w:line="255" w:lineRule="auto"/>
        <w:rPr>
          <w:sz w:val="20"/>
          <w:szCs w:val="20"/>
          <w:color w:val="auto"/>
        </w:rPr>
      </w:pPr>
      <w:r>
        <w:rPr>
          <w:rFonts w:ascii="Arial" w:cs="Arial" w:eastAsia="Arial" w:hAnsi="Arial"/>
          <w:sz w:val="16"/>
          <w:szCs w:val="16"/>
          <w:color w:val="auto"/>
        </w:rPr>
        <w:t xml:space="preserve">In December 2019, the FASB issued ASU 2019-12, </w:t>
      </w:r>
      <w:r>
        <w:rPr>
          <w:rFonts w:ascii="Arial" w:cs="Arial" w:eastAsia="Arial" w:hAnsi="Arial"/>
          <w:sz w:val="16"/>
          <w:szCs w:val="16"/>
          <w:i w:val="1"/>
          <w:iCs w:val="1"/>
          <w:color w:val="auto"/>
        </w:rPr>
        <w:t>Simplifying the Accounting for Income Taxes</w:t>
      </w:r>
      <w:r>
        <w:rPr>
          <w:rFonts w:ascii="Arial" w:cs="Arial" w:eastAsia="Arial" w:hAnsi="Arial"/>
          <w:sz w:val="16"/>
          <w:szCs w:val="16"/>
          <w:color w:val="auto"/>
        </w:rPr>
        <w:t xml:space="preserve"> as part of its overall simplification initiative to reduce costs and complexity in applying accounting standards while maintaining or improving the usefulness of the information provided to users of the financial statements. Amendments include removal of certain exceptions to the general principles of ASC 740, </w:t>
      </w:r>
      <w:r>
        <w:rPr>
          <w:rFonts w:ascii="Arial" w:cs="Arial" w:eastAsia="Arial" w:hAnsi="Arial"/>
          <w:sz w:val="16"/>
          <w:szCs w:val="16"/>
          <w:i w:val="1"/>
          <w:iCs w:val="1"/>
          <w:color w:val="auto"/>
        </w:rPr>
        <w:t>Income Taxes</w:t>
      </w:r>
      <w:r>
        <w:rPr>
          <w:rFonts w:ascii="Arial" w:cs="Arial" w:eastAsia="Arial" w:hAnsi="Arial"/>
          <w:sz w:val="16"/>
          <w:szCs w:val="16"/>
          <w:color w:val="auto"/>
        </w:rPr>
        <w:t>, and simplification in several other areas such as accounting for a franchise tax (or similar tax) that is partially based on income. We adopted this standard prospectively on January 1, 2021. Adoption of this standard did not have an impact on our financial position, results of operations or cash flows.</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240" w:type="dxa"/>
            <w:vAlign w:val="bottom"/>
          </w:tcPr>
          <w:p>
            <w:pPr>
              <w:spacing w:after="0"/>
              <w:rPr>
                <w:sz w:val="20"/>
                <w:szCs w:val="20"/>
                <w:color w:val="auto"/>
              </w:rPr>
            </w:pPr>
            <w:r>
              <w:rPr>
                <w:rFonts w:ascii="Arial" w:cs="Arial" w:eastAsia="Arial" w:hAnsi="Arial"/>
                <w:sz w:val="16"/>
                <w:szCs w:val="16"/>
                <w:b w:val="1"/>
                <w:bCs w:val="1"/>
                <w:color w:val="auto"/>
              </w:rPr>
              <w:t>(2)  Regulatory Matters</w:t>
            </w:r>
          </w:p>
        </w:tc>
        <w:tc>
          <w:tcPr>
            <w:tcW w:w="2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432"/>
        </w:trPr>
        <w:tc>
          <w:tcPr>
            <w:tcW w:w="7240" w:type="dxa"/>
            <w:vAlign w:val="bottom"/>
          </w:tcPr>
          <w:p>
            <w:pPr>
              <w:spacing w:after="0"/>
              <w:rPr>
                <w:sz w:val="20"/>
                <w:szCs w:val="20"/>
                <w:color w:val="auto"/>
              </w:rPr>
            </w:pPr>
            <w:r>
              <w:rPr>
                <w:rFonts w:ascii="Arial" w:cs="Arial" w:eastAsia="Arial" w:hAnsi="Arial"/>
                <w:sz w:val="16"/>
                <w:szCs w:val="16"/>
                <w:color w:val="auto"/>
              </w:rPr>
              <w:t>We had the following regulatory assets and liabilities (in thousands) as of:</w:t>
            </w:r>
          </w:p>
        </w:tc>
        <w:tc>
          <w:tcPr>
            <w:tcW w:w="2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30"/>
        </w:trPr>
        <w:tc>
          <w:tcPr>
            <w:tcW w:w="7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00" w:type="dxa"/>
            <w:vAlign w:val="bottom"/>
          </w:tcPr>
          <w:p>
            <w:pPr>
              <w:jc w:val="right"/>
              <w:ind w:right="719"/>
              <w:spacing w:after="0"/>
              <w:rPr>
                <w:sz w:val="20"/>
                <w:szCs w:val="20"/>
                <w:color w:val="auto"/>
              </w:rPr>
            </w:pPr>
            <w:r>
              <w:rPr>
                <w:rFonts w:ascii="Arial" w:cs="Arial" w:eastAsia="Arial" w:hAnsi="Arial"/>
                <w:sz w:val="16"/>
                <w:szCs w:val="16"/>
                <w:color w:val="auto"/>
              </w:rPr>
              <w:t>As of</w:t>
            </w:r>
          </w:p>
        </w:tc>
        <w:tc>
          <w:tcPr>
            <w:tcW w:w="200" w:type="dxa"/>
            <w:vAlign w:val="bottom"/>
          </w:tcPr>
          <w:p>
            <w:pPr>
              <w:spacing w:after="0"/>
              <w:rPr>
                <w:sz w:val="19"/>
                <w:szCs w:val="19"/>
                <w:color w:val="auto"/>
              </w:rPr>
            </w:pPr>
          </w:p>
        </w:tc>
        <w:tc>
          <w:tcPr>
            <w:tcW w:w="1800" w:type="dxa"/>
            <w:vAlign w:val="bottom"/>
          </w:tcPr>
          <w:p>
            <w:pPr>
              <w:jc w:val="right"/>
              <w:ind w:right="739"/>
              <w:spacing w:after="0"/>
              <w:rPr>
                <w:sz w:val="20"/>
                <w:szCs w:val="20"/>
                <w:color w:val="auto"/>
              </w:rPr>
            </w:pPr>
            <w:r>
              <w:rPr>
                <w:rFonts w:ascii="Arial" w:cs="Arial" w:eastAsia="Arial" w:hAnsi="Arial"/>
                <w:sz w:val="16"/>
                <w:szCs w:val="16"/>
                <w:color w:val="auto"/>
              </w:rPr>
              <w:t>As of</w:t>
            </w:r>
          </w:p>
        </w:tc>
      </w:tr>
      <w:tr>
        <w:trPr>
          <w:trHeight w:val="216"/>
        </w:trPr>
        <w:tc>
          <w:tcPr>
            <w:tcW w:w="7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March 31, 2021</w:t>
            </w:r>
          </w:p>
        </w:tc>
        <w:tc>
          <w:tcPr>
            <w:tcW w:w="20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December 31, 2020</w:t>
            </w:r>
          </w:p>
        </w:tc>
      </w:tr>
      <w:tr>
        <w:trPr>
          <w:trHeight w:val="199"/>
        </w:trPr>
        <w:tc>
          <w:tcPr>
            <w:tcW w:w="7240" w:type="dxa"/>
            <w:vAlign w:val="bottom"/>
          </w:tcPr>
          <w:p>
            <w:pPr>
              <w:ind w:left="20"/>
              <w:spacing w:after="0"/>
              <w:rPr>
                <w:sz w:val="20"/>
                <w:szCs w:val="20"/>
                <w:color w:val="auto"/>
              </w:rPr>
            </w:pPr>
            <w:r>
              <w:rPr>
                <w:rFonts w:ascii="Arial" w:cs="Arial" w:eastAsia="Arial" w:hAnsi="Arial"/>
                <w:sz w:val="16"/>
                <w:szCs w:val="16"/>
                <w:color w:val="auto"/>
              </w:rPr>
              <w:t>Regulatory assets</w:t>
            </w:r>
          </w:p>
        </w:tc>
        <w:tc>
          <w:tcPr>
            <w:tcW w:w="2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19"/>
        </w:trPr>
        <w:tc>
          <w:tcPr>
            <w:tcW w:w="7240" w:type="dxa"/>
            <w:vAlign w:val="bottom"/>
            <w:shd w:val="clear" w:color="auto" w:fill="CEFFE7"/>
          </w:tcPr>
          <w:p>
            <w:pPr>
              <w:ind w:left="140"/>
              <w:spacing w:after="0" w:line="219" w:lineRule="exact"/>
              <w:rPr>
                <w:sz w:val="20"/>
                <w:szCs w:val="20"/>
                <w:color w:val="auto"/>
              </w:rPr>
            </w:pPr>
            <w:r>
              <w:rPr>
                <w:rFonts w:ascii="Arial" w:cs="Arial" w:eastAsia="Arial" w:hAnsi="Arial"/>
                <w:sz w:val="16"/>
                <w:szCs w:val="16"/>
                <w:color w:val="auto"/>
              </w:rPr>
              <w:t xml:space="preserve">Winter Storm Uri </w:t>
            </w:r>
            <w:r>
              <w:rPr>
                <w:rFonts w:ascii="Arial" w:cs="Arial" w:eastAsia="Arial" w:hAnsi="Arial"/>
                <w:sz w:val="21"/>
                <w:szCs w:val="21"/>
                <w:color w:val="auto"/>
                <w:vertAlign w:val="superscript"/>
              </w:rPr>
              <w:t>(a)</w:t>
            </w:r>
          </w:p>
        </w:tc>
        <w:tc>
          <w:tcPr>
            <w:tcW w:w="280" w:type="dxa"/>
            <w:vAlign w:val="bottom"/>
            <w:shd w:val="clear" w:color="auto" w:fill="CEFFE7"/>
          </w:tcPr>
          <w:p>
            <w:pPr>
              <w:jc w:val="right"/>
              <w:ind w:right="79"/>
              <w:spacing w:after="0"/>
              <w:rPr>
                <w:sz w:val="20"/>
                <w:szCs w:val="20"/>
                <w:color w:val="auto"/>
              </w:rPr>
            </w:pPr>
            <w:r>
              <w:rPr>
                <w:rFonts w:ascii="Arial" w:cs="Arial" w:eastAsia="Arial" w:hAnsi="Arial"/>
                <w:sz w:val="16"/>
                <w:szCs w:val="16"/>
                <w:color w:val="auto"/>
              </w:rPr>
              <w:t>$</w:t>
            </w:r>
          </w:p>
        </w:tc>
        <w:tc>
          <w:tcPr>
            <w:tcW w:w="17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480,842</w:t>
            </w:r>
          </w:p>
        </w:tc>
        <w:tc>
          <w:tcPr>
            <w:tcW w:w="2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8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7240" w:type="dxa"/>
            <w:vAlign w:val="bottom"/>
          </w:tcPr>
          <w:p>
            <w:pPr>
              <w:ind w:left="140"/>
              <w:spacing w:after="0" w:line="216" w:lineRule="exact"/>
              <w:rPr>
                <w:sz w:val="20"/>
                <w:szCs w:val="20"/>
                <w:color w:val="auto"/>
              </w:rPr>
            </w:pPr>
            <w:r>
              <w:rPr>
                <w:rFonts w:ascii="Arial" w:cs="Arial" w:eastAsia="Arial" w:hAnsi="Arial"/>
                <w:sz w:val="16"/>
                <w:szCs w:val="16"/>
                <w:color w:val="auto"/>
              </w:rPr>
              <w:t xml:space="preserve">Deferred energy and fuel cost adjustments </w:t>
            </w:r>
            <w:r>
              <w:rPr>
                <w:rFonts w:ascii="Arial" w:cs="Arial" w:eastAsia="Arial" w:hAnsi="Arial"/>
                <w:sz w:val="21"/>
                <w:szCs w:val="21"/>
                <w:color w:val="auto"/>
                <w:vertAlign w:val="superscript"/>
              </w:rPr>
              <w:t>(a) (b)</w:t>
            </w:r>
          </w:p>
        </w:tc>
        <w:tc>
          <w:tcPr>
            <w:tcW w:w="2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68,402</w:t>
            </w:r>
          </w:p>
        </w:tc>
        <w:tc>
          <w:tcPr>
            <w:tcW w:w="20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39,035</w:t>
            </w:r>
          </w:p>
        </w:tc>
      </w:tr>
      <w:tr>
        <w:trPr>
          <w:trHeight w:val="216"/>
        </w:trPr>
        <w:tc>
          <w:tcPr>
            <w:tcW w:w="7240" w:type="dxa"/>
            <w:vAlign w:val="bottom"/>
            <w:shd w:val="clear" w:color="auto" w:fill="CEFFE7"/>
          </w:tcPr>
          <w:p>
            <w:pPr>
              <w:ind w:left="140"/>
              <w:spacing w:after="0" w:line="216" w:lineRule="exact"/>
              <w:rPr>
                <w:sz w:val="20"/>
                <w:szCs w:val="20"/>
                <w:color w:val="auto"/>
              </w:rPr>
            </w:pPr>
            <w:r>
              <w:rPr>
                <w:rFonts w:ascii="Arial" w:cs="Arial" w:eastAsia="Arial" w:hAnsi="Arial"/>
                <w:sz w:val="16"/>
                <w:szCs w:val="16"/>
                <w:color w:val="auto"/>
              </w:rPr>
              <w:t xml:space="preserve">Deferred gas cost adjustments </w:t>
            </w:r>
            <w:r>
              <w:rPr>
                <w:rFonts w:ascii="Arial" w:cs="Arial" w:eastAsia="Arial" w:hAnsi="Arial"/>
                <w:sz w:val="21"/>
                <w:szCs w:val="21"/>
                <w:color w:val="auto"/>
                <w:vertAlign w:val="superscript"/>
              </w:rPr>
              <w:t>(a) (b)</w:t>
            </w:r>
          </w:p>
        </w:tc>
        <w:tc>
          <w:tcPr>
            <w:tcW w:w="280" w:type="dxa"/>
            <w:vAlign w:val="bottom"/>
            <w:shd w:val="clear" w:color="auto" w:fill="CEFFE7"/>
          </w:tcPr>
          <w:p>
            <w:pPr>
              <w:spacing w:after="0"/>
              <w:rPr>
                <w:sz w:val="18"/>
                <w:szCs w:val="18"/>
                <w:color w:val="auto"/>
              </w:rPr>
            </w:pPr>
          </w:p>
        </w:tc>
        <w:tc>
          <w:tcPr>
            <w:tcW w:w="17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17,066</w:t>
            </w:r>
          </w:p>
        </w:tc>
        <w:tc>
          <w:tcPr>
            <w:tcW w:w="200" w:type="dxa"/>
            <w:vAlign w:val="bottom"/>
            <w:shd w:val="clear" w:color="auto" w:fill="CEFFE7"/>
          </w:tcPr>
          <w:p>
            <w:pPr>
              <w:spacing w:after="0"/>
              <w:rPr>
                <w:sz w:val="18"/>
                <w:szCs w:val="18"/>
                <w:color w:val="auto"/>
              </w:rPr>
            </w:pPr>
          </w:p>
        </w:tc>
        <w:tc>
          <w:tcPr>
            <w:tcW w:w="18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3,200</w:t>
            </w:r>
          </w:p>
        </w:tc>
      </w:tr>
      <w:tr>
        <w:trPr>
          <w:trHeight w:val="216"/>
        </w:trPr>
        <w:tc>
          <w:tcPr>
            <w:tcW w:w="7240" w:type="dxa"/>
            <w:vAlign w:val="bottom"/>
          </w:tcPr>
          <w:p>
            <w:pPr>
              <w:ind w:left="140"/>
              <w:spacing w:after="0" w:line="216" w:lineRule="exact"/>
              <w:rPr>
                <w:sz w:val="20"/>
                <w:szCs w:val="20"/>
                <w:color w:val="auto"/>
              </w:rPr>
            </w:pPr>
            <w:r>
              <w:rPr>
                <w:rFonts w:ascii="Arial" w:cs="Arial" w:eastAsia="Arial" w:hAnsi="Arial"/>
                <w:sz w:val="16"/>
                <w:szCs w:val="16"/>
                <w:color w:val="auto"/>
              </w:rPr>
              <w:t xml:space="preserve">Gas price derivatives </w:t>
            </w:r>
            <w:r>
              <w:rPr>
                <w:rFonts w:ascii="Arial" w:cs="Arial" w:eastAsia="Arial" w:hAnsi="Arial"/>
                <w:sz w:val="21"/>
                <w:szCs w:val="21"/>
                <w:color w:val="auto"/>
                <w:vertAlign w:val="superscript"/>
              </w:rPr>
              <w:t>(b)</w:t>
            </w:r>
          </w:p>
        </w:tc>
        <w:tc>
          <w:tcPr>
            <w:tcW w:w="2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324</w:t>
            </w:r>
          </w:p>
        </w:tc>
        <w:tc>
          <w:tcPr>
            <w:tcW w:w="20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2,226</w:t>
            </w:r>
          </w:p>
        </w:tc>
      </w:tr>
      <w:tr>
        <w:trPr>
          <w:trHeight w:val="216"/>
        </w:trPr>
        <w:tc>
          <w:tcPr>
            <w:tcW w:w="7240" w:type="dxa"/>
            <w:vAlign w:val="bottom"/>
            <w:shd w:val="clear" w:color="auto" w:fill="CEFFE7"/>
          </w:tcPr>
          <w:p>
            <w:pPr>
              <w:ind w:left="140"/>
              <w:spacing w:after="0" w:line="216" w:lineRule="exact"/>
              <w:rPr>
                <w:sz w:val="20"/>
                <w:szCs w:val="20"/>
                <w:color w:val="auto"/>
              </w:rPr>
            </w:pPr>
            <w:r>
              <w:rPr>
                <w:rFonts w:ascii="Arial" w:cs="Arial" w:eastAsia="Arial" w:hAnsi="Arial"/>
                <w:sz w:val="16"/>
                <w:szCs w:val="16"/>
                <w:color w:val="auto"/>
              </w:rPr>
              <w:t xml:space="preserve">Deferred taxes on AFUDC </w:t>
            </w:r>
            <w:r>
              <w:rPr>
                <w:rFonts w:ascii="Arial" w:cs="Arial" w:eastAsia="Arial" w:hAnsi="Arial"/>
                <w:sz w:val="21"/>
                <w:szCs w:val="21"/>
                <w:color w:val="auto"/>
                <w:vertAlign w:val="superscript"/>
              </w:rPr>
              <w:t>(c)</w:t>
            </w:r>
          </w:p>
        </w:tc>
        <w:tc>
          <w:tcPr>
            <w:tcW w:w="280" w:type="dxa"/>
            <w:vAlign w:val="bottom"/>
            <w:shd w:val="clear" w:color="auto" w:fill="CEFFE7"/>
          </w:tcPr>
          <w:p>
            <w:pPr>
              <w:spacing w:after="0"/>
              <w:rPr>
                <w:sz w:val="18"/>
                <w:szCs w:val="18"/>
                <w:color w:val="auto"/>
              </w:rPr>
            </w:pPr>
          </w:p>
        </w:tc>
        <w:tc>
          <w:tcPr>
            <w:tcW w:w="17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7,469</w:t>
            </w:r>
          </w:p>
        </w:tc>
        <w:tc>
          <w:tcPr>
            <w:tcW w:w="200" w:type="dxa"/>
            <w:vAlign w:val="bottom"/>
            <w:shd w:val="clear" w:color="auto" w:fill="CEFFE7"/>
          </w:tcPr>
          <w:p>
            <w:pPr>
              <w:spacing w:after="0"/>
              <w:rPr>
                <w:sz w:val="18"/>
                <w:szCs w:val="18"/>
                <w:color w:val="auto"/>
              </w:rPr>
            </w:pPr>
          </w:p>
        </w:tc>
        <w:tc>
          <w:tcPr>
            <w:tcW w:w="18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7,491</w:t>
            </w:r>
          </w:p>
        </w:tc>
      </w:tr>
      <w:tr>
        <w:trPr>
          <w:trHeight w:val="216"/>
        </w:trPr>
        <w:tc>
          <w:tcPr>
            <w:tcW w:w="7240" w:type="dxa"/>
            <w:vAlign w:val="bottom"/>
          </w:tcPr>
          <w:p>
            <w:pPr>
              <w:ind w:left="140"/>
              <w:spacing w:after="0" w:line="216" w:lineRule="exact"/>
              <w:rPr>
                <w:sz w:val="20"/>
                <w:szCs w:val="20"/>
                <w:color w:val="auto"/>
              </w:rPr>
            </w:pPr>
            <w:r>
              <w:rPr>
                <w:rFonts w:ascii="Arial" w:cs="Arial" w:eastAsia="Arial" w:hAnsi="Arial"/>
                <w:sz w:val="16"/>
                <w:szCs w:val="16"/>
                <w:color w:val="auto"/>
              </w:rPr>
              <w:t xml:space="preserve">Employee benefit plans and related deferred taxes </w:t>
            </w:r>
            <w:r>
              <w:rPr>
                <w:rFonts w:ascii="Arial" w:cs="Arial" w:eastAsia="Arial" w:hAnsi="Arial"/>
                <w:sz w:val="21"/>
                <w:szCs w:val="21"/>
                <w:color w:val="auto"/>
                <w:vertAlign w:val="superscript"/>
              </w:rPr>
              <w:t>(d)</w:t>
            </w:r>
          </w:p>
        </w:tc>
        <w:tc>
          <w:tcPr>
            <w:tcW w:w="2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117,886</w:t>
            </w:r>
          </w:p>
        </w:tc>
        <w:tc>
          <w:tcPr>
            <w:tcW w:w="20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116,598</w:t>
            </w:r>
          </w:p>
        </w:tc>
      </w:tr>
      <w:tr>
        <w:trPr>
          <w:trHeight w:val="216"/>
        </w:trPr>
        <w:tc>
          <w:tcPr>
            <w:tcW w:w="7240" w:type="dxa"/>
            <w:vAlign w:val="bottom"/>
            <w:shd w:val="clear" w:color="auto" w:fill="CEFFE7"/>
          </w:tcPr>
          <w:p>
            <w:pPr>
              <w:ind w:left="140"/>
              <w:spacing w:after="0" w:line="216" w:lineRule="exact"/>
              <w:rPr>
                <w:sz w:val="20"/>
                <w:szCs w:val="20"/>
                <w:color w:val="auto"/>
              </w:rPr>
            </w:pPr>
            <w:r>
              <w:rPr>
                <w:rFonts w:ascii="Arial" w:cs="Arial" w:eastAsia="Arial" w:hAnsi="Arial"/>
                <w:sz w:val="16"/>
                <w:szCs w:val="16"/>
                <w:color w:val="auto"/>
              </w:rPr>
              <w:t xml:space="preserve">Environmental </w:t>
            </w:r>
            <w:r>
              <w:rPr>
                <w:rFonts w:ascii="Arial" w:cs="Arial" w:eastAsia="Arial" w:hAnsi="Arial"/>
                <w:sz w:val="21"/>
                <w:szCs w:val="21"/>
                <w:color w:val="auto"/>
                <w:vertAlign w:val="superscript"/>
              </w:rPr>
              <w:t>(b)</w:t>
            </w:r>
          </w:p>
        </w:tc>
        <w:tc>
          <w:tcPr>
            <w:tcW w:w="280" w:type="dxa"/>
            <w:vAlign w:val="bottom"/>
            <w:shd w:val="clear" w:color="auto" w:fill="CEFFE7"/>
          </w:tcPr>
          <w:p>
            <w:pPr>
              <w:spacing w:after="0"/>
              <w:rPr>
                <w:sz w:val="18"/>
                <w:szCs w:val="18"/>
                <w:color w:val="auto"/>
              </w:rPr>
            </w:pPr>
          </w:p>
        </w:tc>
        <w:tc>
          <w:tcPr>
            <w:tcW w:w="17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1,413</w:t>
            </w:r>
          </w:p>
        </w:tc>
        <w:tc>
          <w:tcPr>
            <w:tcW w:w="200" w:type="dxa"/>
            <w:vAlign w:val="bottom"/>
            <w:shd w:val="clear" w:color="auto" w:fill="CEFFE7"/>
          </w:tcPr>
          <w:p>
            <w:pPr>
              <w:spacing w:after="0"/>
              <w:rPr>
                <w:sz w:val="18"/>
                <w:szCs w:val="18"/>
                <w:color w:val="auto"/>
              </w:rPr>
            </w:pPr>
          </w:p>
        </w:tc>
        <w:tc>
          <w:tcPr>
            <w:tcW w:w="18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1,413</w:t>
            </w:r>
          </w:p>
        </w:tc>
      </w:tr>
      <w:tr>
        <w:trPr>
          <w:trHeight w:val="216"/>
        </w:trPr>
        <w:tc>
          <w:tcPr>
            <w:tcW w:w="7240" w:type="dxa"/>
            <w:vAlign w:val="bottom"/>
          </w:tcPr>
          <w:p>
            <w:pPr>
              <w:ind w:left="140"/>
              <w:spacing w:after="0" w:line="216" w:lineRule="exact"/>
              <w:rPr>
                <w:sz w:val="20"/>
                <w:szCs w:val="20"/>
                <w:color w:val="auto"/>
              </w:rPr>
            </w:pPr>
            <w:r>
              <w:rPr>
                <w:rFonts w:ascii="Arial" w:cs="Arial" w:eastAsia="Arial" w:hAnsi="Arial"/>
                <w:sz w:val="16"/>
                <w:szCs w:val="16"/>
                <w:color w:val="auto"/>
              </w:rPr>
              <w:t xml:space="preserve">Loss on reacquired debt </w:t>
            </w:r>
            <w:r>
              <w:rPr>
                <w:rFonts w:ascii="Arial" w:cs="Arial" w:eastAsia="Arial" w:hAnsi="Arial"/>
                <w:sz w:val="21"/>
                <w:szCs w:val="21"/>
                <w:color w:val="auto"/>
                <w:vertAlign w:val="superscript"/>
              </w:rPr>
              <w:t>(b)</w:t>
            </w:r>
          </w:p>
        </w:tc>
        <w:tc>
          <w:tcPr>
            <w:tcW w:w="2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22,386</w:t>
            </w:r>
          </w:p>
        </w:tc>
        <w:tc>
          <w:tcPr>
            <w:tcW w:w="20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22,864</w:t>
            </w:r>
          </w:p>
        </w:tc>
      </w:tr>
      <w:tr>
        <w:trPr>
          <w:trHeight w:val="216"/>
        </w:trPr>
        <w:tc>
          <w:tcPr>
            <w:tcW w:w="7240" w:type="dxa"/>
            <w:vAlign w:val="bottom"/>
            <w:shd w:val="clear" w:color="auto" w:fill="CEFFE7"/>
          </w:tcPr>
          <w:p>
            <w:pPr>
              <w:ind w:left="140"/>
              <w:spacing w:after="0" w:line="216" w:lineRule="exact"/>
              <w:rPr>
                <w:sz w:val="20"/>
                <w:szCs w:val="20"/>
                <w:color w:val="auto"/>
              </w:rPr>
            </w:pPr>
            <w:r>
              <w:rPr>
                <w:rFonts w:ascii="Arial" w:cs="Arial" w:eastAsia="Arial" w:hAnsi="Arial"/>
                <w:sz w:val="16"/>
                <w:szCs w:val="16"/>
                <w:color w:val="auto"/>
              </w:rPr>
              <w:t xml:space="preserve">Deferred taxes on flow through accounting </w:t>
            </w:r>
            <w:r>
              <w:rPr>
                <w:rFonts w:ascii="Arial" w:cs="Arial" w:eastAsia="Arial" w:hAnsi="Arial"/>
                <w:sz w:val="21"/>
                <w:szCs w:val="21"/>
                <w:color w:val="auto"/>
                <w:vertAlign w:val="superscript"/>
              </w:rPr>
              <w:t>(d)</w:t>
            </w:r>
          </w:p>
        </w:tc>
        <w:tc>
          <w:tcPr>
            <w:tcW w:w="280" w:type="dxa"/>
            <w:vAlign w:val="bottom"/>
            <w:shd w:val="clear" w:color="auto" w:fill="CEFFE7"/>
          </w:tcPr>
          <w:p>
            <w:pPr>
              <w:spacing w:after="0"/>
              <w:rPr>
                <w:sz w:val="18"/>
                <w:szCs w:val="18"/>
                <w:color w:val="auto"/>
              </w:rPr>
            </w:pPr>
          </w:p>
        </w:tc>
        <w:tc>
          <w:tcPr>
            <w:tcW w:w="17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51,823</w:t>
            </w:r>
          </w:p>
        </w:tc>
        <w:tc>
          <w:tcPr>
            <w:tcW w:w="200" w:type="dxa"/>
            <w:vAlign w:val="bottom"/>
            <w:shd w:val="clear" w:color="auto" w:fill="CEFFE7"/>
          </w:tcPr>
          <w:p>
            <w:pPr>
              <w:spacing w:after="0"/>
              <w:rPr>
                <w:sz w:val="18"/>
                <w:szCs w:val="18"/>
                <w:color w:val="auto"/>
              </w:rPr>
            </w:pPr>
          </w:p>
        </w:tc>
        <w:tc>
          <w:tcPr>
            <w:tcW w:w="18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47,515</w:t>
            </w:r>
          </w:p>
        </w:tc>
      </w:tr>
      <w:tr>
        <w:trPr>
          <w:trHeight w:val="216"/>
        </w:trPr>
        <w:tc>
          <w:tcPr>
            <w:tcW w:w="7240" w:type="dxa"/>
            <w:vAlign w:val="bottom"/>
          </w:tcPr>
          <w:p>
            <w:pPr>
              <w:ind w:left="140"/>
              <w:spacing w:after="0" w:line="216" w:lineRule="exact"/>
              <w:rPr>
                <w:sz w:val="20"/>
                <w:szCs w:val="20"/>
                <w:color w:val="auto"/>
              </w:rPr>
            </w:pPr>
            <w:r>
              <w:rPr>
                <w:rFonts w:ascii="Arial" w:cs="Arial" w:eastAsia="Arial" w:hAnsi="Arial"/>
                <w:sz w:val="16"/>
                <w:szCs w:val="16"/>
                <w:color w:val="auto"/>
              </w:rPr>
              <w:t xml:space="preserve">Decommissioning costs </w:t>
            </w:r>
            <w:r>
              <w:rPr>
                <w:rFonts w:ascii="Arial" w:cs="Arial" w:eastAsia="Arial" w:hAnsi="Arial"/>
                <w:sz w:val="21"/>
                <w:szCs w:val="21"/>
                <w:color w:val="auto"/>
                <w:vertAlign w:val="superscript"/>
              </w:rPr>
              <w:t>(c)</w:t>
            </w:r>
          </w:p>
        </w:tc>
        <w:tc>
          <w:tcPr>
            <w:tcW w:w="2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7,827</w:t>
            </w:r>
          </w:p>
        </w:tc>
        <w:tc>
          <w:tcPr>
            <w:tcW w:w="20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8,988</w:t>
            </w:r>
          </w:p>
        </w:tc>
      </w:tr>
      <w:tr>
        <w:trPr>
          <w:trHeight w:val="216"/>
        </w:trPr>
        <w:tc>
          <w:tcPr>
            <w:tcW w:w="7240" w:type="dxa"/>
            <w:vAlign w:val="bottom"/>
            <w:shd w:val="clear" w:color="auto" w:fill="CEFFE7"/>
          </w:tcPr>
          <w:p>
            <w:pPr>
              <w:ind w:left="140"/>
              <w:spacing w:after="0" w:line="216" w:lineRule="exact"/>
              <w:rPr>
                <w:sz w:val="20"/>
                <w:szCs w:val="20"/>
                <w:color w:val="auto"/>
              </w:rPr>
            </w:pPr>
            <w:r>
              <w:rPr>
                <w:rFonts w:ascii="Arial" w:cs="Arial" w:eastAsia="Arial" w:hAnsi="Arial"/>
                <w:sz w:val="16"/>
                <w:szCs w:val="16"/>
                <w:color w:val="auto"/>
              </w:rPr>
              <w:t xml:space="preserve">Gas supply contract termination </w:t>
            </w:r>
            <w:r>
              <w:rPr>
                <w:rFonts w:ascii="Arial" w:cs="Arial" w:eastAsia="Arial" w:hAnsi="Arial"/>
                <w:sz w:val="21"/>
                <w:szCs w:val="21"/>
                <w:color w:val="auto"/>
                <w:vertAlign w:val="superscript"/>
              </w:rPr>
              <w:t>(b)</w:t>
            </w:r>
          </w:p>
        </w:tc>
        <w:tc>
          <w:tcPr>
            <w:tcW w:w="280" w:type="dxa"/>
            <w:vAlign w:val="bottom"/>
            <w:shd w:val="clear" w:color="auto" w:fill="CEFFE7"/>
          </w:tcPr>
          <w:p>
            <w:pPr>
              <w:spacing w:after="0"/>
              <w:rPr>
                <w:sz w:val="18"/>
                <w:szCs w:val="18"/>
                <w:color w:val="auto"/>
              </w:rPr>
            </w:pPr>
          </w:p>
        </w:tc>
        <w:tc>
          <w:tcPr>
            <w:tcW w:w="17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1,013</w:t>
            </w:r>
          </w:p>
        </w:tc>
        <w:tc>
          <w:tcPr>
            <w:tcW w:w="200" w:type="dxa"/>
            <w:vAlign w:val="bottom"/>
            <w:shd w:val="clear" w:color="auto" w:fill="CEFFE7"/>
          </w:tcPr>
          <w:p>
            <w:pPr>
              <w:spacing w:after="0"/>
              <w:rPr>
                <w:sz w:val="18"/>
                <w:szCs w:val="18"/>
                <w:color w:val="auto"/>
              </w:rPr>
            </w:pPr>
          </w:p>
        </w:tc>
        <w:tc>
          <w:tcPr>
            <w:tcW w:w="18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2,524</w:t>
            </w:r>
          </w:p>
        </w:tc>
      </w:tr>
      <w:tr>
        <w:trPr>
          <w:trHeight w:val="216"/>
        </w:trPr>
        <w:tc>
          <w:tcPr>
            <w:tcW w:w="7240" w:type="dxa"/>
            <w:vAlign w:val="bottom"/>
            <w:tcBorders>
              <w:bottom w:val="single" w:sz="8" w:color="CEFFE7"/>
            </w:tcBorders>
          </w:tcPr>
          <w:p>
            <w:pPr>
              <w:ind w:left="140"/>
              <w:spacing w:after="0" w:line="216" w:lineRule="exact"/>
              <w:rPr>
                <w:sz w:val="20"/>
                <w:szCs w:val="20"/>
                <w:color w:val="auto"/>
              </w:rPr>
            </w:pPr>
            <w:r>
              <w:rPr>
                <w:rFonts w:ascii="Arial" w:cs="Arial" w:eastAsia="Arial" w:hAnsi="Arial"/>
                <w:sz w:val="16"/>
                <w:szCs w:val="16"/>
                <w:color w:val="auto"/>
              </w:rPr>
              <w:t xml:space="preserve">Other regulatory assets </w:t>
            </w:r>
            <w:r>
              <w:rPr>
                <w:rFonts w:ascii="Arial" w:cs="Arial" w:eastAsia="Arial" w:hAnsi="Arial"/>
                <w:sz w:val="21"/>
                <w:szCs w:val="21"/>
                <w:color w:val="auto"/>
                <w:vertAlign w:val="superscript"/>
              </w:rPr>
              <w:t>(b)</w:t>
            </w:r>
          </w:p>
        </w:tc>
        <w:tc>
          <w:tcPr>
            <w:tcW w:w="2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25,806</w:t>
            </w:r>
          </w:p>
        </w:tc>
        <w:tc>
          <w:tcPr>
            <w:tcW w:w="20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26,404</w:t>
            </w:r>
          </w:p>
        </w:tc>
      </w:tr>
      <w:tr>
        <w:trPr>
          <w:trHeight w:val="209"/>
        </w:trPr>
        <w:tc>
          <w:tcPr>
            <w:tcW w:w="7240" w:type="dxa"/>
            <w:vAlign w:val="bottom"/>
            <w:shd w:val="clear" w:color="auto" w:fill="CEFFE7"/>
          </w:tcPr>
          <w:p>
            <w:pPr>
              <w:ind w:left="20"/>
              <w:spacing w:after="0"/>
              <w:rPr>
                <w:sz w:val="20"/>
                <w:szCs w:val="20"/>
                <w:color w:val="auto"/>
              </w:rPr>
            </w:pPr>
            <w:r>
              <w:rPr>
                <w:rFonts w:ascii="Arial" w:cs="Arial" w:eastAsia="Arial" w:hAnsi="Arial"/>
                <w:sz w:val="16"/>
                <w:szCs w:val="16"/>
                <w:color w:val="auto"/>
              </w:rPr>
              <w:t>Total regulatory assets</w:t>
            </w:r>
          </w:p>
        </w:tc>
        <w:tc>
          <w:tcPr>
            <w:tcW w:w="280" w:type="dxa"/>
            <w:vAlign w:val="bottom"/>
            <w:shd w:val="clear" w:color="auto" w:fill="CEFFE7"/>
          </w:tcPr>
          <w:p>
            <w:pPr>
              <w:spacing w:after="0"/>
              <w:rPr>
                <w:sz w:val="18"/>
                <w:szCs w:val="18"/>
                <w:color w:val="auto"/>
              </w:rPr>
            </w:pPr>
          </w:p>
        </w:tc>
        <w:tc>
          <w:tcPr>
            <w:tcW w:w="17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802,257</w:t>
            </w:r>
          </w:p>
        </w:tc>
        <w:tc>
          <w:tcPr>
            <w:tcW w:w="200" w:type="dxa"/>
            <w:vAlign w:val="bottom"/>
            <w:shd w:val="clear" w:color="auto" w:fill="CEFFE7"/>
          </w:tcPr>
          <w:p>
            <w:pPr>
              <w:spacing w:after="0"/>
              <w:rPr>
                <w:sz w:val="18"/>
                <w:szCs w:val="18"/>
                <w:color w:val="auto"/>
              </w:rPr>
            </w:pPr>
          </w:p>
        </w:tc>
        <w:tc>
          <w:tcPr>
            <w:tcW w:w="18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278,258</w:t>
            </w:r>
          </w:p>
        </w:tc>
      </w:tr>
      <w:tr>
        <w:trPr>
          <w:trHeight w:val="213"/>
        </w:trPr>
        <w:tc>
          <w:tcPr>
            <w:tcW w:w="7240" w:type="dxa"/>
            <w:vAlign w:val="bottom"/>
            <w:tcBorders>
              <w:bottom w:val="single" w:sz="8" w:color="CEFFE7"/>
            </w:tcBorders>
          </w:tcPr>
          <w:p>
            <w:pPr>
              <w:ind w:left="160"/>
              <w:spacing w:after="0"/>
              <w:rPr>
                <w:sz w:val="20"/>
                <w:szCs w:val="20"/>
                <w:color w:val="auto"/>
              </w:rPr>
            </w:pPr>
            <w:r>
              <w:rPr>
                <w:rFonts w:ascii="Arial" w:cs="Arial" w:eastAsia="Arial" w:hAnsi="Arial"/>
                <w:sz w:val="16"/>
                <w:szCs w:val="16"/>
                <w:color w:val="auto"/>
              </w:rPr>
              <w:t>Less current regulatory assets</w:t>
            </w:r>
          </w:p>
        </w:tc>
        <w:tc>
          <w:tcPr>
            <w:tcW w:w="2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(129,951)</w:t>
            </w:r>
          </w:p>
        </w:tc>
        <w:tc>
          <w:tcPr>
            <w:tcW w:w="20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(51,676)</w:t>
            </w:r>
          </w:p>
        </w:tc>
      </w:tr>
      <w:tr>
        <w:trPr>
          <w:trHeight w:val="238"/>
        </w:trPr>
        <w:tc>
          <w:tcPr>
            <w:tcW w:w="724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Regulatory assets, non-current</w:t>
            </w:r>
          </w:p>
        </w:tc>
        <w:tc>
          <w:tcPr>
            <w:tcW w:w="280" w:type="dxa"/>
            <w:vAlign w:val="bottom"/>
            <w:tcBorders>
              <w:bottom w:val="single" w:sz="8" w:color="auto"/>
            </w:tcBorders>
            <w:shd w:val="clear" w:color="auto" w:fill="CEFFE7"/>
          </w:tcPr>
          <w:p>
            <w:pPr>
              <w:jc w:val="right"/>
              <w:ind w:right="79"/>
              <w:spacing w:after="0"/>
              <w:rPr>
                <w:sz w:val="20"/>
                <w:szCs w:val="20"/>
                <w:color w:val="auto"/>
              </w:rPr>
            </w:pPr>
            <w:r>
              <w:rPr>
                <w:rFonts w:ascii="Arial" w:cs="Arial" w:eastAsia="Arial" w:hAnsi="Arial"/>
                <w:sz w:val="16"/>
                <w:szCs w:val="16"/>
                <w:color w:val="auto"/>
              </w:rPr>
              <w:t>$</w:t>
            </w:r>
          </w:p>
        </w:tc>
        <w:tc>
          <w:tcPr>
            <w:tcW w:w="17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672,306</w:t>
            </w:r>
          </w:p>
        </w:tc>
        <w:tc>
          <w:tcPr>
            <w:tcW w:w="2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226,582</w:t>
            </w:r>
          </w:p>
        </w:tc>
      </w:tr>
      <w:tr>
        <w:trPr>
          <w:trHeight w:val="20"/>
        </w:trPr>
        <w:tc>
          <w:tcPr>
            <w:tcW w:w="7240" w:type="dxa"/>
            <w:vAlign w:val="bottom"/>
            <w:tcBorders>
              <w:top w:val="single" w:sz="8" w:color="CEFFE7"/>
            </w:tcBorders>
          </w:tcPr>
          <w:p>
            <w:pPr>
              <w:spacing w:after="0" w:line="20" w:lineRule="exact"/>
              <w:rPr>
                <w:sz w:val="1"/>
                <w:szCs w:val="1"/>
                <w:color w:val="auto"/>
              </w:rPr>
            </w:pPr>
          </w:p>
        </w:tc>
        <w:tc>
          <w:tcPr>
            <w:tcW w:w="280" w:type="dxa"/>
            <w:vAlign w:val="bottom"/>
            <w:tcBorders>
              <w:top w:val="single" w:sz="8" w:color="CEFFE7"/>
              <w:bottom w:val="single" w:sz="8" w:color="auto"/>
            </w:tcBorders>
          </w:tcPr>
          <w:p>
            <w:pPr>
              <w:spacing w:after="0" w:line="20" w:lineRule="exact"/>
              <w:rPr>
                <w:sz w:val="1"/>
                <w:szCs w:val="1"/>
                <w:color w:val="auto"/>
              </w:rPr>
            </w:pPr>
          </w:p>
        </w:tc>
        <w:tc>
          <w:tcPr>
            <w:tcW w:w="1700" w:type="dxa"/>
            <w:vAlign w:val="bottom"/>
            <w:tcBorders>
              <w:top w:val="single" w:sz="8" w:color="CEFFE7"/>
              <w:bottom w:val="single" w:sz="8" w:color="auto"/>
            </w:tcBorders>
          </w:tcPr>
          <w:p>
            <w:pPr>
              <w:spacing w:after="0" w:line="20" w:lineRule="exact"/>
              <w:rPr>
                <w:sz w:val="1"/>
                <w:szCs w:val="1"/>
                <w:color w:val="auto"/>
              </w:rPr>
            </w:pPr>
          </w:p>
        </w:tc>
        <w:tc>
          <w:tcPr>
            <w:tcW w:w="200" w:type="dxa"/>
            <w:vAlign w:val="bottom"/>
            <w:tcBorders>
              <w:top w:val="single" w:sz="8" w:color="CEFFE7"/>
              <w:bottom w:val="single" w:sz="8" w:color="auto"/>
            </w:tcBorders>
          </w:tcPr>
          <w:p>
            <w:pPr>
              <w:spacing w:after="0" w:line="20" w:lineRule="exact"/>
              <w:rPr>
                <w:sz w:val="1"/>
                <w:szCs w:val="1"/>
                <w:color w:val="auto"/>
              </w:rPr>
            </w:pPr>
          </w:p>
        </w:tc>
        <w:tc>
          <w:tcPr>
            <w:tcW w:w="1800" w:type="dxa"/>
            <w:vAlign w:val="bottom"/>
            <w:tcBorders>
              <w:top w:val="single" w:sz="8" w:color="CEFFE7"/>
              <w:bottom w:val="single" w:sz="8" w:color="auto"/>
            </w:tcBorders>
          </w:tcPr>
          <w:p>
            <w:pPr>
              <w:spacing w:after="0" w:line="20" w:lineRule="exact"/>
              <w:rPr>
                <w:sz w:val="1"/>
                <w:szCs w:val="1"/>
                <w:color w:val="auto"/>
              </w:rPr>
            </w:pPr>
          </w:p>
        </w:tc>
      </w:tr>
      <w:tr>
        <w:trPr>
          <w:trHeight w:val="149"/>
        </w:trPr>
        <w:tc>
          <w:tcPr>
            <w:tcW w:w="7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0" w:type="dxa"/>
            <w:vAlign w:val="bottom"/>
          </w:tcPr>
          <w:p>
            <w:pPr>
              <w:spacing w:after="0"/>
              <w:rPr>
                <w:sz w:val="13"/>
                <w:szCs w:val="13"/>
                <w:color w:val="auto"/>
              </w:rPr>
            </w:pPr>
          </w:p>
        </w:tc>
      </w:tr>
      <w:tr>
        <w:trPr>
          <w:trHeight w:val="216"/>
        </w:trPr>
        <w:tc>
          <w:tcPr>
            <w:tcW w:w="7240" w:type="dxa"/>
            <w:vAlign w:val="bottom"/>
            <w:shd w:val="clear" w:color="auto" w:fill="CEFFE7"/>
          </w:tcPr>
          <w:p>
            <w:pPr>
              <w:ind w:left="20"/>
              <w:spacing w:after="0"/>
              <w:rPr>
                <w:sz w:val="20"/>
                <w:szCs w:val="20"/>
                <w:color w:val="auto"/>
              </w:rPr>
            </w:pPr>
            <w:r>
              <w:rPr>
                <w:rFonts w:ascii="Arial" w:cs="Arial" w:eastAsia="Arial" w:hAnsi="Arial"/>
                <w:sz w:val="16"/>
                <w:szCs w:val="16"/>
                <w:color w:val="auto"/>
              </w:rPr>
              <w:t>Regulatory liabilities</w:t>
            </w:r>
          </w:p>
        </w:tc>
        <w:tc>
          <w:tcPr>
            <w:tcW w:w="280" w:type="dxa"/>
            <w:vAlign w:val="bottom"/>
            <w:shd w:val="clear" w:color="auto" w:fill="CEFFE7"/>
          </w:tcPr>
          <w:p>
            <w:pPr>
              <w:spacing w:after="0"/>
              <w:rPr>
                <w:sz w:val="18"/>
                <w:szCs w:val="18"/>
                <w:color w:val="auto"/>
              </w:rPr>
            </w:pPr>
          </w:p>
        </w:tc>
        <w:tc>
          <w:tcPr>
            <w:tcW w:w="1700" w:type="dxa"/>
            <w:vAlign w:val="bottom"/>
            <w:shd w:val="clear" w:color="auto" w:fill="CEFFE7"/>
          </w:tcPr>
          <w:p>
            <w:pPr>
              <w:spacing w:after="0"/>
              <w:rPr>
                <w:sz w:val="18"/>
                <w:szCs w:val="18"/>
                <w:color w:val="auto"/>
              </w:rPr>
            </w:pPr>
          </w:p>
        </w:tc>
        <w:tc>
          <w:tcPr>
            <w:tcW w:w="200" w:type="dxa"/>
            <w:vAlign w:val="bottom"/>
            <w:shd w:val="clear" w:color="auto" w:fill="CEFFE7"/>
          </w:tcPr>
          <w:p>
            <w:pPr>
              <w:spacing w:after="0"/>
              <w:rPr>
                <w:sz w:val="18"/>
                <w:szCs w:val="18"/>
                <w:color w:val="auto"/>
              </w:rPr>
            </w:pPr>
          </w:p>
        </w:tc>
        <w:tc>
          <w:tcPr>
            <w:tcW w:w="1800" w:type="dxa"/>
            <w:vAlign w:val="bottom"/>
            <w:shd w:val="clear" w:color="auto" w:fill="CEFFE7"/>
          </w:tcPr>
          <w:p>
            <w:pPr>
              <w:spacing w:after="0"/>
              <w:rPr>
                <w:sz w:val="18"/>
                <w:szCs w:val="18"/>
                <w:color w:val="auto"/>
              </w:rPr>
            </w:pPr>
          </w:p>
        </w:tc>
      </w:tr>
      <w:tr>
        <w:trPr>
          <w:trHeight w:val="216"/>
        </w:trPr>
        <w:tc>
          <w:tcPr>
            <w:tcW w:w="7240" w:type="dxa"/>
            <w:vAlign w:val="bottom"/>
          </w:tcPr>
          <w:p>
            <w:pPr>
              <w:ind w:left="140"/>
              <w:spacing w:after="0" w:line="216" w:lineRule="exact"/>
              <w:rPr>
                <w:sz w:val="20"/>
                <w:szCs w:val="20"/>
                <w:color w:val="auto"/>
              </w:rPr>
            </w:pPr>
            <w:r>
              <w:rPr>
                <w:rFonts w:ascii="Arial" w:cs="Arial" w:eastAsia="Arial" w:hAnsi="Arial"/>
                <w:sz w:val="16"/>
                <w:szCs w:val="16"/>
                <w:color w:val="auto"/>
              </w:rPr>
              <w:t xml:space="preserve">Deferred energy and gas costs </w:t>
            </w:r>
            <w:r>
              <w:rPr>
                <w:rFonts w:ascii="Arial" w:cs="Arial" w:eastAsia="Arial" w:hAnsi="Arial"/>
                <w:sz w:val="21"/>
                <w:szCs w:val="21"/>
                <w:color w:val="auto"/>
                <w:vertAlign w:val="superscript"/>
              </w:rPr>
              <w:t>(b)</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700" w:type="dxa"/>
            <w:vAlign w:val="bottom"/>
          </w:tcPr>
          <w:p>
            <w:pPr>
              <w:jc w:val="right"/>
              <w:spacing w:after="0"/>
              <w:rPr>
                <w:sz w:val="20"/>
                <w:szCs w:val="20"/>
                <w:color w:val="auto"/>
              </w:rPr>
            </w:pPr>
            <w:r>
              <w:rPr>
                <w:rFonts w:ascii="Arial" w:cs="Arial" w:eastAsia="Arial" w:hAnsi="Arial"/>
                <w:sz w:val="16"/>
                <w:szCs w:val="16"/>
                <w:color w:val="auto"/>
              </w:rPr>
              <w:t>426</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800" w:type="dxa"/>
            <w:vAlign w:val="bottom"/>
          </w:tcPr>
          <w:p>
            <w:pPr>
              <w:jc w:val="right"/>
              <w:spacing w:after="0"/>
              <w:rPr>
                <w:sz w:val="20"/>
                <w:szCs w:val="20"/>
                <w:color w:val="auto"/>
              </w:rPr>
            </w:pPr>
            <w:r>
              <w:rPr>
                <w:rFonts w:ascii="Arial" w:cs="Arial" w:eastAsia="Arial" w:hAnsi="Arial"/>
                <w:sz w:val="16"/>
                <w:szCs w:val="16"/>
                <w:color w:val="auto"/>
              </w:rPr>
              <w:t>13,253</w:t>
            </w:r>
          </w:p>
        </w:tc>
      </w:tr>
      <w:tr>
        <w:trPr>
          <w:trHeight w:val="216"/>
        </w:trPr>
        <w:tc>
          <w:tcPr>
            <w:tcW w:w="7240" w:type="dxa"/>
            <w:vAlign w:val="bottom"/>
            <w:shd w:val="clear" w:color="auto" w:fill="CEFFE7"/>
          </w:tcPr>
          <w:p>
            <w:pPr>
              <w:ind w:left="140"/>
              <w:spacing w:after="0" w:line="216" w:lineRule="exact"/>
              <w:rPr>
                <w:sz w:val="20"/>
                <w:szCs w:val="20"/>
                <w:color w:val="auto"/>
              </w:rPr>
            </w:pPr>
            <w:r>
              <w:rPr>
                <w:rFonts w:ascii="Arial" w:cs="Arial" w:eastAsia="Arial" w:hAnsi="Arial"/>
                <w:sz w:val="16"/>
                <w:szCs w:val="16"/>
                <w:color w:val="auto"/>
              </w:rPr>
              <w:t xml:space="preserve">Employee benefit plan costs and related deferred taxes </w:t>
            </w:r>
            <w:r>
              <w:rPr>
                <w:rFonts w:ascii="Arial" w:cs="Arial" w:eastAsia="Arial" w:hAnsi="Arial"/>
                <w:sz w:val="21"/>
                <w:szCs w:val="21"/>
                <w:color w:val="auto"/>
                <w:vertAlign w:val="superscript"/>
              </w:rPr>
              <w:t>(d)</w:t>
            </w:r>
          </w:p>
        </w:tc>
        <w:tc>
          <w:tcPr>
            <w:tcW w:w="280" w:type="dxa"/>
            <w:vAlign w:val="bottom"/>
            <w:shd w:val="clear" w:color="auto" w:fill="CEFFE7"/>
          </w:tcPr>
          <w:p>
            <w:pPr>
              <w:spacing w:after="0"/>
              <w:rPr>
                <w:sz w:val="18"/>
                <w:szCs w:val="18"/>
                <w:color w:val="auto"/>
              </w:rPr>
            </w:pPr>
          </w:p>
        </w:tc>
        <w:tc>
          <w:tcPr>
            <w:tcW w:w="17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40,471</w:t>
            </w:r>
          </w:p>
        </w:tc>
        <w:tc>
          <w:tcPr>
            <w:tcW w:w="200" w:type="dxa"/>
            <w:vAlign w:val="bottom"/>
            <w:shd w:val="clear" w:color="auto" w:fill="CEFFE7"/>
          </w:tcPr>
          <w:p>
            <w:pPr>
              <w:spacing w:after="0"/>
              <w:rPr>
                <w:sz w:val="18"/>
                <w:szCs w:val="18"/>
                <w:color w:val="auto"/>
              </w:rPr>
            </w:pPr>
          </w:p>
        </w:tc>
        <w:tc>
          <w:tcPr>
            <w:tcW w:w="18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40,256</w:t>
            </w:r>
          </w:p>
        </w:tc>
      </w:tr>
      <w:tr>
        <w:trPr>
          <w:trHeight w:val="216"/>
        </w:trPr>
        <w:tc>
          <w:tcPr>
            <w:tcW w:w="7240" w:type="dxa"/>
            <w:vAlign w:val="bottom"/>
          </w:tcPr>
          <w:p>
            <w:pPr>
              <w:ind w:left="140"/>
              <w:spacing w:after="0" w:line="216" w:lineRule="exact"/>
              <w:rPr>
                <w:sz w:val="20"/>
                <w:szCs w:val="20"/>
                <w:color w:val="auto"/>
              </w:rPr>
            </w:pPr>
            <w:r>
              <w:rPr>
                <w:rFonts w:ascii="Arial" w:cs="Arial" w:eastAsia="Arial" w:hAnsi="Arial"/>
                <w:sz w:val="16"/>
                <w:szCs w:val="16"/>
                <w:color w:val="auto"/>
              </w:rPr>
              <w:t xml:space="preserve">Cost of removal </w:t>
            </w:r>
            <w:r>
              <w:rPr>
                <w:rFonts w:ascii="Arial" w:cs="Arial" w:eastAsia="Arial" w:hAnsi="Arial"/>
                <w:sz w:val="21"/>
                <w:szCs w:val="21"/>
                <w:color w:val="auto"/>
                <w:vertAlign w:val="superscript"/>
              </w:rPr>
              <w:t>(b)</w:t>
            </w:r>
          </w:p>
        </w:tc>
        <w:tc>
          <w:tcPr>
            <w:tcW w:w="2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177,003</w:t>
            </w:r>
          </w:p>
        </w:tc>
        <w:tc>
          <w:tcPr>
            <w:tcW w:w="20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172,902</w:t>
            </w:r>
          </w:p>
        </w:tc>
      </w:tr>
      <w:tr>
        <w:trPr>
          <w:trHeight w:val="216"/>
        </w:trPr>
        <w:tc>
          <w:tcPr>
            <w:tcW w:w="7240" w:type="dxa"/>
            <w:vAlign w:val="bottom"/>
            <w:shd w:val="clear" w:color="auto" w:fill="CEFFE7"/>
          </w:tcPr>
          <w:p>
            <w:pPr>
              <w:ind w:left="140"/>
              <w:spacing w:after="0" w:line="216" w:lineRule="exact"/>
              <w:rPr>
                <w:sz w:val="20"/>
                <w:szCs w:val="20"/>
                <w:color w:val="auto"/>
              </w:rPr>
            </w:pPr>
            <w:r>
              <w:rPr>
                <w:rFonts w:ascii="Arial" w:cs="Arial" w:eastAsia="Arial" w:hAnsi="Arial"/>
                <w:sz w:val="16"/>
                <w:szCs w:val="16"/>
                <w:color w:val="auto"/>
              </w:rPr>
              <w:t xml:space="preserve">Excess deferred income taxes </w:t>
            </w:r>
            <w:r>
              <w:rPr>
                <w:rFonts w:ascii="Arial" w:cs="Arial" w:eastAsia="Arial" w:hAnsi="Arial"/>
                <w:sz w:val="21"/>
                <w:szCs w:val="21"/>
                <w:color w:val="auto"/>
                <w:vertAlign w:val="superscript"/>
              </w:rPr>
              <w:t>(d)</w:t>
            </w:r>
          </w:p>
        </w:tc>
        <w:tc>
          <w:tcPr>
            <w:tcW w:w="280" w:type="dxa"/>
            <w:vAlign w:val="bottom"/>
            <w:shd w:val="clear" w:color="auto" w:fill="CEFFE7"/>
          </w:tcPr>
          <w:p>
            <w:pPr>
              <w:spacing w:after="0"/>
              <w:rPr>
                <w:sz w:val="18"/>
                <w:szCs w:val="18"/>
                <w:color w:val="auto"/>
              </w:rPr>
            </w:pPr>
          </w:p>
        </w:tc>
        <w:tc>
          <w:tcPr>
            <w:tcW w:w="17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271,492</w:t>
            </w:r>
          </w:p>
        </w:tc>
        <w:tc>
          <w:tcPr>
            <w:tcW w:w="200" w:type="dxa"/>
            <w:vAlign w:val="bottom"/>
            <w:shd w:val="clear" w:color="auto" w:fill="CEFFE7"/>
          </w:tcPr>
          <w:p>
            <w:pPr>
              <w:spacing w:after="0"/>
              <w:rPr>
                <w:sz w:val="18"/>
                <w:szCs w:val="18"/>
                <w:color w:val="auto"/>
              </w:rPr>
            </w:pPr>
          </w:p>
        </w:tc>
        <w:tc>
          <w:tcPr>
            <w:tcW w:w="18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285,259</w:t>
            </w:r>
          </w:p>
        </w:tc>
      </w:tr>
      <w:tr>
        <w:trPr>
          <w:trHeight w:val="216"/>
        </w:trPr>
        <w:tc>
          <w:tcPr>
            <w:tcW w:w="7240" w:type="dxa"/>
            <w:vAlign w:val="bottom"/>
            <w:tcBorders>
              <w:bottom w:val="single" w:sz="8" w:color="CEFFE7"/>
            </w:tcBorders>
          </w:tcPr>
          <w:p>
            <w:pPr>
              <w:ind w:left="140"/>
              <w:spacing w:after="0" w:line="216" w:lineRule="exact"/>
              <w:rPr>
                <w:sz w:val="20"/>
                <w:szCs w:val="20"/>
                <w:color w:val="auto"/>
              </w:rPr>
            </w:pPr>
            <w:r>
              <w:rPr>
                <w:rFonts w:ascii="Arial" w:cs="Arial" w:eastAsia="Arial" w:hAnsi="Arial"/>
                <w:sz w:val="16"/>
                <w:szCs w:val="16"/>
                <w:color w:val="auto"/>
              </w:rPr>
              <w:t xml:space="preserve">Other regulatory liabilities </w:t>
            </w:r>
            <w:r>
              <w:rPr>
                <w:rFonts w:ascii="Arial" w:cs="Arial" w:eastAsia="Arial" w:hAnsi="Arial"/>
                <w:sz w:val="21"/>
                <w:szCs w:val="21"/>
                <w:color w:val="auto"/>
                <w:vertAlign w:val="superscript"/>
              </w:rPr>
              <w:t>(d)</w:t>
            </w:r>
          </w:p>
        </w:tc>
        <w:tc>
          <w:tcPr>
            <w:tcW w:w="2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21,998</w:t>
            </w:r>
          </w:p>
        </w:tc>
        <w:tc>
          <w:tcPr>
            <w:tcW w:w="20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21,050</w:t>
            </w:r>
          </w:p>
        </w:tc>
      </w:tr>
      <w:tr>
        <w:trPr>
          <w:trHeight w:val="210"/>
        </w:trPr>
        <w:tc>
          <w:tcPr>
            <w:tcW w:w="7240" w:type="dxa"/>
            <w:vAlign w:val="bottom"/>
            <w:shd w:val="clear" w:color="auto" w:fill="CEFFE7"/>
          </w:tcPr>
          <w:p>
            <w:pPr>
              <w:ind w:left="20"/>
              <w:spacing w:after="0"/>
              <w:rPr>
                <w:sz w:val="20"/>
                <w:szCs w:val="20"/>
                <w:color w:val="auto"/>
              </w:rPr>
            </w:pPr>
            <w:r>
              <w:rPr>
                <w:rFonts w:ascii="Arial" w:cs="Arial" w:eastAsia="Arial" w:hAnsi="Arial"/>
                <w:sz w:val="16"/>
                <w:szCs w:val="16"/>
                <w:color w:val="auto"/>
              </w:rPr>
              <w:t>Total regulatory liabilities</w:t>
            </w:r>
          </w:p>
        </w:tc>
        <w:tc>
          <w:tcPr>
            <w:tcW w:w="280" w:type="dxa"/>
            <w:vAlign w:val="bottom"/>
            <w:shd w:val="clear" w:color="auto" w:fill="CEFFE7"/>
          </w:tcPr>
          <w:p>
            <w:pPr>
              <w:spacing w:after="0"/>
              <w:rPr>
                <w:sz w:val="18"/>
                <w:szCs w:val="18"/>
                <w:color w:val="auto"/>
              </w:rPr>
            </w:pPr>
          </w:p>
        </w:tc>
        <w:tc>
          <w:tcPr>
            <w:tcW w:w="17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511,390</w:t>
            </w:r>
          </w:p>
        </w:tc>
        <w:tc>
          <w:tcPr>
            <w:tcW w:w="200" w:type="dxa"/>
            <w:vAlign w:val="bottom"/>
            <w:shd w:val="clear" w:color="auto" w:fill="CEFFE7"/>
          </w:tcPr>
          <w:p>
            <w:pPr>
              <w:spacing w:after="0"/>
              <w:rPr>
                <w:sz w:val="18"/>
                <w:szCs w:val="18"/>
                <w:color w:val="auto"/>
              </w:rPr>
            </w:pPr>
          </w:p>
        </w:tc>
        <w:tc>
          <w:tcPr>
            <w:tcW w:w="18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532,720</w:t>
            </w:r>
          </w:p>
        </w:tc>
      </w:tr>
      <w:tr>
        <w:trPr>
          <w:trHeight w:val="213"/>
        </w:trPr>
        <w:tc>
          <w:tcPr>
            <w:tcW w:w="7240" w:type="dxa"/>
            <w:vAlign w:val="bottom"/>
            <w:tcBorders>
              <w:bottom w:val="single" w:sz="8" w:color="CEFFE7"/>
            </w:tcBorders>
          </w:tcPr>
          <w:p>
            <w:pPr>
              <w:ind w:left="160"/>
              <w:spacing w:after="0"/>
              <w:rPr>
                <w:sz w:val="20"/>
                <w:szCs w:val="20"/>
                <w:color w:val="auto"/>
              </w:rPr>
            </w:pPr>
            <w:r>
              <w:rPr>
                <w:rFonts w:ascii="Arial" w:cs="Arial" w:eastAsia="Arial" w:hAnsi="Arial"/>
                <w:sz w:val="16"/>
                <w:szCs w:val="16"/>
                <w:color w:val="auto"/>
              </w:rPr>
              <w:t>Less current regulatory liabilities</w:t>
            </w:r>
          </w:p>
        </w:tc>
        <w:tc>
          <w:tcPr>
            <w:tcW w:w="2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(13,580)</w:t>
            </w:r>
          </w:p>
        </w:tc>
        <w:tc>
          <w:tcPr>
            <w:tcW w:w="20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(25,061)</w:t>
            </w:r>
          </w:p>
        </w:tc>
      </w:tr>
      <w:tr>
        <w:trPr>
          <w:trHeight w:val="238"/>
        </w:trPr>
        <w:tc>
          <w:tcPr>
            <w:tcW w:w="724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Regulatory liabilities, non-current</w:t>
            </w:r>
          </w:p>
        </w:tc>
        <w:tc>
          <w:tcPr>
            <w:tcW w:w="280" w:type="dxa"/>
            <w:vAlign w:val="bottom"/>
            <w:tcBorders>
              <w:bottom w:val="single" w:sz="8" w:color="auto"/>
            </w:tcBorders>
            <w:shd w:val="clear" w:color="auto" w:fill="CEFFE7"/>
          </w:tcPr>
          <w:p>
            <w:pPr>
              <w:jc w:val="right"/>
              <w:ind w:right="79"/>
              <w:spacing w:after="0"/>
              <w:rPr>
                <w:sz w:val="20"/>
                <w:szCs w:val="20"/>
                <w:color w:val="auto"/>
              </w:rPr>
            </w:pPr>
            <w:r>
              <w:rPr>
                <w:rFonts w:ascii="Arial" w:cs="Arial" w:eastAsia="Arial" w:hAnsi="Arial"/>
                <w:sz w:val="16"/>
                <w:szCs w:val="16"/>
                <w:color w:val="auto"/>
              </w:rPr>
              <w:t>$</w:t>
            </w:r>
          </w:p>
        </w:tc>
        <w:tc>
          <w:tcPr>
            <w:tcW w:w="17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497,810</w:t>
            </w:r>
          </w:p>
        </w:tc>
        <w:tc>
          <w:tcPr>
            <w:tcW w:w="2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507,659</w:t>
            </w:r>
          </w:p>
        </w:tc>
      </w:tr>
      <w:tr>
        <w:trPr>
          <w:trHeight w:val="20"/>
        </w:trPr>
        <w:tc>
          <w:tcPr>
            <w:tcW w:w="7240" w:type="dxa"/>
            <w:vAlign w:val="bottom"/>
            <w:tcBorders>
              <w:top w:val="single" w:sz="8" w:color="CEFFE7"/>
            </w:tcBorders>
          </w:tcPr>
          <w:p>
            <w:pPr>
              <w:spacing w:after="0" w:line="20" w:lineRule="exact"/>
              <w:rPr>
                <w:sz w:val="1"/>
                <w:szCs w:val="1"/>
                <w:color w:val="auto"/>
              </w:rPr>
            </w:pPr>
          </w:p>
        </w:tc>
        <w:tc>
          <w:tcPr>
            <w:tcW w:w="280" w:type="dxa"/>
            <w:vAlign w:val="bottom"/>
            <w:tcBorders>
              <w:top w:val="single" w:sz="8" w:color="CEFFE7"/>
              <w:bottom w:val="single" w:sz="8" w:color="auto"/>
            </w:tcBorders>
          </w:tcPr>
          <w:p>
            <w:pPr>
              <w:spacing w:after="0" w:line="20" w:lineRule="exact"/>
              <w:rPr>
                <w:sz w:val="1"/>
                <w:szCs w:val="1"/>
                <w:color w:val="auto"/>
              </w:rPr>
            </w:pPr>
          </w:p>
        </w:tc>
        <w:tc>
          <w:tcPr>
            <w:tcW w:w="1700" w:type="dxa"/>
            <w:vAlign w:val="bottom"/>
            <w:tcBorders>
              <w:top w:val="single" w:sz="8" w:color="CEFFE7"/>
              <w:bottom w:val="single" w:sz="8" w:color="auto"/>
            </w:tcBorders>
          </w:tcPr>
          <w:p>
            <w:pPr>
              <w:spacing w:after="0" w:line="20" w:lineRule="exact"/>
              <w:rPr>
                <w:sz w:val="1"/>
                <w:szCs w:val="1"/>
                <w:color w:val="auto"/>
              </w:rPr>
            </w:pPr>
          </w:p>
        </w:tc>
        <w:tc>
          <w:tcPr>
            <w:tcW w:w="200" w:type="dxa"/>
            <w:vAlign w:val="bottom"/>
            <w:tcBorders>
              <w:top w:val="single" w:sz="8" w:color="CEFFE7"/>
              <w:bottom w:val="single" w:sz="8" w:color="auto"/>
            </w:tcBorders>
          </w:tcPr>
          <w:p>
            <w:pPr>
              <w:spacing w:after="0" w:line="20" w:lineRule="exact"/>
              <w:rPr>
                <w:sz w:val="1"/>
                <w:szCs w:val="1"/>
                <w:color w:val="auto"/>
              </w:rPr>
            </w:pPr>
          </w:p>
        </w:tc>
        <w:tc>
          <w:tcPr>
            <w:tcW w:w="1800" w:type="dxa"/>
            <w:vAlign w:val="bottom"/>
            <w:tcBorders>
              <w:top w:val="single" w:sz="8" w:color="CEFFE7"/>
              <w:bottom w:val="single" w:sz="8" w:color="auto"/>
            </w:tcBorders>
          </w:tcPr>
          <w:p>
            <w:pPr>
              <w:spacing w:after="0" w:line="20" w:lineRule="exact"/>
              <w:rPr>
                <w:sz w:val="1"/>
                <w:szCs w:val="1"/>
                <w:color w:val="auto"/>
              </w:rPr>
            </w:pPr>
          </w:p>
        </w:tc>
      </w:tr>
    </w:tbl>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8"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4"/>
          <w:szCs w:val="14"/>
          <w:color w:val="auto"/>
        </w:rPr>
      </w:pPr>
      <w:r>
        <w:rPr>
          <w:rFonts w:ascii="Arial" w:cs="Arial" w:eastAsia="Arial" w:hAnsi="Arial"/>
          <w:sz w:val="14"/>
          <w:szCs w:val="14"/>
          <w:color w:val="auto"/>
        </w:rPr>
        <w:t>We are in discussions with our regulators regarding the timing of Winter Storm Uri incremental cost recovery. See further information below.</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4"/>
        </w:numPr>
        <w:rPr>
          <w:rFonts w:ascii="Arial" w:cs="Arial" w:eastAsia="Arial" w:hAnsi="Arial"/>
          <w:sz w:val="14"/>
          <w:szCs w:val="14"/>
          <w:color w:val="auto"/>
        </w:rPr>
      </w:pPr>
      <w:r>
        <w:rPr>
          <w:rFonts w:ascii="Arial" w:cs="Arial" w:eastAsia="Arial" w:hAnsi="Arial"/>
          <w:sz w:val="14"/>
          <w:szCs w:val="14"/>
          <w:color w:val="auto"/>
        </w:rPr>
        <w:t>Recovery of costs, but we are not allowed a rate of return.</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4"/>
        </w:numPr>
        <w:rPr>
          <w:rFonts w:ascii="Arial" w:cs="Arial" w:eastAsia="Arial" w:hAnsi="Arial"/>
          <w:sz w:val="14"/>
          <w:szCs w:val="14"/>
          <w:color w:val="auto"/>
        </w:rPr>
      </w:pPr>
      <w:r>
        <w:rPr>
          <w:rFonts w:ascii="Arial" w:cs="Arial" w:eastAsia="Arial" w:hAnsi="Arial"/>
          <w:sz w:val="14"/>
          <w:szCs w:val="14"/>
          <w:color w:val="auto"/>
        </w:rPr>
        <w:t>In addition to recovery of costs, we are allowed a rate of return.</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4"/>
        </w:numPr>
        <w:rPr>
          <w:rFonts w:ascii="Arial" w:cs="Arial" w:eastAsia="Arial" w:hAnsi="Arial"/>
          <w:sz w:val="14"/>
          <w:szCs w:val="14"/>
          <w:color w:val="auto"/>
        </w:rPr>
      </w:pPr>
      <w:r>
        <w:rPr>
          <w:rFonts w:ascii="Arial" w:cs="Arial" w:eastAsia="Arial" w:hAnsi="Arial"/>
          <w:sz w:val="14"/>
          <w:szCs w:val="14"/>
          <w:color w:val="auto"/>
        </w:rPr>
        <w:t>In addition to recovery or repayment of costs, we are allowed a return on a portion of this amount or a reduction in rate base.</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Regulatory Activity</w:t>
      </w:r>
    </w:p>
    <w:p>
      <w:pPr>
        <w:spacing w:after="0" w:line="268"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Except as discussed below, there have been no other significant changes to our Regulatory Matters from those previously disclosed in Note 2 of the Notes to the Consolidated Financial Statements in our 2020 Annual Report on Form 10-K.</w:t>
      </w: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Winter Storm Uri</w:t>
      </w:r>
    </w:p>
    <w:p>
      <w:pPr>
        <w:spacing w:after="0" w:line="264"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In February 2021, a prolonged period of historic cold temperatures across the central United States, which covered all of our Utilities’ service territories, caused a significant increase in heating and energy demand and contributed to unforeseeable and unprecedented market prices for natural gas and electricity. As a result of Winter Storm Uri, our net pre-tax incremental fuel, purchased power and natural gas costs during the three months ended March 31, 2021 were approximately $571 million. This amount does not include potential pipeline transportation charges for certain suppliers who have requested and received approval from FERC to delay billings.</w:t>
      </w:r>
    </w:p>
    <w:p>
      <w:pPr>
        <w:spacing w:after="0" w:line="230" w:lineRule="exact"/>
        <w:rPr>
          <w:sz w:val="20"/>
          <w:szCs w:val="20"/>
          <w:color w:val="auto"/>
        </w:rPr>
      </w:pPr>
    </w:p>
    <w:p>
      <w:pPr>
        <w:ind w:right="140"/>
        <w:spacing w:after="0" w:line="250" w:lineRule="auto"/>
        <w:rPr>
          <w:sz w:val="20"/>
          <w:szCs w:val="20"/>
          <w:color w:val="auto"/>
        </w:rPr>
      </w:pPr>
      <w:r>
        <w:rPr>
          <w:rFonts w:ascii="Arial" w:cs="Arial" w:eastAsia="Arial" w:hAnsi="Arial"/>
          <w:sz w:val="16"/>
          <w:szCs w:val="16"/>
          <w:color w:val="auto"/>
        </w:rPr>
        <w:t>Our Utilities have regulatory mechanisms to recover approximately $559 million of incremental costs from Winter Storm Uri. However, given the extraordinary impact of these higher costs to our customers, our regulators are performing a heightened review. We are engaged with our regulators to identify appropriate periods over which to recover incremental costs with consideration of the impacts to our customers’ bills. We expect to recover most of the Winter Storm Uri incremental costs through a separately tracked regulatory mechanism but we also anticipate recovery of a portion of the costs through existing mechanisms.</w:t>
      </w:r>
    </w:p>
    <w:p>
      <w:pPr>
        <w:spacing w:after="0" w:line="230" w:lineRule="exact"/>
        <w:rPr>
          <w:sz w:val="20"/>
          <w:szCs w:val="20"/>
          <w:color w:val="auto"/>
        </w:rPr>
      </w:pPr>
    </w:p>
    <w:p>
      <w:pPr>
        <w:ind w:right="80"/>
        <w:spacing w:after="0" w:line="248" w:lineRule="auto"/>
        <w:rPr>
          <w:rFonts w:ascii="Arial" w:cs="Arial" w:eastAsia="Arial" w:hAnsi="Arial"/>
          <w:sz w:val="16"/>
          <w:szCs w:val="16"/>
          <w:color w:val="auto"/>
        </w:rPr>
      </w:pPr>
      <w:r>
        <w:rPr>
          <w:rFonts w:ascii="Arial" w:cs="Arial" w:eastAsia="Arial" w:hAnsi="Arial"/>
          <w:sz w:val="16"/>
          <w:szCs w:val="16"/>
          <w:color w:val="auto"/>
        </w:rPr>
        <w:t xml:space="preserve">For the three months ended March 31, 2021, we expensed $12.5 million of Winter Storm Uri net incremental costs as a result of negative impacts to our Utilities and financing costs partially offset by favorable impacts to our Power Generation segment. Our Electric Utilities incurred a $3.2 million negative impact to our regulated wholesale power margins due to higher fuel costs and $2.1 million of incremental fuel costs that are not recoverable through our fuel cost recovery mechanisms. Black Hills Energy Services offers fixed contract pricing for non-regulated gas supply services to our regulated natural gas customers and the $8.2 million increase in cost of natural gas sold during Winter Storm Uri is not recoverable through the regulatory construct. Additionally, we incurred $0.7 million of interest expense for the three months ended March 31, 2021, related to our $800 million term loan which is discussed in </w:t>
      </w:r>
      <w:hyperlink w:anchor="page18">
        <w:r>
          <w:rPr>
            <w:rFonts w:ascii="Arial" w:cs="Arial" w:eastAsia="Arial" w:hAnsi="Arial"/>
            <w:sz w:val="16"/>
            <w:szCs w:val="16"/>
            <w:u w:val="single" w:color="auto"/>
            <w:color w:val="0000FF"/>
          </w:rPr>
          <w:t>Note 5</w:t>
        </w:r>
      </w:hyperlink>
      <w:r>
        <w:rPr>
          <w:rFonts w:ascii="Arial" w:cs="Arial" w:eastAsia="Arial" w:hAnsi="Arial"/>
          <w:sz w:val="16"/>
          <w:szCs w:val="16"/>
          <w:color w:val="auto"/>
        </w:rPr>
        <w:t>. Our non-regulated Power Generation segment benefited from a $1.7 million favorable impact to operating income from Winter Storm Uri.</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Winter Storm Uri Costs by Jurisdiction</w:t>
      </w:r>
    </w:p>
    <w:p>
      <w:pPr>
        <w:spacing w:after="0" w:line="264"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auto"/>
        </w:rPr>
        <w:t>As of March 31, 2021, our estimate of incremental costs from Winter Storm Uri which was recorded to a regulatory asset is shown below by jurisdiction. This information is based on anticipated filings that we expect to complete in the second quarter of 2021 and is subject to adjustments as applications are submitted and final decisions are issued.</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9040" w:type="dxa"/>
            <w:vAlign w:val="bottom"/>
          </w:tcPr>
          <w:p>
            <w:pPr>
              <w:ind w:left="20"/>
              <w:spacing w:after="0"/>
              <w:rPr>
                <w:sz w:val="20"/>
                <w:szCs w:val="20"/>
                <w:color w:val="auto"/>
              </w:rPr>
            </w:pPr>
            <w:r>
              <w:rPr>
                <w:rFonts w:ascii="Arial" w:cs="Arial" w:eastAsia="Arial" w:hAnsi="Arial"/>
                <w:sz w:val="16"/>
                <w:szCs w:val="16"/>
                <w:b w:val="1"/>
                <w:bCs w:val="1"/>
                <w:color w:val="auto"/>
              </w:rPr>
              <w:t>Costs by Jurisdiction</w:t>
            </w:r>
          </w:p>
        </w:tc>
        <w:tc>
          <w:tcPr>
            <w:tcW w:w="340" w:type="dxa"/>
            <w:vAlign w:val="bottom"/>
          </w:tcPr>
          <w:p>
            <w:pPr>
              <w:spacing w:after="0"/>
              <w:rPr>
                <w:sz w:val="18"/>
                <w:szCs w:val="18"/>
                <w:color w:val="auto"/>
              </w:rPr>
            </w:pPr>
          </w:p>
        </w:tc>
        <w:tc>
          <w:tcPr>
            <w:tcW w:w="1860" w:type="dxa"/>
            <w:vAlign w:val="bottom"/>
          </w:tcPr>
          <w:p>
            <w:pPr>
              <w:jc w:val="right"/>
              <w:ind w:right="499"/>
              <w:spacing w:after="0"/>
              <w:rPr>
                <w:sz w:val="20"/>
                <w:szCs w:val="20"/>
                <w:color w:val="auto"/>
              </w:rPr>
            </w:pPr>
            <w:r>
              <w:rPr>
                <w:rFonts w:ascii="Arial" w:cs="Arial" w:eastAsia="Arial" w:hAnsi="Arial"/>
                <w:sz w:val="16"/>
                <w:szCs w:val="16"/>
                <w:color w:val="auto"/>
              </w:rPr>
              <w:t>(in thousands)</w:t>
            </w:r>
          </w:p>
        </w:tc>
      </w:tr>
      <w:tr>
        <w:trPr>
          <w:trHeight w:val="219"/>
        </w:trPr>
        <w:tc>
          <w:tcPr>
            <w:tcW w:w="9040" w:type="dxa"/>
            <w:vAlign w:val="bottom"/>
            <w:shd w:val="clear" w:color="auto" w:fill="CEFFE7"/>
          </w:tcPr>
          <w:p>
            <w:pPr>
              <w:ind w:left="140"/>
              <w:spacing w:after="0"/>
              <w:rPr>
                <w:sz w:val="20"/>
                <w:szCs w:val="20"/>
                <w:color w:val="auto"/>
              </w:rPr>
            </w:pPr>
            <w:r>
              <w:rPr>
                <w:rFonts w:ascii="Arial" w:cs="Arial" w:eastAsia="Arial" w:hAnsi="Arial"/>
                <w:sz w:val="16"/>
                <w:szCs w:val="16"/>
                <w:b w:val="1"/>
                <w:bCs w:val="1"/>
                <w:color w:val="auto"/>
              </w:rPr>
              <w:t>Gas Utilities:</w:t>
            </w:r>
          </w:p>
        </w:tc>
        <w:tc>
          <w:tcPr>
            <w:tcW w:w="340" w:type="dxa"/>
            <w:vAlign w:val="bottom"/>
            <w:shd w:val="clear" w:color="auto" w:fill="CEFFE7"/>
          </w:tcPr>
          <w:p>
            <w:pPr>
              <w:spacing w:after="0"/>
              <w:rPr>
                <w:sz w:val="19"/>
                <w:szCs w:val="19"/>
                <w:color w:val="auto"/>
              </w:rPr>
            </w:pPr>
          </w:p>
        </w:tc>
        <w:tc>
          <w:tcPr>
            <w:tcW w:w="1860" w:type="dxa"/>
            <w:vAlign w:val="bottom"/>
            <w:shd w:val="clear" w:color="auto" w:fill="CEFFE7"/>
          </w:tcPr>
          <w:p>
            <w:pPr>
              <w:spacing w:after="0"/>
              <w:rPr>
                <w:sz w:val="19"/>
                <w:szCs w:val="19"/>
                <w:color w:val="auto"/>
              </w:rPr>
            </w:pPr>
          </w:p>
        </w:tc>
      </w:tr>
      <w:tr>
        <w:trPr>
          <w:trHeight w:val="213"/>
        </w:trPr>
        <w:tc>
          <w:tcPr>
            <w:tcW w:w="9040" w:type="dxa"/>
            <w:vAlign w:val="bottom"/>
          </w:tcPr>
          <w:p>
            <w:pPr>
              <w:ind w:left="240"/>
              <w:spacing w:after="0"/>
              <w:rPr>
                <w:sz w:val="20"/>
                <w:szCs w:val="20"/>
                <w:color w:val="auto"/>
              </w:rPr>
            </w:pPr>
            <w:r>
              <w:rPr>
                <w:rFonts w:ascii="Arial" w:cs="Arial" w:eastAsia="Arial" w:hAnsi="Arial"/>
                <w:sz w:val="16"/>
                <w:szCs w:val="16"/>
                <w:color w:val="auto"/>
              </w:rPr>
              <w:t>Arkansas Gas</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860" w:type="dxa"/>
            <w:vAlign w:val="bottom"/>
          </w:tcPr>
          <w:p>
            <w:pPr>
              <w:jc w:val="right"/>
              <w:spacing w:after="0"/>
              <w:rPr>
                <w:sz w:val="20"/>
                <w:szCs w:val="20"/>
                <w:color w:val="auto"/>
              </w:rPr>
            </w:pPr>
            <w:r>
              <w:rPr>
                <w:rFonts w:ascii="Arial" w:cs="Arial" w:eastAsia="Arial" w:hAnsi="Arial"/>
                <w:sz w:val="16"/>
                <w:szCs w:val="16"/>
                <w:color w:val="auto"/>
              </w:rPr>
              <w:t>137,500</w:t>
            </w:r>
          </w:p>
        </w:tc>
      </w:tr>
      <w:tr>
        <w:trPr>
          <w:trHeight w:val="219"/>
        </w:trPr>
        <w:tc>
          <w:tcPr>
            <w:tcW w:w="9040" w:type="dxa"/>
            <w:vAlign w:val="bottom"/>
            <w:shd w:val="clear" w:color="auto" w:fill="CEFFE7"/>
          </w:tcPr>
          <w:p>
            <w:pPr>
              <w:ind w:left="240"/>
              <w:spacing w:after="0"/>
              <w:rPr>
                <w:sz w:val="20"/>
                <w:szCs w:val="20"/>
                <w:color w:val="auto"/>
              </w:rPr>
            </w:pPr>
            <w:r>
              <w:rPr>
                <w:rFonts w:ascii="Arial" w:cs="Arial" w:eastAsia="Arial" w:hAnsi="Arial"/>
                <w:sz w:val="16"/>
                <w:szCs w:val="16"/>
                <w:color w:val="auto"/>
              </w:rPr>
              <w:t>Colorado Gas</w:t>
            </w:r>
          </w:p>
        </w:tc>
        <w:tc>
          <w:tcPr>
            <w:tcW w:w="340" w:type="dxa"/>
            <w:vAlign w:val="bottom"/>
            <w:shd w:val="clear" w:color="auto" w:fill="CEFFE7"/>
          </w:tcPr>
          <w:p>
            <w:pPr>
              <w:spacing w:after="0"/>
              <w:rPr>
                <w:sz w:val="19"/>
                <w:szCs w:val="19"/>
                <w:color w:val="auto"/>
              </w:rPr>
            </w:pPr>
          </w:p>
        </w:tc>
        <w:tc>
          <w:tcPr>
            <w:tcW w:w="18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77,850</w:t>
            </w:r>
          </w:p>
        </w:tc>
      </w:tr>
      <w:tr>
        <w:trPr>
          <w:trHeight w:val="213"/>
        </w:trPr>
        <w:tc>
          <w:tcPr>
            <w:tcW w:w="9040" w:type="dxa"/>
            <w:vAlign w:val="bottom"/>
          </w:tcPr>
          <w:p>
            <w:pPr>
              <w:ind w:left="240"/>
              <w:spacing w:after="0"/>
              <w:rPr>
                <w:sz w:val="20"/>
                <w:szCs w:val="20"/>
                <w:color w:val="auto"/>
              </w:rPr>
            </w:pPr>
            <w:r>
              <w:rPr>
                <w:rFonts w:ascii="Arial" w:cs="Arial" w:eastAsia="Arial" w:hAnsi="Arial"/>
                <w:sz w:val="16"/>
                <w:szCs w:val="16"/>
                <w:color w:val="auto"/>
              </w:rPr>
              <w:t>Iowa Gas</w:t>
            </w:r>
          </w:p>
        </w:tc>
        <w:tc>
          <w:tcPr>
            <w:tcW w:w="34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95,450</w:t>
            </w:r>
          </w:p>
        </w:tc>
      </w:tr>
      <w:tr>
        <w:trPr>
          <w:trHeight w:val="219"/>
        </w:trPr>
        <w:tc>
          <w:tcPr>
            <w:tcW w:w="9040" w:type="dxa"/>
            <w:vAlign w:val="bottom"/>
            <w:shd w:val="clear" w:color="auto" w:fill="CEFFE7"/>
          </w:tcPr>
          <w:p>
            <w:pPr>
              <w:ind w:left="240"/>
              <w:spacing w:after="0"/>
              <w:rPr>
                <w:sz w:val="20"/>
                <w:szCs w:val="20"/>
                <w:color w:val="auto"/>
              </w:rPr>
            </w:pPr>
            <w:r>
              <w:rPr>
                <w:rFonts w:ascii="Arial" w:cs="Arial" w:eastAsia="Arial" w:hAnsi="Arial"/>
                <w:sz w:val="16"/>
                <w:szCs w:val="16"/>
                <w:color w:val="auto"/>
              </w:rPr>
              <w:t>Kansas Gas</w:t>
            </w:r>
          </w:p>
        </w:tc>
        <w:tc>
          <w:tcPr>
            <w:tcW w:w="340" w:type="dxa"/>
            <w:vAlign w:val="bottom"/>
            <w:shd w:val="clear" w:color="auto" w:fill="CEFFE7"/>
          </w:tcPr>
          <w:p>
            <w:pPr>
              <w:spacing w:after="0"/>
              <w:rPr>
                <w:sz w:val="19"/>
                <w:szCs w:val="19"/>
                <w:color w:val="auto"/>
              </w:rPr>
            </w:pPr>
          </w:p>
        </w:tc>
        <w:tc>
          <w:tcPr>
            <w:tcW w:w="18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87,900</w:t>
            </w:r>
          </w:p>
        </w:tc>
      </w:tr>
      <w:tr>
        <w:trPr>
          <w:trHeight w:val="213"/>
        </w:trPr>
        <w:tc>
          <w:tcPr>
            <w:tcW w:w="9040" w:type="dxa"/>
            <w:vAlign w:val="bottom"/>
          </w:tcPr>
          <w:p>
            <w:pPr>
              <w:ind w:left="240"/>
              <w:spacing w:after="0"/>
              <w:rPr>
                <w:sz w:val="20"/>
                <w:szCs w:val="20"/>
                <w:color w:val="auto"/>
              </w:rPr>
            </w:pPr>
            <w:r>
              <w:rPr>
                <w:rFonts w:ascii="Arial" w:cs="Arial" w:eastAsia="Arial" w:hAnsi="Arial"/>
                <w:sz w:val="16"/>
                <w:szCs w:val="16"/>
                <w:color w:val="auto"/>
              </w:rPr>
              <w:t>Nebraska Gas</w:t>
            </w:r>
          </w:p>
        </w:tc>
        <w:tc>
          <w:tcPr>
            <w:tcW w:w="34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79,750</w:t>
            </w:r>
          </w:p>
        </w:tc>
      </w:tr>
      <w:tr>
        <w:trPr>
          <w:trHeight w:val="216"/>
        </w:trPr>
        <w:tc>
          <w:tcPr>
            <w:tcW w:w="9040" w:type="dxa"/>
            <w:vAlign w:val="bottom"/>
            <w:shd w:val="clear" w:color="auto" w:fill="CEFFE7"/>
          </w:tcPr>
          <w:p>
            <w:pPr>
              <w:ind w:left="240"/>
              <w:spacing w:after="0"/>
              <w:rPr>
                <w:sz w:val="20"/>
                <w:szCs w:val="20"/>
                <w:color w:val="auto"/>
              </w:rPr>
            </w:pPr>
            <w:r>
              <w:rPr>
                <w:rFonts w:ascii="Arial" w:cs="Arial" w:eastAsia="Arial" w:hAnsi="Arial"/>
                <w:sz w:val="16"/>
                <w:szCs w:val="16"/>
                <w:color w:val="auto"/>
              </w:rPr>
              <w:t>Wyoming Gas</w:t>
            </w:r>
          </w:p>
        </w:tc>
        <w:tc>
          <w:tcPr>
            <w:tcW w:w="340" w:type="dxa"/>
            <w:vAlign w:val="bottom"/>
            <w:tcBorders>
              <w:bottom w:val="single" w:sz="8" w:color="auto"/>
            </w:tcBorders>
            <w:shd w:val="clear" w:color="auto" w:fill="CEFFE7"/>
          </w:tcPr>
          <w:p>
            <w:pPr>
              <w:spacing w:after="0"/>
              <w:rPr>
                <w:sz w:val="18"/>
                <w:szCs w:val="18"/>
                <w:color w:val="auto"/>
              </w:rPr>
            </w:pPr>
          </w:p>
        </w:tc>
        <w:tc>
          <w:tcPr>
            <w:tcW w:w="18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29,409</w:t>
            </w:r>
          </w:p>
        </w:tc>
      </w:tr>
      <w:tr>
        <w:trPr>
          <w:trHeight w:val="209"/>
        </w:trPr>
        <w:tc>
          <w:tcPr>
            <w:tcW w:w="9040" w:type="dxa"/>
            <w:vAlign w:val="bottom"/>
          </w:tcPr>
          <w:p>
            <w:pPr>
              <w:ind w:left="360"/>
              <w:spacing w:after="0"/>
              <w:rPr>
                <w:sz w:val="20"/>
                <w:szCs w:val="20"/>
                <w:color w:val="auto"/>
              </w:rPr>
            </w:pPr>
            <w:r>
              <w:rPr>
                <w:rFonts w:ascii="Arial" w:cs="Arial" w:eastAsia="Arial" w:hAnsi="Arial"/>
                <w:sz w:val="16"/>
                <w:szCs w:val="16"/>
                <w:color w:val="auto"/>
              </w:rPr>
              <w:t>Gas Utilities Total</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860" w:type="dxa"/>
            <w:vAlign w:val="bottom"/>
          </w:tcPr>
          <w:p>
            <w:pPr>
              <w:jc w:val="right"/>
              <w:spacing w:after="0"/>
              <w:rPr>
                <w:sz w:val="20"/>
                <w:szCs w:val="20"/>
                <w:color w:val="auto"/>
              </w:rPr>
            </w:pPr>
            <w:r>
              <w:rPr>
                <w:rFonts w:ascii="Arial" w:cs="Arial" w:eastAsia="Arial" w:hAnsi="Arial"/>
                <w:sz w:val="16"/>
                <w:szCs w:val="16"/>
                <w:color w:val="auto"/>
              </w:rPr>
              <w:t>507,859</w:t>
            </w:r>
          </w:p>
        </w:tc>
      </w:tr>
      <w:tr>
        <w:trPr>
          <w:trHeight w:val="98"/>
        </w:trPr>
        <w:tc>
          <w:tcPr>
            <w:tcW w:w="9040" w:type="dxa"/>
            <w:vAlign w:val="bottom"/>
            <w:shd w:val="clear" w:color="auto" w:fill="CEFFE7"/>
          </w:tcPr>
          <w:p>
            <w:pPr>
              <w:spacing w:after="0"/>
              <w:rPr>
                <w:sz w:val="8"/>
                <w:szCs w:val="8"/>
                <w:color w:val="auto"/>
              </w:rPr>
            </w:pPr>
          </w:p>
        </w:tc>
        <w:tc>
          <w:tcPr>
            <w:tcW w:w="340" w:type="dxa"/>
            <w:vAlign w:val="bottom"/>
            <w:shd w:val="clear" w:color="auto" w:fill="CEFFE7"/>
          </w:tcPr>
          <w:p>
            <w:pPr>
              <w:spacing w:after="0"/>
              <w:rPr>
                <w:sz w:val="8"/>
                <w:szCs w:val="8"/>
                <w:color w:val="auto"/>
              </w:rPr>
            </w:pPr>
          </w:p>
        </w:tc>
        <w:tc>
          <w:tcPr>
            <w:tcW w:w="1860" w:type="dxa"/>
            <w:vAlign w:val="bottom"/>
            <w:shd w:val="clear" w:color="auto" w:fill="CEFFE7"/>
          </w:tcPr>
          <w:p>
            <w:pPr>
              <w:spacing w:after="0"/>
              <w:rPr>
                <w:sz w:val="8"/>
                <w:szCs w:val="8"/>
                <w:color w:val="auto"/>
              </w:rPr>
            </w:pPr>
          </w:p>
        </w:tc>
      </w:tr>
      <w:tr>
        <w:trPr>
          <w:trHeight w:val="215"/>
        </w:trPr>
        <w:tc>
          <w:tcPr>
            <w:tcW w:w="9040" w:type="dxa"/>
            <w:vAlign w:val="bottom"/>
          </w:tcPr>
          <w:p>
            <w:pPr>
              <w:ind w:left="140"/>
              <w:spacing w:after="0"/>
              <w:rPr>
                <w:sz w:val="20"/>
                <w:szCs w:val="20"/>
                <w:color w:val="auto"/>
              </w:rPr>
            </w:pPr>
            <w:r>
              <w:rPr>
                <w:rFonts w:ascii="Arial" w:cs="Arial" w:eastAsia="Arial" w:hAnsi="Arial"/>
                <w:sz w:val="16"/>
                <w:szCs w:val="16"/>
                <w:b w:val="1"/>
                <w:bCs w:val="1"/>
                <w:color w:val="auto"/>
              </w:rPr>
              <w:t>Electric Utilities:</w:t>
            </w:r>
          </w:p>
        </w:tc>
        <w:tc>
          <w:tcPr>
            <w:tcW w:w="340" w:type="dxa"/>
            <w:vAlign w:val="bottom"/>
          </w:tcPr>
          <w:p>
            <w:pPr>
              <w:spacing w:after="0"/>
              <w:rPr>
                <w:sz w:val="18"/>
                <w:szCs w:val="18"/>
                <w:color w:val="auto"/>
              </w:rPr>
            </w:pPr>
          </w:p>
        </w:tc>
        <w:tc>
          <w:tcPr>
            <w:tcW w:w="1860" w:type="dxa"/>
            <w:vAlign w:val="bottom"/>
          </w:tcPr>
          <w:p>
            <w:pPr>
              <w:spacing w:after="0"/>
              <w:rPr>
                <w:sz w:val="18"/>
                <w:szCs w:val="18"/>
                <w:color w:val="auto"/>
              </w:rPr>
            </w:pPr>
          </w:p>
        </w:tc>
      </w:tr>
      <w:tr>
        <w:trPr>
          <w:trHeight w:val="217"/>
        </w:trPr>
        <w:tc>
          <w:tcPr>
            <w:tcW w:w="9040" w:type="dxa"/>
            <w:vAlign w:val="bottom"/>
            <w:shd w:val="clear" w:color="auto" w:fill="CEFFE7"/>
          </w:tcPr>
          <w:p>
            <w:pPr>
              <w:ind w:left="240"/>
              <w:spacing w:after="0"/>
              <w:rPr>
                <w:sz w:val="20"/>
                <w:szCs w:val="20"/>
                <w:color w:val="auto"/>
              </w:rPr>
            </w:pPr>
            <w:r>
              <w:rPr>
                <w:rFonts w:ascii="Arial" w:cs="Arial" w:eastAsia="Arial" w:hAnsi="Arial"/>
                <w:sz w:val="16"/>
                <w:szCs w:val="16"/>
                <w:color w:val="auto"/>
              </w:rPr>
              <w:t>Colorado Electric</w:t>
            </w:r>
          </w:p>
        </w:tc>
        <w:tc>
          <w:tcPr>
            <w:tcW w:w="340" w:type="dxa"/>
            <w:vAlign w:val="bottom"/>
            <w:shd w:val="clear" w:color="auto" w:fill="CEFFE7"/>
          </w:tcPr>
          <w:p>
            <w:pPr>
              <w:jc w:val="right"/>
              <w:ind w:right="159"/>
              <w:spacing w:after="0"/>
              <w:rPr>
                <w:sz w:val="20"/>
                <w:szCs w:val="20"/>
                <w:color w:val="auto"/>
              </w:rPr>
            </w:pPr>
            <w:r>
              <w:rPr>
                <w:rFonts w:ascii="Arial" w:cs="Arial" w:eastAsia="Arial" w:hAnsi="Arial"/>
                <w:sz w:val="16"/>
                <w:szCs w:val="16"/>
                <w:color w:val="auto"/>
                <w:w w:val="89"/>
              </w:rPr>
              <w:t>$</w:t>
            </w:r>
          </w:p>
        </w:tc>
        <w:tc>
          <w:tcPr>
            <w:tcW w:w="18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25,500</w:t>
            </w:r>
          </w:p>
        </w:tc>
      </w:tr>
      <w:tr>
        <w:trPr>
          <w:trHeight w:val="213"/>
        </w:trPr>
        <w:tc>
          <w:tcPr>
            <w:tcW w:w="9040" w:type="dxa"/>
            <w:vAlign w:val="bottom"/>
          </w:tcPr>
          <w:p>
            <w:pPr>
              <w:ind w:left="240"/>
              <w:spacing w:after="0"/>
              <w:rPr>
                <w:sz w:val="20"/>
                <w:szCs w:val="20"/>
                <w:color w:val="auto"/>
              </w:rPr>
            </w:pPr>
            <w:r>
              <w:rPr>
                <w:rFonts w:ascii="Arial" w:cs="Arial" w:eastAsia="Arial" w:hAnsi="Arial"/>
                <w:sz w:val="16"/>
                <w:szCs w:val="16"/>
                <w:color w:val="auto"/>
              </w:rPr>
              <w:t>South Dakota Electric</w:t>
            </w:r>
          </w:p>
        </w:tc>
        <w:tc>
          <w:tcPr>
            <w:tcW w:w="34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22,200</w:t>
            </w:r>
          </w:p>
        </w:tc>
      </w:tr>
      <w:tr>
        <w:trPr>
          <w:trHeight w:val="216"/>
        </w:trPr>
        <w:tc>
          <w:tcPr>
            <w:tcW w:w="9040" w:type="dxa"/>
            <w:vAlign w:val="bottom"/>
            <w:shd w:val="clear" w:color="auto" w:fill="CEFFE7"/>
          </w:tcPr>
          <w:p>
            <w:pPr>
              <w:ind w:left="240"/>
              <w:spacing w:after="0"/>
              <w:rPr>
                <w:sz w:val="20"/>
                <w:szCs w:val="20"/>
                <w:color w:val="auto"/>
              </w:rPr>
            </w:pPr>
            <w:r>
              <w:rPr>
                <w:rFonts w:ascii="Arial" w:cs="Arial" w:eastAsia="Arial" w:hAnsi="Arial"/>
                <w:sz w:val="16"/>
                <w:szCs w:val="16"/>
                <w:color w:val="auto"/>
              </w:rPr>
              <w:t>Wyoming Electric</w:t>
            </w:r>
          </w:p>
        </w:tc>
        <w:tc>
          <w:tcPr>
            <w:tcW w:w="340" w:type="dxa"/>
            <w:vAlign w:val="bottom"/>
            <w:tcBorders>
              <w:bottom w:val="single" w:sz="8" w:color="auto"/>
            </w:tcBorders>
            <w:shd w:val="clear" w:color="auto" w:fill="CEFFE7"/>
          </w:tcPr>
          <w:p>
            <w:pPr>
              <w:spacing w:after="0"/>
              <w:rPr>
                <w:sz w:val="18"/>
                <w:szCs w:val="18"/>
                <w:color w:val="auto"/>
              </w:rPr>
            </w:pPr>
          </w:p>
        </w:tc>
        <w:tc>
          <w:tcPr>
            <w:tcW w:w="18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3,266</w:t>
            </w:r>
          </w:p>
        </w:tc>
      </w:tr>
      <w:tr>
        <w:trPr>
          <w:trHeight w:val="210"/>
        </w:trPr>
        <w:tc>
          <w:tcPr>
            <w:tcW w:w="9040" w:type="dxa"/>
            <w:vAlign w:val="bottom"/>
          </w:tcPr>
          <w:p>
            <w:pPr>
              <w:ind w:left="360"/>
              <w:spacing w:after="0"/>
              <w:rPr>
                <w:sz w:val="20"/>
                <w:szCs w:val="20"/>
                <w:color w:val="auto"/>
              </w:rPr>
            </w:pPr>
            <w:r>
              <w:rPr>
                <w:rFonts w:ascii="Arial" w:cs="Arial" w:eastAsia="Arial" w:hAnsi="Arial"/>
                <w:sz w:val="16"/>
                <w:szCs w:val="16"/>
                <w:color w:val="auto"/>
              </w:rPr>
              <w:t>Electric Utilities Total</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860" w:type="dxa"/>
            <w:vAlign w:val="bottom"/>
          </w:tcPr>
          <w:p>
            <w:pPr>
              <w:jc w:val="right"/>
              <w:spacing w:after="0"/>
              <w:rPr>
                <w:sz w:val="20"/>
                <w:szCs w:val="20"/>
                <w:color w:val="auto"/>
              </w:rPr>
            </w:pPr>
            <w:r>
              <w:rPr>
                <w:rFonts w:ascii="Arial" w:cs="Arial" w:eastAsia="Arial" w:hAnsi="Arial"/>
                <w:sz w:val="16"/>
                <w:szCs w:val="16"/>
                <w:color w:val="auto"/>
              </w:rPr>
              <w:t>50,966</w:t>
            </w:r>
          </w:p>
        </w:tc>
      </w:tr>
      <w:tr>
        <w:trPr>
          <w:trHeight w:val="98"/>
        </w:trPr>
        <w:tc>
          <w:tcPr>
            <w:tcW w:w="9040" w:type="dxa"/>
            <w:vAlign w:val="bottom"/>
            <w:shd w:val="clear" w:color="auto" w:fill="CEFFE7"/>
          </w:tcPr>
          <w:p>
            <w:pPr>
              <w:spacing w:after="0"/>
              <w:rPr>
                <w:sz w:val="8"/>
                <w:szCs w:val="8"/>
                <w:color w:val="auto"/>
              </w:rPr>
            </w:pPr>
          </w:p>
        </w:tc>
        <w:tc>
          <w:tcPr>
            <w:tcW w:w="340" w:type="dxa"/>
            <w:vAlign w:val="bottom"/>
            <w:tcBorders>
              <w:bottom w:val="single" w:sz="8" w:color="auto"/>
            </w:tcBorders>
            <w:shd w:val="clear" w:color="auto" w:fill="CEFFE7"/>
          </w:tcPr>
          <w:p>
            <w:pPr>
              <w:spacing w:after="0"/>
              <w:rPr>
                <w:sz w:val="8"/>
                <w:szCs w:val="8"/>
                <w:color w:val="auto"/>
              </w:rPr>
            </w:pPr>
          </w:p>
        </w:tc>
        <w:tc>
          <w:tcPr>
            <w:tcW w:w="1860" w:type="dxa"/>
            <w:vAlign w:val="bottom"/>
            <w:tcBorders>
              <w:bottom w:val="single" w:sz="8" w:color="auto"/>
            </w:tcBorders>
            <w:shd w:val="clear" w:color="auto" w:fill="CEFFE7"/>
          </w:tcPr>
          <w:p>
            <w:pPr>
              <w:spacing w:after="0"/>
              <w:rPr>
                <w:sz w:val="8"/>
                <w:szCs w:val="8"/>
                <w:color w:val="auto"/>
              </w:rPr>
            </w:pPr>
          </w:p>
        </w:tc>
      </w:tr>
      <w:tr>
        <w:trPr>
          <w:trHeight w:val="210"/>
        </w:trPr>
        <w:tc>
          <w:tcPr>
            <w:tcW w:w="9040" w:type="dxa"/>
            <w:vAlign w:val="bottom"/>
          </w:tcPr>
          <w:p>
            <w:pPr>
              <w:ind w:left="20"/>
              <w:spacing w:after="0"/>
              <w:rPr>
                <w:sz w:val="20"/>
                <w:szCs w:val="20"/>
                <w:color w:val="auto"/>
              </w:rPr>
            </w:pPr>
            <w:r>
              <w:rPr>
                <w:rFonts w:ascii="Arial" w:cs="Arial" w:eastAsia="Arial" w:hAnsi="Arial"/>
                <w:sz w:val="16"/>
                <w:szCs w:val="16"/>
                <w:color w:val="auto"/>
              </w:rPr>
              <w:t>Total Winter Storm Uri Incremental Costs Recorded to Regulatory Asset</w:t>
            </w: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558,825</w:t>
            </w:r>
          </w:p>
        </w:tc>
      </w:tr>
      <w:tr>
        <w:trPr>
          <w:trHeight w:val="20"/>
        </w:trPr>
        <w:tc>
          <w:tcPr>
            <w:tcW w:w="9040" w:type="dxa"/>
            <w:vAlign w:val="bottom"/>
            <w:tcBorders>
              <w:bottom w:val="single" w:sz="8" w:color="CEFFE7"/>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r>
        <w:trPr>
          <w:trHeight w:val="62"/>
        </w:trPr>
        <w:tc>
          <w:tcPr>
            <w:tcW w:w="9040" w:type="dxa"/>
            <w:vAlign w:val="bottom"/>
            <w:shd w:val="clear" w:color="auto" w:fill="CEFFE7"/>
          </w:tcPr>
          <w:p>
            <w:pPr>
              <w:spacing w:after="0"/>
              <w:rPr>
                <w:sz w:val="5"/>
                <w:szCs w:val="5"/>
                <w:color w:val="auto"/>
              </w:rPr>
            </w:pPr>
          </w:p>
        </w:tc>
        <w:tc>
          <w:tcPr>
            <w:tcW w:w="340" w:type="dxa"/>
            <w:vAlign w:val="bottom"/>
            <w:shd w:val="clear" w:color="auto" w:fill="CEFFE7"/>
          </w:tcPr>
          <w:p>
            <w:pPr>
              <w:spacing w:after="0"/>
              <w:rPr>
                <w:sz w:val="5"/>
                <w:szCs w:val="5"/>
                <w:color w:val="auto"/>
              </w:rPr>
            </w:pPr>
          </w:p>
        </w:tc>
        <w:tc>
          <w:tcPr>
            <w:tcW w:w="1860" w:type="dxa"/>
            <w:vAlign w:val="bottom"/>
            <w:shd w:val="clear" w:color="auto" w:fill="CEFFE7"/>
          </w:tcPr>
          <w:p>
            <w:pPr>
              <w:spacing w:after="0"/>
              <w:rPr>
                <w:sz w:val="5"/>
                <w:szCs w:val="5"/>
                <w:color w:val="auto"/>
              </w:rPr>
            </w:pPr>
          </w:p>
        </w:tc>
      </w:tr>
      <w:tr>
        <w:trPr>
          <w:trHeight w:val="215"/>
        </w:trPr>
        <w:tc>
          <w:tcPr>
            <w:tcW w:w="9040" w:type="dxa"/>
            <w:vAlign w:val="bottom"/>
          </w:tcPr>
          <w:p>
            <w:pPr>
              <w:ind w:left="20"/>
              <w:spacing w:after="0"/>
              <w:rPr>
                <w:sz w:val="20"/>
                <w:szCs w:val="20"/>
                <w:color w:val="auto"/>
              </w:rPr>
            </w:pPr>
            <w:r>
              <w:rPr>
                <w:rFonts w:ascii="Arial" w:cs="Arial" w:eastAsia="Arial" w:hAnsi="Arial"/>
                <w:sz w:val="16"/>
                <w:szCs w:val="16"/>
                <w:b w:val="1"/>
                <w:bCs w:val="1"/>
                <w:color w:val="auto"/>
              </w:rPr>
              <w:t>Costs by Regulatory Asset</w:t>
            </w:r>
          </w:p>
        </w:tc>
        <w:tc>
          <w:tcPr>
            <w:tcW w:w="340" w:type="dxa"/>
            <w:vAlign w:val="bottom"/>
          </w:tcPr>
          <w:p>
            <w:pPr>
              <w:spacing w:after="0"/>
              <w:rPr>
                <w:sz w:val="18"/>
                <w:szCs w:val="18"/>
                <w:color w:val="auto"/>
              </w:rPr>
            </w:pPr>
          </w:p>
        </w:tc>
        <w:tc>
          <w:tcPr>
            <w:tcW w:w="1860" w:type="dxa"/>
            <w:vAlign w:val="bottom"/>
          </w:tcPr>
          <w:p>
            <w:pPr>
              <w:spacing w:after="0"/>
              <w:rPr>
                <w:sz w:val="18"/>
                <w:szCs w:val="18"/>
                <w:color w:val="auto"/>
              </w:rPr>
            </w:pPr>
          </w:p>
        </w:tc>
      </w:tr>
      <w:tr>
        <w:trPr>
          <w:trHeight w:val="217"/>
        </w:trPr>
        <w:tc>
          <w:tcPr>
            <w:tcW w:w="9040" w:type="dxa"/>
            <w:vAlign w:val="bottom"/>
            <w:shd w:val="clear" w:color="auto" w:fill="CEFFE7"/>
          </w:tcPr>
          <w:p>
            <w:pPr>
              <w:ind w:left="140"/>
              <w:spacing w:after="0" w:line="217" w:lineRule="exact"/>
              <w:rPr>
                <w:sz w:val="20"/>
                <w:szCs w:val="20"/>
                <w:color w:val="auto"/>
              </w:rPr>
            </w:pPr>
            <w:r>
              <w:rPr>
                <w:rFonts w:ascii="Arial" w:cs="Arial" w:eastAsia="Arial" w:hAnsi="Arial"/>
                <w:sz w:val="16"/>
                <w:szCs w:val="16"/>
                <w:color w:val="auto"/>
              </w:rPr>
              <w:t xml:space="preserve">Winter Storm Uri </w:t>
            </w:r>
            <w:r>
              <w:rPr>
                <w:rFonts w:ascii="Arial" w:cs="Arial" w:eastAsia="Arial" w:hAnsi="Arial"/>
                <w:sz w:val="21"/>
                <w:szCs w:val="21"/>
                <w:color w:val="auto"/>
                <w:vertAlign w:val="superscript"/>
              </w:rPr>
              <w:t>(a)</w:t>
            </w:r>
          </w:p>
        </w:tc>
        <w:tc>
          <w:tcPr>
            <w:tcW w:w="340" w:type="dxa"/>
            <w:vAlign w:val="bottom"/>
            <w:shd w:val="clear" w:color="auto" w:fill="CEFFE7"/>
          </w:tcPr>
          <w:p>
            <w:pPr>
              <w:jc w:val="right"/>
              <w:ind w:right="159"/>
              <w:spacing w:after="0"/>
              <w:rPr>
                <w:sz w:val="20"/>
                <w:szCs w:val="20"/>
                <w:color w:val="auto"/>
              </w:rPr>
            </w:pPr>
            <w:r>
              <w:rPr>
                <w:rFonts w:ascii="Arial" w:cs="Arial" w:eastAsia="Arial" w:hAnsi="Arial"/>
                <w:sz w:val="16"/>
                <w:szCs w:val="16"/>
                <w:color w:val="auto"/>
                <w:w w:val="89"/>
              </w:rPr>
              <w:t>$</w:t>
            </w:r>
          </w:p>
        </w:tc>
        <w:tc>
          <w:tcPr>
            <w:tcW w:w="18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480,842</w:t>
            </w:r>
          </w:p>
        </w:tc>
      </w:tr>
      <w:tr>
        <w:trPr>
          <w:trHeight w:val="213"/>
        </w:trPr>
        <w:tc>
          <w:tcPr>
            <w:tcW w:w="9040" w:type="dxa"/>
            <w:vAlign w:val="bottom"/>
          </w:tcPr>
          <w:p>
            <w:pPr>
              <w:ind w:left="140"/>
              <w:spacing w:after="0"/>
              <w:rPr>
                <w:sz w:val="20"/>
                <w:szCs w:val="20"/>
                <w:color w:val="auto"/>
              </w:rPr>
            </w:pPr>
            <w:r>
              <w:rPr>
                <w:rFonts w:ascii="Arial" w:cs="Arial" w:eastAsia="Arial" w:hAnsi="Arial"/>
                <w:sz w:val="16"/>
                <w:szCs w:val="16"/>
                <w:color w:val="auto"/>
              </w:rPr>
              <w:t>Deferred energy and fuel cost adjustments</w:t>
            </w:r>
          </w:p>
        </w:tc>
        <w:tc>
          <w:tcPr>
            <w:tcW w:w="34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27,166</w:t>
            </w:r>
          </w:p>
        </w:tc>
      </w:tr>
      <w:tr>
        <w:trPr>
          <w:trHeight w:val="219"/>
        </w:trPr>
        <w:tc>
          <w:tcPr>
            <w:tcW w:w="9040" w:type="dxa"/>
            <w:vAlign w:val="bottom"/>
            <w:shd w:val="clear" w:color="auto" w:fill="CEFFE7"/>
          </w:tcPr>
          <w:p>
            <w:pPr>
              <w:ind w:left="140"/>
              <w:spacing w:after="0" w:line="219" w:lineRule="exact"/>
              <w:rPr>
                <w:sz w:val="20"/>
                <w:szCs w:val="20"/>
                <w:color w:val="auto"/>
              </w:rPr>
            </w:pPr>
            <w:r>
              <w:rPr>
                <w:rFonts w:ascii="Arial" w:cs="Arial" w:eastAsia="Arial" w:hAnsi="Arial"/>
                <w:sz w:val="16"/>
                <w:szCs w:val="16"/>
                <w:color w:val="auto"/>
              </w:rPr>
              <w:t xml:space="preserve">Deferred gas cost adjustments </w:t>
            </w:r>
            <w:r>
              <w:rPr>
                <w:rFonts w:ascii="Arial" w:cs="Arial" w:eastAsia="Arial" w:hAnsi="Arial"/>
                <w:sz w:val="21"/>
                <w:szCs w:val="21"/>
                <w:color w:val="auto"/>
                <w:vertAlign w:val="superscript"/>
              </w:rPr>
              <w:t>(b)</w:t>
            </w:r>
          </w:p>
        </w:tc>
        <w:tc>
          <w:tcPr>
            <w:tcW w:w="340" w:type="dxa"/>
            <w:vAlign w:val="bottom"/>
            <w:tcBorders>
              <w:bottom w:val="single" w:sz="8" w:color="auto"/>
            </w:tcBorders>
            <w:shd w:val="clear" w:color="auto" w:fill="CEFFE7"/>
          </w:tcPr>
          <w:p>
            <w:pPr>
              <w:spacing w:after="0"/>
              <w:rPr>
                <w:sz w:val="19"/>
                <w:szCs w:val="19"/>
                <w:color w:val="auto"/>
              </w:rPr>
            </w:pPr>
          </w:p>
        </w:tc>
        <w:tc>
          <w:tcPr>
            <w:tcW w:w="18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50,817</w:t>
            </w:r>
          </w:p>
        </w:tc>
      </w:tr>
      <w:tr>
        <w:trPr>
          <w:trHeight w:val="206"/>
        </w:trPr>
        <w:tc>
          <w:tcPr>
            <w:tcW w:w="9040" w:type="dxa"/>
            <w:vAlign w:val="bottom"/>
          </w:tcPr>
          <w:p>
            <w:pPr>
              <w:spacing w:after="0"/>
              <w:rPr>
                <w:sz w:val="17"/>
                <w:szCs w:val="17"/>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558,825</w:t>
            </w:r>
          </w:p>
        </w:tc>
      </w:tr>
      <w:tr>
        <w:trPr>
          <w:trHeight w:val="24"/>
        </w:trPr>
        <w:tc>
          <w:tcPr>
            <w:tcW w:w="90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bl>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8" w:lineRule="exact"/>
        <w:rPr>
          <w:sz w:val="20"/>
          <w:szCs w:val="20"/>
          <w:color w:val="auto"/>
        </w:rPr>
      </w:pPr>
    </w:p>
    <w:p>
      <w:pPr>
        <w:ind w:left="340" w:right="140" w:hanging="332"/>
        <w:spacing w:after="0" w:line="241" w:lineRule="auto"/>
        <w:tabs>
          <w:tab w:leader="none" w:pos="352" w:val="left"/>
        </w:tabs>
        <w:numPr>
          <w:ilvl w:val="0"/>
          <w:numId w:val="5"/>
        </w:numPr>
        <w:rPr>
          <w:rFonts w:ascii="Arial" w:cs="Arial" w:eastAsia="Arial" w:hAnsi="Arial"/>
          <w:sz w:val="14"/>
          <w:szCs w:val="14"/>
          <w:color w:val="auto"/>
        </w:rPr>
      </w:pPr>
      <w:r>
        <w:rPr>
          <w:rFonts w:ascii="Arial" w:cs="Arial" w:eastAsia="Arial" w:hAnsi="Arial"/>
          <w:sz w:val="14"/>
          <w:szCs w:val="14"/>
          <w:color w:val="auto"/>
        </w:rPr>
        <w:t>We expect to recover most of the Winter Storm Uri incremental costs through a separately tracked regulatory mechanism but also expect to recover a portion through our existing mechanisms.</w:t>
      </w:r>
    </w:p>
    <w:p>
      <w:pPr>
        <w:ind w:left="340" w:right="280" w:hanging="332"/>
        <w:spacing w:after="0" w:line="258" w:lineRule="auto"/>
        <w:tabs>
          <w:tab w:leader="none" w:pos="352" w:val="left"/>
        </w:tabs>
        <w:numPr>
          <w:ilvl w:val="0"/>
          <w:numId w:val="5"/>
        </w:numPr>
        <w:rPr>
          <w:rFonts w:ascii="Arial" w:cs="Arial" w:eastAsia="Arial" w:hAnsi="Arial"/>
          <w:sz w:val="14"/>
          <w:szCs w:val="14"/>
          <w:color w:val="auto"/>
        </w:rPr>
      </w:pPr>
      <w:r>
        <w:rPr>
          <w:rFonts w:ascii="Arial" w:cs="Arial" w:eastAsia="Arial" w:hAnsi="Arial"/>
          <w:sz w:val="14"/>
          <w:szCs w:val="14"/>
          <w:color w:val="auto"/>
        </w:rPr>
        <w:t>Incremental natural gas costs from Winter Storm Uri are reflected as an increase in the Deferred gas cost adjustments regulatory asset, net of existing Deferred energy and gas cost regulatory liabilities, for the three months ended March 31, 2021.</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TCJA</w:t>
      </w:r>
    </w:p>
    <w:p>
      <w:pPr>
        <w:spacing w:after="0" w:line="264"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On December 30, 2020, an administrative law judge approved a settlement of Colorado Electric’s plan to provide $9.3 million of TCJA-related bill credits to its customers. The bill credits, which represent a disposition of excess deferred income tax benefits resulting from the TCJA, were delivered to customers in February 2021. These bill credits, which resulted in a reduction in revenue, were offset by a reduction in income tax expense and resulted in a minimal impact to Net Income for the three months ended March 31, 2021.</w:t>
      </w:r>
    </w:p>
    <w:p>
      <w:pPr>
        <w:spacing w:after="0" w:line="229" w:lineRule="exact"/>
        <w:rPr>
          <w:sz w:val="20"/>
          <w:szCs w:val="20"/>
          <w:color w:val="auto"/>
        </w:rPr>
      </w:pPr>
    </w:p>
    <w:p>
      <w:pPr>
        <w:jc w:val="both"/>
        <w:ind w:right="120"/>
        <w:spacing w:after="0" w:line="251" w:lineRule="auto"/>
        <w:rPr>
          <w:sz w:val="20"/>
          <w:szCs w:val="20"/>
          <w:color w:val="auto"/>
        </w:rPr>
      </w:pPr>
      <w:r>
        <w:rPr>
          <w:rFonts w:ascii="Arial" w:cs="Arial" w:eastAsia="Arial" w:hAnsi="Arial"/>
          <w:sz w:val="16"/>
          <w:szCs w:val="16"/>
          <w:color w:val="auto"/>
        </w:rPr>
        <w:t>On January 26, 2021, the NPSC approved Nebraska Gas’s plan to provide $2.9 million of TCJA-related bill credits to its customers. The bill credits, which represent a disposition of excess deferred income tax benefits resulting from the TCJA, are expected to be delivered to customers in the second quarter of 2021. These bill credits, which will result in a reduction in revenue, will be offset by a reduction in income tax expense and will result in a minimal impact to Net income.</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Colorado Gas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Rate Review</w:t>
      </w:r>
    </w:p>
    <w:p>
      <w:pPr>
        <w:spacing w:after="0" w:line="264"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auto"/>
        </w:rPr>
        <w:t>On September 11, 2020, Colorado Gas filed a rate review with the CPUC seeking recovery on significant infrastructure investments in its 7,000-mile natural gas pipeline system. On January 6, 2021, the CPUC issued an Order dismissing the rate review. Colorado Gas plans to file a rate review in the second quarter of 2021.</w:t>
      </w:r>
    </w:p>
    <w:p>
      <w:pPr>
        <w:spacing w:after="0" w:line="228" w:lineRule="exact"/>
        <w:rPr>
          <w:sz w:val="20"/>
          <w:szCs w:val="20"/>
          <w:color w:val="auto"/>
        </w:rPr>
      </w:pPr>
    </w:p>
    <w:p>
      <w:pPr>
        <w:ind w:right="120"/>
        <w:spacing w:after="0" w:line="260" w:lineRule="auto"/>
        <w:rPr>
          <w:sz w:val="20"/>
          <w:szCs w:val="20"/>
          <w:color w:val="auto"/>
        </w:rPr>
      </w:pPr>
      <w:r>
        <w:rPr>
          <w:rFonts w:ascii="Arial" w:cs="Arial" w:eastAsia="Arial" w:hAnsi="Arial"/>
          <w:sz w:val="16"/>
          <w:szCs w:val="16"/>
          <w:color w:val="auto"/>
        </w:rPr>
        <w:t>On September 11, 2020, in accordance with the final order from the earlier rate review filed February 1, 2019, Colorado Gas filed a SSIR proposal with the CPUC that would recover safety and integrity focused investments in its system for five years. A decision from the CPUC is expected by mid-2021.</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Nebraska Gas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Jurisdictional Consolidation and Rate Review</w:t>
      </w:r>
    </w:p>
    <w:p>
      <w:pPr>
        <w:spacing w:after="0" w:line="264"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On January 26, 2021, Nebraska Gas received approval from the NPSC to consolidate rate schedules into a new, single statewide structure and recover infrastructure investments in its 13,000-mile natural gas pipeline system. Final rates were enacted on March 1, 2021, which replaced interim rates effective September 1, 2020. The approval shifted $4.6 million of SSIR revenue to base rates and is expected to generate $6.5 million in new annual revenue with a capital structure of 50% equity and 50% debt and an authorized return on equity of 9.5%. The approval also includes an extension of the SSIR for five years and an expansion of this mechanism across the consolidated jurisdictions.</w:t>
      </w:r>
    </w:p>
    <w:p>
      <w:pPr>
        <w:spacing w:after="0" w:line="200" w:lineRule="exact"/>
        <w:rPr>
          <w:sz w:val="20"/>
          <w:szCs w:val="20"/>
          <w:color w:val="auto"/>
        </w:rPr>
      </w:pPr>
    </w:p>
    <w:p>
      <w:pPr>
        <w:spacing w:after="0" w:line="253" w:lineRule="exact"/>
        <w:rPr>
          <w:sz w:val="20"/>
          <w:szCs w:val="20"/>
          <w:color w:val="auto"/>
        </w:rPr>
      </w:pPr>
    </w:p>
    <w:p>
      <w:pPr>
        <w:ind w:left="380" w:hanging="372"/>
        <w:spacing w:after="0"/>
        <w:tabs>
          <w:tab w:leader="none" w:pos="380" w:val="left"/>
        </w:tabs>
        <w:numPr>
          <w:ilvl w:val="0"/>
          <w:numId w:val="6"/>
        </w:numPr>
        <w:rPr>
          <w:rFonts w:ascii="Arial" w:cs="Arial" w:eastAsia="Arial" w:hAnsi="Arial"/>
          <w:sz w:val="16"/>
          <w:szCs w:val="16"/>
          <w:b w:val="1"/>
          <w:bCs w:val="1"/>
          <w:color w:val="auto"/>
        </w:rPr>
      </w:pPr>
      <w:r>
        <w:rPr>
          <w:rFonts w:ascii="Arial" w:cs="Arial" w:eastAsia="Arial" w:hAnsi="Arial"/>
          <w:sz w:val="16"/>
          <w:szCs w:val="16"/>
          <w:b w:val="1"/>
          <w:bCs w:val="1"/>
          <w:color w:val="auto"/>
        </w:rPr>
        <w:t>Commitments, Contingencies and Guarantees</w:t>
      </w:r>
    </w:p>
    <w:p>
      <w:pPr>
        <w:spacing w:after="0" w:line="268" w:lineRule="exact"/>
        <w:rPr>
          <w:sz w:val="20"/>
          <w:szCs w:val="20"/>
          <w:color w:val="auto"/>
        </w:rPr>
      </w:pPr>
    </w:p>
    <w:p>
      <w:pPr>
        <w:ind w:right="480"/>
        <w:spacing w:after="0" w:line="260" w:lineRule="auto"/>
        <w:rPr>
          <w:sz w:val="20"/>
          <w:szCs w:val="20"/>
          <w:color w:val="auto"/>
        </w:rPr>
      </w:pPr>
      <w:r>
        <w:rPr>
          <w:rFonts w:ascii="Arial" w:cs="Arial" w:eastAsia="Arial" w:hAnsi="Arial"/>
          <w:sz w:val="16"/>
          <w:szCs w:val="16"/>
          <w:color w:val="auto"/>
        </w:rPr>
        <w:t>There have been no significant changes to commitments, contingencies and guarantees from those previously disclosed in Note 3 of our Notes to the Consolidated Financial Statements in our 2020 Annual Report on Form 10-K except for those described below.</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Power Purchase Agreement - Colorado Electric Renewable Advantage</w:t>
      </w:r>
    </w:p>
    <w:p>
      <w:pPr>
        <w:spacing w:after="0" w:line="248"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On February 19, 2021, Colorado Electric entered into a PPA with TC Colorado Solar, LLC to purchase up to 200 MW of renewable energy upon construction of a new solar facility, to be owned by TC Colorado Solar, LLC, which is expected to be completed by the end of 2023. This agreement will expire 15 years after construction completion. The solar project represents Colorado Electric’s preferred bid in a competitive solicitation process completed in September 2020 through its Renewable Advantage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7" w:name="page18"/>
    <w:bookmarkEnd w:id="17"/>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86" w:lineRule="exact"/>
        <w:rPr>
          <w:sz w:val="20"/>
          <w:szCs w:val="20"/>
          <w:color w:val="auto"/>
        </w:rPr>
      </w:pPr>
    </w:p>
    <w:p>
      <w:pPr>
        <w:ind w:left="380" w:hanging="372"/>
        <w:spacing w:after="0"/>
        <w:tabs>
          <w:tab w:leader="none" w:pos="380" w:val="left"/>
        </w:tabs>
        <w:numPr>
          <w:ilvl w:val="0"/>
          <w:numId w:val="7"/>
        </w:numPr>
        <w:rPr>
          <w:rFonts w:ascii="Arial" w:cs="Arial" w:eastAsia="Arial" w:hAnsi="Arial"/>
          <w:sz w:val="16"/>
          <w:szCs w:val="16"/>
          <w:b w:val="1"/>
          <w:bCs w:val="1"/>
          <w:color w:val="auto"/>
        </w:rPr>
      </w:pPr>
      <w:r>
        <w:rPr>
          <w:rFonts w:ascii="Arial" w:cs="Arial" w:eastAsia="Arial" w:hAnsi="Arial"/>
          <w:sz w:val="16"/>
          <w:szCs w:val="16"/>
          <w:b w:val="1"/>
          <w:bCs w:val="1"/>
          <w:color w:val="auto"/>
        </w:rPr>
        <w:t>Revenue</w:t>
      </w:r>
    </w:p>
    <w:p>
      <w:pPr>
        <w:spacing w:after="0" w:line="268" w:lineRule="exact"/>
        <w:rPr>
          <w:sz w:val="20"/>
          <w:szCs w:val="20"/>
          <w:color w:val="auto"/>
        </w:rPr>
      </w:pPr>
    </w:p>
    <w:p>
      <w:pPr>
        <w:ind w:right="60"/>
        <w:spacing w:after="0" w:line="249" w:lineRule="auto"/>
        <w:rPr>
          <w:sz w:val="20"/>
          <w:szCs w:val="20"/>
          <w:color w:val="auto"/>
        </w:rPr>
      </w:pPr>
      <w:r>
        <w:rPr>
          <w:rFonts w:ascii="Arial" w:cs="Arial" w:eastAsia="Arial" w:hAnsi="Arial"/>
          <w:sz w:val="16"/>
          <w:szCs w:val="16"/>
          <w:color w:val="auto"/>
        </w:rPr>
        <w:t>Our revenue contracts generally provide for performance obligations that are: fulfilled and transfer control to customers over time; represent a series of distinct services that are substantially the same; involve the same pattern of transfer to the customer; and provide a right to consideration from our customers in an amount that corresponds directly with the value to the customer for the performance completed to date. Therefore, we recognize revenue in the amount to which we have a right to invoice. The following tables depict the disaggregation of revenue, including intercompany revenue, from contracts with customers by customer type and timing of revenue recognition for each of the reportable segments for the three months ended March 31, 2021 and 2020. Sales tax and other similar taxes are excluded from revenues.</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center"/>
              <w:ind w:right="19"/>
              <w:spacing w:after="0"/>
              <w:rPr>
                <w:sz w:val="20"/>
                <w:szCs w:val="20"/>
                <w:color w:val="auto"/>
              </w:rPr>
            </w:pPr>
            <w:r>
              <w:rPr>
                <w:rFonts w:ascii="Arial" w:cs="Arial" w:eastAsia="Arial" w:hAnsi="Arial"/>
                <w:sz w:val="16"/>
                <w:szCs w:val="16"/>
                <w:color w:val="auto"/>
              </w:rPr>
              <w:t>Inter-</w:t>
            </w: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62"/>
        </w:trPr>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ind w:right="99"/>
              <w:spacing w:after="0" w:line="162" w:lineRule="exact"/>
              <w:rPr>
                <w:sz w:val="20"/>
                <w:szCs w:val="20"/>
                <w:color w:val="auto"/>
              </w:rPr>
            </w:pPr>
            <w:r>
              <w:rPr>
                <w:rFonts w:ascii="Arial" w:cs="Arial" w:eastAsia="Arial" w:hAnsi="Arial"/>
                <w:sz w:val="16"/>
                <w:szCs w:val="16"/>
                <w:color w:val="auto"/>
              </w:rPr>
              <w:t>Electric</w:t>
            </w: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right"/>
              <w:ind w:right="219"/>
              <w:spacing w:after="0" w:line="162" w:lineRule="exact"/>
              <w:rPr>
                <w:sz w:val="20"/>
                <w:szCs w:val="20"/>
                <w:color w:val="auto"/>
              </w:rPr>
            </w:pPr>
            <w:r>
              <w:rPr>
                <w:rFonts w:ascii="Arial" w:cs="Arial" w:eastAsia="Arial" w:hAnsi="Arial"/>
                <w:sz w:val="16"/>
                <w:szCs w:val="16"/>
                <w:color w:val="auto"/>
              </w:rPr>
              <w:t>Power</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center"/>
              <w:ind w:right="39"/>
              <w:spacing w:after="0" w:line="162" w:lineRule="exact"/>
              <w:rPr>
                <w:sz w:val="20"/>
                <w:szCs w:val="20"/>
                <w:color w:val="auto"/>
              </w:rPr>
            </w:pPr>
            <w:r>
              <w:rPr>
                <w:rFonts w:ascii="Arial" w:cs="Arial" w:eastAsia="Arial" w:hAnsi="Arial"/>
                <w:sz w:val="16"/>
                <w:szCs w:val="16"/>
                <w:color w:val="auto"/>
                <w:w w:val="98"/>
              </w:rPr>
              <w:t>company</w:t>
            </w: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98"/>
        </w:trPr>
        <w:tc>
          <w:tcPr>
            <w:tcW w:w="20" w:type="dxa"/>
            <w:vAlign w:val="bottom"/>
            <w:tcBorders>
              <w:bottom w:val="single" w:sz="8" w:color="auto"/>
            </w:tcBorders>
          </w:tcPr>
          <w:p>
            <w:pPr>
              <w:spacing w:after="0"/>
              <w:rPr>
                <w:sz w:val="17"/>
                <w:szCs w:val="17"/>
                <w:color w:val="auto"/>
              </w:rPr>
            </w:pPr>
          </w:p>
        </w:tc>
        <w:tc>
          <w:tcPr>
            <w:tcW w:w="492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Three Months Ended March 31, 2021</w:t>
            </w: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Utilities</w:t>
            </w: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Gas Utilities</w:t>
            </w: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Generation</w:t>
            </w: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Mining</w:t>
            </w: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color w:val="auto"/>
                <w:w w:val="99"/>
              </w:rPr>
              <w:t>Revenues</w:t>
            </w: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Total</w:t>
            </w:r>
          </w:p>
        </w:tc>
      </w:tr>
      <w:tr>
        <w:trPr>
          <w:trHeight w:val="172"/>
        </w:trPr>
        <w:tc>
          <w:tcPr>
            <w:tcW w:w="20" w:type="dxa"/>
            <w:vAlign w:val="bottom"/>
          </w:tcPr>
          <w:p>
            <w:pPr>
              <w:spacing w:after="0"/>
              <w:rPr>
                <w:sz w:val="14"/>
                <w:szCs w:val="14"/>
                <w:color w:val="auto"/>
              </w:rPr>
            </w:pPr>
          </w:p>
        </w:tc>
        <w:tc>
          <w:tcPr>
            <w:tcW w:w="4920" w:type="dxa"/>
            <w:vAlign w:val="bottom"/>
            <w:gridSpan w:val="2"/>
          </w:tcPr>
          <w:p>
            <w:pPr>
              <w:spacing w:after="0" w:line="172" w:lineRule="exact"/>
              <w:rPr>
                <w:sz w:val="20"/>
                <w:szCs w:val="20"/>
                <w:color w:val="auto"/>
              </w:rPr>
            </w:pPr>
            <w:r>
              <w:rPr>
                <w:rFonts w:ascii="Arial" w:cs="Arial" w:eastAsia="Arial" w:hAnsi="Arial"/>
                <w:sz w:val="16"/>
                <w:szCs w:val="16"/>
                <w:color w:val="auto"/>
              </w:rPr>
              <w:t>Customer types:</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20" w:type="dxa"/>
            <w:vAlign w:val="bottom"/>
            <w:gridSpan w:val="3"/>
          </w:tcPr>
          <w:p>
            <w:pPr>
              <w:jc w:val="right"/>
              <w:ind w:right="479"/>
              <w:spacing w:after="0" w:line="172" w:lineRule="exact"/>
              <w:rPr>
                <w:sz w:val="20"/>
                <w:szCs w:val="20"/>
                <w:color w:val="auto"/>
              </w:rPr>
            </w:pPr>
            <w:r>
              <w:rPr>
                <w:rFonts w:ascii="Arial" w:cs="Arial" w:eastAsia="Arial" w:hAnsi="Arial"/>
                <w:sz w:val="16"/>
                <w:szCs w:val="16"/>
                <w:color w:val="auto"/>
              </w:rPr>
              <w:t>(in thousands)</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21"/>
        </w:trPr>
        <w:tc>
          <w:tcPr>
            <w:tcW w:w="20" w:type="dxa"/>
            <w:vAlign w:val="bottom"/>
          </w:tcPr>
          <w:p>
            <w:pPr>
              <w:spacing w:after="0" w:line="20" w:lineRule="exact"/>
              <w:rPr>
                <w:sz w:val="1"/>
                <w:szCs w:val="1"/>
                <w:color w:val="auto"/>
              </w:rPr>
            </w:pPr>
          </w:p>
        </w:tc>
        <w:tc>
          <w:tcPr>
            <w:tcW w:w="1180" w:type="dxa"/>
            <w:vAlign w:val="bottom"/>
            <w:tcBorders>
              <w:top w:val="single" w:sz="8" w:color="auto"/>
            </w:tcBorders>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16"/>
        </w:trPr>
        <w:tc>
          <w:tcPr>
            <w:tcW w:w="20" w:type="dxa"/>
            <w:vAlign w:val="bottom"/>
            <w:shd w:val="clear" w:color="auto" w:fill="CEFFE7"/>
          </w:tcPr>
          <w:p>
            <w:pPr>
              <w:spacing w:after="0"/>
              <w:rPr>
                <w:sz w:val="18"/>
                <w:szCs w:val="18"/>
                <w:color w:val="auto"/>
              </w:rPr>
            </w:pPr>
          </w:p>
        </w:tc>
        <w:tc>
          <w:tcPr>
            <w:tcW w:w="4920" w:type="dxa"/>
            <w:vAlign w:val="bottom"/>
            <w:gridSpan w:val="2"/>
            <w:shd w:val="clear" w:color="auto" w:fill="CEFFE7"/>
          </w:tcPr>
          <w:p>
            <w:pPr>
              <w:ind w:left="120"/>
              <w:spacing w:after="0"/>
              <w:rPr>
                <w:sz w:val="20"/>
                <w:szCs w:val="20"/>
                <w:color w:val="auto"/>
              </w:rPr>
            </w:pPr>
            <w:r>
              <w:rPr>
                <w:rFonts w:ascii="Arial" w:cs="Arial" w:eastAsia="Arial" w:hAnsi="Arial"/>
                <w:sz w:val="16"/>
                <w:szCs w:val="16"/>
                <w:color w:val="auto"/>
              </w:rPr>
              <w:t>Retail</w:t>
            </w:r>
          </w:p>
        </w:tc>
        <w:tc>
          <w:tcPr>
            <w:tcW w:w="1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198,500</w:t>
            </w:r>
          </w:p>
        </w:tc>
        <w:tc>
          <w:tcPr>
            <w:tcW w:w="280" w:type="dxa"/>
            <w:vAlign w:val="bottom"/>
            <w:shd w:val="clear" w:color="auto" w:fill="CEFFE7"/>
          </w:tcPr>
          <w:p>
            <w:pPr>
              <w:jc w:val="right"/>
              <w:ind w:right="59"/>
              <w:spacing w:after="0"/>
              <w:rPr>
                <w:sz w:val="20"/>
                <w:szCs w:val="20"/>
                <w:color w:val="auto"/>
              </w:rPr>
            </w:pPr>
            <w:r>
              <w:rPr>
                <w:rFonts w:ascii="Arial" w:cs="Arial" w:eastAsia="Arial" w:hAnsi="Arial"/>
                <w:sz w:val="16"/>
                <w:szCs w:val="16"/>
                <w:color w:val="auto"/>
              </w:rPr>
              <w:t>$</w:t>
            </w:r>
          </w:p>
        </w:tc>
        <w:tc>
          <w:tcPr>
            <w:tcW w:w="7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341,605</w:t>
            </w:r>
          </w:p>
        </w:tc>
        <w:tc>
          <w:tcPr>
            <w:tcW w:w="1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EFFE7"/>
          </w:tcPr>
          <w:p>
            <w:pPr>
              <w:jc w:val="right"/>
              <w:spacing w:after="0"/>
              <w:rPr>
                <w:sz w:val="20"/>
                <w:szCs w:val="20"/>
                <w:color w:val="auto"/>
              </w:rPr>
            </w:pPr>
            <w:r>
              <w:rPr>
                <w:rFonts w:ascii="Arial" w:cs="Arial" w:eastAsia="Arial" w:hAnsi="Arial"/>
                <w:sz w:val="16"/>
                <w:szCs w:val="16"/>
                <w:color w:val="auto"/>
              </w:rPr>
              <w:t>— $</w:t>
            </w:r>
          </w:p>
        </w:tc>
        <w:tc>
          <w:tcPr>
            <w:tcW w:w="8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14,083</w:t>
            </w:r>
          </w:p>
        </w:tc>
        <w:tc>
          <w:tcPr>
            <w:tcW w:w="1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(7,107)</w:t>
            </w:r>
          </w:p>
        </w:tc>
        <w:tc>
          <w:tcPr>
            <w:tcW w:w="240" w:type="dxa"/>
            <w:vAlign w:val="bottom"/>
            <w:shd w:val="clear" w:color="auto" w:fill="CEFFE7"/>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547,081</w:t>
            </w:r>
          </w:p>
        </w:tc>
      </w:tr>
      <w:tr>
        <w:trPr>
          <w:trHeight w:val="213"/>
        </w:trPr>
        <w:tc>
          <w:tcPr>
            <w:tcW w:w="20" w:type="dxa"/>
            <w:vAlign w:val="bottom"/>
          </w:tcPr>
          <w:p>
            <w:pPr>
              <w:spacing w:after="0"/>
              <w:rPr>
                <w:sz w:val="18"/>
                <w:szCs w:val="18"/>
                <w:color w:val="auto"/>
              </w:rPr>
            </w:pPr>
          </w:p>
        </w:tc>
        <w:tc>
          <w:tcPr>
            <w:tcW w:w="4920" w:type="dxa"/>
            <w:vAlign w:val="bottom"/>
            <w:gridSpan w:val="2"/>
          </w:tcPr>
          <w:p>
            <w:pPr>
              <w:ind w:left="120"/>
              <w:spacing w:after="0"/>
              <w:rPr>
                <w:sz w:val="20"/>
                <w:szCs w:val="20"/>
                <w:color w:val="auto"/>
              </w:rPr>
            </w:pPr>
            <w:r>
              <w:rPr>
                <w:rFonts w:ascii="Arial" w:cs="Arial" w:eastAsia="Arial" w:hAnsi="Arial"/>
                <w:sz w:val="16"/>
                <w:szCs w:val="16"/>
                <w:color w:val="auto"/>
              </w:rPr>
              <w:t>Transportation</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47,951</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(110)</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47,841</w:t>
            </w:r>
          </w:p>
        </w:tc>
      </w:tr>
      <w:tr>
        <w:trPr>
          <w:trHeight w:val="219"/>
        </w:trPr>
        <w:tc>
          <w:tcPr>
            <w:tcW w:w="20" w:type="dxa"/>
            <w:vAlign w:val="bottom"/>
            <w:shd w:val="clear" w:color="auto" w:fill="CEFFE7"/>
          </w:tcPr>
          <w:p>
            <w:pPr>
              <w:spacing w:after="0"/>
              <w:rPr>
                <w:sz w:val="19"/>
                <w:szCs w:val="19"/>
                <w:color w:val="auto"/>
              </w:rPr>
            </w:pPr>
          </w:p>
        </w:tc>
        <w:tc>
          <w:tcPr>
            <w:tcW w:w="4920" w:type="dxa"/>
            <w:vAlign w:val="bottom"/>
            <w:gridSpan w:val="2"/>
            <w:shd w:val="clear" w:color="auto" w:fill="CEFFE7"/>
          </w:tcPr>
          <w:p>
            <w:pPr>
              <w:ind w:left="120"/>
              <w:spacing w:after="0"/>
              <w:rPr>
                <w:sz w:val="20"/>
                <w:szCs w:val="20"/>
                <w:color w:val="auto"/>
              </w:rPr>
            </w:pPr>
            <w:r>
              <w:rPr>
                <w:rFonts w:ascii="Arial" w:cs="Arial" w:eastAsia="Arial" w:hAnsi="Arial"/>
                <w:sz w:val="16"/>
                <w:szCs w:val="16"/>
                <w:color w:val="auto"/>
              </w:rPr>
              <w:t>Wholesale</w:t>
            </w:r>
          </w:p>
        </w:tc>
        <w:tc>
          <w:tcPr>
            <w:tcW w:w="180" w:type="dxa"/>
            <w:vAlign w:val="bottom"/>
            <w:shd w:val="clear" w:color="auto" w:fill="CEFFE7"/>
          </w:tcPr>
          <w:p>
            <w:pPr>
              <w:spacing w:after="0"/>
              <w:rPr>
                <w:sz w:val="19"/>
                <w:szCs w:val="19"/>
                <w:color w:val="auto"/>
              </w:rPr>
            </w:pPr>
          </w:p>
        </w:tc>
        <w:tc>
          <w:tcPr>
            <w:tcW w:w="8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5,922</w:t>
            </w:r>
          </w:p>
        </w:tc>
        <w:tc>
          <w:tcPr>
            <w:tcW w:w="280" w:type="dxa"/>
            <w:vAlign w:val="bottom"/>
            <w:shd w:val="clear" w:color="auto" w:fill="CEFFE7"/>
          </w:tcPr>
          <w:p>
            <w:pPr>
              <w:spacing w:after="0"/>
              <w:rPr>
                <w:sz w:val="19"/>
                <w:szCs w:val="19"/>
                <w:color w:val="auto"/>
              </w:rPr>
            </w:pPr>
          </w:p>
        </w:tc>
        <w:tc>
          <w:tcPr>
            <w:tcW w:w="7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EFFE7"/>
          </w:tcPr>
          <w:p>
            <w:pPr>
              <w:spacing w:after="0"/>
              <w:rPr>
                <w:sz w:val="19"/>
                <w:szCs w:val="19"/>
                <w:color w:val="auto"/>
              </w:rPr>
            </w:pPr>
          </w:p>
        </w:tc>
        <w:tc>
          <w:tcPr>
            <w:tcW w:w="10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28,692</w:t>
            </w:r>
          </w:p>
        </w:tc>
        <w:tc>
          <w:tcPr>
            <w:tcW w:w="220" w:type="dxa"/>
            <w:vAlign w:val="bottom"/>
            <w:shd w:val="clear" w:color="auto" w:fill="CEFFE7"/>
          </w:tcPr>
          <w:p>
            <w:pPr>
              <w:spacing w:after="0"/>
              <w:rPr>
                <w:sz w:val="19"/>
                <w:szCs w:val="19"/>
                <w:color w:val="auto"/>
              </w:rPr>
            </w:pPr>
          </w:p>
        </w:tc>
        <w:tc>
          <w:tcPr>
            <w:tcW w:w="8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EFFE7"/>
          </w:tcPr>
          <w:p>
            <w:pPr>
              <w:spacing w:after="0"/>
              <w:rPr>
                <w:sz w:val="19"/>
                <w:szCs w:val="19"/>
                <w:color w:val="auto"/>
              </w:rPr>
            </w:pPr>
          </w:p>
        </w:tc>
        <w:tc>
          <w:tcPr>
            <w:tcW w:w="8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(24,451)</w:t>
            </w:r>
          </w:p>
        </w:tc>
        <w:tc>
          <w:tcPr>
            <w:tcW w:w="240" w:type="dxa"/>
            <w:vAlign w:val="bottom"/>
            <w:shd w:val="clear" w:color="auto" w:fill="CEFFE7"/>
          </w:tcPr>
          <w:p>
            <w:pPr>
              <w:spacing w:after="0"/>
              <w:rPr>
                <w:sz w:val="19"/>
                <w:szCs w:val="19"/>
                <w:color w:val="auto"/>
              </w:rPr>
            </w:pPr>
          </w:p>
        </w:tc>
        <w:tc>
          <w:tcPr>
            <w:tcW w:w="8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10,163</w:t>
            </w:r>
          </w:p>
        </w:tc>
      </w:tr>
      <w:tr>
        <w:trPr>
          <w:trHeight w:val="213"/>
        </w:trPr>
        <w:tc>
          <w:tcPr>
            <w:tcW w:w="20" w:type="dxa"/>
            <w:vAlign w:val="bottom"/>
          </w:tcPr>
          <w:p>
            <w:pPr>
              <w:spacing w:after="0"/>
              <w:rPr>
                <w:sz w:val="18"/>
                <w:szCs w:val="18"/>
                <w:color w:val="auto"/>
              </w:rPr>
            </w:pPr>
          </w:p>
        </w:tc>
        <w:tc>
          <w:tcPr>
            <w:tcW w:w="4920" w:type="dxa"/>
            <w:vAlign w:val="bottom"/>
            <w:gridSpan w:val="2"/>
          </w:tcPr>
          <w:p>
            <w:pPr>
              <w:ind w:left="120"/>
              <w:spacing w:after="0"/>
              <w:rPr>
                <w:sz w:val="20"/>
                <w:szCs w:val="20"/>
                <w:color w:val="auto"/>
              </w:rPr>
            </w:pPr>
            <w:r>
              <w:rPr>
                <w:rFonts w:ascii="Arial" w:cs="Arial" w:eastAsia="Arial" w:hAnsi="Arial"/>
                <w:sz w:val="16"/>
                <w:szCs w:val="16"/>
                <w:color w:val="auto"/>
              </w:rPr>
              <w:t>Market - off-system sales</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7,656</w:t>
            </w: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73</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(2,884)</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4,845</w:t>
            </w:r>
          </w:p>
        </w:tc>
      </w:tr>
      <w:tr>
        <w:trPr>
          <w:trHeight w:val="216"/>
        </w:trPr>
        <w:tc>
          <w:tcPr>
            <w:tcW w:w="20" w:type="dxa"/>
            <w:vAlign w:val="bottom"/>
            <w:shd w:val="clear" w:color="auto" w:fill="CEFFE7"/>
          </w:tcPr>
          <w:p>
            <w:pPr>
              <w:spacing w:after="0"/>
              <w:rPr>
                <w:sz w:val="18"/>
                <w:szCs w:val="18"/>
                <w:color w:val="auto"/>
              </w:rPr>
            </w:pPr>
          </w:p>
        </w:tc>
        <w:tc>
          <w:tcPr>
            <w:tcW w:w="4920" w:type="dxa"/>
            <w:vAlign w:val="bottom"/>
            <w:gridSpan w:val="2"/>
            <w:shd w:val="clear" w:color="auto" w:fill="CEFFE7"/>
          </w:tcPr>
          <w:p>
            <w:pPr>
              <w:ind w:left="120"/>
              <w:spacing w:after="0"/>
              <w:rPr>
                <w:sz w:val="20"/>
                <w:szCs w:val="20"/>
                <w:color w:val="auto"/>
              </w:rPr>
            </w:pPr>
            <w:r>
              <w:rPr>
                <w:rFonts w:ascii="Arial" w:cs="Arial" w:eastAsia="Arial" w:hAnsi="Arial"/>
                <w:sz w:val="16"/>
                <w:szCs w:val="16"/>
                <w:color w:val="auto"/>
              </w:rPr>
              <w:t>Transmission/Other</w:t>
            </w:r>
          </w:p>
        </w:tc>
        <w:tc>
          <w:tcPr>
            <w:tcW w:w="180" w:type="dxa"/>
            <w:vAlign w:val="bottom"/>
            <w:tcBorders>
              <w:bottom w:val="single" w:sz="8" w:color="auto"/>
            </w:tcBorders>
            <w:shd w:val="clear" w:color="auto" w:fill="CEFFE7"/>
          </w:tcPr>
          <w:p>
            <w:pPr>
              <w:spacing w:after="0"/>
              <w:rPr>
                <w:sz w:val="18"/>
                <w:szCs w:val="18"/>
                <w:color w:val="auto"/>
              </w:rPr>
            </w:pPr>
          </w:p>
        </w:tc>
        <w:tc>
          <w:tcPr>
            <w:tcW w:w="8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15,193</w:t>
            </w:r>
          </w:p>
        </w:tc>
        <w:tc>
          <w:tcPr>
            <w:tcW w:w="280" w:type="dxa"/>
            <w:vAlign w:val="bottom"/>
            <w:tcBorders>
              <w:bottom w:val="single" w:sz="8" w:color="auto"/>
            </w:tcBorders>
            <w:shd w:val="clear" w:color="auto" w:fill="CEFFE7"/>
          </w:tcPr>
          <w:p>
            <w:pPr>
              <w:spacing w:after="0"/>
              <w:rPr>
                <w:sz w:val="18"/>
                <w:szCs w:val="18"/>
                <w:color w:val="auto"/>
              </w:rPr>
            </w:pPr>
          </w:p>
        </w:tc>
        <w:tc>
          <w:tcPr>
            <w:tcW w:w="7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10,390</w:t>
            </w:r>
          </w:p>
        </w:tc>
        <w:tc>
          <w:tcPr>
            <w:tcW w:w="160" w:type="dxa"/>
            <w:vAlign w:val="bottom"/>
            <w:tcBorders>
              <w:bottom w:val="single" w:sz="8" w:color="auto"/>
            </w:tcBorders>
            <w:shd w:val="clear" w:color="auto" w:fill="CEFFE7"/>
          </w:tcPr>
          <w:p>
            <w:pPr>
              <w:spacing w:after="0"/>
              <w:rPr>
                <w:sz w:val="18"/>
                <w:szCs w:val="18"/>
                <w:color w:val="auto"/>
              </w:rPr>
            </w:pPr>
          </w:p>
        </w:tc>
        <w:tc>
          <w:tcPr>
            <w:tcW w:w="10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shd w:val="clear" w:color="auto" w:fill="CEFFE7"/>
          </w:tcPr>
          <w:p>
            <w:pPr>
              <w:spacing w:after="0"/>
              <w:rPr>
                <w:sz w:val="18"/>
                <w:szCs w:val="18"/>
                <w:color w:val="auto"/>
              </w:rPr>
            </w:pPr>
          </w:p>
        </w:tc>
        <w:tc>
          <w:tcPr>
            <w:tcW w:w="8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EFFE7"/>
          </w:tcPr>
          <w:p>
            <w:pPr>
              <w:spacing w:after="0"/>
              <w:rPr>
                <w:sz w:val="18"/>
                <w:szCs w:val="18"/>
                <w:color w:val="auto"/>
              </w:rPr>
            </w:pPr>
          </w:p>
        </w:tc>
        <w:tc>
          <w:tcPr>
            <w:tcW w:w="8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(5,296)</w:t>
            </w:r>
          </w:p>
        </w:tc>
        <w:tc>
          <w:tcPr>
            <w:tcW w:w="240" w:type="dxa"/>
            <w:vAlign w:val="bottom"/>
            <w:tcBorders>
              <w:bottom w:val="single" w:sz="8" w:color="auto"/>
            </w:tcBorders>
            <w:shd w:val="clear" w:color="auto" w:fill="CEFFE7"/>
          </w:tcPr>
          <w:p>
            <w:pPr>
              <w:spacing w:after="0"/>
              <w:rPr>
                <w:sz w:val="18"/>
                <w:szCs w:val="18"/>
                <w:color w:val="auto"/>
              </w:rPr>
            </w:pPr>
          </w:p>
        </w:tc>
        <w:tc>
          <w:tcPr>
            <w:tcW w:w="8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20,287</w:t>
            </w:r>
          </w:p>
        </w:tc>
      </w:tr>
      <w:tr>
        <w:trPr>
          <w:trHeight w:val="209"/>
        </w:trPr>
        <w:tc>
          <w:tcPr>
            <w:tcW w:w="20" w:type="dxa"/>
            <w:vAlign w:val="bottom"/>
          </w:tcPr>
          <w:p>
            <w:pPr>
              <w:spacing w:after="0"/>
              <w:rPr>
                <w:sz w:val="18"/>
                <w:szCs w:val="18"/>
                <w:color w:val="auto"/>
              </w:rPr>
            </w:pPr>
          </w:p>
        </w:tc>
        <w:tc>
          <w:tcPr>
            <w:tcW w:w="4920" w:type="dxa"/>
            <w:vAlign w:val="bottom"/>
            <w:gridSpan w:val="2"/>
          </w:tcPr>
          <w:p>
            <w:pPr>
              <w:ind w:left="120"/>
              <w:spacing w:after="0"/>
              <w:rPr>
                <w:sz w:val="20"/>
                <w:szCs w:val="20"/>
                <w:color w:val="auto"/>
              </w:rPr>
            </w:pPr>
            <w:r>
              <w:rPr>
                <w:rFonts w:ascii="Arial" w:cs="Arial" w:eastAsia="Arial" w:hAnsi="Arial"/>
                <w:sz w:val="16"/>
                <w:szCs w:val="16"/>
                <w:color w:val="auto"/>
              </w:rPr>
              <w:t>Revenue from contracts with customers</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227,271</w:t>
            </w:r>
          </w:p>
        </w:tc>
        <w:tc>
          <w:tcPr>
            <w:tcW w:w="2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400,019</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28,692</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14,083</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(39,848)</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630,217</w:t>
            </w:r>
          </w:p>
        </w:tc>
      </w:tr>
      <w:tr>
        <w:trPr>
          <w:trHeight w:val="216"/>
        </w:trPr>
        <w:tc>
          <w:tcPr>
            <w:tcW w:w="20" w:type="dxa"/>
            <w:vAlign w:val="bottom"/>
            <w:shd w:val="clear" w:color="auto" w:fill="CEFFE7"/>
          </w:tcPr>
          <w:p>
            <w:pPr>
              <w:spacing w:after="0"/>
              <w:rPr>
                <w:sz w:val="18"/>
                <w:szCs w:val="18"/>
                <w:color w:val="auto"/>
              </w:rPr>
            </w:pPr>
          </w:p>
        </w:tc>
        <w:tc>
          <w:tcPr>
            <w:tcW w:w="4920" w:type="dxa"/>
            <w:vAlign w:val="bottom"/>
            <w:gridSpan w:val="2"/>
            <w:shd w:val="clear" w:color="auto" w:fill="CEFFE7"/>
          </w:tcPr>
          <w:p>
            <w:pPr>
              <w:ind w:left="120"/>
              <w:spacing w:after="0"/>
              <w:rPr>
                <w:sz w:val="20"/>
                <w:szCs w:val="20"/>
                <w:color w:val="auto"/>
              </w:rPr>
            </w:pPr>
            <w:r>
              <w:rPr>
                <w:rFonts w:ascii="Arial" w:cs="Arial" w:eastAsia="Arial" w:hAnsi="Arial"/>
                <w:sz w:val="16"/>
                <w:szCs w:val="16"/>
                <w:color w:val="auto"/>
              </w:rPr>
              <w:t>Other revenues</w:t>
            </w:r>
          </w:p>
        </w:tc>
        <w:tc>
          <w:tcPr>
            <w:tcW w:w="180" w:type="dxa"/>
            <w:vAlign w:val="bottom"/>
            <w:tcBorders>
              <w:bottom w:val="single" w:sz="8" w:color="auto"/>
            </w:tcBorders>
            <w:shd w:val="clear" w:color="auto" w:fill="CEFFE7"/>
          </w:tcPr>
          <w:p>
            <w:pPr>
              <w:spacing w:after="0"/>
              <w:rPr>
                <w:sz w:val="18"/>
                <w:szCs w:val="18"/>
                <w:color w:val="auto"/>
              </w:rPr>
            </w:pPr>
          </w:p>
        </w:tc>
        <w:tc>
          <w:tcPr>
            <w:tcW w:w="8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137</w:t>
            </w:r>
          </w:p>
        </w:tc>
        <w:tc>
          <w:tcPr>
            <w:tcW w:w="280" w:type="dxa"/>
            <w:vAlign w:val="bottom"/>
            <w:tcBorders>
              <w:bottom w:val="single" w:sz="8" w:color="auto"/>
            </w:tcBorders>
            <w:shd w:val="clear" w:color="auto" w:fill="CEFFE7"/>
          </w:tcPr>
          <w:p>
            <w:pPr>
              <w:spacing w:after="0"/>
              <w:rPr>
                <w:sz w:val="18"/>
                <w:szCs w:val="18"/>
                <w:color w:val="auto"/>
              </w:rPr>
            </w:pPr>
          </w:p>
        </w:tc>
        <w:tc>
          <w:tcPr>
            <w:tcW w:w="7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2,500</w:t>
            </w:r>
          </w:p>
        </w:tc>
        <w:tc>
          <w:tcPr>
            <w:tcW w:w="160" w:type="dxa"/>
            <w:vAlign w:val="bottom"/>
            <w:tcBorders>
              <w:bottom w:val="single" w:sz="8" w:color="auto"/>
            </w:tcBorders>
            <w:shd w:val="clear" w:color="auto" w:fill="CEFFE7"/>
          </w:tcPr>
          <w:p>
            <w:pPr>
              <w:spacing w:after="0"/>
              <w:rPr>
                <w:sz w:val="18"/>
                <w:szCs w:val="18"/>
                <w:color w:val="auto"/>
              </w:rPr>
            </w:pPr>
          </w:p>
        </w:tc>
        <w:tc>
          <w:tcPr>
            <w:tcW w:w="10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471</w:t>
            </w:r>
          </w:p>
        </w:tc>
        <w:tc>
          <w:tcPr>
            <w:tcW w:w="220" w:type="dxa"/>
            <w:vAlign w:val="bottom"/>
            <w:tcBorders>
              <w:bottom w:val="single" w:sz="8" w:color="auto"/>
            </w:tcBorders>
            <w:shd w:val="clear" w:color="auto" w:fill="CEFFE7"/>
          </w:tcPr>
          <w:p>
            <w:pPr>
              <w:spacing w:after="0"/>
              <w:rPr>
                <w:sz w:val="18"/>
                <w:szCs w:val="18"/>
                <w:color w:val="auto"/>
              </w:rPr>
            </w:pPr>
          </w:p>
        </w:tc>
        <w:tc>
          <w:tcPr>
            <w:tcW w:w="8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589</w:t>
            </w:r>
          </w:p>
        </w:tc>
        <w:tc>
          <w:tcPr>
            <w:tcW w:w="160" w:type="dxa"/>
            <w:vAlign w:val="bottom"/>
            <w:tcBorders>
              <w:bottom w:val="single" w:sz="8" w:color="auto"/>
            </w:tcBorders>
            <w:shd w:val="clear" w:color="auto" w:fill="CEFFE7"/>
          </w:tcPr>
          <w:p>
            <w:pPr>
              <w:spacing w:after="0"/>
              <w:rPr>
                <w:sz w:val="18"/>
                <w:szCs w:val="18"/>
                <w:color w:val="auto"/>
              </w:rPr>
            </w:pPr>
          </w:p>
        </w:tc>
        <w:tc>
          <w:tcPr>
            <w:tcW w:w="8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(482)</w:t>
            </w:r>
          </w:p>
        </w:tc>
        <w:tc>
          <w:tcPr>
            <w:tcW w:w="240" w:type="dxa"/>
            <w:vAlign w:val="bottom"/>
            <w:tcBorders>
              <w:bottom w:val="single" w:sz="8" w:color="auto"/>
            </w:tcBorders>
            <w:shd w:val="clear" w:color="auto" w:fill="CEFFE7"/>
          </w:tcPr>
          <w:p>
            <w:pPr>
              <w:spacing w:after="0"/>
              <w:rPr>
                <w:sz w:val="18"/>
                <w:szCs w:val="18"/>
                <w:color w:val="auto"/>
              </w:rPr>
            </w:pPr>
          </w:p>
        </w:tc>
        <w:tc>
          <w:tcPr>
            <w:tcW w:w="8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3,215</w:t>
            </w:r>
          </w:p>
        </w:tc>
      </w:tr>
      <w:tr>
        <w:trPr>
          <w:trHeight w:val="213"/>
        </w:trPr>
        <w:tc>
          <w:tcPr>
            <w:tcW w:w="20" w:type="dxa"/>
            <w:vAlign w:val="bottom"/>
          </w:tcPr>
          <w:p>
            <w:pPr>
              <w:spacing w:after="0"/>
              <w:rPr>
                <w:sz w:val="18"/>
                <w:szCs w:val="18"/>
                <w:color w:val="auto"/>
              </w:rPr>
            </w:pPr>
          </w:p>
        </w:tc>
        <w:tc>
          <w:tcPr>
            <w:tcW w:w="4920" w:type="dxa"/>
            <w:vAlign w:val="bottom"/>
            <w:gridSpan w:val="2"/>
          </w:tcPr>
          <w:p>
            <w:pPr>
              <w:spacing w:after="0"/>
              <w:rPr>
                <w:sz w:val="20"/>
                <w:szCs w:val="20"/>
                <w:color w:val="auto"/>
              </w:rPr>
            </w:pPr>
            <w:r>
              <w:rPr>
                <w:rFonts w:ascii="Arial" w:cs="Arial" w:eastAsia="Arial" w:hAnsi="Arial"/>
                <w:sz w:val="16"/>
                <w:szCs w:val="16"/>
                <w:color w:val="auto"/>
              </w:rPr>
              <w:t>Total revenues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227,408</w:t>
            </w:r>
          </w:p>
        </w:tc>
        <w:tc>
          <w:tcPr>
            <w:tcW w:w="2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402,519</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29,163</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14,672</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(40,330)</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633,432</w:t>
            </w:r>
          </w:p>
        </w:tc>
      </w:tr>
      <w:tr>
        <w:trPr>
          <w:trHeight w:val="20"/>
        </w:trPr>
        <w:tc>
          <w:tcPr>
            <w:tcW w:w="20" w:type="dxa"/>
            <w:vAlign w:val="bottom"/>
            <w:tcBorders>
              <w:bottom w:val="single" w:sz="8" w:color="CEFFE7"/>
            </w:tcBorders>
          </w:tcPr>
          <w:p>
            <w:pPr>
              <w:spacing w:after="0" w:line="20" w:lineRule="exact"/>
              <w:rPr>
                <w:sz w:val="1"/>
                <w:szCs w:val="1"/>
                <w:color w:val="auto"/>
              </w:rPr>
            </w:pPr>
          </w:p>
        </w:tc>
        <w:tc>
          <w:tcPr>
            <w:tcW w:w="1180" w:type="dxa"/>
            <w:vAlign w:val="bottom"/>
            <w:tcBorders>
              <w:bottom w:val="single" w:sz="8" w:color="CEFFE7"/>
            </w:tcBorders>
          </w:tcPr>
          <w:p>
            <w:pPr>
              <w:spacing w:after="0" w:line="20" w:lineRule="exact"/>
              <w:rPr>
                <w:sz w:val="1"/>
                <w:szCs w:val="1"/>
                <w:color w:val="auto"/>
              </w:rPr>
            </w:pPr>
          </w:p>
        </w:tc>
        <w:tc>
          <w:tcPr>
            <w:tcW w:w="3740" w:type="dxa"/>
            <w:vAlign w:val="bottom"/>
            <w:tcBorders>
              <w:bottom w:val="single" w:sz="8" w:color="CEFFE7"/>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15"/>
        </w:trPr>
        <w:tc>
          <w:tcPr>
            <w:tcW w:w="20" w:type="dxa"/>
            <w:vAlign w:val="bottom"/>
            <w:shd w:val="clear" w:color="auto" w:fill="CEFFE7"/>
          </w:tcPr>
          <w:p>
            <w:pPr>
              <w:spacing w:after="0"/>
              <w:rPr>
                <w:sz w:val="10"/>
                <w:szCs w:val="10"/>
                <w:color w:val="auto"/>
              </w:rPr>
            </w:pPr>
          </w:p>
        </w:tc>
        <w:tc>
          <w:tcPr>
            <w:tcW w:w="1180" w:type="dxa"/>
            <w:vAlign w:val="bottom"/>
            <w:shd w:val="clear" w:color="auto" w:fill="CEFFE7"/>
          </w:tcPr>
          <w:p>
            <w:pPr>
              <w:spacing w:after="0"/>
              <w:rPr>
                <w:sz w:val="10"/>
                <w:szCs w:val="10"/>
                <w:color w:val="auto"/>
              </w:rPr>
            </w:pPr>
          </w:p>
        </w:tc>
        <w:tc>
          <w:tcPr>
            <w:tcW w:w="3740" w:type="dxa"/>
            <w:vAlign w:val="bottom"/>
            <w:shd w:val="clear" w:color="auto" w:fill="CEFFE7"/>
          </w:tcPr>
          <w:p>
            <w:pPr>
              <w:spacing w:after="0"/>
              <w:rPr>
                <w:sz w:val="10"/>
                <w:szCs w:val="10"/>
                <w:color w:val="auto"/>
              </w:rPr>
            </w:pPr>
          </w:p>
        </w:tc>
        <w:tc>
          <w:tcPr>
            <w:tcW w:w="180" w:type="dxa"/>
            <w:vAlign w:val="bottom"/>
            <w:shd w:val="clear" w:color="auto" w:fill="CEFFE7"/>
          </w:tcPr>
          <w:p>
            <w:pPr>
              <w:spacing w:after="0"/>
              <w:rPr>
                <w:sz w:val="10"/>
                <w:szCs w:val="10"/>
                <w:color w:val="auto"/>
              </w:rPr>
            </w:pPr>
          </w:p>
        </w:tc>
        <w:tc>
          <w:tcPr>
            <w:tcW w:w="820" w:type="dxa"/>
            <w:vAlign w:val="bottom"/>
            <w:shd w:val="clear" w:color="auto" w:fill="CEFFE7"/>
          </w:tcPr>
          <w:p>
            <w:pPr>
              <w:spacing w:after="0"/>
              <w:rPr>
                <w:sz w:val="10"/>
                <w:szCs w:val="10"/>
                <w:color w:val="auto"/>
              </w:rPr>
            </w:pPr>
          </w:p>
        </w:tc>
        <w:tc>
          <w:tcPr>
            <w:tcW w:w="280" w:type="dxa"/>
            <w:vAlign w:val="bottom"/>
            <w:shd w:val="clear" w:color="auto" w:fill="CEFFE7"/>
          </w:tcPr>
          <w:p>
            <w:pPr>
              <w:spacing w:after="0"/>
              <w:rPr>
                <w:sz w:val="10"/>
                <w:szCs w:val="10"/>
                <w:color w:val="auto"/>
              </w:rPr>
            </w:pPr>
          </w:p>
        </w:tc>
        <w:tc>
          <w:tcPr>
            <w:tcW w:w="760" w:type="dxa"/>
            <w:vAlign w:val="bottom"/>
            <w:shd w:val="clear" w:color="auto" w:fill="CEFFE7"/>
          </w:tcPr>
          <w:p>
            <w:pPr>
              <w:spacing w:after="0"/>
              <w:rPr>
                <w:sz w:val="10"/>
                <w:szCs w:val="10"/>
                <w:color w:val="auto"/>
              </w:rPr>
            </w:pPr>
          </w:p>
        </w:tc>
        <w:tc>
          <w:tcPr>
            <w:tcW w:w="160" w:type="dxa"/>
            <w:vAlign w:val="bottom"/>
            <w:shd w:val="clear" w:color="auto" w:fill="CEFFE7"/>
          </w:tcPr>
          <w:p>
            <w:pPr>
              <w:spacing w:after="0"/>
              <w:rPr>
                <w:sz w:val="10"/>
                <w:szCs w:val="10"/>
                <w:color w:val="auto"/>
              </w:rPr>
            </w:pPr>
          </w:p>
        </w:tc>
        <w:tc>
          <w:tcPr>
            <w:tcW w:w="1000" w:type="dxa"/>
            <w:vAlign w:val="bottom"/>
            <w:shd w:val="clear" w:color="auto" w:fill="CEFFE7"/>
          </w:tcPr>
          <w:p>
            <w:pPr>
              <w:spacing w:after="0"/>
              <w:rPr>
                <w:sz w:val="10"/>
                <w:szCs w:val="10"/>
                <w:color w:val="auto"/>
              </w:rPr>
            </w:pPr>
          </w:p>
        </w:tc>
        <w:tc>
          <w:tcPr>
            <w:tcW w:w="220" w:type="dxa"/>
            <w:vAlign w:val="bottom"/>
            <w:shd w:val="clear" w:color="auto" w:fill="CEFFE7"/>
          </w:tcPr>
          <w:p>
            <w:pPr>
              <w:spacing w:after="0"/>
              <w:rPr>
                <w:sz w:val="10"/>
                <w:szCs w:val="10"/>
                <w:color w:val="auto"/>
              </w:rPr>
            </w:pPr>
          </w:p>
        </w:tc>
        <w:tc>
          <w:tcPr>
            <w:tcW w:w="800" w:type="dxa"/>
            <w:vAlign w:val="bottom"/>
            <w:shd w:val="clear" w:color="auto" w:fill="CEFFE7"/>
          </w:tcPr>
          <w:p>
            <w:pPr>
              <w:spacing w:after="0"/>
              <w:rPr>
                <w:sz w:val="10"/>
                <w:szCs w:val="10"/>
                <w:color w:val="auto"/>
              </w:rPr>
            </w:pPr>
          </w:p>
        </w:tc>
        <w:tc>
          <w:tcPr>
            <w:tcW w:w="160" w:type="dxa"/>
            <w:vAlign w:val="bottom"/>
            <w:shd w:val="clear" w:color="auto" w:fill="CEFFE7"/>
          </w:tcPr>
          <w:p>
            <w:pPr>
              <w:spacing w:after="0"/>
              <w:rPr>
                <w:sz w:val="10"/>
                <w:szCs w:val="10"/>
                <w:color w:val="auto"/>
              </w:rPr>
            </w:pPr>
          </w:p>
        </w:tc>
        <w:tc>
          <w:tcPr>
            <w:tcW w:w="880" w:type="dxa"/>
            <w:vAlign w:val="bottom"/>
            <w:shd w:val="clear" w:color="auto" w:fill="CEFFE7"/>
          </w:tcPr>
          <w:p>
            <w:pPr>
              <w:spacing w:after="0"/>
              <w:rPr>
                <w:sz w:val="10"/>
                <w:szCs w:val="10"/>
                <w:color w:val="auto"/>
              </w:rPr>
            </w:pPr>
          </w:p>
        </w:tc>
        <w:tc>
          <w:tcPr>
            <w:tcW w:w="240" w:type="dxa"/>
            <w:vAlign w:val="bottom"/>
            <w:shd w:val="clear" w:color="auto" w:fill="CEFFE7"/>
          </w:tcPr>
          <w:p>
            <w:pPr>
              <w:spacing w:after="0"/>
              <w:rPr>
                <w:sz w:val="10"/>
                <w:szCs w:val="10"/>
                <w:color w:val="auto"/>
              </w:rPr>
            </w:pPr>
          </w:p>
        </w:tc>
        <w:tc>
          <w:tcPr>
            <w:tcW w:w="800" w:type="dxa"/>
            <w:vAlign w:val="bottom"/>
            <w:shd w:val="clear" w:color="auto" w:fill="CEFFE7"/>
          </w:tcPr>
          <w:p>
            <w:pPr>
              <w:spacing w:after="0"/>
              <w:rPr>
                <w:sz w:val="10"/>
                <w:szCs w:val="10"/>
                <w:color w:val="auto"/>
              </w:rPr>
            </w:pPr>
          </w:p>
        </w:tc>
      </w:tr>
    </w:tbl>
    <w:p>
      <w:pPr>
        <w:spacing w:after="0" w:line="15" w:lineRule="exact"/>
        <w:rPr>
          <w:sz w:val="20"/>
          <w:szCs w:val="20"/>
          <w:color w:val="auto"/>
        </w:rPr>
      </w:pPr>
    </w:p>
    <w:p>
      <w:pPr>
        <w:sectPr>
          <w:pgSz w:w="11900" w:h="16838" w:orient="portrait"/>
          <w:cols w:equalWidth="0" w:num="1">
            <w:col w:w="11240"/>
          </w:cols>
          <w:pgMar w:left="320" w:top="121" w:right="339" w:bottom="1440" w:gutter="0" w:footer="0" w:header="0"/>
        </w:sectPr>
      </w:pPr>
    </w:p>
    <w:p>
      <w:pPr>
        <w:ind w:left="20"/>
        <w:spacing w:after="0"/>
        <w:rPr>
          <w:sz w:val="20"/>
          <w:szCs w:val="20"/>
          <w:color w:val="auto"/>
        </w:rPr>
      </w:pPr>
      <w:r>
        <w:rPr>
          <w:rFonts w:ascii="Arial" w:cs="Arial" w:eastAsia="Arial" w:hAnsi="Arial"/>
          <w:sz w:val="16"/>
          <w:szCs w:val="16"/>
          <w:u w:val="single" w:color="auto"/>
          <w:color w:val="auto"/>
        </w:rPr>
        <w:t>Timing of revenue recognition:</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Services transferred at a point in time</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Services transferred over time</w:t>
      </w:r>
    </w:p>
    <w:p>
      <w:pPr>
        <w:spacing w:after="0" w:line="73" w:lineRule="exact"/>
        <w:rPr>
          <w:sz w:val="20"/>
          <w:szCs w:val="20"/>
          <w:color w:val="auto"/>
        </w:rPr>
      </w:pPr>
    </w:p>
    <w:p>
      <w:pPr>
        <w:ind w:left="140"/>
        <w:spacing w:after="0"/>
        <w:rPr>
          <w:sz w:val="20"/>
          <w:szCs w:val="20"/>
          <w:color w:val="auto"/>
        </w:rPr>
      </w:pPr>
      <w:r>
        <w:rPr>
          <w:rFonts w:ascii="Arial" w:cs="Arial" w:eastAsia="Arial" w:hAnsi="Arial"/>
          <w:sz w:val="16"/>
          <w:szCs w:val="16"/>
          <w:color w:val="auto"/>
        </w:rPr>
        <w:t>Revenue from contracts with customers</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59"/>
              <w:spacing w:after="0"/>
              <w:rPr>
                <w:sz w:val="20"/>
                <w:szCs w:val="20"/>
                <w:color w:val="auto"/>
              </w:rPr>
            </w:pPr>
            <w:r>
              <w:rPr>
                <w:rFonts w:ascii="Arial" w:cs="Arial" w:eastAsia="Arial" w:hAnsi="Arial"/>
                <w:sz w:val="16"/>
                <w:szCs w:val="16"/>
                <w:color w:val="auto"/>
              </w:rPr>
              <w:t>— $</w:t>
            </w:r>
          </w:p>
        </w:tc>
        <w:tc>
          <w:tcPr>
            <w:tcW w:w="1140" w:type="dxa"/>
            <w:vAlign w:val="bottom"/>
            <w:gridSpan w:val="2"/>
          </w:tcPr>
          <w:p>
            <w:pPr>
              <w:jc w:val="right"/>
              <w:ind w:right="179"/>
              <w:spacing w:after="0"/>
              <w:rPr>
                <w:sz w:val="20"/>
                <w:szCs w:val="20"/>
                <w:color w:val="auto"/>
              </w:rPr>
            </w:pPr>
            <w:r>
              <w:rPr>
                <w:rFonts w:ascii="Arial" w:cs="Arial" w:eastAsia="Arial" w:hAnsi="Arial"/>
                <w:sz w:val="16"/>
                <w:szCs w:val="16"/>
                <w:color w:val="auto"/>
              </w:rPr>
              <w:t>— $</w:t>
            </w:r>
          </w:p>
        </w:tc>
        <w:tc>
          <w:tcPr>
            <w:tcW w:w="1080" w:type="dxa"/>
            <w:vAlign w:val="bottom"/>
            <w:gridSpan w:val="2"/>
          </w:tcPr>
          <w:p>
            <w:pPr>
              <w:jc w:val="right"/>
              <w:ind w:right="79"/>
              <w:spacing w:after="0"/>
              <w:rPr>
                <w:sz w:val="20"/>
                <w:szCs w:val="20"/>
                <w:color w:val="auto"/>
              </w:rPr>
            </w:pPr>
            <w:r>
              <w:rPr>
                <w:rFonts w:ascii="Arial" w:cs="Arial" w:eastAsia="Arial" w:hAnsi="Arial"/>
                <w:sz w:val="16"/>
                <w:szCs w:val="16"/>
                <w:color w:val="auto"/>
              </w:rPr>
              <w:t>— $</w:t>
            </w:r>
          </w:p>
        </w:tc>
        <w:tc>
          <w:tcPr>
            <w:tcW w:w="720" w:type="dxa"/>
            <w:vAlign w:val="bottom"/>
          </w:tcPr>
          <w:p>
            <w:pPr>
              <w:jc w:val="right"/>
              <w:spacing w:after="0"/>
              <w:rPr>
                <w:sz w:val="20"/>
                <w:szCs w:val="20"/>
                <w:color w:val="auto"/>
              </w:rPr>
            </w:pPr>
            <w:r>
              <w:rPr>
                <w:rFonts w:ascii="Arial" w:cs="Arial" w:eastAsia="Arial" w:hAnsi="Arial"/>
                <w:sz w:val="16"/>
                <w:szCs w:val="16"/>
                <w:color w:val="auto"/>
              </w:rPr>
              <w:t>14,083</w:t>
            </w:r>
          </w:p>
        </w:tc>
        <w:tc>
          <w:tcPr>
            <w:tcW w:w="2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(7,107)</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6,976</w:t>
            </w:r>
          </w:p>
        </w:tc>
      </w:tr>
      <w:tr>
        <w:trPr>
          <w:trHeight w:val="219"/>
        </w:trPr>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227,271</w:t>
            </w: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400,019</w:t>
            </w: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28,692</w:t>
            </w:r>
          </w:p>
        </w:tc>
        <w:tc>
          <w:tcPr>
            <w:tcW w:w="3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(32,741)</w:t>
            </w: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623,241</w:t>
            </w:r>
          </w:p>
        </w:tc>
      </w:tr>
      <w:tr>
        <w:trPr>
          <w:trHeight w:val="209"/>
        </w:trPr>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227,271</w:t>
            </w:r>
          </w:p>
        </w:tc>
        <w:tc>
          <w:tcPr>
            <w:tcW w:w="2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400,019</w:t>
            </w: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28,692</w:t>
            </w:r>
          </w:p>
        </w:tc>
        <w:tc>
          <w:tcPr>
            <w:tcW w:w="3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14,083</w:t>
            </w:r>
          </w:p>
        </w:tc>
        <w:tc>
          <w:tcPr>
            <w:tcW w:w="2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(39,848)</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630,217</w:t>
            </w:r>
          </w:p>
        </w:tc>
      </w:tr>
      <w:tr>
        <w:trPr>
          <w:trHeight w:val="23"/>
        </w:trPr>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-3131185</wp:posOffset>
            </wp:positionH>
            <wp:positionV relativeFrom="paragraph">
              <wp:posOffset>-454025</wp:posOffset>
            </wp:positionV>
            <wp:extent cx="7132320"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-3131185</wp:posOffset>
            </wp:positionH>
            <wp:positionV relativeFrom="paragraph">
              <wp:posOffset>-179070</wp:posOffset>
            </wp:positionV>
            <wp:extent cx="7132320" cy="1625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220" w:space="720"/>
            <w:col w:w="6300"/>
          </w:cols>
          <w:pgMar w:left="320" w:top="121" w:right="339" w:bottom="1440" w:gutter="0" w:footer="0" w:header="0"/>
          <w:type w:val="continuous"/>
        </w:sectPr>
      </w:pP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center"/>
              <w:ind w:right="19"/>
              <w:spacing w:after="0"/>
              <w:rPr>
                <w:sz w:val="20"/>
                <w:szCs w:val="20"/>
                <w:color w:val="auto"/>
              </w:rPr>
            </w:pPr>
            <w:r>
              <w:rPr>
                <w:rFonts w:ascii="Arial" w:cs="Arial" w:eastAsia="Arial" w:hAnsi="Arial"/>
                <w:sz w:val="16"/>
                <w:szCs w:val="16"/>
                <w:color w:val="auto"/>
              </w:rPr>
              <w:t>Inter-</w:t>
            </w: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62"/>
        </w:trPr>
        <w:tc>
          <w:tcPr>
            <w:tcW w:w="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ind w:right="99"/>
              <w:spacing w:after="0" w:line="162" w:lineRule="exact"/>
              <w:rPr>
                <w:sz w:val="20"/>
                <w:szCs w:val="20"/>
                <w:color w:val="auto"/>
              </w:rPr>
            </w:pPr>
            <w:r>
              <w:rPr>
                <w:rFonts w:ascii="Arial" w:cs="Arial" w:eastAsia="Arial" w:hAnsi="Arial"/>
                <w:sz w:val="16"/>
                <w:szCs w:val="16"/>
                <w:color w:val="auto"/>
              </w:rPr>
              <w:t>Electric</w:t>
            </w: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right"/>
              <w:ind w:right="219"/>
              <w:spacing w:after="0" w:line="162" w:lineRule="exact"/>
              <w:rPr>
                <w:sz w:val="20"/>
                <w:szCs w:val="20"/>
                <w:color w:val="auto"/>
              </w:rPr>
            </w:pPr>
            <w:r>
              <w:rPr>
                <w:rFonts w:ascii="Arial" w:cs="Arial" w:eastAsia="Arial" w:hAnsi="Arial"/>
                <w:sz w:val="16"/>
                <w:szCs w:val="16"/>
                <w:color w:val="auto"/>
              </w:rPr>
              <w:t>Power</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center"/>
              <w:ind w:right="39"/>
              <w:spacing w:after="0" w:line="162" w:lineRule="exact"/>
              <w:rPr>
                <w:sz w:val="20"/>
                <w:szCs w:val="20"/>
                <w:color w:val="auto"/>
              </w:rPr>
            </w:pPr>
            <w:r>
              <w:rPr>
                <w:rFonts w:ascii="Arial" w:cs="Arial" w:eastAsia="Arial" w:hAnsi="Arial"/>
                <w:sz w:val="16"/>
                <w:szCs w:val="16"/>
                <w:color w:val="auto"/>
                <w:w w:val="98"/>
              </w:rPr>
              <w:t>company</w:t>
            </w: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98"/>
        </w:trPr>
        <w:tc>
          <w:tcPr>
            <w:tcW w:w="20" w:type="dxa"/>
            <w:vAlign w:val="bottom"/>
            <w:tcBorders>
              <w:bottom w:val="single" w:sz="8" w:color="auto"/>
            </w:tcBorders>
          </w:tcPr>
          <w:p>
            <w:pPr>
              <w:spacing w:after="0"/>
              <w:rPr>
                <w:sz w:val="17"/>
                <w:szCs w:val="17"/>
                <w:color w:val="auto"/>
              </w:rPr>
            </w:pPr>
          </w:p>
        </w:tc>
        <w:tc>
          <w:tcPr>
            <w:tcW w:w="4920" w:type="dxa"/>
            <w:vAlign w:val="bottom"/>
            <w:tcBorders>
              <w:bottom w:val="single" w:sz="8" w:color="auto"/>
            </w:tcBorders>
            <w:gridSpan w:val="3"/>
          </w:tcPr>
          <w:p>
            <w:pPr>
              <w:spacing w:after="0"/>
              <w:rPr>
                <w:sz w:val="20"/>
                <w:szCs w:val="20"/>
                <w:color w:val="auto"/>
              </w:rPr>
            </w:pPr>
            <w:r>
              <w:rPr>
                <w:rFonts w:ascii="Arial" w:cs="Arial" w:eastAsia="Arial" w:hAnsi="Arial"/>
                <w:sz w:val="16"/>
                <w:szCs w:val="16"/>
                <w:color w:val="auto"/>
              </w:rPr>
              <w:t>Three Months Ended March 31, 2020</w:t>
            </w: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Utilities</w:t>
            </w: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Gas Utilities</w:t>
            </w: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Generation</w:t>
            </w: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Mining</w:t>
            </w: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color w:val="auto"/>
                <w:w w:val="99"/>
              </w:rPr>
              <w:t>Revenues</w:t>
            </w: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Total</w:t>
            </w:r>
          </w:p>
        </w:tc>
      </w:tr>
      <w:tr>
        <w:trPr>
          <w:trHeight w:val="172"/>
        </w:trPr>
        <w:tc>
          <w:tcPr>
            <w:tcW w:w="20" w:type="dxa"/>
            <w:vAlign w:val="bottom"/>
          </w:tcPr>
          <w:p>
            <w:pPr>
              <w:spacing w:after="0"/>
              <w:rPr>
                <w:sz w:val="14"/>
                <w:szCs w:val="14"/>
                <w:color w:val="auto"/>
              </w:rPr>
            </w:pPr>
          </w:p>
        </w:tc>
        <w:tc>
          <w:tcPr>
            <w:tcW w:w="4920" w:type="dxa"/>
            <w:vAlign w:val="bottom"/>
            <w:gridSpan w:val="3"/>
          </w:tcPr>
          <w:p>
            <w:pPr>
              <w:spacing w:after="0" w:line="172" w:lineRule="exact"/>
              <w:rPr>
                <w:sz w:val="20"/>
                <w:szCs w:val="20"/>
                <w:color w:val="auto"/>
              </w:rPr>
            </w:pPr>
            <w:r>
              <w:rPr>
                <w:rFonts w:ascii="Arial" w:cs="Arial" w:eastAsia="Arial" w:hAnsi="Arial"/>
                <w:sz w:val="16"/>
                <w:szCs w:val="16"/>
                <w:color w:val="auto"/>
              </w:rPr>
              <w:t>Customer Types:</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tcBorders>
              <w:top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16"/>
        </w:trPr>
        <w:tc>
          <w:tcPr>
            <w:tcW w:w="20" w:type="dxa"/>
            <w:vAlign w:val="bottom"/>
            <w:shd w:val="clear" w:color="auto" w:fill="CEFFE7"/>
          </w:tcPr>
          <w:p>
            <w:pPr>
              <w:spacing w:after="0"/>
              <w:rPr>
                <w:sz w:val="18"/>
                <w:szCs w:val="18"/>
                <w:color w:val="auto"/>
              </w:rPr>
            </w:pPr>
          </w:p>
        </w:tc>
        <w:tc>
          <w:tcPr>
            <w:tcW w:w="4920" w:type="dxa"/>
            <w:vAlign w:val="bottom"/>
            <w:gridSpan w:val="3"/>
            <w:shd w:val="clear" w:color="auto" w:fill="CEFFE7"/>
          </w:tcPr>
          <w:p>
            <w:pPr>
              <w:ind w:left="120"/>
              <w:spacing w:after="0"/>
              <w:rPr>
                <w:sz w:val="20"/>
                <w:szCs w:val="20"/>
                <w:color w:val="auto"/>
              </w:rPr>
            </w:pPr>
            <w:r>
              <w:rPr>
                <w:rFonts w:ascii="Arial" w:cs="Arial" w:eastAsia="Arial" w:hAnsi="Arial"/>
                <w:sz w:val="16"/>
                <w:szCs w:val="16"/>
                <w:color w:val="auto"/>
              </w:rPr>
              <w:t>Retail</w:t>
            </w:r>
          </w:p>
        </w:tc>
        <w:tc>
          <w:tcPr>
            <w:tcW w:w="1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148,640</w:t>
            </w:r>
          </w:p>
        </w:tc>
        <w:tc>
          <w:tcPr>
            <w:tcW w:w="280" w:type="dxa"/>
            <w:vAlign w:val="bottom"/>
            <w:shd w:val="clear" w:color="auto" w:fill="CEFFE7"/>
          </w:tcPr>
          <w:p>
            <w:pPr>
              <w:jc w:val="right"/>
              <w:ind w:right="59"/>
              <w:spacing w:after="0"/>
              <w:rPr>
                <w:sz w:val="20"/>
                <w:szCs w:val="20"/>
                <w:color w:val="auto"/>
              </w:rPr>
            </w:pPr>
            <w:r>
              <w:rPr>
                <w:rFonts w:ascii="Arial" w:cs="Arial" w:eastAsia="Arial" w:hAnsi="Arial"/>
                <w:sz w:val="16"/>
                <w:szCs w:val="16"/>
                <w:color w:val="auto"/>
              </w:rPr>
              <w:t>$</w:t>
            </w:r>
          </w:p>
        </w:tc>
        <w:tc>
          <w:tcPr>
            <w:tcW w:w="7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298,247</w:t>
            </w:r>
          </w:p>
        </w:tc>
        <w:tc>
          <w:tcPr>
            <w:tcW w:w="1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EFFE7"/>
          </w:tcPr>
          <w:p>
            <w:pPr>
              <w:jc w:val="right"/>
              <w:spacing w:after="0"/>
              <w:rPr>
                <w:sz w:val="20"/>
                <w:szCs w:val="20"/>
                <w:color w:val="auto"/>
              </w:rPr>
            </w:pPr>
            <w:r>
              <w:rPr>
                <w:rFonts w:ascii="Arial" w:cs="Arial" w:eastAsia="Arial" w:hAnsi="Arial"/>
                <w:sz w:val="16"/>
                <w:szCs w:val="16"/>
                <w:color w:val="auto"/>
              </w:rPr>
              <w:t>— $</w:t>
            </w:r>
          </w:p>
        </w:tc>
        <w:tc>
          <w:tcPr>
            <w:tcW w:w="8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14,403</w:t>
            </w:r>
          </w:p>
        </w:tc>
        <w:tc>
          <w:tcPr>
            <w:tcW w:w="1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(7,839)</w:t>
            </w:r>
          </w:p>
        </w:tc>
        <w:tc>
          <w:tcPr>
            <w:tcW w:w="240" w:type="dxa"/>
            <w:vAlign w:val="bottom"/>
            <w:shd w:val="clear" w:color="auto" w:fill="CEFFE7"/>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453,451</w:t>
            </w:r>
          </w:p>
        </w:tc>
      </w:tr>
      <w:tr>
        <w:trPr>
          <w:trHeight w:val="213"/>
        </w:trPr>
        <w:tc>
          <w:tcPr>
            <w:tcW w:w="20" w:type="dxa"/>
            <w:vAlign w:val="bottom"/>
          </w:tcPr>
          <w:p>
            <w:pPr>
              <w:spacing w:after="0"/>
              <w:rPr>
                <w:sz w:val="18"/>
                <w:szCs w:val="18"/>
                <w:color w:val="auto"/>
              </w:rPr>
            </w:pPr>
          </w:p>
        </w:tc>
        <w:tc>
          <w:tcPr>
            <w:tcW w:w="4920" w:type="dxa"/>
            <w:vAlign w:val="bottom"/>
            <w:gridSpan w:val="3"/>
          </w:tcPr>
          <w:p>
            <w:pPr>
              <w:ind w:left="120"/>
              <w:spacing w:after="0"/>
              <w:rPr>
                <w:sz w:val="20"/>
                <w:szCs w:val="20"/>
                <w:color w:val="auto"/>
              </w:rPr>
            </w:pPr>
            <w:r>
              <w:rPr>
                <w:rFonts w:ascii="Arial" w:cs="Arial" w:eastAsia="Arial" w:hAnsi="Arial"/>
                <w:sz w:val="16"/>
                <w:szCs w:val="16"/>
                <w:color w:val="auto"/>
              </w:rPr>
              <w:t>Transportation</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44,108</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(139)</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43,969</w:t>
            </w:r>
          </w:p>
        </w:tc>
      </w:tr>
      <w:tr>
        <w:trPr>
          <w:trHeight w:val="219"/>
        </w:trPr>
        <w:tc>
          <w:tcPr>
            <w:tcW w:w="20" w:type="dxa"/>
            <w:vAlign w:val="bottom"/>
            <w:shd w:val="clear" w:color="auto" w:fill="CEFFE7"/>
          </w:tcPr>
          <w:p>
            <w:pPr>
              <w:spacing w:after="0"/>
              <w:rPr>
                <w:sz w:val="19"/>
                <w:szCs w:val="19"/>
                <w:color w:val="auto"/>
              </w:rPr>
            </w:pPr>
          </w:p>
        </w:tc>
        <w:tc>
          <w:tcPr>
            <w:tcW w:w="4920" w:type="dxa"/>
            <w:vAlign w:val="bottom"/>
            <w:gridSpan w:val="3"/>
            <w:shd w:val="clear" w:color="auto" w:fill="CEFFE7"/>
          </w:tcPr>
          <w:p>
            <w:pPr>
              <w:ind w:left="120"/>
              <w:spacing w:after="0"/>
              <w:rPr>
                <w:sz w:val="20"/>
                <w:szCs w:val="20"/>
                <w:color w:val="auto"/>
              </w:rPr>
            </w:pPr>
            <w:r>
              <w:rPr>
                <w:rFonts w:ascii="Arial" w:cs="Arial" w:eastAsia="Arial" w:hAnsi="Arial"/>
                <w:sz w:val="16"/>
                <w:szCs w:val="16"/>
                <w:color w:val="auto"/>
              </w:rPr>
              <w:t>Wholesale</w:t>
            </w:r>
          </w:p>
        </w:tc>
        <w:tc>
          <w:tcPr>
            <w:tcW w:w="180" w:type="dxa"/>
            <w:vAlign w:val="bottom"/>
            <w:shd w:val="clear" w:color="auto" w:fill="CEFFE7"/>
          </w:tcPr>
          <w:p>
            <w:pPr>
              <w:spacing w:after="0"/>
              <w:rPr>
                <w:sz w:val="19"/>
                <w:szCs w:val="19"/>
                <w:color w:val="auto"/>
              </w:rPr>
            </w:pPr>
          </w:p>
        </w:tc>
        <w:tc>
          <w:tcPr>
            <w:tcW w:w="8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5,552</w:t>
            </w:r>
          </w:p>
        </w:tc>
        <w:tc>
          <w:tcPr>
            <w:tcW w:w="280" w:type="dxa"/>
            <w:vAlign w:val="bottom"/>
            <w:shd w:val="clear" w:color="auto" w:fill="CEFFE7"/>
          </w:tcPr>
          <w:p>
            <w:pPr>
              <w:spacing w:after="0"/>
              <w:rPr>
                <w:sz w:val="19"/>
                <w:szCs w:val="19"/>
                <w:color w:val="auto"/>
              </w:rPr>
            </w:pPr>
          </w:p>
        </w:tc>
        <w:tc>
          <w:tcPr>
            <w:tcW w:w="7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EFFE7"/>
          </w:tcPr>
          <w:p>
            <w:pPr>
              <w:spacing w:after="0"/>
              <w:rPr>
                <w:sz w:val="19"/>
                <w:szCs w:val="19"/>
                <w:color w:val="auto"/>
              </w:rPr>
            </w:pPr>
          </w:p>
        </w:tc>
        <w:tc>
          <w:tcPr>
            <w:tcW w:w="10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25,467</w:t>
            </w:r>
          </w:p>
        </w:tc>
        <w:tc>
          <w:tcPr>
            <w:tcW w:w="220" w:type="dxa"/>
            <w:vAlign w:val="bottom"/>
            <w:shd w:val="clear" w:color="auto" w:fill="CEFFE7"/>
          </w:tcPr>
          <w:p>
            <w:pPr>
              <w:spacing w:after="0"/>
              <w:rPr>
                <w:sz w:val="19"/>
                <w:szCs w:val="19"/>
                <w:color w:val="auto"/>
              </w:rPr>
            </w:pPr>
          </w:p>
        </w:tc>
        <w:tc>
          <w:tcPr>
            <w:tcW w:w="8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EFFE7"/>
          </w:tcPr>
          <w:p>
            <w:pPr>
              <w:spacing w:after="0"/>
              <w:rPr>
                <w:sz w:val="19"/>
                <w:szCs w:val="19"/>
                <w:color w:val="auto"/>
              </w:rPr>
            </w:pPr>
          </w:p>
        </w:tc>
        <w:tc>
          <w:tcPr>
            <w:tcW w:w="8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(23,612)</w:t>
            </w:r>
          </w:p>
        </w:tc>
        <w:tc>
          <w:tcPr>
            <w:tcW w:w="240" w:type="dxa"/>
            <w:vAlign w:val="bottom"/>
            <w:shd w:val="clear" w:color="auto" w:fill="CEFFE7"/>
          </w:tcPr>
          <w:p>
            <w:pPr>
              <w:spacing w:after="0"/>
              <w:rPr>
                <w:sz w:val="19"/>
                <w:szCs w:val="19"/>
                <w:color w:val="auto"/>
              </w:rPr>
            </w:pPr>
          </w:p>
        </w:tc>
        <w:tc>
          <w:tcPr>
            <w:tcW w:w="8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7,407</w:t>
            </w:r>
          </w:p>
        </w:tc>
      </w:tr>
      <w:tr>
        <w:trPr>
          <w:trHeight w:val="213"/>
        </w:trPr>
        <w:tc>
          <w:tcPr>
            <w:tcW w:w="20" w:type="dxa"/>
            <w:vAlign w:val="bottom"/>
          </w:tcPr>
          <w:p>
            <w:pPr>
              <w:spacing w:after="0"/>
              <w:rPr>
                <w:sz w:val="18"/>
                <w:szCs w:val="18"/>
                <w:color w:val="auto"/>
              </w:rPr>
            </w:pPr>
          </w:p>
        </w:tc>
        <w:tc>
          <w:tcPr>
            <w:tcW w:w="4920" w:type="dxa"/>
            <w:vAlign w:val="bottom"/>
            <w:gridSpan w:val="3"/>
          </w:tcPr>
          <w:p>
            <w:pPr>
              <w:ind w:left="120"/>
              <w:spacing w:after="0"/>
              <w:rPr>
                <w:sz w:val="20"/>
                <w:szCs w:val="20"/>
                <w:color w:val="auto"/>
              </w:rPr>
            </w:pPr>
            <w:r>
              <w:rPr>
                <w:rFonts w:ascii="Arial" w:cs="Arial" w:eastAsia="Arial" w:hAnsi="Arial"/>
                <w:sz w:val="16"/>
                <w:szCs w:val="16"/>
                <w:color w:val="auto"/>
              </w:rPr>
              <w:t>Market - off-system sales</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4,867</w:t>
            </w: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138</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(2,639)</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2,366</w:t>
            </w:r>
          </w:p>
        </w:tc>
      </w:tr>
      <w:tr>
        <w:trPr>
          <w:trHeight w:val="216"/>
        </w:trPr>
        <w:tc>
          <w:tcPr>
            <w:tcW w:w="20" w:type="dxa"/>
            <w:vAlign w:val="bottom"/>
            <w:shd w:val="clear" w:color="auto" w:fill="CEFFE7"/>
          </w:tcPr>
          <w:p>
            <w:pPr>
              <w:spacing w:after="0"/>
              <w:rPr>
                <w:sz w:val="18"/>
                <w:szCs w:val="18"/>
                <w:color w:val="auto"/>
              </w:rPr>
            </w:pPr>
          </w:p>
        </w:tc>
        <w:tc>
          <w:tcPr>
            <w:tcW w:w="4920" w:type="dxa"/>
            <w:vAlign w:val="bottom"/>
            <w:gridSpan w:val="3"/>
            <w:shd w:val="clear" w:color="auto" w:fill="CEFFE7"/>
          </w:tcPr>
          <w:p>
            <w:pPr>
              <w:ind w:left="120"/>
              <w:spacing w:after="0"/>
              <w:rPr>
                <w:sz w:val="20"/>
                <w:szCs w:val="20"/>
                <w:color w:val="auto"/>
              </w:rPr>
            </w:pPr>
            <w:r>
              <w:rPr>
                <w:rFonts w:ascii="Arial" w:cs="Arial" w:eastAsia="Arial" w:hAnsi="Arial"/>
                <w:sz w:val="16"/>
                <w:szCs w:val="16"/>
                <w:color w:val="auto"/>
              </w:rPr>
              <w:t>Transmission/Other</w:t>
            </w:r>
          </w:p>
        </w:tc>
        <w:tc>
          <w:tcPr>
            <w:tcW w:w="180" w:type="dxa"/>
            <w:vAlign w:val="bottom"/>
            <w:tcBorders>
              <w:bottom w:val="single" w:sz="8" w:color="auto"/>
            </w:tcBorders>
            <w:shd w:val="clear" w:color="auto" w:fill="CEFFE7"/>
          </w:tcPr>
          <w:p>
            <w:pPr>
              <w:spacing w:after="0"/>
              <w:rPr>
                <w:sz w:val="18"/>
                <w:szCs w:val="18"/>
                <w:color w:val="auto"/>
              </w:rPr>
            </w:pPr>
          </w:p>
        </w:tc>
        <w:tc>
          <w:tcPr>
            <w:tcW w:w="8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14,857</w:t>
            </w:r>
          </w:p>
        </w:tc>
        <w:tc>
          <w:tcPr>
            <w:tcW w:w="280" w:type="dxa"/>
            <w:vAlign w:val="bottom"/>
            <w:tcBorders>
              <w:bottom w:val="single" w:sz="8" w:color="auto"/>
            </w:tcBorders>
            <w:shd w:val="clear" w:color="auto" w:fill="CEFFE7"/>
          </w:tcPr>
          <w:p>
            <w:pPr>
              <w:spacing w:after="0"/>
              <w:rPr>
                <w:sz w:val="18"/>
                <w:szCs w:val="18"/>
                <w:color w:val="auto"/>
              </w:rPr>
            </w:pPr>
          </w:p>
        </w:tc>
        <w:tc>
          <w:tcPr>
            <w:tcW w:w="7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12,572</w:t>
            </w:r>
          </w:p>
        </w:tc>
        <w:tc>
          <w:tcPr>
            <w:tcW w:w="160" w:type="dxa"/>
            <w:vAlign w:val="bottom"/>
            <w:tcBorders>
              <w:bottom w:val="single" w:sz="8" w:color="auto"/>
            </w:tcBorders>
            <w:shd w:val="clear" w:color="auto" w:fill="CEFFE7"/>
          </w:tcPr>
          <w:p>
            <w:pPr>
              <w:spacing w:after="0"/>
              <w:rPr>
                <w:sz w:val="18"/>
                <w:szCs w:val="18"/>
                <w:color w:val="auto"/>
              </w:rPr>
            </w:pPr>
          </w:p>
        </w:tc>
        <w:tc>
          <w:tcPr>
            <w:tcW w:w="10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shd w:val="clear" w:color="auto" w:fill="CEFFE7"/>
          </w:tcPr>
          <w:p>
            <w:pPr>
              <w:spacing w:after="0"/>
              <w:rPr>
                <w:sz w:val="18"/>
                <w:szCs w:val="18"/>
                <w:color w:val="auto"/>
              </w:rPr>
            </w:pPr>
          </w:p>
        </w:tc>
        <w:tc>
          <w:tcPr>
            <w:tcW w:w="8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EFFE7"/>
          </w:tcPr>
          <w:p>
            <w:pPr>
              <w:spacing w:after="0"/>
              <w:rPr>
                <w:sz w:val="18"/>
                <w:szCs w:val="18"/>
                <w:color w:val="auto"/>
              </w:rPr>
            </w:pPr>
          </w:p>
        </w:tc>
        <w:tc>
          <w:tcPr>
            <w:tcW w:w="8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(4,413)</w:t>
            </w:r>
          </w:p>
        </w:tc>
        <w:tc>
          <w:tcPr>
            <w:tcW w:w="240" w:type="dxa"/>
            <w:vAlign w:val="bottom"/>
            <w:tcBorders>
              <w:bottom w:val="single" w:sz="8" w:color="auto"/>
            </w:tcBorders>
            <w:shd w:val="clear" w:color="auto" w:fill="CEFFE7"/>
          </w:tcPr>
          <w:p>
            <w:pPr>
              <w:spacing w:after="0"/>
              <w:rPr>
                <w:sz w:val="18"/>
                <w:szCs w:val="18"/>
                <w:color w:val="auto"/>
              </w:rPr>
            </w:pPr>
          </w:p>
        </w:tc>
        <w:tc>
          <w:tcPr>
            <w:tcW w:w="8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23,016</w:t>
            </w:r>
          </w:p>
        </w:tc>
      </w:tr>
      <w:tr>
        <w:trPr>
          <w:trHeight w:val="210"/>
        </w:trPr>
        <w:tc>
          <w:tcPr>
            <w:tcW w:w="20" w:type="dxa"/>
            <w:vAlign w:val="bottom"/>
          </w:tcPr>
          <w:p>
            <w:pPr>
              <w:spacing w:after="0"/>
              <w:rPr>
                <w:sz w:val="18"/>
                <w:szCs w:val="18"/>
                <w:color w:val="auto"/>
              </w:rPr>
            </w:pPr>
          </w:p>
        </w:tc>
        <w:tc>
          <w:tcPr>
            <w:tcW w:w="4920" w:type="dxa"/>
            <w:vAlign w:val="bottom"/>
            <w:gridSpan w:val="3"/>
          </w:tcPr>
          <w:p>
            <w:pPr>
              <w:ind w:left="120"/>
              <w:spacing w:after="0"/>
              <w:rPr>
                <w:sz w:val="20"/>
                <w:szCs w:val="20"/>
                <w:color w:val="auto"/>
              </w:rPr>
            </w:pPr>
            <w:r>
              <w:rPr>
                <w:rFonts w:ascii="Arial" w:cs="Arial" w:eastAsia="Arial" w:hAnsi="Arial"/>
                <w:sz w:val="16"/>
                <w:szCs w:val="16"/>
                <w:color w:val="auto"/>
              </w:rPr>
              <w:t>Revenue from contracts with customers</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173,916</w:t>
            </w:r>
          </w:p>
        </w:tc>
        <w:tc>
          <w:tcPr>
            <w:tcW w:w="2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355,065</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25,467</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14,403</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(38,642)</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530,209</w:t>
            </w:r>
          </w:p>
        </w:tc>
      </w:tr>
      <w:tr>
        <w:trPr>
          <w:trHeight w:val="216"/>
        </w:trPr>
        <w:tc>
          <w:tcPr>
            <w:tcW w:w="20" w:type="dxa"/>
            <w:vAlign w:val="bottom"/>
            <w:shd w:val="clear" w:color="auto" w:fill="CEFFE7"/>
          </w:tcPr>
          <w:p>
            <w:pPr>
              <w:spacing w:after="0"/>
              <w:rPr>
                <w:sz w:val="18"/>
                <w:szCs w:val="18"/>
                <w:color w:val="auto"/>
              </w:rPr>
            </w:pPr>
          </w:p>
        </w:tc>
        <w:tc>
          <w:tcPr>
            <w:tcW w:w="4920" w:type="dxa"/>
            <w:vAlign w:val="bottom"/>
            <w:gridSpan w:val="3"/>
            <w:shd w:val="clear" w:color="auto" w:fill="CEFFE7"/>
          </w:tcPr>
          <w:p>
            <w:pPr>
              <w:ind w:left="120"/>
              <w:spacing w:after="0"/>
              <w:rPr>
                <w:sz w:val="20"/>
                <w:szCs w:val="20"/>
                <w:color w:val="auto"/>
              </w:rPr>
            </w:pPr>
            <w:r>
              <w:rPr>
                <w:rFonts w:ascii="Arial" w:cs="Arial" w:eastAsia="Arial" w:hAnsi="Arial"/>
                <w:sz w:val="16"/>
                <w:szCs w:val="16"/>
                <w:color w:val="auto"/>
              </w:rPr>
              <w:t>Other revenues</w:t>
            </w:r>
          </w:p>
        </w:tc>
        <w:tc>
          <w:tcPr>
            <w:tcW w:w="180" w:type="dxa"/>
            <w:vAlign w:val="bottom"/>
            <w:tcBorders>
              <w:bottom w:val="single" w:sz="8" w:color="auto"/>
            </w:tcBorders>
            <w:shd w:val="clear" w:color="auto" w:fill="CEFFE7"/>
          </w:tcPr>
          <w:p>
            <w:pPr>
              <w:spacing w:after="0"/>
              <w:rPr>
                <w:sz w:val="18"/>
                <w:szCs w:val="18"/>
                <w:color w:val="auto"/>
              </w:rPr>
            </w:pPr>
          </w:p>
        </w:tc>
        <w:tc>
          <w:tcPr>
            <w:tcW w:w="8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223</w:t>
            </w:r>
          </w:p>
        </w:tc>
        <w:tc>
          <w:tcPr>
            <w:tcW w:w="280" w:type="dxa"/>
            <w:vAlign w:val="bottom"/>
            <w:tcBorders>
              <w:bottom w:val="single" w:sz="8" w:color="auto"/>
            </w:tcBorders>
            <w:shd w:val="clear" w:color="auto" w:fill="CEFFE7"/>
          </w:tcPr>
          <w:p>
            <w:pPr>
              <w:spacing w:after="0"/>
              <w:rPr>
                <w:sz w:val="18"/>
                <w:szCs w:val="18"/>
                <w:color w:val="auto"/>
              </w:rPr>
            </w:pPr>
          </w:p>
        </w:tc>
        <w:tc>
          <w:tcPr>
            <w:tcW w:w="7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5,708</w:t>
            </w:r>
          </w:p>
        </w:tc>
        <w:tc>
          <w:tcPr>
            <w:tcW w:w="160" w:type="dxa"/>
            <w:vAlign w:val="bottom"/>
            <w:tcBorders>
              <w:bottom w:val="single" w:sz="8" w:color="auto"/>
            </w:tcBorders>
            <w:shd w:val="clear" w:color="auto" w:fill="CEFFE7"/>
          </w:tcPr>
          <w:p>
            <w:pPr>
              <w:spacing w:after="0"/>
              <w:rPr>
                <w:sz w:val="18"/>
                <w:szCs w:val="18"/>
                <w:color w:val="auto"/>
              </w:rPr>
            </w:pPr>
          </w:p>
        </w:tc>
        <w:tc>
          <w:tcPr>
            <w:tcW w:w="10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499</w:t>
            </w:r>
          </w:p>
        </w:tc>
        <w:tc>
          <w:tcPr>
            <w:tcW w:w="220" w:type="dxa"/>
            <w:vAlign w:val="bottom"/>
            <w:tcBorders>
              <w:bottom w:val="single" w:sz="8" w:color="auto"/>
            </w:tcBorders>
            <w:shd w:val="clear" w:color="auto" w:fill="CEFFE7"/>
          </w:tcPr>
          <w:p>
            <w:pPr>
              <w:spacing w:after="0"/>
              <w:rPr>
                <w:sz w:val="18"/>
                <w:szCs w:val="18"/>
                <w:color w:val="auto"/>
              </w:rPr>
            </w:pPr>
          </w:p>
        </w:tc>
        <w:tc>
          <w:tcPr>
            <w:tcW w:w="8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802</w:t>
            </w:r>
          </w:p>
        </w:tc>
        <w:tc>
          <w:tcPr>
            <w:tcW w:w="160" w:type="dxa"/>
            <w:vAlign w:val="bottom"/>
            <w:tcBorders>
              <w:bottom w:val="single" w:sz="8" w:color="auto"/>
            </w:tcBorders>
            <w:shd w:val="clear" w:color="auto" w:fill="CEFFE7"/>
          </w:tcPr>
          <w:p>
            <w:pPr>
              <w:spacing w:after="0"/>
              <w:rPr>
                <w:sz w:val="18"/>
                <w:szCs w:val="18"/>
                <w:color w:val="auto"/>
              </w:rPr>
            </w:pPr>
          </w:p>
        </w:tc>
        <w:tc>
          <w:tcPr>
            <w:tcW w:w="8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(391)</w:t>
            </w:r>
          </w:p>
        </w:tc>
        <w:tc>
          <w:tcPr>
            <w:tcW w:w="240" w:type="dxa"/>
            <w:vAlign w:val="bottom"/>
            <w:tcBorders>
              <w:bottom w:val="single" w:sz="8" w:color="auto"/>
            </w:tcBorders>
            <w:shd w:val="clear" w:color="auto" w:fill="CEFFE7"/>
          </w:tcPr>
          <w:p>
            <w:pPr>
              <w:spacing w:after="0"/>
              <w:rPr>
                <w:sz w:val="18"/>
                <w:szCs w:val="18"/>
                <w:color w:val="auto"/>
              </w:rPr>
            </w:pPr>
          </w:p>
        </w:tc>
        <w:tc>
          <w:tcPr>
            <w:tcW w:w="8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6,841</w:t>
            </w:r>
          </w:p>
        </w:tc>
      </w:tr>
      <w:tr>
        <w:trPr>
          <w:trHeight w:val="212"/>
        </w:trPr>
        <w:tc>
          <w:tcPr>
            <w:tcW w:w="20" w:type="dxa"/>
            <w:vAlign w:val="bottom"/>
          </w:tcPr>
          <w:p>
            <w:pPr>
              <w:spacing w:after="0"/>
              <w:rPr>
                <w:sz w:val="18"/>
                <w:szCs w:val="18"/>
                <w:color w:val="auto"/>
              </w:rPr>
            </w:pPr>
          </w:p>
        </w:tc>
        <w:tc>
          <w:tcPr>
            <w:tcW w:w="4920" w:type="dxa"/>
            <w:vAlign w:val="bottom"/>
            <w:gridSpan w:val="3"/>
          </w:tcPr>
          <w:p>
            <w:pPr>
              <w:spacing w:after="0"/>
              <w:rPr>
                <w:sz w:val="20"/>
                <w:szCs w:val="20"/>
                <w:color w:val="auto"/>
              </w:rPr>
            </w:pPr>
            <w:r>
              <w:rPr>
                <w:rFonts w:ascii="Arial" w:cs="Arial" w:eastAsia="Arial" w:hAnsi="Arial"/>
                <w:sz w:val="16"/>
                <w:szCs w:val="16"/>
                <w:color w:val="auto"/>
              </w:rPr>
              <w:t>Total Revenues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174,139</w:t>
            </w:r>
          </w:p>
        </w:tc>
        <w:tc>
          <w:tcPr>
            <w:tcW w:w="2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360,773</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25,966</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15,205</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(39,033)</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537,050</w:t>
            </w:r>
          </w:p>
        </w:tc>
      </w:tr>
      <w:tr>
        <w:trPr>
          <w:trHeight w:val="20"/>
        </w:trPr>
        <w:tc>
          <w:tcPr>
            <w:tcW w:w="20" w:type="dxa"/>
            <w:vAlign w:val="bottom"/>
            <w:tcBorders>
              <w:bottom w:val="single" w:sz="8" w:color="CEFFE7"/>
            </w:tcBorders>
          </w:tcPr>
          <w:p>
            <w:pPr>
              <w:spacing w:after="0" w:line="20" w:lineRule="exact"/>
              <w:rPr>
                <w:sz w:val="1"/>
                <w:szCs w:val="1"/>
                <w:color w:val="auto"/>
              </w:rPr>
            </w:pPr>
          </w:p>
        </w:tc>
        <w:tc>
          <w:tcPr>
            <w:tcW w:w="1240" w:type="dxa"/>
            <w:vAlign w:val="bottom"/>
            <w:tcBorders>
              <w:bottom w:val="single" w:sz="8" w:color="CEFFE7"/>
            </w:tcBorders>
          </w:tcPr>
          <w:p>
            <w:pPr>
              <w:spacing w:after="0" w:line="20" w:lineRule="exact"/>
              <w:rPr>
                <w:sz w:val="1"/>
                <w:szCs w:val="1"/>
                <w:color w:val="auto"/>
              </w:rPr>
            </w:pPr>
          </w:p>
        </w:tc>
        <w:tc>
          <w:tcPr>
            <w:tcW w:w="1060" w:type="dxa"/>
            <w:vAlign w:val="bottom"/>
            <w:tcBorders>
              <w:bottom w:val="single" w:sz="8" w:color="CEFFE7"/>
            </w:tcBorders>
          </w:tcPr>
          <w:p>
            <w:pPr>
              <w:spacing w:after="0" w:line="20" w:lineRule="exact"/>
              <w:rPr>
                <w:sz w:val="1"/>
                <w:szCs w:val="1"/>
                <w:color w:val="auto"/>
              </w:rPr>
            </w:pPr>
          </w:p>
        </w:tc>
        <w:tc>
          <w:tcPr>
            <w:tcW w:w="2620" w:type="dxa"/>
            <w:vAlign w:val="bottom"/>
            <w:tcBorders>
              <w:bottom w:val="single" w:sz="8" w:color="CEFFE7"/>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16"/>
        </w:trPr>
        <w:tc>
          <w:tcPr>
            <w:tcW w:w="20" w:type="dxa"/>
            <w:vAlign w:val="bottom"/>
            <w:shd w:val="clear" w:color="auto" w:fill="CEFFE7"/>
          </w:tcPr>
          <w:p>
            <w:pPr>
              <w:spacing w:after="0"/>
              <w:rPr>
                <w:sz w:val="10"/>
                <w:szCs w:val="10"/>
                <w:color w:val="auto"/>
              </w:rPr>
            </w:pPr>
          </w:p>
        </w:tc>
        <w:tc>
          <w:tcPr>
            <w:tcW w:w="1240" w:type="dxa"/>
            <w:vAlign w:val="bottom"/>
            <w:shd w:val="clear" w:color="auto" w:fill="CEFFE7"/>
          </w:tcPr>
          <w:p>
            <w:pPr>
              <w:spacing w:after="0"/>
              <w:rPr>
                <w:sz w:val="10"/>
                <w:szCs w:val="10"/>
                <w:color w:val="auto"/>
              </w:rPr>
            </w:pPr>
          </w:p>
        </w:tc>
        <w:tc>
          <w:tcPr>
            <w:tcW w:w="1060" w:type="dxa"/>
            <w:vAlign w:val="bottom"/>
            <w:shd w:val="clear" w:color="auto" w:fill="CEFFE7"/>
          </w:tcPr>
          <w:p>
            <w:pPr>
              <w:spacing w:after="0"/>
              <w:rPr>
                <w:sz w:val="10"/>
                <w:szCs w:val="10"/>
                <w:color w:val="auto"/>
              </w:rPr>
            </w:pPr>
          </w:p>
        </w:tc>
        <w:tc>
          <w:tcPr>
            <w:tcW w:w="2620" w:type="dxa"/>
            <w:vAlign w:val="bottom"/>
            <w:shd w:val="clear" w:color="auto" w:fill="CEFFE7"/>
          </w:tcPr>
          <w:p>
            <w:pPr>
              <w:spacing w:after="0"/>
              <w:rPr>
                <w:sz w:val="10"/>
                <w:szCs w:val="10"/>
                <w:color w:val="auto"/>
              </w:rPr>
            </w:pPr>
          </w:p>
        </w:tc>
        <w:tc>
          <w:tcPr>
            <w:tcW w:w="180" w:type="dxa"/>
            <w:vAlign w:val="bottom"/>
            <w:shd w:val="clear" w:color="auto" w:fill="CEFFE7"/>
          </w:tcPr>
          <w:p>
            <w:pPr>
              <w:spacing w:after="0"/>
              <w:rPr>
                <w:sz w:val="10"/>
                <w:szCs w:val="10"/>
                <w:color w:val="auto"/>
              </w:rPr>
            </w:pPr>
          </w:p>
        </w:tc>
        <w:tc>
          <w:tcPr>
            <w:tcW w:w="820" w:type="dxa"/>
            <w:vAlign w:val="bottom"/>
            <w:shd w:val="clear" w:color="auto" w:fill="CEFFE7"/>
          </w:tcPr>
          <w:p>
            <w:pPr>
              <w:spacing w:after="0"/>
              <w:rPr>
                <w:sz w:val="10"/>
                <w:szCs w:val="10"/>
                <w:color w:val="auto"/>
              </w:rPr>
            </w:pPr>
          </w:p>
        </w:tc>
        <w:tc>
          <w:tcPr>
            <w:tcW w:w="280" w:type="dxa"/>
            <w:vAlign w:val="bottom"/>
            <w:shd w:val="clear" w:color="auto" w:fill="CEFFE7"/>
          </w:tcPr>
          <w:p>
            <w:pPr>
              <w:spacing w:after="0"/>
              <w:rPr>
                <w:sz w:val="10"/>
                <w:szCs w:val="10"/>
                <w:color w:val="auto"/>
              </w:rPr>
            </w:pPr>
          </w:p>
        </w:tc>
        <w:tc>
          <w:tcPr>
            <w:tcW w:w="760" w:type="dxa"/>
            <w:vAlign w:val="bottom"/>
            <w:shd w:val="clear" w:color="auto" w:fill="CEFFE7"/>
          </w:tcPr>
          <w:p>
            <w:pPr>
              <w:spacing w:after="0"/>
              <w:rPr>
                <w:sz w:val="10"/>
                <w:szCs w:val="10"/>
                <w:color w:val="auto"/>
              </w:rPr>
            </w:pPr>
          </w:p>
        </w:tc>
        <w:tc>
          <w:tcPr>
            <w:tcW w:w="160" w:type="dxa"/>
            <w:vAlign w:val="bottom"/>
            <w:shd w:val="clear" w:color="auto" w:fill="CEFFE7"/>
          </w:tcPr>
          <w:p>
            <w:pPr>
              <w:spacing w:after="0"/>
              <w:rPr>
                <w:sz w:val="10"/>
                <w:szCs w:val="10"/>
                <w:color w:val="auto"/>
              </w:rPr>
            </w:pPr>
          </w:p>
        </w:tc>
        <w:tc>
          <w:tcPr>
            <w:tcW w:w="1000" w:type="dxa"/>
            <w:vAlign w:val="bottom"/>
            <w:shd w:val="clear" w:color="auto" w:fill="CEFFE7"/>
          </w:tcPr>
          <w:p>
            <w:pPr>
              <w:spacing w:after="0"/>
              <w:rPr>
                <w:sz w:val="10"/>
                <w:szCs w:val="10"/>
                <w:color w:val="auto"/>
              </w:rPr>
            </w:pPr>
          </w:p>
        </w:tc>
        <w:tc>
          <w:tcPr>
            <w:tcW w:w="220" w:type="dxa"/>
            <w:vAlign w:val="bottom"/>
            <w:shd w:val="clear" w:color="auto" w:fill="CEFFE7"/>
          </w:tcPr>
          <w:p>
            <w:pPr>
              <w:spacing w:after="0"/>
              <w:rPr>
                <w:sz w:val="10"/>
                <w:szCs w:val="10"/>
                <w:color w:val="auto"/>
              </w:rPr>
            </w:pPr>
          </w:p>
        </w:tc>
        <w:tc>
          <w:tcPr>
            <w:tcW w:w="800" w:type="dxa"/>
            <w:vAlign w:val="bottom"/>
            <w:shd w:val="clear" w:color="auto" w:fill="CEFFE7"/>
          </w:tcPr>
          <w:p>
            <w:pPr>
              <w:spacing w:after="0"/>
              <w:rPr>
                <w:sz w:val="10"/>
                <w:szCs w:val="10"/>
                <w:color w:val="auto"/>
              </w:rPr>
            </w:pPr>
          </w:p>
        </w:tc>
        <w:tc>
          <w:tcPr>
            <w:tcW w:w="160" w:type="dxa"/>
            <w:vAlign w:val="bottom"/>
            <w:shd w:val="clear" w:color="auto" w:fill="CEFFE7"/>
          </w:tcPr>
          <w:p>
            <w:pPr>
              <w:spacing w:after="0"/>
              <w:rPr>
                <w:sz w:val="10"/>
                <w:szCs w:val="10"/>
                <w:color w:val="auto"/>
              </w:rPr>
            </w:pPr>
          </w:p>
        </w:tc>
        <w:tc>
          <w:tcPr>
            <w:tcW w:w="880" w:type="dxa"/>
            <w:vAlign w:val="bottom"/>
            <w:shd w:val="clear" w:color="auto" w:fill="CEFFE7"/>
          </w:tcPr>
          <w:p>
            <w:pPr>
              <w:spacing w:after="0"/>
              <w:rPr>
                <w:sz w:val="10"/>
                <w:szCs w:val="10"/>
                <w:color w:val="auto"/>
              </w:rPr>
            </w:pPr>
          </w:p>
        </w:tc>
        <w:tc>
          <w:tcPr>
            <w:tcW w:w="240" w:type="dxa"/>
            <w:vAlign w:val="bottom"/>
            <w:shd w:val="clear" w:color="auto" w:fill="CEFFE7"/>
          </w:tcPr>
          <w:p>
            <w:pPr>
              <w:spacing w:after="0"/>
              <w:rPr>
                <w:sz w:val="10"/>
                <w:szCs w:val="10"/>
                <w:color w:val="auto"/>
              </w:rPr>
            </w:pPr>
          </w:p>
        </w:tc>
        <w:tc>
          <w:tcPr>
            <w:tcW w:w="800" w:type="dxa"/>
            <w:vAlign w:val="bottom"/>
            <w:shd w:val="clear" w:color="auto" w:fill="CEFFE7"/>
          </w:tcPr>
          <w:p>
            <w:pPr>
              <w:spacing w:after="0"/>
              <w:rPr>
                <w:sz w:val="10"/>
                <w:szCs w:val="10"/>
                <w:color w:val="auto"/>
              </w:rPr>
            </w:pPr>
          </w:p>
        </w:tc>
      </w:tr>
      <w:tr>
        <w:trPr>
          <w:trHeight w:val="175"/>
        </w:trPr>
        <w:tc>
          <w:tcPr>
            <w:tcW w:w="20" w:type="dxa"/>
            <w:vAlign w:val="bottom"/>
          </w:tcPr>
          <w:p>
            <w:pPr>
              <w:spacing w:after="0"/>
              <w:rPr>
                <w:sz w:val="15"/>
                <w:szCs w:val="15"/>
                <w:color w:val="auto"/>
              </w:rPr>
            </w:pPr>
          </w:p>
        </w:tc>
        <w:tc>
          <w:tcPr>
            <w:tcW w:w="4920" w:type="dxa"/>
            <w:vAlign w:val="bottom"/>
            <w:gridSpan w:val="3"/>
          </w:tcPr>
          <w:p>
            <w:pPr>
              <w:spacing w:after="0" w:line="175" w:lineRule="exact"/>
              <w:rPr>
                <w:sz w:val="20"/>
                <w:szCs w:val="20"/>
                <w:color w:val="auto"/>
              </w:rPr>
            </w:pPr>
            <w:r>
              <w:rPr>
                <w:rFonts w:ascii="Arial" w:cs="Arial" w:eastAsia="Arial" w:hAnsi="Arial"/>
                <w:sz w:val="16"/>
                <w:szCs w:val="16"/>
                <w:color w:val="auto"/>
              </w:rPr>
              <w:t>Timing of Revenue Recognition:</w:t>
            </w: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tcBorders>
              <w:top w:val="single" w:sz="8" w:color="auto"/>
            </w:tcBorders>
          </w:tcPr>
          <w:p>
            <w:pPr>
              <w:spacing w:after="0" w:line="20" w:lineRule="exact"/>
              <w:rPr>
                <w:sz w:val="1"/>
                <w:szCs w:val="1"/>
                <w:color w:val="auto"/>
              </w:rPr>
            </w:pPr>
          </w:p>
        </w:tc>
        <w:tc>
          <w:tcPr>
            <w:tcW w:w="1060" w:type="dxa"/>
            <w:vAlign w:val="bottom"/>
            <w:tcBorders>
              <w:top w:val="single" w:sz="8" w:color="auto"/>
            </w:tcBorders>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16"/>
        </w:trPr>
        <w:tc>
          <w:tcPr>
            <w:tcW w:w="20" w:type="dxa"/>
            <w:vAlign w:val="bottom"/>
            <w:shd w:val="clear" w:color="auto" w:fill="CEFFE7"/>
          </w:tcPr>
          <w:p>
            <w:pPr>
              <w:spacing w:after="0"/>
              <w:rPr>
                <w:sz w:val="18"/>
                <w:szCs w:val="18"/>
                <w:color w:val="auto"/>
              </w:rPr>
            </w:pPr>
          </w:p>
        </w:tc>
        <w:tc>
          <w:tcPr>
            <w:tcW w:w="4920" w:type="dxa"/>
            <w:vAlign w:val="bottom"/>
            <w:gridSpan w:val="3"/>
            <w:shd w:val="clear" w:color="auto" w:fill="CEFFE7"/>
          </w:tcPr>
          <w:p>
            <w:pPr>
              <w:ind w:left="120"/>
              <w:spacing w:after="0"/>
              <w:rPr>
                <w:sz w:val="20"/>
                <w:szCs w:val="20"/>
                <w:color w:val="auto"/>
              </w:rPr>
            </w:pPr>
            <w:r>
              <w:rPr>
                <w:rFonts w:ascii="Arial" w:cs="Arial" w:eastAsia="Arial" w:hAnsi="Arial"/>
                <w:sz w:val="16"/>
                <w:szCs w:val="16"/>
                <w:color w:val="auto"/>
              </w:rPr>
              <w:t>Services transferred at a point in time</w:t>
            </w:r>
          </w:p>
        </w:tc>
        <w:tc>
          <w:tcPr>
            <w:tcW w:w="1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EFFE7"/>
          </w:tcPr>
          <w:p>
            <w:pPr>
              <w:jc w:val="right"/>
              <w:ind w:right="59"/>
              <w:spacing w:after="0"/>
              <w:rPr>
                <w:sz w:val="20"/>
                <w:szCs w:val="20"/>
                <w:color w:val="auto"/>
              </w:rPr>
            </w:pPr>
            <w:r>
              <w:rPr>
                <w:rFonts w:ascii="Arial" w:cs="Arial" w:eastAsia="Arial" w:hAnsi="Arial"/>
                <w:sz w:val="16"/>
                <w:szCs w:val="16"/>
                <w:color w:val="auto"/>
              </w:rPr>
              <w:t>$</w:t>
            </w:r>
          </w:p>
        </w:tc>
        <w:tc>
          <w:tcPr>
            <w:tcW w:w="7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14,403</w:t>
            </w:r>
          </w:p>
        </w:tc>
        <w:tc>
          <w:tcPr>
            <w:tcW w:w="1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(7,839)</w:t>
            </w:r>
          </w:p>
        </w:tc>
        <w:tc>
          <w:tcPr>
            <w:tcW w:w="240" w:type="dxa"/>
            <w:vAlign w:val="bottom"/>
            <w:shd w:val="clear" w:color="auto" w:fill="CEFFE7"/>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6,564</w:t>
            </w:r>
          </w:p>
        </w:tc>
      </w:tr>
      <w:tr>
        <w:trPr>
          <w:trHeight w:val="213"/>
        </w:trPr>
        <w:tc>
          <w:tcPr>
            <w:tcW w:w="20" w:type="dxa"/>
            <w:vAlign w:val="bottom"/>
            <w:tcBorders>
              <w:bottom w:val="single" w:sz="8" w:color="CEFFE7"/>
            </w:tcBorders>
          </w:tcPr>
          <w:p>
            <w:pPr>
              <w:spacing w:after="0"/>
              <w:rPr>
                <w:sz w:val="18"/>
                <w:szCs w:val="18"/>
                <w:color w:val="auto"/>
              </w:rPr>
            </w:pPr>
          </w:p>
        </w:tc>
        <w:tc>
          <w:tcPr>
            <w:tcW w:w="4920" w:type="dxa"/>
            <w:vAlign w:val="bottom"/>
            <w:tcBorders>
              <w:bottom w:val="single" w:sz="8" w:color="CEFFE7"/>
            </w:tcBorders>
            <w:gridSpan w:val="3"/>
          </w:tcPr>
          <w:p>
            <w:pPr>
              <w:ind w:left="120"/>
              <w:spacing w:after="0"/>
              <w:rPr>
                <w:sz w:val="20"/>
                <w:szCs w:val="20"/>
                <w:color w:val="auto"/>
              </w:rPr>
            </w:pPr>
            <w:r>
              <w:rPr>
                <w:rFonts w:ascii="Arial" w:cs="Arial" w:eastAsia="Arial" w:hAnsi="Arial"/>
                <w:sz w:val="16"/>
                <w:szCs w:val="16"/>
                <w:color w:val="auto"/>
              </w:rPr>
              <w:t>Services transferred over time</w:t>
            </w: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173,916</w:t>
            </w:r>
          </w:p>
        </w:tc>
        <w:tc>
          <w:tcPr>
            <w:tcW w:w="2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355,065</w:t>
            </w: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25,467</w:t>
            </w: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(30,803)</w:t>
            </w: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523,645</w:t>
            </w:r>
          </w:p>
        </w:tc>
      </w:tr>
      <w:tr>
        <w:trPr>
          <w:trHeight w:val="238"/>
        </w:trPr>
        <w:tc>
          <w:tcPr>
            <w:tcW w:w="20" w:type="dxa"/>
            <w:vAlign w:val="bottom"/>
            <w:tcBorders>
              <w:bottom w:val="single" w:sz="8" w:color="CEFFE7"/>
            </w:tcBorders>
            <w:shd w:val="clear" w:color="auto" w:fill="CEFFE7"/>
          </w:tcPr>
          <w:p>
            <w:pPr>
              <w:spacing w:after="0"/>
              <w:rPr>
                <w:sz w:val="20"/>
                <w:szCs w:val="20"/>
                <w:color w:val="auto"/>
              </w:rPr>
            </w:pPr>
          </w:p>
        </w:tc>
        <w:tc>
          <w:tcPr>
            <w:tcW w:w="4920" w:type="dxa"/>
            <w:vAlign w:val="bottom"/>
            <w:tcBorders>
              <w:bottom w:val="single" w:sz="8" w:color="CEFFE7"/>
            </w:tcBorders>
            <w:gridSpan w:val="3"/>
            <w:shd w:val="clear" w:color="auto" w:fill="CEFFE7"/>
          </w:tcPr>
          <w:p>
            <w:pPr>
              <w:ind w:left="120"/>
              <w:spacing w:after="0"/>
              <w:rPr>
                <w:sz w:val="20"/>
                <w:szCs w:val="20"/>
                <w:color w:val="auto"/>
              </w:rPr>
            </w:pPr>
            <w:r>
              <w:rPr>
                <w:rFonts w:ascii="Arial" w:cs="Arial" w:eastAsia="Arial" w:hAnsi="Arial"/>
                <w:sz w:val="16"/>
                <w:szCs w:val="16"/>
                <w:color w:val="auto"/>
              </w:rPr>
              <w:t>Revenue from contracts with customers</w:t>
            </w:r>
          </w:p>
        </w:tc>
        <w:tc>
          <w:tcPr>
            <w:tcW w:w="1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173,916</w:t>
            </w:r>
          </w:p>
        </w:tc>
        <w:tc>
          <w:tcPr>
            <w:tcW w:w="280" w:type="dxa"/>
            <w:vAlign w:val="bottom"/>
            <w:tcBorders>
              <w:bottom w:val="single" w:sz="8" w:color="auto"/>
            </w:tcBorders>
            <w:shd w:val="clear" w:color="auto" w:fill="CEFFE7"/>
          </w:tcPr>
          <w:p>
            <w:pPr>
              <w:jc w:val="right"/>
              <w:ind w:right="5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355,065</w:t>
            </w:r>
          </w:p>
        </w:tc>
        <w:tc>
          <w:tcPr>
            <w:tcW w:w="1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25,467</w:t>
            </w:r>
          </w:p>
        </w:tc>
        <w:tc>
          <w:tcPr>
            <w:tcW w:w="2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14,403</w:t>
            </w:r>
          </w:p>
        </w:tc>
        <w:tc>
          <w:tcPr>
            <w:tcW w:w="1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(38,642)</w:t>
            </w:r>
          </w:p>
        </w:tc>
        <w:tc>
          <w:tcPr>
            <w:tcW w:w="240" w:type="dxa"/>
            <w:vAlign w:val="bottom"/>
            <w:tcBorders>
              <w:bottom w:val="single" w:sz="8" w:color="auto"/>
            </w:tcBorders>
            <w:shd w:val="clear" w:color="auto" w:fill="CEFFE7"/>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530,209</w:t>
            </w:r>
          </w:p>
        </w:tc>
      </w:tr>
      <w:tr>
        <w:trPr>
          <w:trHeight w:val="20"/>
        </w:trPr>
        <w:tc>
          <w:tcPr>
            <w:tcW w:w="20" w:type="dxa"/>
            <w:vAlign w:val="bottom"/>
            <w:tcBorders>
              <w:top w:val="single" w:sz="8" w:color="CEFFE7"/>
            </w:tcBorders>
          </w:tcPr>
          <w:p>
            <w:pPr>
              <w:spacing w:after="0" w:line="20" w:lineRule="exact"/>
              <w:rPr>
                <w:sz w:val="1"/>
                <w:szCs w:val="1"/>
                <w:color w:val="auto"/>
              </w:rPr>
            </w:pPr>
          </w:p>
        </w:tc>
        <w:tc>
          <w:tcPr>
            <w:tcW w:w="1240" w:type="dxa"/>
            <w:vAlign w:val="bottom"/>
            <w:tcBorders>
              <w:top w:val="single" w:sz="8" w:color="CEFFE7"/>
            </w:tcBorders>
          </w:tcPr>
          <w:p>
            <w:pPr>
              <w:spacing w:after="0" w:line="20" w:lineRule="exact"/>
              <w:rPr>
                <w:sz w:val="1"/>
                <w:szCs w:val="1"/>
                <w:color w:val="auto"/>
              </w:rPr>
            </w:pPr>
          </w:p>
        </w:tc>
        <w:tc>
          <w:tcPr>
            <w:tcW w:w="1060" w:type="dxa"/>
            <w:vAlign w:val="bottom"/>
            <w:tcBorders>
              <w:top w:val="single" w:sz="8" w:color="CEFFE7"/>
            </w:tcBorders>
          </w:tcPr>
          <w:p>
            <w:pPr>
              <w:spacing w:after="0" w:line="20" w:lineRule="exact"/>
              <w:rPr>
                <w:sz w:val="1"/>
                <w:szCs w:val="1"/>
                <w:color w:val="auto"/>
              </w:rPr>
            </w:pPr>
          </w:p>
        </w:tc>
        <w:tc>
          <w:tcPr>
            <w:tcW w:w="2620" w:type="dxa"/>
            <w:vAlign w:val="bottom"/>
            <w:tcBorders>
              <w:top w:val="single" w:sz="8" w:color="CEFFE7"/>
            </w:tcBorders>
          </w:tcPr>
          <w:p>
            <w:pPr>
              <w:spacing w:after="0" w:line="20" w:lineRule="exact"/>
              <w:rPr>
                <w:sz w:val="1"/>
                <w:szCs w:val="1"/>
                <w:color w:val="auto"/>
              </w:rPr>
            </w:pPr>
          </w:p>
        </w:tc>
        <w:tc>
          <w:tcPr>
            <w:tcW w:w="180" w:type="dxa"/>
            <w:vAlign w:val="bottom"/>
            <w:tcBorders>
              <w:top w:val="single" w:sz="8" w:color="CEFFE7"/>
              <w:bottom w:val="single" w:sz="8" w:color="auto"/>
            </w:tcBorders>
          </w:tcPr>
          <w:p>
            <w:pPr>
              <w:spacing w:after="0" w:line="20" w:lineRule="exact"/>
              <w:rPr>
                <w:sz w:val="1"/>
                <w:szCs w:val="1"/>
                <w:color w:val="auto"/>
              </w:rPr>
            </w:pPr>
          </w:p>
        </w:tc>
        <w:tc>
          <w:tcPr>
            <w:tcW w:w="820" w:type="dxa"/>
            <w:vAlign w:val="bottom"/>
            <w:tcBorders>
              <w:top w:val="single" w:sz="8" w:color="CEFFE7"/>
              <w:bottom w:val="single" w:sz="8" w:color="auto"/>
            </w:tcBorders>
          </w:tcPr>
          <w:p>
            <w:pPr>
              <w:spacing w:after="0" w:line="20" w:lineRule="exact"/>
              <w:rPr>
                <w:sz w:val="1"/>
                <w:szCs w:val="1"/>
                <w:color w:val="auto"/>
              </w:rPr>
            </w:pPr>
          </w:p>
        </w:tc>
        <w:tc>
          <w:tcPr>
            <w:tcW w:w="280" w:type="dxa"/>
            <w:vAlign w:val="bottom"/>
            <w:tcBorders>
              <w:top w:val="single" w:sz="8" w:color="CEFFE7"/>
              <w:bottom w:val="single" w:sz="8" w:color="auto"/>
            </w:tcBorders>
          </w:tcPr>
          <w:p>
            <w:pPr>
              <w:spacing w:after="0" w:line="20" w:lineRule="exact"/>
              <w:rPr>
                <w:sz w:val="1"/>
                <w:szCs w:val="1"/>
                <w:color w:val="auto"/>
              </w:rPr>
            </w:pPr>
          </w:p>
        </w:tc>
        <w:tc>
          <w:tcPr>
            <w:tcW w:w="760" w:type="dxa"/>
            <w:vAlign w:val="bottom"/>
            <w:tcBorders>
              <w:top w:val="single" w:sz="8" w:color="CEFFE7"/>
              <w:bottom w:val="single" w:sz="8" w:color="auto"/>
            </w:tcBorders>
          </w:tcPr>
          <w:p>
            <w:pPr>
              <w:spacing w:after="0" w:line="20" w:lineRule="exact"/>
              <w:rPr>
                <w:sz w:val="1"/>
                <w:szCs w:val="1"/>
                <w:color w:val="auto"/>
              </w:rPr>
            </w:pPr>
          </w:p>
        </w:tc>
        <w:tc>
          <w:tcPr>
            <w:tcW w:w="160" w:type="dxa"/>
            <w:vAlign w:val="bottom"/>
            <w:tcBorders>
              <w:top w:val="single" w:sz="8" w:color="CEFFE7"/>
              <w:bottom w:val="single" w:sz="8" w:color="auto"/>
            </w:tcBorders>
          </w:tcPr>
          <w:p>
            <w:pPr>
              <w:spacing w:after="0" w:line="20" w:lineRule="exact"/>
              <w:rPr>
                <w:sz w:val="1"/>
                <w:szCs w:val="1"/>
                <w:color w:val="auto"/>
              </w:rPr>
            </w:pPr>
          </w:p>
        </w:tc>
        <w:tc>
          <w:tcPr>
            <w:tcW w:w="1000" w:type="dxa"/>
            <w:vAlign w:val="bottom"/>
            <w:tcBorders>
              <w:top w:val="single" w:sz="8" w:color="CEFFE7"/>
              <w:bottom w:val="single" w:sz="8" w:color="auto"/>
            </w:tcBorders>
          </w:tcPr>
          <w:p>
            <w:pPr>
              <w:spacing w:after="0" w:line="20" w:lineRule="exact"/>
              <w:rPr>
                <w:sz w:val="1"/>
                <w:szCs w:val="1"/>
                <w:color w:val="auto"/>
              </w:rPr>
            </w:pPr>
          </w:p>
        </w:tc>
        <w:tc>
          <w:tcPr>
            <w:tcW w:w="220" w:type="dxa"/>
            <w:vAlign w:val="bottom"/>
            <w:tcBorders>
              <w:top w:val="single" w:sz="8" w:color="CEFFE7"/>
              <w:bottom w:val="single" w:sz="8" w:color="auto"/>
            </w:tcBorders>
          </w:tcPr>
          <w:p>
            <w:pPr>
              <w:spacing w:after="0" w:line="20" w:lineRule="exact"/>
              <w:rPr>
                <w:sz w:val="1"/>
                <w:szCs w:val="1"/>
                <w:color w:val="auto"/>
              </w:rPr>
            </w:pPr>
          </w:p>
        </w:tc>
        <w:tc>
          <w:tcPr>
            <w:tcW w:w="800" w:type="dxa"/>
            <w:vAlign w:val="bottom"/>
            <w:tcBorders>
              <w:top w:val="single" w:sz="8" w:color="CEFFE7"/>
              <w:bottom w:val="single" w:sz="8" w:color="auto"/>
            </w:tcBorders>
          </w:tcPr>
          <w:p>
            <w:pPr>
              <w:spacing w:after="0" w:line="20" w:lineRule="exact"/>
              <w:rPr>
                <w:sz w:val="1"/>
                <w:szCs w:val="1"/>
                <w:color w:val="auto"/>
              </w:rPr>
            </w:pPr>
          </w:p>
        </w:tc>
        <w:tc>
          <w:tcPr>
            <w:tcW w:w="160" w:type="dxa"/>
            <w:vAlign w:val="bottom"/>
            <w:tcBorders>
              <w:top w:val="single" w:sz="8" w:color="CEFFE7"/>
              <w:bottom w:val="single" w:sz="8" w:color="auto"/>
            </w:tcBorders>
          </w:tcPr>
          <w:p>
            <w:pPr>
              <w:spacing w:after="0" w:line="20" w:lineRule="exact"/>
              <w:rPr>
                <w:sz w:val="1"/>
                <w:szCs w:val="1"/>
                <w:color w:val="auto"/>
              </w:rPr>
            </w:pPr>
          </w:p>
        </w:tc>
        <w:tc>
          <w:tcPr>
            <w:tcW w:w="880" w:type="dxa"/>
            <w:vAlign w:val="bottom"/>
            <w:tcBorders>
              <w:top w:val="single" w:sz="8" w:color="CEFFE7"/>
              <w:bottom w:val="single" w:sz="8" w:color="auto"/>
            </w:tcBorders>
          </w:tcPr>
          <w:p>
            <w:pPr>
              <w:spacing w:after="0" w:line="20" w:lineRule="exact"/>
              <w:rPr>
                <w:sz w:val="1"/>
                <w:szCs w:val="1"/>
                <w:color w:val="auto"/>
              </w:rPr>
            </w:pPr>
          </w:p>
        </w:tc>
        <w:tc>
          <w:tcPr>
            <w:tcW w:w="240" w:type="dxa"/>
            <w:vAlign w:val="bottom"/>
            <w:tcBorders>
              <w:top w:val="single" w:sz="8" w:color="CEFFE7"/>
              <w:bottom w:val="single" w:sz="8" w:color="auto"/>
            </w:tcBorders>
          </w:tcPr>
          <w:p>
            <w:pPr>
              <w:spacing w:after="0" w:line="20" w:lineRule="exact"/>
              <w:rPr>
                <w:sz w:val="1"/>
                <w:szCs w:val="1"/>
                <w:color w:val="auto"/>
              </w:rPr>
            </w:pPr>
          </w:p>
        </w:tc>
        <w:tc>
          <w:tcPr>
            <w:tcW w:w="800" w:type="dxa"/>
            <w:vAlign w:val="bottom"/>
            <w:tcBorders>
              <w:top w:val="single" w:sz="8" w:color="CEFFE7"/>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Contract Balances</w:t>
      </w:r>
    </w:p>
    <w:p>
      <w:pPr>
        <w:spacing w:after="0" w:line="264" w:lineRule="exact"/>
        <w:rPr>
          <w:sz w:val="20"/>
          <w:szCs w:val="20"/>
          <w:color w:val="auto"/>
        </w:rPr>
      </w:pPr>
    </w:p>
    <w:p>
      <w:pPr>
        <w:ind w:right="40"/>
        <w:spacing w:after="0" w:line="260" w:lineRule="auto"/>
        <w:rPr>
          <w:rFonts w:ascii="Arial" w:cs="Arial" w:eastAsia="Arial" w:hAnsi="Arial"/>
          <w:sz w:val="16"/>
          <w:szCs w:val="16"/>
          <w:color w:val="auto"/>
        </w:rPr>
      </w:pPr>
      <w:r>
        <w:rPr>
          <w:rFonts w:ascii="Arial" w:cs="Arial" w:eastAsia="Arial" w:hAnsi="Arial"/>
          <w:sz w:val="16"/>
          <w:szCs w:val="16"/>
          <w:color w:val="auto"/>
        </w:rPr>
        <w:t xml:space="preserve">The nature of our primary revenue contracts provides an unconditional right to consideration upon service delivery; therefore, no customer contract assets or liabilities exist. The unconditional right to consideration is represented by the balance in our Accounts Receivable further discussed in </w:t>
      </w:r>
      <w:hyperlink w:anchor="page29">
        <w:r>
          <w:rPr>
            <w:rFonts w:ascii="Arial" w:cs="Arial" w:eastAsia="Arial" w:hAnsi="Arial"/>
            <w:sz w:val="16"/>
            <w:szCs w:val="16"/>
            <w:u w:val="single" w:color="auto"/>
            <w:color w:val="0000FF"/>
          </w:rPr>
          <w:t>Note 13</w:t>
        </w:r>
      </w:hyperlink>
      <w:r>
        <w:rPr>
          <w:rFonts w:ascii="Arial" w:cs="Arial" w:eastAsia="Arial" w:hAnsi="Arial"/>
          <w:sz w:val="16"/>
          <w:szCs w:val="16"/>
          <w:color w:val="auto"/>
        </w:rPr>
        <w:t>.</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8" w:name="page19"/>
    <w:bookmarkEnd w:id="18"/>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72" w:lineRule="exact"/>
        <w:rPr>
          <w:sz w:val="20"/>
          <w:szCs w:val="20"/>
          <w:color w:val="auto"/>
        </w:rPr>
      </w:pPr>
    </w:p>
    <w:p>
      <w:pPr>
        <w:ind w:right="10020" w:firstLine="8"/>
        <w:spacing w:after="0" w:line="567" w:lineRule="auto"/>
        <w:tabs>
          <w:tab w:leader="none" w:pos="378" w:val="left"/>
        </w:tabs>
        <w:numPr>
          <w:ilvl w:val="0"/>
          <w:numId w:val="8"/>
        </w:numPr>
        <w:rPr>
          <w:rFonts w:ascii="Arial" w:cs="Arial" w:eastAsia="Arial" w:hAnsi="Arial"/>
          <w:sz w:val="16"/>
          <w:szCs w:val="16"/>
          <w:b w:val="1"/>
          <w:bCs w:val="1"/>
          <w:color w:val="auto"/>
        </w:rPr>
      </w:pPr>
      <w:r>
        <w:rPr>
          <w:rFonts w:ascii="Arial" w:cs="Arial" w:eastAsia="Arial" w:hAnsi="Arial"/>
          <w:sz w:val="16"/>
          <w:szCs w:val="16"/>
          <w:b w:val="1"/>
          <w:bCs w:val="1"/>
          <w:color w:val="auto"/>
        </w:rPr>
        <w:t>Financing Short-term debt</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We had the following Notes payable outstanding in the accompanying Condensed Consolidated Balance Sheets (in thousands) as of:</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54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gridSpan w:val="2"/>
          </w:tcPr>
          <w:p>
            <w:pPr>
              <w:jc w:val="right"/>
              <w:ind w:right="79"/>
              <w:spacing w:after="0"/>
              <w:rPr>
                <w:sz w:val="20"/>
                <w:szCs w:val="20"/>
                <w:color w:val="auto"/>
              </w:rPr>
            </w:pPr>
            <w:r>
              <w:rPr>
                <w:rFonts w:ascii="Arial" w:cs="Arial" w:eastAsia="Arial" w:hAnsi="Arial"/>
                <w:sz w:val="16"/>
                <w:szCs w:val="16"/>
                <w:color w:val="auto"/>
              </w:rPr>
              <w:t>March 31, 2021</w:t>
            </w:r>
          </w:p>
        </w:tc>
        <w:tc>
          <w:tcPr>
            <w:tcW w:w="7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0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December 31, 2020</w:t>
            </w:r>
          </w:p>
        </w:tc>
        <w:tc>
          <w:tcPr>
            <w:tcW w:w="6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5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jc w:val="right"/>
              <w:ind w:right="319"/>
              <w:spacing w:after="0" w:line="174" w:lineRule="exact"/>
              <w:rPr>
                <w:sz w:val="20"/>
                <w:szCs w:val="20"/>
                <w:color w:val="auto"/>
              </w:rPr>
            </w:pPr>
            <w:r>
              <w:rPr>
                <w:rFonts w:ascii="Arial" w:cs="Arial" w:eastAsia="Arial" w:hAnsi="Arial"/>
                <w:sz w:val="16"/>
                <w:szCs w:val="16"/>
                <w:color w:val="auto"/>
              </w:rPr>
              <w:t>Balance</w:t>
            </w:r>
          </w:p>
        </w:tc>
        <w:tc>
          <w:tcPr>
            <w:tcW w:w="1460" w:type="dxa"/>
            <w:vAlign w:val="bottom"/>
            <w:gridSpan w:val="2"/>
            <w:vMerge w:val="restart"/>
          </w:tcPr>
          <w:p>
            <w:pPr>
              <w:jc w:val="right"/>
              <w:spacing w:after="0"/>
              <w:rPr>
                <w:sz w:val="20"/>
                <w:szCs w:val="20"/>
                <w:color w:val="auto"/>
              </w:rPr>
            </w:pPr>
            <w:r>
              <w:rPr>
                <w:rFonts w:ascii="Arial" w:cs="Arial" w:eastAsia="Arial" w:hAnsi="Arial"/>
                <w:sz w:val="16"/>
                <w:szCs w:val="16"/>
                <w:color w:val="auto"/>
              </w:rPr>
              <w:t xml:space="preserve">Letters of Credit </w:t>
            </w:r>
            <w:r>
              <w:rPr>
                <w:rFonts w:ascii="Arial" w:cs="Arial" w:eastAsia="Arial" w:hAnsi="Arial"/>
                <w:sz w:val="21"/>
                <w:szCs w:val="21"/>
                <w:color w:val="auto"/>
                <w:vertAlign w:val="superscript"/>
              </w:rPr>
              <w:t>(a)</w:t>
            </w:r>
          </w:p>
        </w:tc>
        <w:tc>
          <w:tcPr>
            <w:tcW w:w="200" w:type="dxa"/>
            <w:vAlign w:val="bottom"/>
          </w:tcPr>
          <w:p>
            <w:pPr>
              <w:spacing w:after="0"/>
              <w:rPr>
                <w:sz w:val="15"/>
                <w:szCs w:val="15"/>
                <w:color w:val="auto"/>
              </w:rPr>
            </w:pPr>
          </w:p>
        </w:tc>
        <w:tc>
          <w:tcPr>
            <w:tcW w:w="1220" w:type="dxa"/>
            <w:vAlign w:val="bottom"/>
          </w:tcPr>
          <w:p>
            <w:pPr>
              <w:jc w:val="right"/>
              <w:ind w:right="319"/>
              <w:spacing w:after="0" w:line="174" w:lineRule="exact"/>
              <w:rPr>
                <w:sz w:val="20"/>
                <w:szCs w:val="20"/>
                <w:color w:val="auto"/>
              </w:rPr>
            </w:pPr>
            <w:r>
              <w:rPr>
                <w:rFonts w:ascii="Arial" w:cs="Arial" w:eastAsia="Arial" w:hAnsi="Arial"/>
                <w:sz w:val="16"/>
                <w:szCs w:val="16"/>
                <w:color w:val="auto"/>
              </w:rPr>
              <w:t>Balance</w:t>
            </w:r>
          </w:p>
        </w:tc>
        <w:tc>
          <w:tcPr>
            <w:tcW w:w="1480" w:type="dxa"/>
            <w:vAlign w:val="bottom"/>
            <w:gridSpan w:val="2"/>
            <w:vMerge w:val="restart"/>
          </w:tcPr>
          <w:p>
            <w:pPr>
              <w:jc w:val="right"/>
              <w:spacing w:after="0"/>
              <w:rPr>
                <w:sz w:val="20"/>
                <w:szCs w:val="20"/>
                <w:color w:val="auto"/>
              </w:rPr>
            </w:pPr>
            <w:r>
              <w:rPr>
                <w:rFonts w:ascii="Arial" w:cs="Arial" w:eastAsia="Arial" w:hAnsi="Arial"/>
                <w:sz w:val="16"/>
                <w:szCs w:val="16"/>
                <w:color w:val="auto"/>
              </w:rPr>
              <w:t xml:space="preserve">Letters of Credit </w:t>
            </w:r>
            <w:r>
              <w:rPr>
                <w:rFonts w:ascii="Arial" w:cs="Arial" w:eastAsia="Arial" w:hAnsi="Arial"/>
                <w:sz w:val="21"/>
                <w:szCs w:val="21"/>
                <w:color w:val="auto"/>
                <w:vertAlign w:val="superscript"/>
              </w:rPr>
              <w:t>(a)</w:t>
            </w:r>
          </w:p>
        </w:tc>
        <w:tc>
          <w:tcPr>
            <w:tcW w:w="0" w:type="dxa"/>
            <w:vAlign w:val="bottom"/>
          </w:tcPr>
          <w:p>
            <w:pPr>
              <w:spacing w:after="0"/>
              <w:rPr>
                <w:sz w:val="1"/>
                <w:szCs w:val="1"/>
                <w:color w:val="auto"/>
              </w:rPr>
            </w:pPr>
          </w:p>
        </w:tc>
      </w:tr>
      <w:tr>
        <w:trPr>
          <w:trHeight w:val="201"/>
        </w:trPr>
        <w:tc>
          <w:tcPr>
            <w:tcW w:w="5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ind w:right="179"/>
              <w:spacing w:after="0"/>
              <w:rPr>
                <w:sz w:val="20"/>
                <w:szCs w:val="20"/>
                <w:color w:val="auto"/>
              </w:rPr>
            </w:pPr>
            <w:r>
              <w:rPr>
                <w:rFonts w:ascii="Arial" w:cs="Arial" w:eastAsia="Arial" w:hAnsi="Arial"/>
                <w:sz w:val="16"/>
                <w:szCs w:val="16"/>
                <w:color w:val="auto"/>
              </w:rPr>
              <w:t>Outstanding</w:t>
            </w:r>
          </w:p>
        </w:tc>
        <w:tc>
          <w:tcPr>
            <w:tcW w:w="146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ind w:right="159"/>
              <w:spacing w:after="0"/>
              <w:rPr>
                <w:sz w:val="20"/>
                <w:szCs w:val="20"/>
                <w:color w:val="auto"/>
              </w:rPr>
            </w:pPr>
            <w:r>
              <w:rPr>
                <w:rFonts w:ascii="Arial" w:cs="Arial" w:eastAsia="Arial" w:hAnsi="Arial"/>
                <w:sz w:val="16"/>
                <w:szCs w:val="16"/>
                <w:color w:val="auto"/>
              </w:rPr>
              <w:t>Outstanding</w:t>
            </w:r>
          </w:p>
        </w:tc>
        <w:tc>
          <w:tcPr>
            <w:tcW w:w="14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EFFE7"/>
          </w:tcPr>
          <w:p>
            <w:pPr>
              <w:ind w:left="20"/>
              <w:spacing w:after="0"/>
              <w:rPr>
                <w:sz w:val="20"/>
                <w:szCs w:val="20"/>
                <w:color w:val="auto"/>
              </w:rPr>
            </w:pPr>
            <w:r>
              <w:rPr>
                <w:rFonts w:ascii="Arial" w:cs="Arial" w:eastAsia="Arial" w:hAnsi="Arial"/>
                <w:sz w:val="16"/>
                <w:szCs w:val="16"/>
                <w:color w:val="auto"/>
              </w:rPr>
              <w:t>Term Loan</w:t>
            </w:r>
          </w:p>
        </w:tc>
        <w:tc>
          <w:tcPr>
            <w:tcW w:w="2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600,000</w:t>
            </w:r>
          </w:p>
        </w:tc>
        <w:tc>
          <w:tcPr>
            <w:tcW w:w="740" w:type="dxa"/>
            <w:vAlign w:val="bottom"/>
            <w:shd w:val="clear" w:color="auto" w:fill="CEFFE7"/>
          </w:tcPr>
          <w:p>
            <w:pPr>
              <w:jc w:val="right"/>
              <w:ind w:right="519"/>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EFFE7"/>
          </w:tcPr>
          <w:p>
            <w:pPr>
              <w:jc w:val="right"/>
              <w:spacing w:after="0"/>
              <w:rPr>
                <w:sz w:val="20"/>
                <w:szCs w:val="20"/>
                <w:color w:val="auto"/>
              </w:rPr>
            </w:pPr>
            <w:r>
              <w:rPr>
                <w:rFonts w:ascii="Arial" w:cs="Arial" w:eastAsia="Arial" w:hAnsi="Arial"/>
                <w:sz w:val="16"/>
                <w:szCs w:val="16"/>
                <w:color w:val="auto"/>
              </w:rPr>
              <w:t>— $</w:t>
            </w:r>
          </w:p>
        </w:tc>
        <w:tc>
          <w:tcPr>
            <w:tcW w:w="2040" w:type="dxa"/>
            <w:vAlign w:val="bottom"/>
            <w:gridSpan w:val="2"/>
            <w:shd w:val="clear" w:color="auto" w:fill="CEFFE7"/>
          </w:tcPr>
          <w:p>
            <w:pPr>
              <w:jc w:val="right"/>
              <w:ind w:right="599"/>
              <w:spacing w:after="0"/>
              <w:rPr>
                <w:sz w:val="20"/>
                <w:szCs w:val="20"/>
                <w:color w:val="auto"/>
              </w:rPr>
            </w:pPr>
            <w:r>
              <w:rPr>
                <w:rFonts w:ascii="Arial" w:cs="Arial" w:eastAsia="Arial" w:hAnsi="Arial"/>
                <w:sz w:val="16"/>
                <w:szCs w:val="16"/>
                <w:color w:val="auto"/>
              </w:rPr>
              <w:t>— $</w:t>
            </w:r>
          </w:p>
        </w:tc>
        <w:tc>
          <w:tcPr>
            <w:tcW w:w="6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5460" w:type="dxa"/>
            <w:vAlign w:val="bottom"/>
          </w:tcPr>
          <w:p>
            <w:pPr>
              <w:ind w:left="20"/>
              <w:spacing w:after="0"/>
              <w:rPr>
                <w:sz w:val="20"/>
                <w:szCs w:val="20"/>
                <w:color w:val="auto"/>
              </w:rPr>
            </w:pPr>
            <w:r>
              <w:rPr>
                <w:rFonts w:ascii="Arial" w:cs="Arial" w:eastAsia="Arial" w:hAnsi="Arial"/>
                <w:sz w:val="16"/>
                <w:szCs w:val="16"/>
                <w:color w:val="auto"/>
              </w:rPr>
              <w:t>Revolving Credit Facility</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16,629</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24,730</w:t>
            </w:r>
          </w:p>
        </w:tc>
        <w:tc>
          <w:tcPr>
            <w:tcW w:w="0" w:type="dxa"/>
            <w:vAlign w:val="bottom"/>
          </w:tcPr>
          <w:p>
            <w:pPr>
              <w:spacing w:after="0"/>
              <w:rPr>
                <w:sz w:val="1"/>
                <w:szCs w:val="1"/>
                <w:color w:val="auto"/>
              </w:rPr>
            </w:pPr>
          </w:p>
        </w:tc>
      </w:tr>
      <w:tr>
        <w:trPr>
          <w:trHeight w:val="216"/>
        </w:trPr>
        <w:tc>
          <w:tcPr>
            <w:tcW w:w="5460" w:type="dxa"/>
            <w:vAlign w:val="bottom"/>
            <w:shd w:val="clear" w:color="auto" w:fill="CEFFE7"/>
          </w:tcPr>
          <w:p>
            <w:pPr>
              <w:ind w:left="20"/>
              <w:spacing w:after="0"/>
              <w:rPr>
                <w:sz w:val="20"/>
                <w:szCs w:val="20"/>
                <w:color w:val="auto"/>
              </w:rPr>
            </w:pPr>
            <w:r>
              <w:rPr>
                <w:rFonts w:ascii="Arial" w:cs="Arial" w:eastAsia="Arial" w:hAnsi="Arial"/>
                <w:sz w:val="16"/>
                <w:szCs w:val="16"/>
                <w:color w:val="auto"/>
              </w:rPr>
              <w:t>CP Program</w:t>
            </w:r>
          </w:p>
        </w:tc>
        <w:tc>
          <w:tcPr>
            <w:tcW w:w="200" w:type="dxa"/>
            <w:vAlign w:val="bottom"/>
            <w:tcBorders>
              <w:bottom w:val="single" w:sz="8" w:color="auto"/>
            </w:tcBorders>
            <w:shd w:val="clear" w:color="auto" w:fill="CEFFE7"/>
          </w:tcPr>
          <w:p>
            <w:pPr>
              <w:spacing w:after="0"/>
              <w:rPr>
                <w:sz w:val="18"/>
                <w:szCs w:val="18"/>
                <w:color w:val="auto"/>
              </w:rPr>
            </w:pPr>
          </w:p>
        </w:tc>
        <w:tc>
          <w:tcPr>
            <w:tcW w:w="12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215,870</w:t>
            </w:r>
          </w:p>
        </w:tc>
        <w:tc>
          <w:tcPr>
            <w:tcW w:w="740" w:type="dxa"/>
            <w:vAlign w:val="bottom"/>
            <w:tcBorders>
              <w:bottom w:val="single" w:sz="8" w:color="auto"/>
            </w:tcBorders>
            <w:shd w:val="clear" w:color="auto" w:fill="CEFFE7"/>
          </w:tcPr>
          <w:p>
            <w:pPr>
              <w:spacing w:after="0"/>
              <w:rPr>
                <w:sz w:val="18"/>
                <w:szCs w:val="18"/>
                <w:color w:val="auto"/>
              </w:rPr>
            </w:pPr>
          </w:p>
        </w:tc>
        <w:tc>
          <w:tcPr>
            <w:tcW w:w="7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shd w:val="clear" w:color="auto" w:fill="CEFFE7"/>
          </w:tcPr>
          <w:p>
            <w:pPr>
              <w:spacing w:after="0"/>
              <w:rPr>
                <w:sz w:val="18"/>
                <w:szCs w:val="18"/>
                <w:color w:val="auto"/>
              </w:rPr>
            </w:pPr>
          </w:p>
        </w:tc>
        <w:tc>
          <w:tcPr>
            <w:tcW w:w="12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234,040</w:t>
            </w:r>
          </w:p>
        </w:tc>
        <w:tc>
          <w:tcPr>
            <w:tcW w:w="820" w:type="dxa"/>
            <w:vAlign w:val="bottom"/>
            <w:tcBorders>
              <w:bottom w:val="single" w:sz="8" w:color="auto"/>
            </w:tcBorders>
            <w:shd w:val="clear" w:color="auto" w:fill="CEFFE7"/>
          </w:tcPr>
          <w:p>
            <w:pPr>
              <w:spacing w:after="0"/>
              <w:rPr>
                <w:sz w:val="18"/>
                <w:szCs w:val="18"/>
                <w:color w:val="auto"/>
              </w:rPr>
            </w:pPr>
          </w:p>
        </w:tc>
        <w:tc>
          <w:tcPr>
            <w:tcW w:w="6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5460" w:type="dxa"/>
            <w:vAlign w:val="bottom"/>
          </w:tcPr>
          <w:p>
            <w:pPr>
              <w:ind w:left="140"/>
              <w:spacing w:after="0"/>
              <w:rPr>
                <w:sz w:val="20"/>
                <w:szCs w:val="20"/>
                <w:color w:val="auto"/>
              </w:rPr>
            </w:pPr>
            <w:r>
              <w:rPr>
                <w:rFonts w:ascii="Arial" w:cs="Arial" w:eastAsia="Arial" w:hAnsi="Arial"/>
                <w:sz w:val="16"/>
                <w:szCs w:val="16"/>
                <w:color w:val="auto"/>
              </w:rPr>
              <w:t>Total Notes payable</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815,870</w:t>
            </w:r>
          </w:p>
        </w:tc>
        <w:tc>
          <w:tcPr>
            <w:tcW w:w="74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16,629</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234,040</w:t>
            </w:r>
          </w:p>
        </w:tc>
        <w:tc>
          <w:tcPr>
            <w:tcW w:w="82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24,730</w:t>
            </w:r>
          </w:p>
        </w:tc>
        <w:tc>
          <w:tcPr>
            <w:tcW w:w="0" w:type="dxa"/>
            <w:vAlign w:val="bottom"/>
          </w:tcPr>
          <w:p>
            <w:pPr>
              <w:spacing w:after="0"/>
              <w:rPr>
                <w:sz w:val="1"/>
                <w:szCs w:val="1"/>
                <w:color w:val="auto"/>
              </w:rPr>
            </w:pPr>
          </w:p>
        </w:tc>
      </w:tr>
      <w:tr>
        <w:trPr>
          <w:trHeight w:val="21"/>
        </w:trPr>
        <w:tc>
          <w:tcPr>
            <w:tcW w:w="5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(a) Letters of credit are off-balance sheet commitments that reduce the borrowing capacity available on our corporate Revolving Credit Facility.</w:t>
      </w: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Term Loan</w:t>
      </w:r>
    </w:p>
    <w:p>
      <w:pPr>
        <w:spacing w:after="0" w:line="248"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On February 24, 2021, we entered into a nine-month, $800 million unsecured term loan to provide additional liquidity and meet our cash needs related to the incremental fuel, purchased power and natural gas costs from Winter Storm Uri. The term loan, which matures on November 24, 2021, has an interest rate based on LIBOR plus 75 basis points, carries no prepayment penalty and is subject to the same covenant requirements as our Revolving Credit Facility. We repaid $200 million of this term loan in the first quarter of 2021. The interest rate on term loan borrowings on March 31, 2021 was 0.86%.</w:t>
      </w:r>
    </w:p>
    <w:p>
      <w:pPr>
        <w:spacing w:after="0" w:line="229" w:lineRule="exact"/>
        <w:rPr>
          <w:sz w:val="20"/>
          <w:szCs w:val="20"/>
          <w:color w:val="auto"/>
        </w:rPr>
      </w:pPr>
    </w:p>
    <w:p>
      <w:pPr>
        <w:ind w:right="60"/>
        <w:spacing w:after="0" w:line="260" w:lineRule="auto"/>
        <w:rPr>
          <w:sz w:val="20"/>
          <w:szCs w:val="20"/>
          <w:color w:val="auto"/>
        </w:rPr>
      </w:pPr>
      <w:r>
        <w:rPr>
          <w:rFonts w:ascii="Arial" w:cs="Arial" w:eastAsia="Arial" w:hAnsi="Arial"/>
          <w:sz w:val="16"/>
          <w:szCs w:val="16"/>
          <w:color w:val="auto"/>
        </w:rPr>
        <w:t>We expect to refinance a portion of the term loan with longer-term debt prior to maturity. In the event we are unable to refinance the remaining obligation, we believe it is probable that our current plans to manage liquidity would be sufficient to meet our obligations.</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Revolving Credit Facility and CP Program</w:t>
      </w:r>
    </w:p>
    <w:p>
      <w:pPr>
        <w:spacing w:after="0" w:line="248" w:lineRule="exact"/>
        <w:rPr>
          <w:sz w:val="20"/>
          <w:szCs w:val="20"/>
          <w:color w:val="auto"/>
        </w:rPr>
      </w:pPr>
    </w:p>
    <w:p>
      <w:pPr>
        <w:ind w:right="60"/>
        <w:spacing w:after="0" w:line="260" w:lineRule="auto"/>
        <w:rPr>
          <w:sz w:val="20"/>
          <w:szCs w:val="20"/>
          <w:color w:val="auto"/>
        </w:rPr>
      </w:pPr>
      <w:r>
        <w:rPr>
          <w:rFonts w:ascii="Arial" w:cs="Arial" w:eastAsia="Arial" w:hAnsi="Arial"/>
          <w:sz w:val="16"/>
          <w:szCs w:val="16"/>
          <w:color w:val="auto"/>
        </w:rPr>
        <w:t>Our net short-term borrowings related to our Revolving Credit Facility and CP Program during the three months ended March 31, 2021 decreased by $18 million. The weighted average interest rate on short-term borrowings related to our Revolving Credit Facility and CP Program at March 31, 2021 was 0.23%.</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Debt Covenants</w:t>
      </w:r>
    </w:p>
    <w:p>
      <w:pPr>
        <w:spacing w:after="0" w:line="268" w:lineRule="exact"/>
        <w:rPr>
          <w:sz w:val="20"/>
          <w:szCs w:val="20"/>
          <w:color w:val="auto"/>
        </w:rPr>
      </w:pPr>
    </w:p>
    <w:p>
      <w:pPr>
        <w:ind w:right="80"/>
        <w:spacing w:after="0" w:line="250" w:lineRule="auto"/>
        <w:rPr>
          <w:sz w:val="20"/>
          <w:szCs w:val="20"/>
          <w:color w:val="auto"/>
        </w:rPr>
      </w:pPr>
      <w:r>
        <w:rPr>
          <w:rFonts w:ascii="Arial" w:cs="Arial" w:eastAsia="Arial" w:hAnsi="Arial"/>
          <w:sz w:val="16"/>
          <w:szCs w:val="16"/>
          <w:color w:val="auto"/>
        </w:rPr>
        <w:t>Under our Revolving Credit Facility and term loan agreements, we are required to maintain a Consolidated Indebtedness to Capitalization Ratio not to exceed 0.65 to 1.00. Our Consolidated Indebtedness to Capitalization Ratio was calculated by dividing (i) consolidated indebtedness, which includes letters of credit and certain guarantees issued, by (ii) capital, which includes consolidated indebtedness plus consolidated net worth, which excludes noncontrolling interest in subsidiaries. Subject to applicable cure periods, a violation of any of these covenants would constitute an event of default that entitles the lenders to terminate their remaining commitments and accelerate all principal and interest outstanding.</w:t>
      </w: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color w:val="auto"/>
        </w:rPr>
        <w:t>Our Revolving Credit Facility and term loans require compliance with the following financial covenant, which we were in compliance with at March 31, 2021:</w:t>
      </w:r>
    </w:p>
    <w:p>
      <w:pPr>
        <w:spacing w:after="0" w:line="127" w:lineRule="exact"/>
        <w:rPr>
          <w:sz w:val="20"/>
          <w:szCs w:val="20"/>
          <w:color w:val="auto"/>
        </w:rPr>
      </w:pPr>
    </w:p>
    <w:tbl>
      <w:tblPr>
        <w:tblLayout w:type="fixed"/>
        <w:tblInd w:w="20" w:type="dxa"/>
        <w:tblCellMar>
          <w:top w:w="0" w:type="dxa"/>
          <w:left w:w="0" w:type="dxa"/>
          <w:bottom w:w="0" w:type="dxa"/>
          <w:right w:w="0" w:type="dxa"/>
        </w:tblCellMar>
      </w:tblPr>
      <w:tr>
        <w:trPr>
          <w:trHeight w:val="198"/>
        </w:trPr>
        <w:tc>
          <w:tcPr>
            <w:tcW w:w="6160" w:type="dxa"/>
            <w:vAlign w:val="bottom"/>
            <w:tcBorders>
              <w:bottom w:val="single" w:sz="8" w:color="CEFFE7"/>
            </w:tcBorders>
          </w:tcPr>
          <w:p>
            <w:pPr>
              <w:spacing w:after="0"/>
              <w:rPr>
                <w:sz w:val="17"/>
                <w:szCs w:val="17"/>
                <w:color w:val="auto"/>
              </w:rPr>
            </w:pPr>
          </w:p>
        </w:tc>
        <w:tc>
          <w:tcPr>
            <w:tcW w:w="25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As of March 31, 2021</w:t>
            </w:r>
          </w:p>
        </w:tc>
        <w:tc>
          <w:tcPr>
            <w:tcW w:w="2500" w:type="dxa"/>
            <w:vAlign w:val="bottom"/>
            <w:tcBorders>
              <w:bottom w:val="single" w:sz="8" w:color="auto"/>
            </w:tcBorders>
            <w:gridSpan w:val="2"/>
          </w:tcPr>
          <w:p>
            <w:pPr>
              <w:jc w:val="right"/>
              <w:ind w:right="259"/>
              <w:spacing w:after="0"/>
              <w:rPr>
                <w:sz w:val="20"/>
                <w:szCs w:val="20"/>
                <w:color w:val="auto"/>
              </w:rPr>
            </w:pPr>
            <w:r>
              <w:rPr>
                <w:rFonts w:ascii="Arial" w:cs="Arial" w:eastAsia="Arial" w:hAnsi="Arial"/>
                <w:sz w:val="16"/>
                <w:szCs w:val="16"/>
                <w:color w:val="auto"/>
              </w:rPr>
              <w:t>Covenant Requirement</w:t>
            </w:r>
          </w:p>
        </w:tc>
      </w:tr>
      <w:tr>
        <w:trPr>
          <w:trHeight w:val="213"/>
        </w:trPr>
        <w:tc>
          <w:tcPr>
            <w:tcW w:w="6160" w:type="dxa"/>
            <w:vAlign w:val="bottom"/>
            <w:shd w:val="clear" w:color="auto" w:fill="CEFFE7"/>
          </w:tcPr>
          <w:p>
            <w:pPr>
              <w:ind w:left="20"/>
              <w:spacing w:after="0"/>
              <w:rPr>
                <w:sz w:val="20"/>
                <w:szCs w:val="20"/>
                <w:color w:val="auto"/>
              </w:rPr>
            </w:pPr>
            <w:r>
              <w:rPr>
                <w:rFonts w:ascii="Arial" w:cs="Arial" w:eastAsia="Arial" w:hAnsi="Arial"/>
                <w:sz w:val="16"/>
                <w:szCs w:val="16"/>
                <w:color w:val="auto"/>
              </w:rPr>
              <w:t>Consolidated Indebtedness to Capitalization Ratio</w:t>
            </w:r>
          </w:p>
        </w:tc>
        <w:tc>
          <w:tcPr>
            <w:tcW w:w="2540" w:type="dxa"/>
            <w:vAlign w:val="bottom"/>
            <w:shd w:val="clear" w:color="auto" w:fill="CEFFE7"/>
          </w:tcPr>
          <w:p>
            <w:pPr>
              <w:jc w:val="right"/>
              <w:ind w:right="959"/>
              <w:spacing w:after="0"/>
              <w:rPr>
                <w:sz w:val="20"/>
                <w:szCs w:val="20"/>
                <w:color w:val="auto"/>
              </w:rPr>
            </w:pPr>
            <w:r>
              <w:rPr>
                <w:rFonts w:ascii="Arial" w:cs="Arial" w:eastAsia="Arial" w:hAnsi="Arial"/>
                <w:sz w:val="16"/>
                <w:szCs w:val="16"/>
                <w:color w:val="auto"/>
              </w:rPr>
              <w:t>62.6%</w:t>
            </w:r>
          </w:p>
        </w:tc>
        <w:tc>
          <w:tcPr>
            <w:tcW w:w="1480" w:type="dxa"/>
            <w:vAlign w:val="bottom"/>
            <w:shd w:val="clear" w:color="auto" w:fill="CEFFE7"/>
          </w:tcPr>
          <w:p>
            <w:pPr>
              <w:ind w:left="540"/>
              <w:spacing w:after="0"/>
              <w:rPr>
                <w:sz w:val="20"/>
                <w:szCs w:val="20"/>
                <w:color w:val="auto"/>
              </w:rPr>
            </w:pPr>
            <w:r>
              <w:rPr>
                <w:rFonts w:ascii="Arial" w:cs="Arial" w:eastAsia="Arial" w:hAnsi="Arial"/>
                <w:sz w:val="16"/>
                <w:szCs w:val="16"/>
                <w:color w:val="auto"/>
              </w:rPr>
              <w:t>Less than</w:t>
            </w:r>
          </w:p>
        </w:tc>
        <w:tc>
          <w:tcPr>
            <w:tcW w:w="1020" w:type="dxa"/>
            <w:vAlign w:val="bottom"/>
            <w:shd w:val="clear" w:color="auto" w:fill="CEFFE7"/>
          </w:tcPr>
          <w:p>
            <w:pPr>
              <w:jc w:val="right"/>
              <w:ind w:right="379"/>
              <w:spacing w:after="0"/>
              <w:rPr>
                <w:sz w:val="20"/>
                <w:szCs w:val="20"/>
                <w:color w:val="auto"/>
              </w:rPr>
            </w:pPr>
            <w:r>
              <w:rPr>
                <w:rFonts w:ascii="Arial" w:cs="Arial" w:eastAsia="Arial" w:hAnsi="Arial"/>
                <w:sz w:val="16"/>
                <w:szCs w:val="16"/>
                <w:color w:val="auto"/>
              </w:rPr>
              <w:t>65%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72" w:lineRule="exact"/>
        <w:rPr>
          <w:sz w:val="20"/>
          <w:szCs w:val="20"/>
          <w:color w:val="auto"/>
        </w:rPr>
      </w:pPr>
    </w:p>
    <w:p>
      <w:pPr>
        <w:spacing w:after="0"/>
        <w:tabs>
          <w:tab w:leader="none" w:pos="360" w:val="left"/>
        </w:tabs>
        <w:rPr>
          <w:sz w:val="20"/>
          <w:szCs w:val="20"/>
          <w:color w:val="auto"/>
        </w:rPr>
      </w:pPr>
      <w:r>
        <w:rPr>
          <w:rFonts w:ascii="Arial" w:cs="Arial" w:eastAsia="Arial" w:hAnsi="Arial"/>
          <w:sz w:val="16"/>
          <w:szCs w:val="16"/>
          <w:b w:val="1"/>
          <w:bCs w:val="1"/>
          <w:color w:val="auto"/>
        </w:rPr>
        <w:t>(6)</w:t>
        <w:tab/>
        <w:t>Earnings Per Share</w:t>
      </w:r>
    </w:p>
    <w:p>
      <w:pPr>
        <w:spacing w:after="0" w:line="255" w:lineRule="exact"/>
        <w:rPr>
          <w:sz w:val="20"/>
          <w:szCs w:val="20"/>
          <w:color w:val="auto"/>
        </w:rPr>
      </w:pPr>
    </w:p>
    <w:p>
      <w:pPr>
        <w:ind w:right="80"/>
        <w:spacing w:after="0" w:line="260" w:lineRule="auto"/>
        <w:rPr>
          <w:sz w:val="20"/>
          <w:szCs w:val="20"/>
          <w:color w:val="auto"/>
        </w:rPr>
      </w:pPr>
      <w:r>
        <w:rPr>
          <w:rFonts w:ascii="Arial" w:cs="Arial" w:eastAsia="Arial" w:hAnsi="Arial"/>
          <w:sz w:val="16"/>
          <w:szCs w:val="16"/>
          <w:color w:val="auto"/>
        </w:rPr>
        <w:t>A reconciliation of share amounts used to compute earnings per share in the accompanying Condensed Consolidated Statements of Income was as follows (in thousands):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 w:type="dxa"/>
            <w:vAlign w:val="bottom"/>
          </w:tcPr>
          <w:p>
            <w:pPr>
              <w:spacing w:after="0"/>
              <w:rPr>
                <w:sz w:val="16"/>
                <w:szCs w:val="16"/>
                <w:color w:val="auto"/>
              </w:rPr>
            </w:pPr>
          </w:p>
        </w:tc>
        <w:tc>
          <w:tcPr>
            <w:tcW w:w="6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20" w:type="dxa"/>
            <w:vAlign w:val="bottom"/>
            <w:gridSpan w:val="3"/>
          </w:tcPr>
          <w:p>
            <w:pPr>
              <w:jc w:val="right"/>
              <w:ind w:right="239"/>
              <w:spacing w:after="0"/>
              <w:rPr>
                <w:sz w:val="20"/>
                <w:szCs w:val="20"/>
                <w:color w:val="auto"/>
              </w:rPr>
            </w:pPr>
            <w:r>
              <w:rPr>
                <w:rFonts w:ascii="Arial" w:cs="Arial" w:eastAsia="Arial" w:hAnsi="Arial"/>
                <w:sz w:val="16"/>
                <w:szCs w:val="16"/>
                <w:color w:val="auto"/>
              </w:rPr>
              <w:t>Three Months Ended March 31,</w:t>
            </w:r>
          </w:p>
        </w:tc>
        <w:tc>
          <w:tcPr>
            <w:tcW w:w="740" w:type="dxa"/>
            <w:vAlign w:val="bottom"/>
          </w:tcPr>
          <w:p>
            <w:pPr>
              <w:spacing w:after="0"/>
              <w:rPr>
                <w:sz w:val="16"/>
                <w:szCs w:val="16"/>
                <w:color w:val="auto"/>
              </w:rPr>
            </w:pPr>
          </w:p>
        </w:tc>
      </w:tr>
      <w:tr>
        <w:trPr>
          <w:trHeight w:val="219"/>
        </w:trPr>
        <w:tc>
          <w:tcPr>
            <w:tcW w:w="40" w:type="dxa"/>
            <w:vAlign w:val="bottom"/>
          </w:tcPr>
          <w:p>
            <w:pPr>
              <w:spacing w:after="0"/>
              <w:rPr>
                <w:sz w:val="19"/>
                <w:szCs w:val="19"/>
                <w:color w:val="auto"/>
              </w:rPr>
            </w:pPr>
          </w:p>
        </w:tc>
        <w:tc>
          <w:tcPr>
            <w:tcW w:w="6780" w:type="dxa"/>
            <w:vAlign w:val="bottom"/>
          </w:tcPr>
          <w:p>
            <w:pPr>
              <w:spacing w:after="0"/>
              <w:rPr>
                <w:sz w:val="19"/>
                <w:szCs w:val="19"/>
                <w:color w:val="auto"/>
              </w:rPr>
            </w:pPr>
          </w:p>
        </w:tc>
        <w:tc>
          <w:tcPr>
            <w:tcW w:w="1460" w:type="dxa"/>
            <w:vAlign w:val="bottom"/>
            <w:tcBorders>
              <w:bottom w:val="single" w:sz="8" w:color="auto"/>
            </w:tcBorders>
            <w:gridSpan w:val="2"/>
          </w:tcPr>
          <w:p>
            <w:pPr>
              <w:jc w:val="right"/>
              <w:ind w:right="99"/>
              <w:spacing w:after="0"/>
              <w:rPr>
                <w:sz w:val="20"/>
                <w:szCs w:val="20"/>
                <w:color w:val="auto"/>
              </w:rPr>
            </w:pPr>
            <w:r>
              <w:rPr>
                <w:rFonts w:ascii="Arial" w:cs="Arial" w:eastAsia="Arial" w:hAnsi="Arial"/>
                <w:sz w:val="16"/>
                <w:szCs w:val="16"/>
                <w:color w:val="auto"/>
              </w:rPr>
              <w:t>2021</w:t>
            </w:r>
          </w:p>
        </w:tc>
        <w:tc>
          <w:tcPr>
            <w:tcW w:w="7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2020</w:t>
            </w:r>
          </w:p>
        </w:tc>
        <w:tc>
          <w:tcPr>
            <w:tcW w:w="740" w:type="dxa"/>
            <w:vAlign w:val="bottom"/>
            <w:tcBorders>
              <w:bottom w:val="single" w:sz="8" w:color="auto"/>
            </w:tcBorders>
          </w:tcPr>
          <w:p>
            <w:pPr>
              <w:spacing w:after="0"/>
              <w:rPr>
                <w:sz w:val="19"/>
                <w:szCs w:val="19"/>
                <w:color w:val="auto"/>
              </w:rPr>
            </w:pPr>
          </w:p>
        </w:tc>
      </w:tr>
      <w:tr>
        <w:trPr>
          <w:trHeight w:val="253"/>
        </w:trPr>
        <w:tc>
          <w:tcPr>
            <w:tcW w:w="40" w:type="dxa"/>
            <w:vAlign w:val="bottom"/>
          </w:tcPr>
          <w:p>
            <w:pPr>
              <w:spacing w:after="0"/>
              <w:rPr>
                <w:sz w:val="22"/>
                <w:szCs w:val="22"/>
                <w:color w:val="auto"/>
              </w:rPr>
            </w:pPr>
          </w:p>
        </w:tc>
        <w:tc>
          <w:tcPr>
            <w:tcW w:w="6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740" w:type="dxa"/>
            <w:vAlign w:val="bottom"/>
          </w:tcPr>
          <w:p>
            <w:pPr>
              <w:spacing w:after="0"/>
              <w:rPr>
                <w:sz w:val="22"/>
                <w:szCs w:val="22"/>
                <w:color w:val="auto"/>
              </w:rPr>
            </w:pPr>
          </w:p>
        </w:tc>
      </w:tr>
      <w:tr>
        <w:trPr>
          <w:trHeight w:val="241"/>
        </w:trPr>
        <w:tc>
          <w:tcPr>
            <w:tcW w:w="40" w:type="dxa"/>
            <w:vAlign w:val="bottom"/>
          </w:tcPr>
          <w:p>
            <w:pPr>
              <w:spacing w:after="0"/>
              <w:rPr>
                <w:sz w:val="20"/>
                <w:szCs w:val="20"/>
                <w:color w:val="auto"/>
              </w:rPr>
            </w:pPr>
          </w:p>
        </w:tc>
        <w:tc>
          <w:tcPr>
            <w:tcW w:w="6780" w:type="dxa"/>
            <w:vAlign w:val="bottom"/>
            <w:tcBorders>
              <w:bottom w:val="single" w:sz="8" w:color="CEFFE7"/>
            </w:tcBorders>
            <w:shd w:val="clear" w:color="auto" w:fill="CEFFE7"/>
          </w:tcPr>
          <w:p>
            <w:pPr>
              <w:spacing w:after="0"/>
              <w:rPr>
                <w:sz w:val="20"/>
                <w:szCs w:val="20"/>
                <w:color w:val="auto"/>
              </w:rPr>
            </w:pPr>
            <w:r>
              <w:rPr>
                <w:rFonts w:ascii="Arial" w:cs="Arial" w:eastAsia="Arial" w:hAnsi="Arial"/>
                <w:sz w:val="16"/>
                <w:szCs w:val="16"/>
                <w:color w:val="auto"/>
              </w:rPr>
              <w:t>Net income available for common stock</w:t>
            </w:r>
          </w:p>
        </w:tc>
        <w:tc>
          <w:tcPr>
            <w:tcW w:w="1460" w:type="dxa"/>
            <w:vAlign w:val="bottom"/>
            <w:tcBorders>
              <w:bottom w:val="single" w:sz="8" w:color="auto"/>
            </w:tcBorders>
            <w:gridSpan w:val="2"/>
            <w:shd w:val="clear" w:color="auto" w:fill="CEFFE7"/>
          </w:tcPr>
          <w:p>
            <w:pPr>
              <w:jc w:val="right"/>
              <w:ind w:right="127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96,316</w:t>
            </w:r>
          </w:p>
        </w:tc>
        <w:tc>
          <w:tcPr>
            <w:tcW w:w="1480" w:type="dxa"/>
            <w:vAlign w:val="bottom"/>
            <w:tcBorders>
              <w:bottom w:val="single" w:sz="8" w:color="auto"/>
            </w:tcBorders>
            <w:shd w:val="clear" w:color="auto" w:fill="CEFFE7"/>
          </w:tcPr>
          <w:p>
            <w:pPr>
              <w:jc w:val="right"/>
              <w:ind w:right="127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93,174</w:t>
            </w:r>
          </w:p>
        </w:tc>
      </w:tr>
      <w:tr>
        <w:trPr>
          <w:trHeight w:val="20"/>
        </w:trPr>
        <w:tc>
          <w:tcPr>
            <w:tcW w:w="40" w:type="dxa"/>
            <w:vAlign w:val="bottom"/>
          </w:tcPr>
          <w:p>
            <w:pPr>
              <w:spacing w:after="0" w:line="20" w:lineRule="exact"/>
              <w:rPr>
                <w:sz w:val="1"/>
                <w:szCs w:val="1"/>
                <w:color w:val="auto"/>
              </w:rPr>
            </w:pPr>
          </w:p>
        </w:tc>
        <w:tc>
          <w:tcPr>
            <w:tcW w:w="6780" w:type="dxa"/>
            <w:vAlign w:val="bottom"/>
            <w:tcBorders>
              <w:top w:val="single" w:sz="8" w:color="CEFFE7"/>
            </w:tcBorders>
          </w:tcPr>
          <w:p>
            <w:pPr>
              <w:spacing w:after="0" w:line="20" w:lineRule="exact"/>
              <w:rPr>
                <w:sz w:val="1"/>
                <w:szCs w:val="1"/>
                <w:color w:val="auto"/>
              </w:rPr>
            </w:pPr>
          </w:p>
        </w:tc>
        <w:tc>
          <w:tcPr>
            <w:tcW w:w="40" w:type="dxa"/>
            <w:vAlign w:val="bottom"/>
            <w:tcBorders>
              <w:top w:val="single" w:sz="8" w:color="CEFFE7"/>
              <w:bottom w:val="single" w:sz="8" w:color="auto"/>
            </w:tcBorders>
          </w:tcPr>
          <w:p>
            <w:pPr>
              <w:spacing w:after="0" w:line="20" w:lineRule="exact"/>
              <w:rPr>
                <w:sz w:val="1"/>
                <w:szCs w:val="1"/>
                <w:color w:val="auto"/>
              </w:rPr>
            </w:pPr>
          </w:p>
        </w:tc>
        <w:tc>
          <w:tcPr>
            <w:tcW w:w="1420" w:type="dxa"/>
            <w:vAlign w:val="bottom"/>
            <w:tcBorders>
              <w:top w:val="single" w:sz="8" w:color="CEFFE7"/>
              <w:bottom w:val="single" w:sz="8" w:color="auto"/>
            </w:tcBorders>
          </w:tcPr>
          <w:p>
            <w:pPr>
              <w:spacing w:after="0" w:line="20" w:lineRule="exact"/>
              <w:rPr>
                <w:sz w:val="1"/>
                <w:szCs w:val="1"/>
                <w:color w:val="auto"/>
              </w:rPr>
            </w:pPr>
          </w:p>
        </w:tc>
        <w:tc>
          <w:tcPr>
            <w:tcW w:w="720" w:type="dxa"/>
            <w:vAlign w:val="bottom"/>
            <w:tcBorders>
              <w:top w:val="single" w:sz="8" w:color="CEFFE7"/>
              <w:bottom w:val="single" w:sz="8" w:color="auto"/>
            </w:tcBorders>
          </w:tcPr>
          <w:p>
            <w:pPr>
              <w:spacing w:after="0" w:line="20" w:lineRule="exact"/>
              <w:rPr>
                <w:sz w:val="1"/>
                <w:szCs w:val="1"/>
                <w:color w:val="auto"/>
              </w:rPr>
            </w:pPr>
          </w:p>
        </w:tc>
        <w:tc>
          <w:tcPr>
            <w:tcW w:w="1480" w:type="dxa"/>
            <w:vAlign w:val="bottom"/>
            <w:tcBorders>
              <w:top w:val="single" w:sz="8" w:color="CEFFE7"/>
              <w:bottom w:val="single" w:sz="8" w:color="auto"/>
            </w:tcBorders>
          </w:tcPr>
          <w:p>
            <w:pPr>
              <w:spacing w:after="0" w:line="20" w:lineRule="exact"/>
              <w:rPr>
                <w:sz w:val="1"/>
                <w:szCs w:val="1"/>
                <w:color w:val="auto"/>
              </w:rPr>
            </w:pPr>
          </w:p>
        </w:tc>
        <w:tc>
          <w:tcPr>
            <w:tcW w:w="740" w:type="dxa"/>
            <w:vAlign w:val="bottom"/>
            <w:tcBorders>
              <w:top w:val="single" w:sz="8" w:color="CEFFE7"/>
              <w:bottom w:val="single" w:sz="8" w:color="auto"/>
            </w:tcBorders>
          </w:tcPr>
          <w:p>
            <w:pPr>
              <w:spacing w:after="0" w:line="20" w:lineRule="exact"/>
              <w:rPr>
                <w:sz w:val="1"/>
                <w:szCs w:val="1"/>
                <w:color w:val="auto"/>
              </w:rPr>
            </w:pPr>
          </w:p>
        </w:tc>
      </w:tr>
      <w:tr>
        <w:trPr>
          <w:trHeight w:val="217"/>
        </w:trPr>
        <w:tc>
          <w:tcPr>
            <w:tcW w:w="40" w:type="dxa"/>
            <w:vAlign w:val="bottom"/>
          </w:tcPr>
          <w:p>
            <w:pPr>
              <w:spacing w:after="0"/>
              <w:rPr>
                <w:sz w:val="18"/>
                <w:szCs w:val="18"/>
                <w:color w:val="auto"/>
              </w:rPr>
            </w:pPr>
          </w:p>
        </w:tc>
        <w:tc>
          <w:tcPr>
            <w:tcW w:w="6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6780" w:type="dxa"/>
            <w:vAlign w:val="bottom"/>
            <w:shd w:val="clear" w:color="auto" w:fill="CEFFE7"/>
          </w:tcPr>
          <w:p>
            <w:pPr>
              <w:spacing w:after="0"/>
              <w:rPr>
                <w:sz w:val="20"/>
                <w:szCs w:val="20"/>
                <w:color w:val="auto"/>
              </w:rPr>
            </w:pPr>
            <w:r>
              <w:rPr>
                <w:rFonts w:ascii="Arial" w:cs="Arial" w:eastAsia="Arial" w:hAnsi="Arial"/>
                <w:sz w:val="16"/>
                <w:szCs w:val="16"/>
                <w:color w:val="auto"/>
              </w:rPr>
              <w:t>Weighted average shares - basic</w:t>
            </w:r>
          </w:p>
        </w:tc>
        <w:tc>
          <w:tcPr>
            <w:tcW w:w="40" w:type="dxa"/>
            <w:vAlign w:val="bottom"/>
            <w:shd w:val="clear" w:color="auto" w:fill="CEFFE7"/>
          </w:tcPr>
          <w:p>
            <w:pPr>
              <w:spacing w:after="0"/>
              <w:rPr>
                <w:sz w:val="18"/>
                <w:szCs w:val="18"/>
                <w:color w:val="auto"/>
              </w:rPr>
            </w:pPr>
          </w:p>
        </w:tc>
        <w:tc>
          <w:tcPr>
            <w:tcW w:w="1420" w:type="dxa"/>
            <w:vAlign w:val="bottom"/>
            <w:shd w:val="clear" w:color="auto" w:fill="CEFFE7"/>
          </w:tcPr>
          <w:p>
            <w:pPr>
              <w:spacing w:after="0"/>
              <w:rPr>
                <w:sz w:val="18"/>
                <w:szCs w:val="18"/>
                <w:color w:val="auto"/>
              </w:rPr>
            </w:pPr>
          </w:p>
        </w:tc>
        <w:tc>
          <w:tcPr>
            <w:tcW w:w="7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62,633</w:t>
            </w:r>
          </w:p>
        </w:tc>
        <w:tc>
          <w:tcPr>
            <w:tcW w:w="1480" w:type="dxa"/>
            <w:vAlign w:val="bottom"/>
            <w:shd w:val="clear" w:color="auto" w:fill="CEFFE7"/>
          </w:tcPr>
          <w:p>
            <w:pPr>
              <w:spacing w:after="0"/>
              <w:rPr>
                <w:sz w:val="18"/>
                <w:szCs w:val="18"/>
                <w:color w:val="auto"/>
              </w:rPr>
            </w:pPr>
          </w:p>
        </w:tc>
        <w:tc>
          <w:tcPr>
            <w:tcW w:w="7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61,778</w:t>
            </w:r>
          </w:p>
        </w:tc>
      </w:tr>
      <w:tr>
        <w:trPr>
          <w:trHeight w:val="213"/>
        </w:trPr>
        <w:tc>
          <w:tcPr>
            <w:tcW w:w="4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6"/>
                <w:szCs w:val="16"/>
                <w:color w:val="auto"/>
              </w:rPr>
              <w:t>Dilutive effect of:</w:t>
            </w:r>
          </w:p>
        </w:tc>
        <w:tc>
          <w:tcPr>
            <w:tcW w:w="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6780" w:type="dxa"/>
            <w:vAlign w:val="bottom"/>
            <w:shd w:val="clear" w:color="auto" w:fill="CEFFE7"/>
          </w:tcPr>
          <w:p>
            <w:pPr>
              <w:ind w:left="200"/>
              <w:spacing w:after="0"/>
              <w:rPr>
                <w:sz w:val="20"/>
                <w:szCs w:val="20"/>
                <w:color w:val="auto"/>
              </w:rPr>
            </w:pPr>
            <w:r>
              <w:rPr>
                <w:rFonts w:ascii="Arial" w:cs="Arial" w:eastAsia="Arial" w:hAnsi="Arial"/>
                <w:sz w:val="16"/>
                <w:szCs w:val="16"/>
                <w:color w:val="auto"/>
              </w:rPr>
              <w:t>Equity compensation</w:t>
            </w:r>
          </w:p>
        </w:tc>
        <w:tc>
          <w:tcPr>
            <w:tcW w:w="40" w:type="dxa"/>
            <w:vAlign w:val="bottom"/>
            <w:tcBorders>
              <w:bottom w:val="single" w:sz="8" w:color="auto"/>
            </w:tcBorders>
            <w:shd w:val="clear" w:color="auto" w:fill="CEFFE7"/>
          </w:tcPr>
          <w:p>
            <w:pPr>
              <w:spacing w:after="0"/>
              <w:rPr>
                <w:sz w:val="18"/>
                <w:szCs w:val="18"/>
                <w:color w:val="auto"/>
              </w:rPr>
            </w:pPr>
          </w:p>
        </w:tc>
        <w:tc>
          <w:tcPr>
            <w:tcW w:w="1420" w:type="dxa"/>
            <w:vAlign w:val="bottom"/>
            <w:tcBorders>
              <w:bottom w:val="single" w:sz="8" w:color="auto"/>
            </w:tcBorders>
            <w:shd w:val="clear" w:color="auto" w:fill="CEFFE7"/>
          </w:tcPr>
          <w:p>
            <w:pPr>
              <w:spacing w:after="0"/>
              <w:rPr>
                <w:sz w:val="18"/>
                <w:szCs w:val="18"/>
                <w:color w:val="auto"/>
              </w:rPr>
            </w:pPr>
          </w:p>
        </w:tc>
        <w:tc>
          <w:tcPr>
            <w:tcW w:w="7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58</w:t>
            </w:r>
          </w:p>
        </w:tc>
        <w:tc>
          <w:tcPr>
            <w:tcW w:w="1480" w:type="dxa"/>
            <w:vAlign w:val="bottom"/>
            <w:tcBorders>
              <w:bottom w:val="single" w:sz="8" w:color="auto"/>
            </w:tcBorders>
            <w:shd w:val="clear" w:color="auto" w:fill="CEFFE7"/>
          </w:tcPr>
          <w:p>
            <w:pPr>
              <w:spacing w:after="0"/>
              <w:rPr>
                <w:sz w:val="18"/>
                <w:szCs w:val="18"/>
                <w:color w:val="auto"/>
              </w:rPr>
            </w:pPr>
          </w:p>
        </w:tc>
        <w:tc>
          <w:tcPr>
            <w:tcW w:w="7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78</w:t>
            </w:r>
          </w:p>
        </w:tc>
      </w:tr>
      <w:tr>
        <w:trPr>
          <w:trHeight w:val="213"/>
        </w:trPr>
        <w:tc>
          <w:tcPr>
            <w:tcW w:w="4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6"/>
                <w:szCs w:val="16"/>
                <w:color w:val="auto"/>
              </w:rPr>
              <w:t>Weighted average shares - diluted</w:t>
            </w:r>
          </w:p>
        </w:tc>
        <w:tc>
          <w:tcPr>
            <w:tcW w:w="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62,691</w:t>
            </w:r>
          </w:p>
        </w:tc>
        <w:tc>
          <w:tcPr>
            <w:tcW w:w="14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61,856</w:t>
            </w:r>
          </w:p>
        </w:tc>
      </w:tr>
      <w:tr>
        <w:trPr>
          <w:trHeight w:val="20"/>
        </w:trPr>
        <w:tc>
          <w:tcPr>
            <w:tcW w:w="40" w:type="dxa"/>
            <w:vAlign w:val="bottom"/>
          </w:tcPr>
          <w:p>
            <w:pPr>
              <w:spacing w:after="0" w:line="20" w:lineRule="exact"/>
              <w:rPr>
                <w:sz w:val="1"/>
                <w:szCs w:val="1"/>
                <w:color w:val="auto"/>
              </w:rPr>
            </w:pPr>
          </w:p>
        </w:tc>
        <w:tc>
          <w:tcPr>
            <w:tcW w:w="6780" w:type="dxa"/>
            <w:vAlign w:val="bottom"/>
            <w:tcBorders>
              <w:bottom w:val="single" w:sz="8" w:color="CEFFE7"/>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6780" w:type="dxa"/>
            <w:vAlign w:val="bottom"/>
            <w:shd w:val="clear" w:color="auto" w:fill="CEFFE7"/>
          </w:tcPr>
          <w:p>
            <w:pPr>
              <w:spacing w:after="0"/>
              <w:rPr>
                <w:sz w:val="20"/>
                <w:szCs w:val="20"/>
                <w:color w:val="auto"/>
              </w:rPr>
            </w:pPr>
          </w:p>
        </w:tc>
        <w:tc>
          <w:tcPr>
            <w:tcW w:w="40" w:type="dxa"/>
            <w:vAlign w:val="bottom"/>
            <w:shd w:val="clear" w:color="auto" w:fill="CEFFE7"/>
          </w:tcPr>
          <w:p>
            <w:pPr>
              <w:spacing w:after="0"/>
              <w:rPr>
                <w:sz w:val="20"/>
                <w:szCs w:val="20"/>
                <w:color w:val="auto"/>
              </w:rPr>
            </w:pPr>
          </w:p>
        </w:tc>
        <w:tc>
          <w:tcPr>
            <w:tcW w:w="1420" w:type="dxa"/>
            <w:vAlign w:val="bottom"/>
            <w:shd w:val="clear" w:color="auto" w:fill="CEFFE7"/>
          </w:tcPr>
          <w:p>
            <w:pPr>
              <w:spacing w:after="0"/>
              <w:rPr>
                <w:sz w:val="20"/>
                <w:szCs w:val="20"/>
                <w:color w:val="auto"/>
              </w:rPr>
            </w:pPr>
          </w:p>
        </w:tc>
        <w:tc>
          <w:tcPr>
            <w:tcW w:w="720" w:type="dxa"/>
            <w:vAlign w:val="bottom"/>
            <w:shd w:val="clear" w:color="auto" w:fill="CEFFE7"/>
          </w:tcPr>
          <w:p>
            <w:pPr>
              <w:spacing w:after="0"/>
              <w:rPr>
                <w:sz w:val="20"/>
                <w:szCs w:val="20"/>
                <w:color w:val="auto"/>
              </w:rPr>
            </w:pPr>
          </w:p>
        </w:tc>
        <w:tc>
          <w:tcPr>
            <w:tcW w:w="1480" w:type="dxa"/>
            <w:vAlign w:val="bottom"/>
            <w:shd w:val="clear" w:color="auto" w:fill="CEFFE7"/>
          </w:tcPr>
          <w:p>
            <w:pPr>
              <w:spacing w:after="0"/>
              <w:rPr>
                <w:sz w:val="20"/>
                <w:szCs w:val="20"/>
                <w:color w:val="auto"/>
              </w:rPr>
            </w:pPr>
          </w:p>
        </w:tc>
        <w:tc>
          <w:tcPr>
            <w:tcW w:w="740" w:type="dxa"/>
            <w:vAlign w:val="bottom"/>
            <w:shd w:val="clear" w:color="auto" w:fill="CEFFE7"/>
          </w:tcPr>
          <w:p>
            <w:pPr>
              <w:spacing w:after="0"/>
              <w:rPr>
                <w:sz w:val="20"/>
                <w:szCs w:val="20"/>
                <w:color w:val="auto"/>
              </w:rPr>
            </w:pPr>
          </w:p>
        </w:tc>
      </w:tr>
      <w:tr>
        <w:trPr>
          <w:trHeight w:val="213"/>
        </w:trPr>
        <w:tc>
          <w:tcPr>
            <w:tcW w:w="4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6"/>
                <w:szCs w:val="16"/>
                <w:color w:val="auto"/>
              </w:rPr>
              <w:t>Earnings per share of common stock:</w:t>
            </w:r>
          </w:p>
        </w:tc>
        <w:tc>
          <w:tcPr>
            <w:tcW w:w="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9"/>
        </w:trPr>
        <w:tc>
          <w:tcPr>
            <w:tcW w:w="40" w:type="dxa"/>
            <w:vAlign w:val="bottom"/>
          </w:tcPr>
          <w:p>
            <w:pPr>
              <w:spacing w:after="0"/>
              <w:rPr>
                <w:sz w:val="19"/>
                <w:szCs w:val="19"/>
                <w:color w:val="auto"/>
              </w:rPr>
            </w:pPr>
          </w:p>
        </w:tc>
        <w:tc>
          <w:tcPr>
            <w:tcW w:w="6780" w:type="dxa"/>
            <w:vAlign w:val="bottom"/>
            <w:shd w:val="clear" w:color="auto" w:fill="CEFFE7"/>
          </w:tcPr>
          <w:p>
            <w:pPr>
              <w:ind w:left="120"/>
              <w:spacing w:after="0"/>
              <w:rPr>
                <w:sz w:val="20"/>
                <w:szCs w:val="20"/>
                <w:color w:val="auto"/>
              </w:rPr>
            </w:pPr>
            <w:r>
              <w:rPr>
                <w:rFonts w:ascii="Arial" w:cs="Arial" w:eastAsia="Arial" w:hAnsi="Arial"/>
                <w:sz w:val="16"/>
                <w:szCs w:val="16"/>
                <w:color w:val="auto"/>
              </w:rPr>
              <w:t>Earnings per share, Basic</w:t>
            </w:r>
          </w:p>
        </w:tc>
        <w:tc>
          <w:tcPr>
            <w:tcW w:w="1460" w:type="dxa"/>
            <w:vAlign w:val="bottom"/>
            <w:gridSpan w:val="2"/>
            <w:shd w:val="clear" w:color="auto" w:fill="CEFFE7"/>
          </w:tcPr>
          <w:p>
            <w:pPr>
              <w:jc w:val="right"/>
              <w:ind w:right="1279"/>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1.54</w:t>
            </w:r>
          </w:p>
        </w:tc>
        <w:tc>
          <w:tcPr>
            <w:tcW w:w="1480" w:type="dxa"/>
            <w:vAlign w:val="bottom"/>
            <w:shd w:val="clear" w:color="auto" w:fill="CEFFE7"/>
          </w:tcPr>
          <w:p>
            <w:pPr>
              <w:jc w:val="right"/>
              <w:ind w:right="1279"/>
              <w:spacing w:after="0"/>
              <w:rPr>
                <w:sz w:val="20"/>
                <w:szCs w:val="20"/>
                <w:color w:val="auto"/>
              </w:rPr>
            </w:pPr>
            <w:r>
              <w:rPr>
                <w:rFonts w:ascii="Arial" w:cs="Arial" w:eastAsia="Arial" w:hAnsi="Arial"/>
                <w:sz w:val="16"/>
                <w:szCs w:val="16"/>
                <w:color w:val="auto"/>
              </w:rPr>
              <w:t>$</w:t>
            </w:r>
          </w:p>
        </w:tc>
        <w:tc>
          <w:tcPr>
            <w:tcW w:w="7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1.51</w:t>
            </w:r>
          </w:p>
        </w:tc>
      </w:tr>
      <w:tr>
        <w:trPr>
          <w:trHeight w:val="210"/>
        </w:trPr>
        <w:tc>
          <w:tcPr>
            <w:tcW w:w="40" w:type="dxa"/>
            <w:vAlign w:val="bottom"/>
          </w:tcPr>
          <w:p>
            <w:pPr>
              <w:spacing w:after="0"/>
              <w:rPr>
                <w:sz w:val="18"/>
                <w:szCs w:val="18"/>
                <w:color w:val="auto"/>
              </w:rPr>
            </w:pPr>
          </w:p>
        </w:tc>
        <w:tc>
          <w:tcPr>
            <w:tcW w:w="6780" w:type="dxa"/>
            <w:vAlign w:val="bottom"/>
          </w:tcPr>
          <w:p>
            <w:pPr>
              <w:ind w:left="120"/>
              <w:spacing w:after="0"/>
              <w:rPr>
                <w:sz w:val="20"/>
                <w:szCs w:val="20"/>
                <w:color w:val="auto"/>
              </w:rPr>
            </w:pPr>
            <w:r>
              <w:rPr>
                <w:rFonts w:ascii="Arial" w:cs="Arial" w:eastAsia="Arial" w:hAnsi="Arial"/>
                <w:sz w:val="16"/>
                <w:szCs w:val="16"/>
                <w:color w:val="auto"/>
              </w:rPr>
              <w:t>Earnings per share, Diluted</w:t>
            </w:r>
          </w:p>
        </w:tc>
        <w:tc>
          <w:tcPr>
            <w:tcW w:w="1460" w:type="dxa"/>
            <w:vAlign w:val="bottom"/>
            <w:gridSpan w:val="2"/>
          </w:tcPr>
          <w:p>
            <w:pPr>
              <w:jc w:val="right"/>
              <w:ind w:right="127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1.54</w:t>
            </w:r>
          </w:p>
        </w:tc>
        <w:tc>
          <w:tcPr>
            <w:tcW w:w="1480" w:type="dxa"/>
            <w:vAlign w:val="bottom"/>
          </w:tcPr>
          <w:p>
            <w:pPr>
              <w:jc w:val="right"/>
              <w:ind w:right="1279"/>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1.51</w:t>
            </w:r>
          </w:p>
        </w:tc>
      </w:tr>
      <w:tr>
        <w:trPr>
          <w:trHeight w:val="540"/>
        </w:trPr>
        <w:tc>
          <w:tcPr>
            <w:tcW w:w="10480" w:type="dxa"/>
            <w:vAlign w:val="bottom"/>
            <w:gridSpan w:val="6"/>
          </w:tcPr>
          <w:p>
            <w:pPr>
              <w:jc w:val="right"/>
              <w:ind w:right="459"/>
              <w:spacing w:after="0"/>
              <w:rPr>
                <w:sz w:val="20"/>
                <w:szCs w:val="20"/>
                <w:color w:val="auto"/>
              </w:rPr>
            </w:pPr>
            <w:r>
              <w:rPr>
                <w:rFonts w:ascii="Arial" w:cs="Arial" w:eastAsia="Arial" w:hAnsi="Arial"/>
                <w:sz w:val="16"/>
                <w:szCs w:val="16"/>
                <w:color w:val="auto"/>
              </w:rPr>
              <w:t>The following securities were excluded from the diluted earnings per share computation because of their anti-dilutive nature (in thousands):</w:t>
            </w:r>
          </w:p>
        </w:tc>
        <w:tc>
          <w:tcPr>
            <w:tcW w:w="740" w:type="dxa"/>
            <w:vAlign w:val="bottom"/>
          </w:tcPr>
          <w:p>
            <w:pPr>
              <w:spacing w:after="0"/>
              <w:rPr>
                <w:sz w:val="24"/>
                <w:szCs w:val="24"/>
                <w:color w:val="auto"/>
              </w:rPr>
            </w:pPr>
          </w:p>
        </w:tc>
      </w:tr>
      <w:tr>
        <w:trPr>
          <w:trHeight w:val="229"/>
        </w:trPr>
        <w:tc>
          <w:tcPr>
            <w:tcW w:w="40" w:type="dxa"/>
            <w:vAlign w:val="bottom"/>
          </w:tcPr>
          <w:p>
            <w:pPr>
              <w:spacing w:after="0"/>
              <w:rPr>
                <w:sz w:val="19"/>
                <w:szCs w:val="19"/>
                <w:color w:val="auto"/>
              </w:rPr>
            </w:pPr>
          </w:p>
        </w:tc>
        <w:tc>
          <w:tcPr>
            <w:tcW w:w="6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20" w:type="dxa"/>
            <w:vAlign w:val="bottom"/>
            <w:gridSpan w:val="3"/>
          </w:tcPr>
          <w:p>
            <w:pPr>
              <w:jc w:val="right"/>
              <w:ind w:right="219"/>
              <w:spacing w:after="0"/>
              <w:rPr>
                <w:sz w:val="20"/>
                <w:szCs w:val="20"/>
                <w:color w:val="auto"/>
              </w:rPr>
            </w:pPr>
            <w:r>
              <w:rPr>
                <w:rFonts w:ascii="Arial" w:cs="Arial" w:eastAsia="Arial" w:hAnsi="Arial"/>
                <w:sz w:val="16"/>
                <w:szCs w:val="16"/>
                <w:color w:val="auto"/>
              </w:rPr>
              <w:t>Three Months Ended March 31,</w:t>
            </w:r>
          </w:p>
        </w:tc>
        <w:tc>
          <w:tcPr>
            <w:tcW w:w="740" w:type="dxa"/>
            <w:vAlign w:val="bottom"/>
          </w:tcPr>
          <w:p>
            <w:pPr>
              <w:spacing w:after="0"/>
              <w:rPr>
                <w:sz w:val="19"/>
                <w:szCs w:val="19"/>
                <w:color w:val="auto"/>
              </w:rPr>
            </w:pPr>
          </w:p>
        </w:tc>
      </w:tr>
      <w:tr>
        <w:trPr>
          <w:trHeight w:val="219"/>
        </w:trPr>
        <w:tc>
          <w:tcPr>
            <w:tcW w:w="40" w:type="dxa"/>
            <w:vAlign w:val="bottom"/>
          </w:tcPr>
          <w:p>
            <w:pPr>
              <w:spacing w:after="0"/>
              <w:rPr>
                <w:sz w:val="19"/>
                <w:szCs w:val="19"/>
                <w:color w:val="auto"/>
              </w:rPr>
            </w:pPr>
          </w:p>
        </w:tc>
        <w:tc>
          <w:tcPr>
            <w:tcW w:w="6780" w:type="dxa"/>
            <w:vAlign w:val="bottom"/>
          </w:tcPr>
          <w:p>
            <w:pPr>
              <w:spacing w:after="0"/>
              <w:rPr>
                <w:sz w:val="19"/>
                <w:szCs w:val="19"/>
                <w:color w:val="auto"/>
              </w:rPr>
            </w:pPr>
          </w:p>
        </w:tc>
        <w:tc>
          <w:tcPr>
            <w:tcW w:w="1460" w:type="dxa"/>
            <w:vAlign w:val="bottom"/>
            <w:gridSpan w:val="2"/>
          </w:tcPr>
          <w:p>
            <w:pPr>
              <w:jc w:val="right"/>
              <w:ind w:right="79"/>
              <w:spacing w:after="0"/>
              <w:rPr>
                <w:sz w:val="20"/>
                <w:szCs w:val="20"/>
                <w:color w:val="auto"/>
              </w:rPr>
            </w:pPr>
            <w:r>
              <w:rPr>
                <w:rFonts w:ascii="Arial" w:cs="Arial" w:eastAsia="Arial" w:hAnsi="Arial"/>
                <w:sz w:val="16"/>
                <w:szCs w:val="16"/>
                <w:color w:val="auto"/>
              </w:rPr>
              <w:t>2021</w:t>
            </w:r>
          </w:p>
        </w:tc>
        <w:tc>
          <w:tcPr>
            <w:tcW w:w="720" w:type="dxa"/>
            <w:vAlign w:val="bottom"/>
          </w:tcPr>
          <w:p>
            <w:pPr>
              <w:spacing w:after="0"/>
              <w:rPr>
                <w:sz w:val="19"/>
                <w:szCs w:val="19"/>
                <w:color w:val="auto"/>
              </w:rPr>
            </w:pPr>
          </w:p>
        </w:tc>
        <w:tc>
          <w:tcPr>
            <w:tcW w:w="1480" w:type="dxa"/>
            <w:vAlign w:val="bottom"/>
          </w:tcPr>
          <w:p>
            <w:pPr>
              <w:jc w:val="right"/>
              <w:ind w:right="99"/>
              <w:spacing w:after="0"/>
              <w:rPr>
                <w:sz w:val="20"/>
                <w:szCs w:val="20"/>
                <w:color w:val="auto"/>
              </w:rPr>
            </w:pPr>
            <w:r>
              <w:rPr>
                <w:rFonts w:ascii="Arial" w:cs="Arial" w:eastAsia="Arial" w:hAnsi="Arial"/>
                <w:sz w:val="16"/>
                <w:szCs w:val="16"/>
                <w:color w:val="auto"/>
              </w:rPr>
              <w:t>2020</w:t>
            </w:r>
          </w:p>
        </w:tc>
        <w:tc>
          <w:tcPr>
            <w:tcW w:w="740" w:type="dxa"/>
            <w:vAlign w:val="bottom"/>
          </w:tcPr>
          <w:p>
            <w:pPr>
              <w:spacing w:after="0"/>
              <w:rPr>
                <w:sz w:val="19"/>
                <w:szCs w:val="19"/>
                <w:color w:val="auto"/>
              </w:rPr>
            </w:pPr>
          </w:p>
        </w:tc>
      </w:tr>
      <w:tr>
        <w:trPr>
          <w:trHeight w:val="253"/>
        </w:trPr>
        <w:tc>
          <w:tcPr>
            <w:tcW w:w="40" w:type="dxa"/>
            <w:vAlign w:val="bottom"/>
          </w:tcPr>
          <w:p>
            <w:pPr>
              <w:spacing w:after="0"/>
              <w:rPr>
                <w:sz w:val="22"/>
                <w:szCs w:val="22"/>
                <w:color w:val="auto"/>
              </w:rPr>
            </w:pPr>
          </w:p>
        </w:tc>
        <w:tc>
          <w:tcPr>
            <w:tcW w:w="6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2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1480" w:type="dxa"/>
            <w:vAlign w:val="bottom"/>
            <w:tcBorders>
              <w:top w:val="single" w:sz="8" w:color="auto"/>
            </w:tcBorders>
          </w:tcPr>
          <w:p>
            <w:pPr>
              <w:spacing w:after="0"/>
              <w:rPr>
                <w:sz w:val="22"/>
                <w:szCs w:val="22"/>
                <w:color w:val="auto"/>
              </w:rPr>
            </w:pPr>
          </w:p>
        </w:tc>
        <w:tc>
          <w:tcPr>
            <w:tcW w:w="740" w:type="dxa"/>
            <w:vAlign w:val="bottom"/>
            <w:tcBorders>
              <w:top w:val="single" w:sz="8" w:color="auto"/>
            </w:tcBorders>
          </w:tcPr>
          <w:p>
            <w:pPr>
              <w:spacing w:after="0"/>
              <w:rPr>
                <w:sz w:val="22"/>
                <w:szCs w:val="22"/>
                <w:color w:val="auto"/>
              </w:rPr>
            </w:pPr>
          </w:p>
        </w:tc>
      </w:tr>
      <w:tr>
        <w:trPr>
          <w:trHeight w:val="216"/>
        </w:trPr>
        <w:tc>
          <w:tcPr>
            <w:tcW w:w="40" w:type="dxa"/>
            <w:vAlign w:val="bottom"/>
          </w:tcPr>
          <w:p>
            <w:pPr>
              <w:spacing w:after="0"/>
              <w:rPr>
                <w:sz w:val="18"/>
                <w:szCs w:val="18"/>
                <w:color w:val="auto"/>
              </w:rPr>
            </w:pPr>
          </w:p>
        </w:tc>
        <w:tc>
          <w:tcPr>
            <w:tcW w:w="6780" w:type="dxa"/>
            <w:vAlign w:val="bottom"/>
            <w:shd w:val="clear" w:color="auto" w:fill="CEFFE7"/>
          </w:tcPr>
          <w:p>
            <w:pPr>
              <w:spacing w:after="0"/>
              <w:rPr>
                <w:sz w:val="20"/>
                <w:szCs w:val="20"/>
                <w:color w:val="auto"/>
              </w:rPr>
            </w:pPr>
            <w:r>
              <w:rPr>
                <w:rFonts w:ascii="Arial" w:cs="Arial" w:eastAsia="Arial" w:hAnsi="Arial"/>
                <w:sz w:val="16"/>
                <w:szCs w:val="16"/>
                <w:color w:val="auto"/>
              </w:rPr>
              <w:t>Equity compensation</w:t>
            </w:r>
          </w:p>
        </w:tc>
        <w:tc>
          <w:tcPr>
            <w:tcW w:w="40" w:type="dxa"/>
            <w:vAlign w:val="bottom"/>
            <w:shd w:val="clear" w:color="auto" w:fill="CEFFE7"/>
          </w:tcPr>
          <w:p>
            <w:pPr>
              <w:spacing w:after="0"/>
              <w:rPr>
                <w:sz w:val="18"/>
                <w:szCs w:val="18"/>
                <w:color w:val="auto"/>
              </w:rPr>
            </w:pPr>
          </w:p>
        </w:tc>
        <w:tc>
          <w:tcPr>
            <w:tcW w:w="1420" w:type="dxa"/>
            <w:vAlign w:val="bottom"/>
            <w:shd w:val="clear" w:color="auto" w:fill="CEFFE7"/>
          </w:tcPr>
          <w:p>
            <w:pPr>
              <w:spacing w:after="0"/>
              <w:rPr>
                <w:sz w:val="18"/>
                <w:szCs w:val="18"/>
                <w:color w:val="auto"/>
              </w:rPr>
            </w:pPr>
          </w:p>
        </w:tc>
        <w:tc>
          <w:tcPr>
            <w:tcW w:w="7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14</w:t>
            </w:r>
          </w:p>
        </w:tc>
        <w:tc>
          <w:tcPr>
            <w:tcW w:w="1480" w:type="dxa"/>
            <w:vAlign w:val="bottom"/>
            <w:shd w:val="clear" w:color="auto" w:fill="CEFFE7"/>
          </w:tcPr>
          <w:p>
            <w:pPr>
              <w:spacing w:after="0"/>
              <w:rPr>
                <w:sz w:val="18"/>
                <w:szCs w:val="18"/>
                <w:color w:val="auto"/>
              </w:rPr>
            </w:pPr>
          </w:p>
        </w:tc>
        <w:tc>
          <w:tcPr>
            <w:tcW w:w="7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12</w:t>
            </w:r>
          </w:p>
        </w:tc>
      </w:tr>
      <w:tr>
        <w:trPr>
          <w:trHeight w:val="213"/>
        </w:trPr>
        <w:tc>
          <w:tcPr>
            <w:tcW w:w="40" w:type="dxa"/>
            <w:vAlign w:val="bottom"/>
          </w:tcPr>
          <w:p>
            <w:pPr>
              <w:spacing w:after="0"/>
              <w:rPr>
                <w:sz w:val="18"/>
                <w:szCs w:val="18"/>
                <w:color w:val="auto"/>
              </w:rPr>
            </w:pPr>
          </w:p>
        </w:tc>
        <w:tc>
          <w:tcPr>
            <w:tcW w:w="6780" w:type="dxa"/>
            <w:vAlign w:val="bottom"/>
            <w:tcBorders>
              <w:bottom w:val="single" w:sz="8" w:color="CEFFE7"/>
            </w:tcBorders>
          </w:tcPr>
          <w:p>
            <w:pPr>
              <w:spacing w:after="0"/>
              <w:rPr>
                <w:sz w:val="20"/>
                <w:szCs w:val="20"/>
                <w:color w:val="auto"/>
              </w:rPr>
            </w:pPr>
            <w:r>
              <w:rPr>
                <w:rFonts w:ascii="Arial" w:cs="Arial" w:eastAsia="Arial" w:hAnsi="Arial"/>
                <w:sz w:val="16"/>
                <w:szCs w:val="16"/>
                <w:color w:val="auto"/>
              </w:rPr>
              <w:t>Restricted stock</w:t>
            </w:r>
          </w:p>
        </w:tc>
        <w:tc>
          <w:tcPr>
            <w:tcW w:w="40" w:type="dxa"/>
            <w:vAlign w:val="bottom"/>
            <w:tcBorders>
              <w:bottom w:val="single" w:sz="8" w:color="CEFFE7"/>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14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r>
      <w:tr>
        <w:trPr>
          <w:trHeight w:val="238"/>
        </w:trPr>
        <w:tc>
          <w:tcPr>
            <w:tcW w:w="40" w:type="dxa"/>
            <w:vAlign w:val="bottom"/>
          </w:tcPr>
          <w:p>
            <w:pPr>
              <w:spacing w:after="0"/>
              <w:rPr>
                <w:sz w:val="20"/>
                <w:szCs w:val="20"/>
                <w:color w:val="auto"/>
              </w:rPr>
            </w:pPr>
          </w:p>
        </w:tc>
        <w:tc>
          <w:tcPr>
            <w:tcW w:w="6780" w:type="dxa"/>
            <w:vAlign w:val="bottom"/>
            <w:tcBorders>
              <w:bottom w:val="single" w:sz="8" w:color="CEFFE7"/>
            </w:tcBorders>
            <w:shd w:val="clear" w:color="auto" w:fill="CEFFE7"/>
          </w:tcPr>
          <w:p>
            <w:pPr>
              <w:ind w:left="120"/>
              <w:spacing w:after="0"/>
              <w:rPr>
                <w:sz w:val="20"/>
                <w:szCs w:val="20"/>
                <w:color w:val="auto"/>
              </w:rPr>
            </w:pPr>
            <w:r>
              <w:rPr>
                <w:rFonts w:ascii="Arial" w:cs="Arial" w:eastAsia="Arial" w:hAnsi="Arial"/>
                <w:sz w:val="16"/>
                <w:szCs w:val="16"/>
                <w:color w:val="auto"/>
              </w:rPr>
              <w:t>Anti-dilutive shares</w:t>
            </w:r>
          </w:p>
        </w:tc>
        <w:tc>
          <w:tcPr>
            <w:tcW w:w="40" w:type="dxa"/>
            <w:vAlign w:val="bottom"/>
            <w:tcBorders>
              <w:bottom w:val="single" w:sz="8" w:color="CEFFE7"/>
            </w:tcBorders>
            <w:shd w:val="clear" w:color="auto" w:fill="CEFFE7"/>
          </w:tcPr>
          <w:p>
            <w:pPr>
              <w:spacing w:after="0"/>
              <w:rPr>
                <w:sz w:val="20"/>
                <w:szCs w:val="20"/>
                <w:color w:val="auto"/>
              </w:rPr>
            </w:pPr>
          </w:p>
        </w:tc>
        <w:tc>
          <w:tcPr>
            <w:tcW w:w="1420" w:type="dxa"/>
            <w:vAlign w:val="bottom"/>
            <w:tcBorders>
              <w:bottom w:val="single" w:sz="8" w:color="auto"/>
            </w:tcBorders>
            <w:shd w:val="clear" w:color="auto" w:fill="CEFFE7"/>
          </w:tcPr>
          <w:p>
            <w:pPr>
              <w:spacing w:after="0"/>
              <w:rPr>
                <w:sz w:val="20"/>
                <w:szCs w:val="20"/>
                <w:color w:val="auto"/>
              </w:rPr>
            </w:pPr>
          </w:p>
        </w:tc>
        <w:tc>
          <w:tcPr>
            <w:tcW w:w="7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33</w:t>
            </w:r>
          </w:p>
        </w:tc>
        <w:tc>
          <w:tcPr>
            <w:tcW w:w="1480" w:type="dxa"/>
            <w:vAlign w:val="bottom"/>
            <w:tcBorders>
              <w:bottom w:val="single" w:sz="8" w:color="auto"/>
            </w:tcBorders>
            <w:shd w:val="clear" w:color="auto" w:fill="CEFFE7"/>
          </w:tcPr>
          <w:p>
            <w:pPr>
              <w:spacing w:after="0"/>
              <w:rPr>
                <w:sz w:val="20"/>
                <w:szCs w:val="20"/>
                <w:color w:val="auto"/>
              </w:rPr>
            </w:pPr>
          </w:p>
        </w:tc>
        <w:tc>
          <w:tcPr>
            <w:tcW w:w="7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38</w:t>
            </w:r>
          </w:p>
        </w:tc>
      </w:tr>
      <w:tr>
        <w:trPr>
          <w:trHeight w:val="20"/>
        </w:trPr>
        <w:tc>
          <w:tcPr>
            <w:tcW w:w="40" w:type="dxa"/>
            <w:vAlign w:val="bottom"/>
          </w:tcPr>
          <w:p>
            <w:pPr>
              <w:spacing w:after="0" w:line="20" w:lineRule="exact"/>
              <w:rPr>
                <w:sz w:val="1"/>
                <w:szCs w:val="1"/>
                <w:color w:val="auto"/>
              </w:rPr>
            </w:pPr>
          </w:p>
        </w:tc>
        <w:tc>
          <w:tcPr>
            <w:tcW w:w="6780" w:type="dxa"/>
            <w:vAlign w:val="bottom"/>
            <w:tcBorders>
              <w:top w:val="single" w:sz="8" w:color="CEFFE7"/>
            </w:tcBorders>
          </w:tcPr>
          <w:p>
            <w:pPr>
              <w:spacing w:after="0" w:line="20" w:lineRule="exact"/>
              <w:rPr>
                <w:sz w:val="1"/>
                <w:szCs w:val="1"/>
                <w:color w:val="auto"/>
              </w:rPr>
            </w:pPr>
          </w:p>
        </w:tc>
        <w:tc>
          <w:tcPr>
            <w:tcW w:w="40" w:type="dxa"/>
            <w:vAlign w:val="bottom"/>
            <w:tcBorders>
              <w:top w:val="single" w:sz="8" w:color="CEFFE7"/>
            </w:tcBorders>
          </w:tcPr>
          <w:p>
            <w:pPr>
              <w:spacing w:after="0" w:line="20" w:lineRule="exact"/>
              <w:rPr>
                <w:sz w:val="1"/>
                <w:szCs w:val="1"/>
                <w:color w:val="auto"/>
              </w:rPr>
            </w:pPr>
          </w:p>
        </w:tc>
        <w:tc>
          <w:tcPr>
            <w:tcW w:w="1420" w:type="dxa"/>
            <w:vAlign w:val="bottom"/>
            <w:tcBorders>
              <w:top w:val="single" w:sz="8" w:color="CEFFE7"/>
              <w:bottom w:val="single" w:sz="8" w:color="auto"/>
            </w:tcBorders>
          </w:tcPr>
          <w:p>
            <w:pPr>
              <w:spacing w:after="0" w:line="20" w:lineRule="exact"/>
              <w:rPr>
                <w:sz w:val="1"/>
                <w:szCs w:val="1"/>
                <w:color w:val="auto"/>
              </w:rPr>
            </w:pPr>
          </w:p>
        </w:tc>
        <w:tc>
          <w:tcPr>
            <w:tcW w:w="720" w:type="dxa"/>
            <w:vAlign w:val="bottom"/>
            <w:tcBorders>
              <w:top w:val="single" w:sz="8" w:color="CEFFE7"/>
              <w:bottom w:val="single" w:sz="8" w:color="auto"/>
            </w:tcBorders>
          </w:tcPr>
          <w:p>
            <w:pPr>
              <w:spacing w:after="0" w:line="20" w:lineRule="exact"/>
              <w:rPr>
                <w:sz w:val="1"/>
                <w:szCs w:val="1"/>
                <w:color w:val="auto"/>
              </w:rPr>
            </w:pPr>
          </w:p>
        </w:tc>
        <w:tc>
          <w:tcPr>
            <w:tcW w:w="1480" w:type="dxa"/>
            <w:vAlign w:val="bottom"/>
            <w:tcBorders>
              <w:top w:val="single" w:sz="8" w:color="CEFFE7"/>
              <w:bottom w:val="single" w:sz="8" w:color="auto"/>
            </w:tcBorders>
          </w:tcPr>
          <w:p>
            <w:pPr>
              <w:spacing w:after="0" w:line="20" w:lineRule="exact"/>
              <w:rPr>
                <w:sz w:val="1"/>
                <w:szCs w:val="1"/>
                <w:color w:val="auto"/>
              </w:rPr>
            </w:pPr>
          </w:p>
        </w:tc>
        <w:tc>
          <w:tcPr>
            <w:tcW w:w="740" w:type="dxa"/>
            <w:vAlign w:val="bottom"/>
            <w:tcBorders>
              <w:top w:val="single" w:sz="8" w:color="CEFFE7"/>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ind w:right="8220" w:firstLine="8"/>
        <w:spacing w:after="0" w:line="576" w:lineRule="auto"/>
        <w:tabs>
          <w:tab w:leader="none" w:pos="378" w:val="left"/>
        </w:tabs>
        <w:numPr>
          <w:ilvl w:val="0"/>
          <w:numId w:val="9"/>
        </w:numPr>
        <w:rPr>
          <w:rFonts w:ascii="Arial" w:cs="Arial" w:eastAsia="Arial" w:hAnsi="Arial"/>
          <w:sz w:val="16"/>
          <w:szCs w:val="16"/>
          <w:b w:val="1"/>
          <w:bCs w:val="1"/>
          <w:color w:val="auto"/>
        </w:rPr>
      </w:pPr>
      <w:r>
        <w:rPr>
          <w:rFonts w:ascii="Arial" w:cs="Arial" w:eastAsia="Arial" w:hAnsi="Arial"/>
          <w:sz w:val="16"/>
          <w:szCs w:val="16"/>
          <w:b w:val="1"/>
          <w:bCs w:val="1"/>
          <w:color w:val="auto"/>
        </w:rPr>
        <w:t>Risk Management and Derivatives Market and Credit Risk Disclosures</w:t>
      </w:r>
    </w:p>
    <w:p>
      <w:pPr>
        <w:spacing w:after="0" w:line="1" w:lineRule="exact"/>
        <w:rPr>
          <w:sz w:val="20"/>
          <w:szCs w:val="20"/>
          <w:color w:val="auto"/>
        </w:rPr>
      </w:pPr>
    </w:p>
    <w:p>
      <w:pPr>
        <w:ind w:right="200"/>
        <w:spacing w:after="0" w:line="260" w:lineRule="auto"/>
        <w:rPr>
          <w:sz w:val="20"/>
          <w:szCs w:val="20"/>
          <w:color w:val="auto"/>
        </w:rPr>
      </w:pPr>
      <w:r>
        <w:rPr>
          <w:rFonts w:ascii="Arial" w:cs="Arial" w:eastAsia="Arial" w:hAnsi="Arial"/>
          <w:sz w:val="16"/>
          <w:szCs w:val="16"/>
          <w:color w:val="auto"/>
        </w:rPr>
        <w:t>Our activities in the regulated and non-regulated energy sectors expose us to a number of risks in the normal operations of our businesses. Depending on the activity, we are exposed to varying degrees of market risk and credit risk.</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Market Risk</w:t>
      </w:r>
    </w:p>
    <w:p>
      <w:pPr>
        <w:spacing w:after="0" w:line="248" w:lineRule="exact"/>
        <w:rPr>
          <w:sz w:val="20"/>
          <w:szCs w:val="20"/>
          <w:color w:val="auto"/>
        </w:rPr>
      </w:pPr>
    </w:p>
    <w:p>
      <w:pPr>
        <w:ind w:right="400"/>
        <w:spacing w:after="0" w:line="260" w:lineRule="auto"/>
        <w:rPr>
          <w:sz w:val="20"/>
          <w:szCs w:val="20"/>
          <w:color w:val="auto"/>
        </w:rPr>
      </w:pPr>
      <w:r>
        <w:rPr>
          <w:rFonts w:ascii="Arial" w:cs="Arial" w:eastAsia="Arial" w:hAnsi="Arial"/>
          <w:sz w:val="16"/>
          <w:szCs w:val="16"/>
          <w:color w:val="auto"/>
        </w:rPr>
        <w:t>Market risk is the potential loss that may occur as a result of an adverse change in market price, rate or supply. We are exposed to the following market risks, including, but not limited to:</w:t>
      </w:r>
    </w:p>
    <w:p>
      <w:pPr>
        <w:spacing w:after="0" w:line="222" w:lineRule="exact"/>
        <w:rPr>
          <w:sz w:val="20"/>
          <w:szCs w:val="20"/>
          <w:color w:val="auto"/>
        </w:rPr>
      </w:pPr>
    </w:p>
    <w:p>
      <w:pPr>
        <w:ind w:left="500" w:right="140" w:hanging="330"/>
        <w:spacing w:after="0" w:line="253" w:lineRule="auto"/>
        <w:tabs>
          <w:tab w:leader="none" w:pos="489" w:val="left"/>
        </w:tabs>
        <w:numPr>
          <w:ilvl w:val="0"/>
          <w:numId w:val="10"/>
        </w:numPr>
        <w:rPr>
          <w:rFonts w:ascii="Arial" w:cs="Arial" w:eastAsia="Arial" w:hAnsi="Arial"/>
          <w:sz w:val="16"/>
          <w:szCs w:val="16"/>
          <w:color w:val="auto"/>
        </w:rPr>
      </w:pPr>
      <w:r>
        <w:rPr>
          <w:rFonts w:ascii="Arial" w:cs="Arial" w:eastAsia="Arial" w:hAnsi="Arial"/>
          <w:sz w:val="16"/>
          <w:szCs w:val="16"/>
          <w:color w:val="auto"/>
        </w:rPr>
        <w:t>Commodity price risk associated with our retail natural gas and wholesale electric power marketing activities, as well as our fuel procurement for several of our gas-fired generation assets, which include market fluctuations due to unpredictable factors such as Winter Storm Uri, weather, market speculation, pipeline constraints, and other factors that may impact natural gas and electric energy supply and demand; and</w:t>
      </w:r>
    </w:p>
    <w:p>
      <w:pPr>
        <w:spacing w:after="0" w:line="228" w:lineRule="exact"/>
        <w:rPr>
          <w:rFonts w:ascii="Arial" w:cs="Arial" w:eastAsia="Arial" w:hAnsi="Arial"/>
          <w:sz w:val="16"/>
          <w:szCs w:val="16"/>
          <w:color w:val="auto"/>
        </w:rPr>
      </w:pPr>
    </w:p>
    <w:p>
      <w:pPr>
        <w:ind w:left="500" w:right="380" w:hanging="330"/>
        <w:spacing w:after="0" w:line="260" w:lineRule="auto"/>
        <w:tabs>
          <w:tab w:leader="none" w:pos="489"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Interest rate risk associated with future debt, including reduced access to liquidity during periods of extreme capital markets volatility, such as the 2008 financial crisis and the COVID-19 pandemic.</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Credit Risk</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Credit risk is the risk of financial loss resulting from non-performance of contractual obligations by a counterparty.</w:t>
      </w:r>
    </w:p>
    <w:p>
      <w:pPr>
        <w:spacing w:after="0" w:line="248" w:lineRule="exact"/>
        <w:rPr>
          <w:sz w:val="20"/>
          <w:szCs w:val="20"/>
          <w:color w:val="auto"/>
        </w:rPr>
      </w:pPr>
    </w:p>
    <w:p>
      <w:pPr>
        <w:ind w:right="320"/>
        <w:spacing w:after="0" w:line="253" w:lineRule="auto"/>
        <w:rPr>
          <w:sz w:val="20"/>
          <w:szCs w:val="20"/>
          <w:color w:val="auto"/>
        </w:rPr>
      </w:pPr>
      <w:r>
        <w:rPr>
          <w:rFonts w:ascii="Arial" w:cs="Arial" w:eastAsia="Arial" w:hAnsi="Arial"/>
          <w:sz w:val="16"/>
          <w:szCs w:val="16"/>
          <w:color w:val="auto"/>
        </w:rPr>
        <w:t>We attempt to mitigate our credit exposure by conducting business primarily with high credit quality entities, setting tenor and credit limits commensurate with counterparty financial strength, obtaining master netting agreements and mitigating credit exposure with less creditworthy counterparties through parental guarantees, cash collateral requirements, letters of credit and other security agreements.</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0" w:name="page21"/>
    <w:bookmarkEnd w:id="20"/>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We perform ongoing credit evaluations of our customers and adjust credit limits based upon payment history and the customer’s current creditworthiness, as determined by review of their current credit information. We maintain a provision for estimated credit losses based upon historical experience, changes in current market conditions, expected losses and any specific customer collection issue that is identified.</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Derivatives and Hedging Activity</w:t>
      </w:r>
    </w:p>
    <w:p>
      <w:pPr>
        <w:spacing w:after="0" w:line="268" w:lineRule="exact"/>
        <w:rPr>
          <w:sz w:val="20"/>
          <w:szCs w:val="20"/>
          <w:color w:val="auto"/>
        </w:rPr>
      </w:pPr>
    </w:p>
    <w:p>
      <w:pPr>
        <w:ind w:right="440"/>
        <w:spacing w:after="0" w:line="260" w:lineRule="auto"/>
        <w:rPr>
          <w:rFonts w:ascii="Arial" w:cs="Arial" w:eastAsia="Arial" w:hAnsi="Arial"/>
          <w:sz w:val="16"/>
          <w:szCs w:val="16"/>
          <w:color w:val="auto"/>
        </w:rPr>
      </w:pPr>
      <w:r>
        <w:rPr>
          <w:rFonts w:ascii="Arial" w:cs="Arial" w:eastAsia="Arial" w:hAnsi="Arial"/>
          <w:sz w:val="16"/>
          <w:szCs w:val="16"/>
          <w:color w:val="auto"/>
        </w:rPr>
        <w:t xml:space="preserve">Our derivative and hedging activities included in the accompanying Condensed Consolidated Balance Sheets, Condensed Consolidated Statements of Income and Condensed Consolidated Statements of Comprehensive Income are detailed below and in </w:t>
      </w:r>
      <w:hyperlink w:anchor="page23">
        <w:r>
          <w:rPr>
            <w:rFonts w:ascii="Arial" w:cs="Arial" w:eastAsia="Arial" w:hAnsi="Arial"/>
            <w:sz w:val="16"/>
            <w:szCs w:val="16"/>
            <w:u w:val="single" w:color="auto"/>
            <w:color w:val="0000FF"/>
          </w:rPr>
          <w:t>Note 8</w:t>
        </w:r>
      </w:hyperlink>
      <w:r>
        <w:rPr>
          <w:rFonts w:ascii="Arial" w:cs="Arial" w:eastAsia="Arial" w:hAnsi="Arial"/>
          <w:sz w:val="16"/>
          <w:szCs w:val="16"/>
          <w:color w:val="auto"/>
        </w:rPr>
        <w:t>.</w:t>
      </w:r>
    </w:p>
    <w:p>
      <w:pPr>
        <w:spacing w:after="0" w:line="222" w:lineRule="exact"/>
        <w:rPr>
          <w:sz w:val="20"/>
          <w:szCs w:val="20"/>
          <w:color w:val="auto"/>
        </w:rPr>
      </w:pPr>
    </w:p>
    <w:p>
      <w:pPr>
        <w:ind w:right="60"/>
        <w:spacing w:after="0" w:line="249" w:lineRule="auto"/>
        <w:rPr>
          <w:sz w:val="20"/>
          <w:szCs w:val="20"/>
          <w:color w:val="auto"/>
        </w:rPr>
      </w:pPr>
      <w:r>
        <w:rPr>
          <w:rFonts w:ascii="Arial" w:cs="Arial" w:eastAsia="Arial" w:hAnsi="Arial"/>
          <w:sz w:val="16"/>
          <w:szCs w:val="16"/>
          <w:color w:val="auto"/>
        </w:rPr>
        <w:t>The operations of our utilities, including natural gas sold by our Gas Utilities and natural gas used by our Electric Utilities’ generating facilities plants or those facilities under PPAs where our Electric Utilities must provide the generation fuel (tolling agreements), expose our utility customers to natural gas price volatility. Therefore, as allowed or required by state regulatory commissions, we have entered into commission-approved hedging programs utilizing natural gas futures, options, over-the-counter swaps and basis swaps to reduce our customers’ underlying exposure to these fluctuations. These transactions are considered derivatives, and in accordance with accounting standards for derivatives and hedging, mark-to-market adjustments are recorded as Derivative assets or Derivative liabilities on the accompanying Condensed Consolidated Balance Sheets, net of balance sheet offsetting as permitted by GAAP.</w:t>
      </w:r>
    </w:p>
    <w:p>
      <w:pPr>
        <w:spacing w:after="0" w:line="232" w:lineRule="exact"/>
        <w:rPr>
          <w:sz w:val="20"/>
          <w:szCs w:val="20"/>
          <w:color w:val="auto"/>
        </w:rPr>
      </w:pPr>
    </w:p>
    <w:p>
      <w:pPr>
        <w:ind w:right="120"/>
        <w:spacing w:after="0" w:line="251" w:lineRule="auto"/>
        <w:rPr>
          <w:sz w:val="20"/>
          <w:szCs w:val="20"/>
          <w:color w:val="auto"/>
        </w:rPr>
      </w:pPr>
      <w:r>
        <w:rPr>
          <w:rFonts w:ascii="Arial" w:cs="Arial" w:eastAsia="Arial" w:hAnsi="Arial"/>
          <w:sz w:val="16"/>
          <w:szCs w:val="16"/>
          <w:color w:val="auto"/>
        </w:rPr>
        <w:t>For our regulated Utilities’ hedging plans, unrealized and realized gains and losses, as well as option premiums and commissions on these transactions are recorded as Regulatory assets or Regulatory liabilities in the accompanying Condensed Consolidated Balance Sheets in accordance with the state regulatory commission guidelines. When the related costs are recovered through our rates, the hedging activity is recognized in the Condensed Consolidated Statements of Income.</w:t>
      </w:r>
    </w:p>
    <w:p>
      <w:pPr>
        <w:spacing w:after="0" w:line="229" w:lineRule="exact"/>
        <w:rPr>
          <w:sz w:val="20"/>
          <w:szCs w:val="20"/>
          <w:color w:val="auto"/>
        </w:rPr>
      </w:pPr>
    </w:p>
    <w:p>
      <w:pPr>
        <w:ind w:right="340"/>
        <w:spacing w:after="0" w:line="253" w:lineRule="auto"/>
        <w:rPr>
          <w:sz w:val="20"/>
          <w:szCs w:val="20"/>
          <w:color w:val="auto"/>
        </w:rPr>
      </w:pPr>
      <w:r>
        <w:rPr>
          <w:rFonts w:ascii="Arial" w:cs="Arial" w:eastAsia="Arial" w:hAnsi="Arial"/>
          <w:sz w:val="16"/>
          <w:szCs w:val="16"/>
          <w:color w:val="auto"/>
        </w:rPr>
        <w:t>We periodically use wholesale power purchase and sale contracts to manage purchased power costs and load requirements associated with serving our electric customers that are considered derivative instruments due to not qualifying for the normal purchases and normal sales exception to derivative accounting. Changes in the fair value of these commodity derivatives are recognized in the Condensed Consolidated Statements of Income.</w:t>
      </w:r>
    </w:p>
    <w:p>
      <w:pPr>
        <w:spacing w:after="0" w:line="228" w:lineRule="exact"/>
        <w:rPr>
          <w:sz w:val="20"/>
          <w:szCs w:val="20"/>
          <w:color w:val="auto"/>
        </w:rPr>
      </w:pPr>
    </w:p>
    <w:p>
      <w:pPr>
        <w:ind w:right="180"/>
        <w:spacing w:after="0" w:line="248" w:lineRule="auto"/>
        <w:rPr>
          <w:sz w:val="20"/>
          <w:szCs w:val="20"/>
          <w:color w:val="auto"/>
        </w:rPr>
      </w:pPr>
      <w:r>
        <w:rPr>
          <w:rFonts w:ascii="Arial" w:cs="Arial" w:eastAsia="Arial" w:hAnsi="Arial"/>
          <w:sz w:val="16"/>
          <w:szCs w:val="16"/>
          <w:color w:val="auto"/>
        </w:rPr>
        <w:t>We buy, sell and deliver natural gas at competitive prices by managing commodity price risk. As a result of these activities, this area of our business is exposed to risks associated with changes in the market price of natural gas. We manage our exposure to such risk using over-the-counter and exchange traded options and swaps with counterparties in anticipation of forecasted purchases and sales during time frames ranging from April 2021 through August 2023. A portion of our over-the-counter swaps have been designated as cash flow hedges to mitigate the commodity price risk associated with deliveries under fixed price forward contracts to deliver gas to our Choice Gas Program customers. The gain or loss on these designated derivatives is reported in AOCI in the accompanying Condensed Consolidated Balance Sheets and reclassified into earnings in the same period that the underlying hedged item is recognized in earnings. Effectiveness of our hedging position is evaluated at least quarterly.</w:t>
      </w:r>
    </w:p>
    <w:p>
      <w:pPr>
        <w:spacing w:after="0" w:line="235" w:lineRule="exact"/>
        <w:rPr>
          <w:sz w:val="20"/>
          <w:szCs w:val="20"/>
          <w:color w:val="auto"/>
        </w:rPr>
      </w:pPr>
    </w:p>
    <w:p>
      <w:pPr>
        <w:ind w:right="140"/>
        <w:spacing w:after="0" w:line="260" w:lineRule="auto"/>
        <w:rPr>
          <w:sz w:val="20"/>
          <w:szCs w:val="20"/>
          <w:color w:val="auto"/>
        </w:rPr>
      </w:pPr>
      <w:r>
        <w:rPr>
          <w:rFonts w:ascii="Arial" w:cs="Arial" w:eastAsia="Arial" w:hAnsi="Arial"/>
          <w:sz w:val="16"/>
          <w:szCs w:val="16"/>
          <w:color w:val="auto"/>
        </w:rPr>
        <w:t>The contract or notional amounts and terms of the electric and natural gas derivative commodity instruments held at our Utilities are composed of both long and short positions. We had the following net long positions as of:</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4800" w:type="dxa"/>
            <w:vAlign w:val="bottom"/>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2540" w:type="dxa"/>
            <w:vAlign w:val="bottom"/>
            <w:tcBorders>
              <w:bottom w:val="single" w:sz="8" w:color="auto"/>
            </w:tcBorders>
            <w:gridSpan w:val="3"/>
          </w:tcPr>
          <w:p>
            <w:pPr>
              <w:ind w:left="720"/>
              <w:spacing w:after="0"/>
              <w:rPr>
                <w:sz w:val="20"/>
                <w:szCs w:val="20"/>
                <w:color w:val="auto"/>
              </w:rPr>
            </w:pPr>
            <w:r>
              <w:rPr>
                <w:rFonts w:ascii="Arial" w:cs="Arial" w:eastAsia="Arial" w:hAnsi="Arial"/>
                <w:sz w:val="16"/>
                <w:szCs w:val="16"/>
                <w:color w:val="auto"/>
              </w:rPr>
              <w:t>March 31, 2021</w:t>
            </w:r>
          </w:p>
        </w:tc>
        <w:tc>
          <w:tcPr>
            <w:tcW w:w="100" w:type="dxa"/>
            <w:vAlign w:val="bottom"/>
          </w:tcPr>
          <w:p>
            <w:pPr>
              <w:spacing w:after="0"/>
              <w:rPr>
                <w:sz w:val="17"/>
                <w:szCs w:val="17"/>
                <w:color w:val="auto"/>
              </w:rPr>
            </w:pPr>
          </w:p>
        </w:tc>
        <w:tc>
          <w:tcPr>
            <w:tcW w:w="2520" w:type="dxa"/>
            <w:vAlign w:val="bottom"/>
            <w:tcBorders>
              <w:bottom w:val="single" w:sz="8" w:color="auto"/>
            </w:tcBorders>
            <w:gridSpan w:val="3"/>
          </w:tcPr>
          <w:p>
            <w:pPr>
              <w:ind w:left="560"/>
              <w:spacing w:after="0"/>
              <w:rPr>
                <w:sz w:val="20"/>
                <w:szCs w:val="20"/>
                <w:color w:val="auto"/>
              </w:rPr>
            </w:pPr>
            <w:r>
              <w:rPr>
                <w:rFonts w:ascii="Arial" w:cs="Arial" w:eastAsia="Arial" w:hAnsi="Arial"/>
                <w:sz w:val="16"/>
                <w:szCs w:val="16"/>
                <w:color w:val="auto"/>
              </w:rPr>
              <w:t>December 31, 2020</w:t>
            </w:r>
          </w:p>
        </w:tc>
      </w:tr>
      <w:tr>
        <w:trPr>
          <w:trHeight w:val="174"/>
        </w:trPr>
        <w:tc>
          <w:tcPr>
            <w:tcW w:w="48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jc w:val="center"/>
              <w:ind w:right="100"/>
              <w:spacing w:after="0" w:line="174" w:lineRule="exact"/>
              <w:rPr>
                <w:sz w:val="20"/>
                <w:szCs w:val="20"/>
                <w:color w:val="auto"/>
              </w:rPr>
            </w:pPr>
            <w:r>
              <w:rPr>
                <w:rFonts w:ascii="Arial" w:cs="Arial" w:eastAsia="Arial" w:hAnsi="Arial"/>
                <w:sz w:val="16"/>
                <w:szCs w:val="16"/>
                <w:color w:val="auto"/>
              </w:rPr>
              <w:t>Maximum</w:t>
            </w: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jc w:val="center"/>
              <w:spacing w:after="0" w:line="174" w:lineRule="exact"/>
              <w:rPr>
                <w:sz w:val="20"/>
                <w:szCs w:val="20"/>
                <w:color w:val="auto"/>
              </w:rPr>
            </w:pPr>
            <w:r>
              <w:rPr>
                <w:rFonts w:ascii="Arial" w:cs="Arial" w:eastAsia="Arial" w:hAnsi="Arial"/>
                <w:sz w:val="16"/>
                <w:szCs w:val="16"/>
                <w:color w:val="auto"/>
              </w:rPr>
              <w:t>Maximum</w:t>
            </w:r>
          </w:p>
        </w:tc>
      </w:tr>
      <w:tr>
        <w:trPr>
          <w:trHeight w:val="147"/>
        </w:trPr>
        <w:tc>
          <w:tcPr>
            <w:tcW w:w="48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340" w:type="dxa"/>
            <w:vAlign w:val="bottom"/>
            <w:gridSpan w:val="2"/>
          </w:tcPr>
          <w:p>
            <w:pPr>
              <w:ind w:left="320"/>
              <w:spacing w:after="0" w:line="147" w:lineRule="exact"/>
              <w:rPr>
                <w:sz w:val="20"/>
                <w:szCs w:val="20"/>
                <w:color w:val="auto"/>
              </w:rPr>
            </w:pPr>
            <w:r>
              <w:rPr>
                <w:rFonts w:ascii="Arial" w:cs="Arial" w:eastAsia="Arial" w:hAnsi="Arial"/>
                <w:sz w:val="16"/>
                <w:szCs w:val="16"/>
                <w:color w:val="auto"/>
              </w:rPr>
              <w:t>Notional</w:t>
            </w:r>
          </w:p>
        </w:tc>
        <w:tc>
          <w:tcPr>
            <w:tcW w:w="1300" w:type="dxa"/>
            <w:vAlign w:val="bottom"/>
            <w:gridSpan w:val="2"/>
          </w:tcPr>
          <w:p>
            <w:pPr>
              <w:jc w:val="center"/>
              <w:ind w:right="100"/>
              <w:spacing w:after="0" w:line="147" w:lineRule="exact"/>
              <w:rPr>
                <w:sz w:val="20"/>
                <w:szCs w:val="20"/>
                <w:color w:val="auto"/>
              </w:rPr>
            </w:pPr>
            <w:r>
              <w:rPr>
                <w:rFonts w:ascii="Arial" w:cs="Arial" w:eastAsia="Arial" w:hAnsi="Arial"/>
                <w:sz w:val="16"/>
                <w:szCs w:val="16"/>
                <w:color w:val="auto"/>
                <w:w w:val="96"/>
              </w:rPr>
              <w:t>Term</w:t>
            </w:r>
          </w:p>
        </w:tc>
        <w:tc>
          <w:tcPr>
            <w:tcW w:w="1320" w:type="dxa"/>
            <w:vAlign w:val="bottom"/>
            <w:gridSpan w:val="2"/>
          </w:tcPr>
          <w:p>
            <w:pPr>
              <w:ind w:left="300"/>
              <w:spacing w:after="0" w:line="147" w:lineRule="exact"/>
              <w:rPr>
                <w:sz w:val="20"/>
                <w:szCs w:val="20"/>
                <w:color w:val="auto"/>
              </w:rPr>
            </w:pPr>
            <w:r>
              <w:rPr>
                <w:rFonts w:ascii="Arial" w:cs="Arial" w:eastAsia="Arial" w:hAnsi="Arial"/>
                <w:sz w:val="16"/>
                <w:szCs w:val="16"/>
                <w:color w:val="auto"/>
              </w:rPr>
              <w:t>Notional</w:t>
            </w:r>
          </w:p>
        </w:tc>
        <w:tc>
          <w:tcPr>
            <w:tcW w:w="1200" w:type="dxa"/>
            <w:vAlign w:val="bottom"/>
          </w:tcPr>
          <w:p>
            <w:pPr>
              <w:jc w:val="center"/>
              <w:spacing w:after="0" w:line="147" w:lineRule="exact"/>
              <w:rPr>
                <w:sz w:val="20"/>
                <w:szCs w:val="20"/>
                <w:color w:val="auto"/>
              </w:rPr>
            </w:pPr>
            <w:r>
              <w:rPr>
                <w:rFonts w:ascii="Arial" w:cs="Arial" w:eastAsia="Arial" w:hAnsi="Arial"/>
                <w:sz w:val="16"/>
                <w:szCs w:val="16"/>
                <w:color w:val="auto"/>
                <w:w w:val="96"/>
              </w:rPr>
              <w:t>Term</w:t>
            </w:r>
          </w:p>
        </w:tc>
      </w:tr>
      <w:tr>
        <w:trPr>
          <w:trHeight w:val="216"/>
        </w:trPr>
        <w:tc>
          <w:tcPr>
            <w:tcW w:w="4800" w:type="dxa"/>
            <w:vAlign w:val="bottom"/>
            <w:tcBorders>
              <w:bottom w:val="single" w:sz="8" w:color="CEFFE7"/>
            </w:tcBorders>
          </w:tcPr>
          <w:p>
            <w:pPr>
              <w:spacing w:after="0"/>
              <w:rPr>
                <w:sz w:val="18"/>
                <w:szCs w:val="18"/>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8"/>
              </w:rPr>
              <w:t>Units</w:t>
            </w:r>
          </w:p>
        </w:tc>
        <w:tc>
          <w:tcPr>
            <w:tcW w:w="1240" w:type="dxa"/>
            <w:vAlign w:val="bottom"/>
            <w:tcBorders>
              <w:bottom w:val="single" w:sz="8" w:color="auto"/>
            </w:tcBorders>
          </w:tcPr>
          <w:p>
            <w:pPr>
              <w:ind w:left="320"/>
              <w:spacing w:after="0"/>
              <w:rPr>
                <w:sz w:val="20"/>
                <w:szCs w:val="20"/>
                <w:color w:val="auto"/>
              </w:rPr>
            </w:pPr>
            <w:r>
              <w:rPr>
                <w:rFonts w:ascii="Arial" w:cs="Arial" w:eastAsia="Arial" w:hAnsi="Arial"/>
                <w:sz w:val="16"/>
                <w:szCs w:val="16"/>
                <w:color w:val="auto"/>
              </w:rPr>
              <w:t>Amounts</w:t>
            </w:r>
          </w:p>
        </w:tc>
        <w:tc>
          <w:tcPr>
            <w:tcW w:w="100" w:type="dxa"/>
            <w:vAlign w:val="bottom"/>
            <w:tcBorders>
              <w:bottom w:val="single" w:sz="8" w:color="CEFFE7"/>
            </w:tcBorders>
          </w:tcPr>
          <w:p>
            <w:pPr>
              <w:spacing w:after="0"/>
              <w:rPr>
                <w:sz w:val="18"/>
                <w:szCs w:val="18"/>
                <w:color w:val="auto"/>
              </w:rPr>
            </w:pPr>
          </w:p>
        </w:tc>
        <w:tc>
          <w:tcPr>
            <w:tcW w:w="1200" w:type="dxa"/>
            <w:vAlign w:val="bottom"/>
            <w:tcBorders>
              <w:bottom w:val="single" w:sz="8" w:color="auto"/>
            </w:tcBorders>
          </w:tcPr>
          <w:p>
            <w:pPr>
              <w:jc w:val="center"/>
              <w:spacing w:after="0" w:line="216" w:lineRule="exact"/>
              <w:rPr>
                <w:sz w:val="20"/>
                <w:szCs w:val="20"/>
                <w:color w:val="auto"/>
              </w:rPr>
            </w:pPr>
            <w:r>
              <w:rPr>
                <w:rFonts w:ascii="Arial" w:cs="Arial" w:eastAsia="Arial" w:hAnsi="Arial"/>
                <w:sz w:val="16"/>
                <w:szCs w:val="16"/>
                <w:color w:val="auto"/>
                <w:w w:val="94"/>
              </w:rPr>
              <w:t xml:space="preserve">(months) </w:t>
            </w:r>
            <w:r>
              <w:rPr>
                <w:rFonts w:ascii="Arial" w:cs="Arial" w:eastAsia="Arial" w:hAnsi="Arial"/>
                <w:sz w:val="21"/>
                <w:szCs w:val="21"/>
                <w:color w:val="auto"/>
                <w:w w:val="94"/>
                <w:vertAlign w:val="superscript"/>
              </w:rPr>
              <w:t>(a)</w:t>
            </w:r>
          </w:p>
        </w:tc>
        <w:tc>
          <w:tcPr>
            <w:tcW w:w="100" w:type="dxa"/>
            <w:vAlign w:val="bottom"/>
            <w:tcBorders>
              <w:bottom w:val="single" w:sz="8" w:color="CEFFE7"/>
            </w:tcBorders>
          </w:tcPr>
          <w:p>
            <w:pPr>
              <w:spacing w:after="0"/>
              <w:rPr>
                <w:sz w:val="18"/>
                <w:szCs w:val="18"/>
                <w:color w:val="auto"/>
              </w:rPr>
            </w:pPr>
          </w:p>
        </w:tc>
        <w:tc>
          <w:tcPr>
            <w:tcW w:w="1220" w:type="dxa"/>
            <w:vAlign w:val="bottom"/>
            <w:tcBorders>
              <w:bottom w:val="single" w:sz="8" w:color="auto"/>
            </w:tcBorders>
          </w:tcPr>
          <w:p>
            <w:pPr>
              <w:ind w:left="300"/>
              <w:spacing w:after="0"/>
              <w:rPr>
                <w:sz w:val="20"/>
                <w:szCs w:val="20"/>
                <w:color w:val="auto"/>
              </w:rPr>
            </w:pPr>
            <w:r>
              <w:rPr>
                <w:rFonts w:ascii="Arial" w:cs="Arial" w:eastAsia="Arial" w:hAnsi="Arial"/>
                <w:sz w:val="16"/>
                <w:szCs w:val="16"/>
                <w:color w:val="auto"/>
              </w:rPr>
              <w:t>Amounts</w:t>
            </w:r>
          </w:p>
        </w:tc>
        <w:tc>
          <w:tcPr>
            <w:tcW w:w="100" w:type="dxa"/>
            <w:vAlign w:val="bottom"/>
            <w:tcBorders>
              <w:bottom w:val="single" w:sz="8" w:color="CEFFE7"/>
            </w:tcBorders>
          </w:tcPr>
          <w:p>
            <w:pPr>
              <w:spacing w:after="0"/>
              <w:rPr>
                <w:sz w:val="18"/>
                <w:szCs w:val="18"/>
                <w:color w:val="auto"/>
              </w:rPr>
            </w:pPr>
          </w:p>
        </w:tc>
        <w:tc>
          <w:tcPr>
            <w:tcW w:w="1200" w:type="dxa"/>
            <w:vAlign w:val="bottom"/>
            <w:tcBorders>
              <w:bottom w:val="single" w:sz="8" w:color="auto"/>
            </w:tcBorders>
          </w:tcPr>
          <w:p>
            <w:pPr>
              <w:jc w:val="center"/>
              <w:spacing w:after="0" w:line="216" w:lineRule="exact"/>
              <w:rPr>
                <w:sz w:val="20"/>
                <w:szCs w:val="20"/>
                <w:color w:val="auto"/>
              </w:rPr>
            </w:pPr>
            <w:r>
              <w:rPr>
                <w:rFonts w:ascii="Arial" w:cs="Arial" w:eastAsia="Arial" w:hAnsi="Arial"/>
                <w:sz w:val="16"/>
                <w:szCs w:val="16"/>
                <w:color w:val="auto"/>
                <w:w w:val="94"/>
              </w:rPr>
              <w:t xml:space="preserve">(months) </w:t>
            </w:r>
            <w:r>
              <w:rPr>
                <w:rFonts w:ascii="Arial" w:cs="Arial" w:eastAsia="Arial" w:hAnsi="Arial"/>
                <w:sz w:val="21"/>
                <w:szCs w:val="21"/>
                <w:color w:val="auto"/>
                <w:w w:val="94"/>
                <w:vertAlign w:val="superscript"/>
              </w:rPr>
              <w:t>(a)</w:t>
            </w:r>
          </w:p>
        </w:tc>
      </w:tr>
      <w:tr>
        <w:trPr>
          <w:trHeight w:val="210"/>
        </w:trPr>
        <w:tc>
          <w:tcPr>
            <w:tcW w:w="4800" w:type="dxa"/>
            <w:vAlign w:val="bottom"/>
            <w:shd w:val="clear" w:color="auto" w:fill="CEFFE7"/>
          </w:tcPr>
          <w:p>
            <w:pPr>
              <w:ind w:left="20"/>
              <w:spacing w:after="0"/>
              <w:rPr>
                <w:sz w:val="20"/>
                <w:szCs w:val="20"/>
                <w:color w:val="auto"/>
              </w:rPr>
            </w:pPr>
            <w:r>
              <w:rPr>
                <w:rFonts w:ascii="Arial" w:cs="Arial" w:eastAsia="Arial" w:hAnsi="Arial"/>
                <w:sz w:val="16"/>
                <w:szCs w:val="16"/>
                <w:color w:val="auto"/>
              </w:rPr>
              <w:t>Natural gas futures purchased</w:t>
            </w:r>
          </w:p>
        </w:tc>
        <w:tc>
          <w:tcPr>
            <w:tcW w:w="1280" w:type="dxa"/>
            <w:vAlign w:val="bottom"/>
            <w:shd w:val="clear" w:color="auto" w:fill="CEFFE7"/>
          </w:tcPr>
          <w:p>
            <w:pPr>
              <w:jc w:val="center"/>
              <w:spacing w:after="0"/>
              <w:rPr>
                <w:sz w:val="20"/>
                <w:szCs w:val="20"/>
                <w:color w:val="auto"/>
              </w:rPr>
            </w:pPr>
            <w:r>
              <w:rPr>
                <w:rFonts w:ascii="Arial" w:cs="Arial" w:eastAsia="Arial" w:hAnsi="Arial"/>
                <w:sz w:val="16"/>
                <w:szCs w:val="16"/>
                <w:color w:val="auto"/>
              </w:rPr>
              <w:t>MMBtus</w:t>
            </w:r>
          </w:p>
        </w:tc>
        <w:tc>
          <w:tcPr>
            <w:tcW w:w="1340" w:type="dxa"/>
            <w:vAlign w:val="bottom"/>
            <w:gridSpan w:val="2"/>
            <w:shd w:val="clear" w:color="auto" w:fill="CEFFE7"/>
          </w:tcPr>
          <w:p>
            <w:pPr>
              <w:jc w:val="right"/>
              <w:ind w:right="18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EFFE7"/>
          </w:tcPr>
          <w:p>
            <w:pPr>
              <w:jc w:val="center"/>
              <w:spacing w:after="0"/>
              <w:rPr>
                <w:sz w:val="20"/>
                <w:szCs w:val="20"/>
                <w:color w:val="auto"/>
              </w:rPr>
            </w:pPr>
            <w:r>
              <w:rPr>
                <w:rFonts w:ascii="Arial" w:cs="Arial" w:eastAsia="Arial" w:hAnsi="Arial"/>
                <w:sz w:val="16"/>
                <w:szCs w:val="16"/>
                <w:color w:val="auto"/>
                <w:w w:val="89"/>
              </w:rPr>
              <w:t>0</w:t>
            </w:r>
          </w:p>
        </w:tc>
        <w:tc>
          <w:tcPr>
            <w:tcW w:w="100" w:type="dxa"/>
            <w:vAlign w:val="bottom"/>
            <w:shd w:val="clear" w:color="auto" w:fill="CEFFE7"/>
          </w:tcPr>
          <w:p>
            <w:pPr>
              <w:spacing w:after="0"/>
              <w:rPr>
                <w:sz w:val="18"/>
                <w:szCs w:val="18"/>
                <w:color w:val="auto"/>
              </w:rPr>
            </w:pPr>
          </w:p>
        </w:tc>
        <w:tc>
          <w:tcPr>
            <w:tcW w:w="12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620,000</w:t>
            </w:r>
          </w:p>
        </w:tc>
        <w:tc>
          <w:tcPr>
            <w:tcW w:w="100" w:type="dxa"/>
            <w:vAlign w:val="bottom"/>
            <w:shd w:val="clear" w:color="auto" w:fill="CEFFE7"/>
          </w:tcPr>
          <w:p>
            <w:pPr>
              <w:spacing w:after="0"/>
              <w:rPr>
                <w:sz w:val="18"/>
                <w:szCs w:val="18"/>
                <w:color w:val="auto"/>
              </w:rPr>
            </w:pPr>
          </w:p>
        </w:tc>
        <w:tc>
          <w:tcPr>
            <w:tcW w:w="1200" w:type="dxa"/>
            <w:vAlign w:val="bottom"/>
            <w:shd w:val="clear" w:color="auto" w:fill="CEFFE7"/>
          </w:tcPr>
          <w:p>
            <w:pPr>
              <w:jc w:val="center"/>
              <w:spacing w:after="0"/>
              <w:rPr>
                <w:sz w:val="20"/>
                <w:szCs w:val="20"/>
                <w:color w:val="auto"/>
              </w:rPr>
            </w:pPr>
            <w:r>
              <w:rPr>
                <w:rFonts w:ascii="Arial" w:cs="Arial" w:eastAsia="Arial" w:hAnsi="Arial"/>
                <w:sz w:val="16"/>
                <w:szCs w:val="16"/>
                <w:color w:val="auto"/>
                <w:w w:val="89"/>
              </w:rPr>
              <w:t>3</w:t>
            </w:r>
          </w:p>
        </w:tc>
      </w:tr>
      <w:tr>
        <w:trPr>
          <w:trHeight w:val="213"/>
        </w:trPr>
        <w:tc>
          <w:tcPr>
            <w:tcW w:w="4800" w:type="dxa"/>
            <w:vAlign w:val="bottom"/>
          </w:tcPr>
          <w:p>
            <w:pPr>
              <w:ind w:left="20"/>
              <w:spacing w:after="0"/>
              <w:rPr>
                <w:sz w:val="20"/>
                <w:szCs w:val="20"/>
                <w:color w:val="auto"/>
              </w:rPr>
            </w:pPr>
            <w:r>
              <w:rPr>
                <w:rFonts w:ascii="Arial" w:cs="Arial" w:eastAsia="Arial" w:hAnsi="Arial"/>
                <w:sz w:val="16"/>
                <w:szCs w:val="16"/>
                <w:color w:val="auto"/>
              </w:rPr>
              <w:t>Natural gas options purchased, net</w:t>
            </w:r>
          </w:p>
        </w:tc>
        <w:tc>
          <w:tcPr>
            <w:tcW w:w="1280" w:type="dxa"/>
            <w:vAlign w:val="bottom"/>
          </w:tcPr>
          <w:p>
            <w:pPr>
              <w:jc w:val="center"/>
              <w:spacing w:after="0"/>
              <w:rPr>
                <w:sz w:val="20"/>
                <w:szCs w:val="20"/>
                <w:color w:val="auto"/>
              </w:rPr>
            </w:pPr>
            <w:r>
              <w:rPr>
                <w:rFonts w:ascii="Arial" w:cs="Arial" w:eastAsia="Arial" w:hAnsi="Arial"/>
                <w:sz w:val="16"/>
                <w:szCs w:val="16"/>
                <w:color w:val="auto"/>
              </w:rPr>
              <w:t>MMBtus</w:t>
            </w: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3,160,000</w:t>
            </w:r>
          </w:p>
        </w:tc>
        <w:tc>
          <w:tcPr>
            <w:tcW w:w="10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6"/>
                <w:szCs w:val="16"/>
                <w:color w:val="auto"/>
                <w:w w:val="89"/>
              </w:rPr>
              <w:t>3</w:t>
            </w:r>
          </w:p>
        </w:tc>
      </w:tr>
      <w:tr>
        <w:trPr>
          <w:trHeight w:val="219"/>
        </w:trPr>
        <w:tc>
          <w:tcPr>
            <w:tcW w:w="4800" w:type="dxa"/>
            <w:vAlign w:val="bottom"/>
            <w:shd w:val="clear" w:color="auto" w:fill="CEFFE7"/>
          </w:tcPr>
          <w:p>
            <w:pPr>
              <w:ind w:left="20"/>
              <w:spacing w:after="0"/>
              <w:rPr>
                <w:sz w:val="20"/>
                <w:szCs w:val="20"/>
                <w:color w:val="auto"/>
              </w:rPr>
            </w:pPr>
            <w:r>
              <w:rPr>
                <w:rFonts w:ascii="Arial" w:cs="Arial" w:eastAsia="Arial" w:hAnsi="Arial"/>
                <w:sz w:val="16"/>
                <w:szCs w:val="16"/>
                <w:color w:val="auto"/>
              </w:rPr>
              <w:t>Natural gas basis swaps purchased</w:t>
            </w:r>
          </w:p>
        </w:tc>
        <w:tc>
          <w:tcPr>
            <w:tcW w:w="1280" w:type="dxa"/>
            <w:vAlign w:val="bottom"/>
            <w:shd w:val="clear" w:color="auto" w:fill="CEFFE7"/>
          </w:tcPr>
          <w:p>
            <w:pPr>
              <w:jc w:val="center"/>
              <w:spacing w:after="0"/>
              <w:rPr>
                <w:sz w:val="20"/>
                <w:szCs w:val="20"/>
                <w:color w:val="auto"/>
              </w:rPr>
            </w:pPr>
            <w:r>
              <w:rPr>
                <w:rFonts w:ascii="Arial" w:cs="Arial" w:eastAsia="Arial" w:hAnsi="Arial"/>
                <w:sz w:val="16"/>
                <w:szCs w:val="16"/>
                <w:color w:val="auto"/>
              </w:rPr>
              <w:t>MMBtus</w:t>
            </w:r>
          </w:p>
        </w:tc>
        <w:tc>
          <w:tcPr>
            <w:tcW w:w="1340" w:type="dxa"/>
            <w:vAlign w:val="bottom"/>
            <w:gridSpan w:val="2"/>
            <w:shd w:val="clear" w:color="auto" w:fill="CEFFE7"/>
          </w:tcPr>
          <w:p>
            <w:pPr>
              <w:jc w:val="right"/>
              <w:ind w:right="18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EFFE7"/>
          </w:tcPr>
          <w:p>
            <w:pPr>
              <w:jc w:val="center"/>
              <w:spacing w:after="0"/>
              <w:rPr>
                <w:sz w:val="20"/>
                <w:szCs w:val="20"/>
                <w:color w:val="auto"/>
              </w:rPr>
            </w:pPr>
            <w:r>
              <w:rPr>
                <w:rFonts w:ascii="Arial" w:cs="Arial" w:eastAsia="Arial" w:hAnsi="Arial"/>
                <w:sz w:val="16"/>
                <w:szCs w:val="16"/>
                <w:color w:val="auto"/>
                <w:w w:val="89"/>
              </w:rPr>
              <w:t>0</w:t>
            </w:r>
          </w:p>
        </w:tc>
        <w:tc>
          <w:tcPr>
            <w:tcW w:w="100" w:type="dxa"/>
            <w:vAlign w:val="bottom"/>
            <w:shd w:val="clear" w:color="auto" w:fill="CEFFE7"/>
          </w:tcPr>
          <w:p>
            <w:pPr>
              <w:spacing w:after="0"/>
              <w:rPr>
                <w:sz w:val="19"/>
                <w:szCs w:val="19"/>
                <w:color w:val="auto"/>
              </w:rPr>
            </w:pPr>
          </w:p>
        </w:tc>
        <w:tc>
          <w:tcPr>
            <w:tcW w:w="12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900,000</w:t>
            </w:r>
          </w:p>
        </w:tc>
        <w:tc>
          <w:tcPr>
            <w:tcW w:w="100" w:type="dxa"/>
            <w:vAlign w:val="bottom"/>
            <w:shd w:val="clear" w:color="auto" w:fill="CEFFE7"/>
          </w:tcPr>
          <w:p>
            <w:pPr>
              <w:spacing w:after="0"/>
              <w:rPr>
                <w:sz w:val="19"/>
                <w:szCs w:val="19"/>
                <w:color w:val="auto"/>
              </w:rPr>
            </w:pPr>
          </w:p>
        </w:tc>
        <w:tc>
          <w:tcPr>
            <w:tcW w:w="1200" w:type="dxa"/>
            <w:vAlign w:val="bottom"/>
            <w:shd w:val="clear" w:color="auto" w:fill="CEFFE7"/>
          </w:tcPr>
          <w:p>
            <w:pPr>
              <w:jc w:val="center"/>
              <w:spacing w:after="0"/>
              <w:rPr>
                <w:sz w:val="20"/>
                <w:szCs w:val="20"/>
                <w:color w:val="auto"/>
              </w:rPr>
            </w:pPr>
            <w:r>
              <w:rPr>
                <w:rFonts w:ascii="Arial" w:cs="Arial" w:eastAsia="Arial" w:hAnsi="Arial"/>
                <w:sz w:val="16"/>
                <w:szCs w:val="16"/>
                <w:color w:val="auto"/>
                <w:w w:val="89"/>
              </w:rPr>
              <w:t>3</w:t>
            </w:r>
          </w:p>
        </w:tc>
      </w:tr>
      <w:tr>
        <w:trPr>
          <w:trHeight w:val="216"/>
        </w:trPr>
        <w:tc>
          <w:tcPr>
            <w:tcW w:w="480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Natural gas over-the-counter swaps, net </w:t>
            </w:r>
            <w:r>
              <w:rPr>
                <w:rFonts w:ascii="Arial" w:cs="Arial" w:eastAsia="Arial" w:hAnsi="Arial"/>
                <w:sz w:val="21"/>
                <w:szCs w:val="21"/>
                <w:color w:val="auto"/>
                <w:vertAlign w:val="superscript"/>
              </w:rPr>
              <w:t>(b)</w:t>
            </w:r>
          </w:p>
        </w:tc>
        <w:tc>
          <w:tcPr>
            <w:tcW w:w="1280" w:type="dxa"/>
            <w:vAlign w:val="bottom"/>
          </w:tcPr>
          <w:p>
            <w:pPr>
              <w:jc w:val="center"/>
              <w:spacing w:after="0"/>
              <w:rPr>
                <w:sz w:val="20"/>
                <w:szCs w:val="20"/>
                <w:color w:val="auto"/>
              </w:rPr>
            </w:pPr>
            <w:r>
              <w:rPr>
                <w:rFonts w:ascii="Arial" w:cs="Arial" w:eastAsia="Arial" w:hAnsi="Arial"/>
                <w:sz w:val="16"/>
                <w:szCs w:val="16"/>
                <w:color w:val="auto"/>
              </w:rPr>
              <w:t>MMBtus</w:t>
            </w:r>
          </w:p>
        </w:tc>
        <w:tc>
          <w:tcPr>
            <w:tcW w:w="1240" w:type="dxa"/>
            <w:vAlign w:val="bottom"/>
          </w:tcPr>
          <w:p>
            <w:pPr>
              <w:jc w:val="right"/>
              <w:spacing w:after="0"/>
              <w:rPr>
                <w:sz w:val="20"/>
                <w:szCs w:val="20"/>
                <w:color w:val="auto"/>
              </w:rPr>
            </w:pPr>
            <w:r>
              <w:rPr>
                <w:rFonts w:ascii="Arial" w:cs="Arial" w:eastAsia="Arial" w:hAnsi="Arial"/>
                <w:sz w:val="16"/>
                <w:szCs w:val="16"/>
                <w:color w:val="auto"/>
              </w:rPr>
              <w:t>3,590,000</w:t>
            </w:r>
          </w:p>
        </w:tc>
        <w:tc>
          <w:tcPr>
            <w:tcW w:w="10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3,850,000</w:t>
            </w:r>
          </w:p>
        </w:tc>
        <w:tc>
          <w:tcPr>
            <w:tcW w:w="10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6"/>
                <w:szCs w:val="16"/>
                <w:color w:val="auto"/>
              </w:rPr>
              <w:t>17</w:t>
            </w:r>
          </w:p>
        </w:tc>
      </w:tr>
      <w:tr>
        <w:trPr>
          <w:trHeight w:val="216"/>
        </w:trPr>
        <w:tc>
          <w:tcPr>
            <w:tcW w:w="4800" w:type="dxa"/>
            <w:vAlign w:val="bottom"/>
            <w:shd w:val="clear" w:color="auto" w:fill="CEFFE7"/>
          </w:tcPr>
          <w:p>
            <w:pPr>
              <w:ind w:left="20"/>
              <w:spacing w:after="0" w:line="216" w:lineRule="exact"/>
              <w:rPr>
                <w:sz w:val="20"/>
                <w:szCs w:val="20"/>
                <w:color w:val="auto"/>
              </w:rPr>
            </w:pPr>
            <w:r>
              <w:rPr>
                <w:rFonts w:ascii="Arial" w:cs="Arial" w:eastAsia="Arial" w:hAnsi="Arial"/>
                <w:sz w:val="16"/>
                <w:szCs w:val="16"/>
                <w:color w:val="auto"/>
              </w:rPr>
              <w:t xml:space="preserve">Natural gas physical contracts, net </w:t>
            </w:r>
            <w:r>
              <w:rPr>
                <w:rFonts w:ascii="Arial" w:cs="Arial" w:eastAsia="Arial" w:hAnsi="Arial"/>
                <w:sz w:val="21"/>
                <w:szCs w:val="21"/>
                <w:color w:val="auto"/>
                <w:vertAlign w:val="superscript"/>
              </w:rPr>
              <w:t>(c)</w:t>
            </w:r>
          </w:p>
        </w:tc>
        <w:tc>
          <w:tcPr>
            <w:tcW w:w="1280" w:type="dxa"/>
            <w:vAlign w:val="bottom"/>
            <w:shd w:val="clear" w:color="auto" w:fill="CEFFE7"/>
          </w:tcPr>
          <w:p>
            <w:pPr>
              <w:jc w:val="center"/>
              <w:spacing w:after="0"/>
              <w:rPr>
                <w:sz w:val="20"/>
                <w:szCs w:val="20"/>
                <w:color w:val="auto"/>
              </w:rPr>
            </w:pPr>
            <w:r>
              <w:rPr>
                <w:rFonts w:ascii="Arial" w:cs="Arial" w:eastAsia="Arial" w:hAnsi="Arial"/>
                <w:sz w:val="16"/>
                <w:szCs w:val="16"/>
                <w:color w:val="auto"/>
              </w:rPr>
              <w:t>MMBtus</w:t>
            </w:r>
          </w:p>
        </w:tc>
        <w:tc>
          <w:tcPr>
            <w:tcW w:w="12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3,107,817</w:t>
            </w:r>
          </w:p>
        </w:tc>
        <w:tc>
          <w:tcPr>
            <w:tcW w:w="100" w:type="dxa"/>
            <w:vAlign w:val="bottom"/>
            <w:shd w:val="clear" w:color="auto" w:fill="CEFFE7"/>
          </w:tcPr>
          <w:p>
            <w:pPr>
              <w:spacing w:after="0"/>
              <w:rPr>
                <w:sz w:val="18"/>
                <w:szCs w:val="18"/>
                <w:color w:val="auto"/>
              </w:rPr>
            </w:pPr>
          </w:p>
        </w:tc>
        <w:tc>
          <w:tcPr>
            <w:tcW w:w="1200" w:type="dxa"/>
            <w:vAlign w:val="bottom"/>
            <w:shd w:val="clear" w:color="auto" w:fill="CEFFE7"/>
          </w:tcPr>
          <w:p>
            <w:pPr>
              <w:jc w:val="center"/>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EFFE7"/>
          </w:tcPr>
          <w:p>
            <w:pPr>
              <w:spacing w:after="0"/>
              <w:rPr>
                <w:sz w:val="18"/>
                <w:szCs w:val="18"/>
                <w:color w:val="auto"/>
              </w:rPr>
            </w:pPr>
          </w:p>
        </w:tc>
        <w:tc>
          <w:tcPr>
            <w:tcW w:w="12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17,513,061</w:t>
            </w:r>
          </w:p>
        </w:tc>
        <w:tc>
          <w:tcPr>
            <w:tcW w:w="100" w:type="dxa"/>
            <w:vAlign w:val="bottom"/>
            <w:shd w:val="clear" w:color="auto" w:fill="CEFFE7"/>
          </w:tcPr>
          <w:p>
            <w:pPr>
              <w:spacing w:after="0"/>
              <w:rPr>
                <w:sz w:val="18"/>
                <w:szCs w:val="18"/>
                <w:color w:val="auto"/>
              </w:rPr>
            </w:pPr>
          </w:p>
        </w:tc>
        <w:tc>
          <w:tcPr>
            <w:tcW w:w="1200" w:type="dxa"/>
            <w:vAlign w:val="bottom"/>
            <w:shd w:val="clear" w:color="auto" w:fill="CEFFE7"/>
          </w:tcPr>
          <w:p>
            <w:pPr>
              <w:jc w:val="center"/>
              <w:spacing w:after="0"/>
              <w:rPr>
                <w:sz w:val="20"/>
                <w:szCs w:val="20"/>
                <w:color w:val="auto"/>
              </w:rPr>
            </w:pPr>
            <w:r>
              <w:rPr>
                <w:rFonts w:ascii="Arial" w:cs="Arial" w:eastAsia="Arial" w:hAnsi="Arial"/>
                <w:sz w:val="16"/>
                <w:szCs w:val="16"/>
                <w:color w:val="auto"/>
              </w:rPr>
              <w:t>22</w:t>
            </w:r>
          </w:p>
        </w:tc>
      </w:tr>
      <w:tr>
        <w:trPr>
          <w:trHeight w:val="268"/>
        </w:trPr>
        <w:tc>
          <w:tcPr>
            <w:tcW w:w="4800" w:type="dxa"/>
            <w:vAlign w:val="bottom"/>
          </w:tcPr>
          <w:p>
            <w:pPr>
              <w:ind w:left="20"/>
              <w:spacing w:after="0"/>
              <w:rPr>
                <w:sz w:val="20"/>
                <w:szCs w:val="20"/>
                <w:color w:val="auto"/>
              </w:rPr>
            </w:pPr>
            <w:r>
              <w:rPr>
                <w:rFonts w:ascii="Arial" w:cs="Arial" w:eastAsia="Arial" w:hAnsi="Arial"/>
                <w:sz w:val="16"/>
                <w:szCs w:val="16"/>
                <w:color w:val="auto"/>
              </w:rPr>
              <w:t xml:space="preserve">Electric wholesale contracts </w:t>
            </w:r>
            <w:r>
              <w:rPr>
                <w:rFonts w:ascii="Arial" w:cs="Arial" w:eastAsia="Arial" w:hAnsi="Arial"/>
                <w:sz w:val="21"/>
                <w:szCs w:val="21"/>
                <w:color w:val="auto"/>
                <w:vertAlign w:val="superscript"/>
              </w:rPr>
              <w:t>(c)</w:t>
            </w:r>
          </w:p>
        </w:tc>
        <w:tc>
          <w:tcPr>
            <w:tcW w:w="1280" w:type="dxa"/>
            <w:vAlign w:val="bottom"/>
          </w:tcPr>
          <w:p>
            <w:pPr>
              <w:jc w:val="center"/>
              <w:spacing w:after="0"/>
              <w:rPr>
                <w:sz w:val="20"/>
                <w:szCs w:val="20"/>
                <w:color w:val="auto"/>
              </w:rPr>
            </w:pPr>
            <w:r>
              <w:rPr>
                <w:rFonts w:ascii="Arial" w:cs="Arial" w:eastAsia="Arial" w:hAnsi="Arial"/>
                <w:sz w:val="16"/>
                <w:szCs w:val="16"/>
                <w:color w:val="auto"/>
              </w:rPr>
              <w:t>MWh</w:t>
            </w:r>
          </w:p>
        </w:tc>
        <w:tc>
          <w:tcPr>
            <w:tcW w:w="1240" w:type="dxa"/>
            <w:vAlign w:val="bottom"/>
          </w:tcPr>
          <w:p>
            <w:pPr>
              <w:jc w:val="right"/>
              <w:spacing w:after="0"/>
              <w:rPr>
                <w:sz w:val="20"/>
                <w:szCs w:val="20"/>
                <w:color w:val="auto"/>
              </w:rPr>
            </w:pPr>
            <w:r>
              <w:rPr>
                <w:rFonts w:ascii="Arial" w:cs="Arial" w:eastAsia="Arial" w:hAnsi="Arial"/>
                <w:sz w:val="16"/>
                <w:szCs w:val="16"/>
                <w:color w:val="auto"/>
              </w:rPr>
              <w:t>183,025</w:t>
            </w:r>
          </w:p>
        </w:tc>
        <w:tc>
          <w:tcPr>
            <w:tcW w:w="100" w:type="dxa"/>
            <w:vAlign w:val="bottom"/>
          </w:tcPr>
          <w:p>
            <w:pPr>
              <w:spacing w:after="0"/>
              <w:rPr>
                <w:sz w:val="23"/>
                <w:szCs w:val="23"/>
                <w:color w:val="auto"/>
              </w:rPr>
            </w:pPr>
          </w:p>
        </w:tc>
        <w:tc>
          <w:tcPr>
            <w:tcW w:w="1200" w:type="dxa"/>
            <w:vAlign w:val="bottom"/>
          </w:tcPr>
          <w:p>
            <w:pPr>
              <w:jc w:val="center"/>
              <w:spacing w:after="0"/>
              <w:rPr>
                <w:sz w:val="20"/>
                <w:szCs w:val="20"/>
                <w:color w:val="auto"/>
              </w:rPr>
            </w:pPr>
            <w:r>
              <w:rPr>
                <w:rFonts w:ascii="Arial" w:cs="Arial" w:eastAsia="Arial" w:hAnsi="Arial"/>
                <w:sz w:val="16"/>
                <w:szCs w:val="16"/>
                <w:color w:val="auto"/>
                <w:w w:val="89"/>
              </w:rPr>
              <w:t>9</w:t>
            </w:r>
          </w:p>
        </w:tc>
        <w:tc>
          <w:tcPr>
            <w:tcW w:w="10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219,000</w:t>
            </w:r>
          </w:p>
        </w:tc>
        <w:tc>
          <w:tcPr>
            <w:tcW w:w="100" w:type="dxa"/>
            <w:vAlign w:val="bottom"/>
          </w:tcPr>
          <w:p>
            <w:pPr>
              <w:spacing w:after="0"/>
              <w:rPr>
                <w:sz w:val="23"/>
                <w:szCs w:val="23"/>
                <w:color w:val="auto"/>
              </w:rPr>
            </w:pPr>
          </w:p>
        </w:tc>
        <w:tc>
          <w:tcPr>
            <w:tcW w:w="1200" w:type="dxa"/>
            <w:vAlign w:val="bottom"/>
          </w:tcPr>
          <w:p>
            <w:pPr>
              <w:jc w:val="center"/>
              <w:spacing w:after="0"/>
              <w:rPr>
                <w:sz w:val="20"/>
                <w:szCs w:val="20"/>
                <w:color w:val="auto"/>
              </w:rPr>
            </w:pPr>
            <w:r>
              <w:rPr>
                <w:rFonts w:ascii="Arial" w:cs="Arial" w:eastAsia="Arial" w:hAnsi="Arial"/>
                <w:sz w:val="16"/>
                <w:szCs w:val="16"/>
                <w:color w:val="auto"/>
              </w:rPr>
              <w:t>12</w:t>
            </w:r>
          </w:p>
        </w:tc>
      </w:tr>
    </w:tbl>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8"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Term reflects the maximum forward period hedged.</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As of March 31, 2021, 442,900 MMBtus of natural gas over-the-counter swaps purchases were designated as cash flow hedges.</w:t>
      </w:r>
    </w:p>
    <w:p>
      <w:pPr>
        <w:spacing w:after="0" w:line="1" w:lineRule="exact"/>
        <w:rPr>
          <w:rFonts w:ascii="Arial" w:cs="Arial" w:eastAsia="Arial" w:hAnsi="Arial"/>
          <w:sz w:val="14"/>
          <w:szCs w:val="14"/>
          <w:color w:val="auto"/>
        </w:rPr>
      </w:pPr>
    </w:p>
    <w:p>
      <w:pPr>
        <w:ind w:left="360" w:hanging="352"/>
        <w:spacing w:after="0"/>
        <w:tabs>
          <w:tab w:leader="none" w:pos="3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Volumes exclude derivative contracts that qualify for the normal purchases and normal sales exception permitted by GAAP.</w:t>
      </w:r>
    </w:p>
    <w:p>
      <w:pPr>
        <w:spacing w:after="0" w:line="241" w:lineRule="exact"/>
        <w:rPr>
          <w:sz w:val="20"/>
          <w:szCs w:val="20"/>
          <w:color w:val="auto"/>
        </w:rPr>
      </w:pPr>
    </w:p>
    <w:p>
      <w:pPr>
        <w:jc w:val="both"/>
        <w:ind w:right="620"/>
        <w:spacing w:after="0" w:line="253" w:lineRule="auto"/>
        <w:rPr>
          <w:sz w:val="20"/>
          <w:szCs w:val="20"/>
          <w:color w:val="auto"/>
        </w:rPr>
      </w:pPr>
      <w:r>
        <w:rPr>
          <w:rFonts w:ascii="Arial" w:cs="Arial" w:eastAsia="Arial" w:hAnsi="Arial"/>
          <w:sz w:val="16"/>
          <w:szCs w:val="16"/>
          <w:color w:val="auto"/>
        </w:rPr>
        <w:t>We have certain derivative contracts which contain credit provisions. These credit provisions may require the Company to post collateral when credit exposure to the Company is in excess of a negotiated line of unsecured credit. At March 31, 2021, the Company posted $1.4 million related to such provisions, which is included in Other current assets on the Condensed Consolidated Balance Sheets.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Derivatives by Balance Sheet Classification</w:t>
      </w:r>
    </w:p>
    <w:p>
      <w:pPr>
        <w:spacing w:after="0" w:line="248" w:lineRule="exact"/>
        <w:rPr>
          <w:sz w:val="20"/>
          <w:szCs w:val="20"/>
          <w:color w:val="auto"/>
        </w:rPr>
      </w:pPr>
    </w:p>
    <w:p>
      <w:pPr>
        <w:jc w:val="both"/>
        <w:ind w:right="80"/>
        <w:spacing w:after="0" w:line="253" w:lineRule="auto"/>
        <w:rPr>
          <w:sz w:val="20"/>
          <w:szCs w:val="20"/>
          <w:color w:val="auto"/>
        </w:rPr>
      </w:pPr>
      <w:r>
        <w:rPr>
          <w:rFonts w:ascii="Arial" w:cs="Arial" w:eastAsia="Arial" w:hAnsi="Arial"/>
          <w:sz w:val="16"/>
          <w:szCs w:val="16"/>
          <w:color w:val="auto"/>
        </w:rPr>
        <w:t>As required by accounting standards for derivatives and hedges, fair values within the following tables are presented on a gross basis aside from the netting of asset and liability positions. Netting of positions is permitted in accordance with accounting standards for offsetting and under terms of our master netting agreements that allow us to settle positive and negative positions.</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fair value and balance sheet classification of our derivative instruments (in thousands) as of:</w:t>
      </w:r>
    </w:p>
    <w:p>
      <w:pPr>
        <w:spacing w:after="0" w:line="118"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452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jc w:val="right"/>
              <w:ind w:right="119"/>
              <w:spacing w:after="0"/>
              <w:rPr>
                <w:sz w:val="20"/>
                <w:szCs w:val="20"/>
                <w:color w:val="auto"/>
              </w:rPr>
            </w:pPr>
            <w:r>
              <w:rPr>
                <w:rFonts w:ascii="Arial" w:cs="Arial" w:eastAsia="Arial" w:hAnsi="Arial"/>
                <w:sz w:val="16"/>
                <w:szCs w:val="16"/>
                <w:color w:val="auto"/>
              </w:rPr>
              <w:t>December 31,</w:t>
            </w:r>
          </w:p>
        </w:tc>
      </w:tr>
      <w:tr>
        <w:trPr>
          <w:trHeight w:val="195"/>
        </w:trPr>
        <w:tc>
          <w:tcPr>
            <w:tcW w:w="4520" w:type="dxa"/>
            <w:vAlign w:val="bottom"/>
          </w:tcPr>
          <w:p>
            <w:pPr>
              <w:spacing w:after="0"/>
              <w:rPr>
                <w:sz w:val="16"/>
                <w:szCs w:val="16"/>
                <w:color w:val="auto"/>
              </w:rPr>
            </w:pPr>
          </w:p>
        </w:tc>
        <w:tc>
          <w:tcPr>
            <w:tcW w:w="3800" w:type="dxa"/>
            <w:vAlign w:val="bottom"/>
            <w:tcBorders>
              <w:bottom w:val="single" w:sz="8" w:color="auto"/>
            </w:tcBorders>
          </w:tcPr>
          <w:p>
            <w:pPr>
              <w:ind w:left="980"/>
              <w:spacing w:after="0"/>
              <w:rPr>
                <w:sz w:val="20"/>
                <w:szCs w:val="20"/>
                <w:color w:val="auto"/>
              </w:rPr>
            </w:pPr>
            <w:r>
              <w:rPr>
                <w:rFonts w:ascii="Arial" w:cs="Arial" w:eastAsia="Arial" w:hAnsi="Arial"/>
                <w:sz w:val="16"/>
                <w:szCs w:val="16"/>
                <w:color w:val="auto"/>
              </w:rPr>
              <w:t>Balance Sheet Location</w:t>
            </w: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March 31, 2021</w:t>
            </w: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2020</w:t>
            </w:r>
          </w:p>
        </w:tc>
      </w:tr>
      <w:tr>
        <w:trPr>
          <w:trHeight w:val="199"/>
        </w:trPr>
        <w:tc>
          <w:tcPr>
            <w:tcW w:w="4520" w:type="dxa"/>
            <w:vAlign w:val="bottom"/>
          </w:tcPr>
          <w:p>
            <w:pPr>
              <w:ind w:left="20"/>
              <w:spacing w:after="0"/>
              <w:rPr>
                <w:sz w:val="20"/>
                <w:szCs w:val="20"/>
                <w:color w:val="auto"/>
              </w:rPr>
            </w:pPr>
            <w:r>
              <w:rPr>
                <w:rFonts w:ascii="Arial" w:cs="Arial" w:eastAsia="Arial" w:hAnsi="Arial"/>
                <w:sz w:val="16"/>
                <w:szCs w:val="16"/>
                <w:color w:val="auto"/>
              </w:rPr>
              <w:t>Derivatives designated as hedges:</w:t>
            </w:r>
          </w:p>
        </w:tc>
        <w:tc>
          <w:tcPr>
            <w:tcW w:w="3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19"/>
        </w:trPr>
        <w:tc>
          <w:tcPr>
            <w:tcW w:w="4520" w:type="dxa"/>
            <w:vAlign w:val="bottom"/>
            <w:shd w:val="clear" w:color="auto" w:fill="CEFFE7"/>
          </w:tcPr>
          <w:p>
            <w:pPr>
              <w:ind w:left="180"/>
              <w:spacing w:after="0"/>
              <w:rPr>
                <w:sz w:val="20"/>
                <w:szCs w:val="20"/>
                <w:color w:val="auto"/>
              </w:rPr>
            </w:pPr>
            <w:r>
              <w:rPr>
                <w:rFonts w:ascii="Arial" w:cs="Arial" w:eastAsia="Arial" w:hAnsi="Arial"/>
                <w:sz w:val="16"/>
                <w:szCs w:val="16"/>
                <w:color w:val="auto"/>
              </w:rPr>
              <w:t>Asset derivative instruments:</w:t>
            </w:r>
          </w:p>
        </w:tc>
        <w:tc>
          <w:tcPr>
            <w:tcW w:w="3800" w:type="dxa"/>
            <w:vAlign w:val="bottom"/>
            <w:shd w:val="clear" w:color="auto" w:fill="CEFFE7"/>
          </w:tcPr>
          <w:p>
            <w:pPr>
              <w:spacing w:after="0"/>
              <w:rPr>
                <w:sz w:val="19"/>
                <w:szCs w:val="19"/>
                <w:color w:val="auto"/>
              </w:rPr>
            </w:pPr>
          </w:p>
        </w:tc>
        <w:tc>
          <w:tcPr>
            <w:tcW w:w="140" w:type="dxa"/>
            <w:vAlign w:val="bottom"/>
            <w:shd w:val="clear" w:color="auto" w:fill="CEFFE7"/>
          </w:tcPr>
          <w:p>
            <w:pPr>
              <w:spacing w:after="0"/>
              <w:rPr>
                <w:sz w:val="19"/>
                <w:szCs w:val="19"/>
                <w:color w:val="auto"/>
              </w:rPr>
            </w:pPr>
          </w:p>
        </w:tc>
        <w:tc>
          <w:tcPr>
            <w:tcW w:w="1300" w:type="dxa"/>
            <w:vAlign w:val="bottom"/>
            <w:shd w:val="clear" w:color="auto" w:fill="CEFFE7"/>
          </w:tcPr>
          <w:p>
            <w:pPr>
              <w:spacing w:after="0"/>
              <w:rPr>
                <w:sz w:val="19"/>
                <w:szCs w:val="19"/>
                <w:color w:val="auto"/>
              </w:rPr>
            </w:pPr>
          </w:p>
        </w:tc>
        <w:tc>
          <w:tcPr>
            <w:tcW w:w="160" w:type="dxa"/>
            <w:vAlign w:val="bottom"/>
            <w:shd w:val="clear" w:color="auto" w:fill="CEFFE7"/>
          </w:tcPr>
          <w:p>
            <w:pPr>
              <w:spacing w:after="0"/>
              <w:rPr>
                <w:sz w:val="19"/>
                <w:szCs w:val="19"/>
                <w:color w:val="auto"/>
              </w:rPr>
            </w:pPr>
          </w:p>
        </w:tc>
        <w:tc>
          <w:tcPr>
            <w:tcW w:w="1280" w:type="dxa"/>
            <w:vAlign w:val="bottom"/>
            <w:shd w:val="clear" w:color="auto" w:fill="CEFFE7"/>
          </w:tcPr>
          <w:p>
            <w:pPr>
              <w:spacing w:after="0"/>
              <w:rPr>
                <w:sz w:val="19"/>
                <w:szCs w:val="19"/>
                <w:color w:val="auto"/>
              </w:rPr>
            </w:pPr>
          </w:p>
        </w:tc>
      </w:tr>
      <w:tr>
        <w:trPr>
          <w:trHeight w:val="213"/>
        </w:trPr>
        <w:tc>
          <w:tcPr>
            <w:tcW w:w="4520" w:type="dxa"/>
            <w:vAlign w:val="bottom"/>
          </w:tcPr>
          <w:p>
            <w:pPr>
              <w:ind w:left="300"/>
              <w:spacing w:after="0"/>
              <w:rPr>
                <w:sz w:val="20"/>
                <w:szCs w:val="20"/>
                <w:color w:val="auto"/>
              </w:rPr>
            </w:pPr>
            <w:r>
              <w:rPr>
                <w:rFonts w:ascii="Arial" w:cs="Arial" w:eastAsia="Arial" w:hAnsi="Arial"/>
                <w:sz w:val="16"/>
                <w:szCs w:val="16"/>
                <w:color w:val="auto"/>
              </w:rPr>
              <w:t>Current commodity derivatives</w:t>
            </w:r>
          </w:p>
        </w:tc>
        <w:tc>
          <w:tcPr>
            <w:tcW w:w="3800" w:type="dxa"/>
            <w:vAlign w:val="bottom"/>
          </w:tcPr>
          <w:p>
            <w:pPr>
              <w:spacing w:after="0"/>
              <w:rPr>
                <w:sz w:val="20"/>
                <w:szCs w:val="20"/>
                <w:color w:val="auto"/>
              </w:rPr>
            </w:pPr>
            <w:r>
              <w:rPr>
                <w:rFonts w:ascii="Arial" w:cs="Arial" w:eastAsia="Arial" w:hAnsi="Arial"/>
                <w:sz w:val="16"/>
                <w:szCs w:val="16"/>
                <w:color w:val="auto"/>
              </w:rPr>
              <w:t>Derivative assets, current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285</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181</w:t>
            </w:r>
          </w:p>
        </w:tc>
      </w:tr>
      <w:tr>
        <w:trPr>
          <w:trHeight w:val="219"/>
        </w:trPr>
        <w:tc>
          <w:tcPr>
            <w:tcW w:w="4520" w:type="dxa"/>
            <w:vAlign w:val="bottom"/>
            <w:shd w:val="clear" w:color="auto" w:fill="CEFFE7"/>
          </w:tcPr>
          <w:p>
            <w:pPr>
              <w:ind w:left="300"/>
              <w:spacing w:after="0"/>
              <w:rPr>
                <w:sz w:val="20"/>
                <w:szCs w:val="20"/>
                <w:color w:val="auto"/>
              </w:rPr>
            </w:pPr>
            <w:r>
              <w:rPr>
                <w:rFonts w:ascii="Arial" w:cs="Arial" w:eastAsia="Arial" w:hAnsi="Arial"/>
                <w:sz w:val="16"/>
                <w:szCs w:val="16"/>
                <w:color w:val="auto"/>
              </w:rPr>
              <w:t>Noncurrent commodity derivatives</w:t>
            </w:r>
          </w:p>
        </w:tc>
        <w:tc>
          <w:tcPr>
            <w:tcW w:w="3800" w:type="dxa"/>
            <w:vAlign w:val="bottom"/>
            <w:shd w:val="clear" w:color="auto" w:fill="CEFFE7"/>
          </w:tcPr>
          <w:p>
            <w:pPr>
              <w:spacing w:after="0"/>
              <w:rPr>
                <w:sz w:val="20"/>
                <w:szCs w:val="20"/>
                <w:color w:val="auto"/>
              </w:rPr>
            </w:pPr>
            <w:r>
              <w:rPr>
                <w:rFonts w:ascii="Arial" w:cs="Arial" w:eastAsia="Arial" w:hAnsi="Arial"/>
                <w:sz w:val="16"/>
                <w:szCs w:val="16"/>
                <w:color w:val="auto"/>
              </w:rPr>
              <w:t>Other assets, non-current</w:t>
            </w:r>
          </w:p>
        </w:tc>
        <w:tc>
          <w:tcPr>
            <w:tcW w:w="140" w:type="dxa"/>
            <w:vAlign w:val="bottom"/>
            <w:shd w:val="clear" w:color="auto" w:fill="CEFFE7"/>
          </w:tcPr>
          <w:p>
            <w:pPr>
              <w:spacing w:after="0"/>
              <w:rPr>
                <w:sz w:val="19"/>
                <w:szCs w:val="19"/>
                <w:color w:val="auto"/>
              </w:rPr>
            </w:pPr>
          </w:p>
        </w:tc>
        <w:tc>
          <w:tcPr>
            <w:tcW w:w="13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4</w:t>
            </w:r>
          </w:p>
        </w:tc>
        <w:tc>
          <w:tcPr>
            <w:tcW w:w="160" w:type="dxa"/>
            <w:vAlign w:val="bottom"/>
            <w:shd w:val="clear" w:color="auto" w:fill="CEFFE7"/>
          </w:tcPr>
          <w:p>
            <w:pPr>
              <w:spacing w:after="0"/>
              <w:rPr>
                <w:sz w:val="19"/>
                <w:szCs w:val="19"/>
                <w:color w:val="auto"/>
              </w:rPr>
            </w:pPr>
          </w:p>
        </w:tc>
        <w:tc>
          <w:tcPr>
            <w:tcW w:w="12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43</w:t>
            </w:r>
          </w:p>
        </w:tc>
      </w:tr>
      <w:tr>
        <w:trPr>
          <w:trHeight w:val="213"/>
        </w:trPr>
        <w:tc>
          <w:tcPr>
            <w:tcW w:w="4520" w:type="dxa"/>
            <w:vAlign w:val="bottom"/>
          </w:tcPr>
          <w:p>
            <w:pPr>
              <w:ind w:left="180"/>
              <w:spacing w:after="0"/>
              <w:rPr>
                <w:sz w:val="20"/>
                <w:szCs w:val="20"/>
                <w:color w:val="auto"/>
              </w:rPr>
            </w:pPr>
            <w:r>
              <w:rPr>
                <w:rFonts w:ascii="Arial" w:cs="Arial" w:eastAsia="Arial" w:hAnsi="Arial"/>
                <w:sz w:val="16"/>
                <w:szCs w:val="16"/>
                <w:color w:val="auto"/>
              </w:rPr>
              <w:t>Liability derivative instruments:</w:t>
            </w:r>
          </w:p>
        </w:tc>
        <w:tc>
          <w:tcPr>
            <w:tcW w:w="3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9"/>
        </w:trPr>
        <w:tc>
          <w:tcPr>
            <w:tcW w:w="4520" w:type="dxa"/>
            <w:vAlign w:val="bottom"/>
            <w:shd w:val="clear" w:color="auto" w:fill="CEFFE7"/>
          </w:tcPr>
          <w:p>
            <w:pPr>
              <w:ind w:left="300"/>
              <w:spacing w:after="0"/>
              <w:rPr>
                <w:sz w:val="20"/>
                <w:szCs w:val="20"/>
                <w:color w:val="auto"/>
              </w:rPr>
            </w:pPr>
            <w:r>
              <w:rPr>
                <w:rFonts w:ascii="Arial" w:cs="Arial" w:eastAsia="Arial" w:hAnsi="Arial"/>
                <w:sz w:val="16"/>
                <w:szCs w:val="16"/>
                <w:color w:val="auto"/>
              </w:rPr>
              <w:t>Current commodity derivatives</w:t>
            </w:r>
          </w:p>
        </w:tc>
        <w:tc>
          <w:tcPr>
            <w:tcW w:w="3800" w:type="dxa"/>
            <w:vAlign w:val="bottom"/>
            <w:shd w:val="clear" w:color="auto" w:fill="CEFFE7"/>
          </w:tcPr>
          <w:p>
            <w:pPr>
              <w:spacing w:after="0"/>
              <w:rPr>
                <w:sz w:val="20"/>
                <w:szCs w:val="20"/>
                <w:color w:val="auto"/>
              </w:rPr>
            </w:pPr>
            <w:r>
              <w:rPr>
                <w:rFonts w:ascii="Arial" w:cs="Arial" w:eastAsia="Arial" w:hAnsi="Arial"/>
                <w:sz w:val="16"/>
                <w:szCs w:val="16"/>
                <w:color w:val="auto"/>
              </w:rPr>
              <w:t>Derivative liabilities, current</w:t>
            </w:r>
          </w:p>
        </w:tc>
        <w:tc>
          <w:tcPr>
            <w:tcW w:w="140" w:type="dxa"/>
            <w:vAlign w:val="bottom"/>
            <w:shd w:val="clear" w:color="auto" w:fill="CEFFE7"/>
          </w:tcPr>
          <w:p>
            <w:pPr>
              <w:spacing w:after="0"/>
              <w:rPr>
                <w:sz w:val="19"/>
                <w:szCs w:val="19"/>
                <w:color w:val="auto"/>
              </w:rPr>
            </w:pPr>
          </w:p>
        </w:tc>
        <w:tc>
          <w:tcPr>
            <w:tcW w:w="13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EFFE7"/>
          </w:tcPr>
          <w:p>
            <w:pPr>
              <w:spacing w:after="0"/>
              <w:rPr>
                <w:sz w:val="19"/>
                <w:szCs w:val="19"/>
                <w:color w:val="auto"/>
              </w:rPr>
            </w:pPr>
          </w:p>
        </w:tc>
        <w:tc>
          <w:tcPr>
            <w:tcW w:w="12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(108)</w:t>
            </w:r>
          </w:p>
        </w:tc>
      </w:tr>
      <w:tr>
        <w:trPr>
          <w:trHeight w:val="213"/>
        </w:trPr>
        <w:tc>
          <w:tcPr>
            <w:tcW w:w="4520" w:type="dxa"/>
            <w:vAlign w:val="bottom"/>
            <w:tcBorders>
              <w:bottom w:val="single" w:sz="8" w:color="CEFFE7"/>
            </w:tcBorders>
          </w:tcPr>
          <w:p>
            <w:pPr>
              <w:ind w:left="300"/>
              <w:spacing w:after="0"/>
              <w:rPr>
                <w:sz w:val="20"/>
                <w:szCs w:val="20"/>
                <w:color w:val="auto"/>
              </w:rPr>
            </w:pPr>
            <w:r>
              <w:rPr>
                <w:rFonts w:ascii="Arial" w:cs="Arial" w:eastAsia="Arial" w:hAnsi="Arial"/>
                <w:sz w:val="16"/>
                <w:szCs w:val="16"/>
                <w:color w:val="auto"/>
              </w:rPr>
              <w:t>Noncurrent commodity derivatives</w:t>
            </w:r>
          </w:p>
        </w:tc>
        <w:tc>
          <w:tcPr>
            <w:tcW w:w="3800" w:type="dxa"/>
            <w:vAlign w:val="bottom"/>
            <w:tcBorders>
              <w:bottom w:val="single" w:sz="8" w:color="CEFFE7"/>
            </w:tcBorders>
          </w:tcPr>
          <w:p>
            <w:pPr>
              <w:spacing w:after="0"/>
              <w:rPr>
                <w:sz w:val="20"/>
                <w:szCs w:val="20"/>
                <w:color w:val="auto"/>
              </w:rPr>
            </w:pPr>
            <w:r>
              <w:rPr>
                <w:rFonts w:ascii="Arial" w:cs="Arial" w:eastAsia="Arial" w:hAnsi="Arial"/>
                <w:sz w:val="16"/>
                <w:szCs w:val="16"/>
                <w:color w:val="auto"/>
              </w:rPr>
              <w:t>Other deferred credits and other liabilities</w:t>
            </w: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38"/>
        </w:trPr>
        <w:tc>
          <w:tcPr>
            <w:tcW w:w="452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Total derivatives designated as hedges</w:t>
            </w:r>
          </w:p>
        </w:tc>
        <w:tc>
          <w:tcPr>
            <w:tcW w:w="3800" w:type="dxa"/>
            <w:vAlign w:val="bottom"/>
            <w:tcBorders>
              <w:bottom w:val="single" w:sz="8" w:color="CEFFE7"/>
            </w:tcBorders>
            <w:shd w:val="clear" w:color="auto" w:fill="CEFFE7"/>
          </w:tcPr>
          <w:p>
            <w:pPr>
              <w:spacing w:after="0"/>
              <w:rPr>
                <w:sz w:val="20"/>
                <w:szCs w:val="20"/>
                <w:color w:val="auto"/>
              </w:rPr>
            </w:pPr>
          </w:p>
        </w:tc>
        <w:tc>
          <w:tcPr>
            <w:tcW w:w="1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289</w:t>
            </w:r>
          </w:p>
        </w:tc>
        <w:tc>
          <w:tcPr>
            <w:tcW w:w="1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116</w:t>
            </w:r>
          </w:p>
        </w:tc>
      </w:tr>
      <w:tr>
        <w:trPr>
          <w:trHeight w:val="20"/>
        </w:trPr>
        <w:tc>
          <w:tcPr>
            <w:tcW w:w="4520" w:type="dxa"/>
            <w:vAlign w:val="bottom"/>
            <w:tcBorders>
              <w:top w:val="single" w:sz="8" w:color="CEFFE7"/>
            </w:tcBorders>
          </w:tcPr>
          <w:p>
            <w:pPr>
              <w:spacing w:after="0" w:line="20" w:lineRule="exact"/>
              <w:rPr>
                <w:sz w:val="1"/>
                <w:szCs w:val="1"/>
                <w:color w:val="auto"/>
              </w:rPr>
            </w:pPr>
          </w:p>
        </w:tc>
        <w:tc>
          <w:tcPr>
            <w:tcW w:w="3800" w:type="dxa"/>
            <w:vAlign w:val="bottom"/>
            <w:tcBorders>
              <w:top w:val="single" w:sz="8" w:color="CEFFE7"/>
            </w:tcBorders>
          </w:tcPr>
          <w:p>
            <w:pPr>
              <w:spacing w:after="0" w:line="20" w:lineRule="exact"/>
              <w:rPr>
                <w:sz w:val="1"/>
                <w:szCs w:val="1"/>
                <w:color w:val="auto"/>
              </w:rPr>
            </w:pPr>
          </w:p>
        </w:tc>
        <w:tc>
          <w:tcPr>
            <w:tcW w:w="140" w:type="dxa"/>
            <w:vAlign w:val="bottom"/>
            <w:tcBorders>
              <w:top w:val="single" w:sz="8" w:color="CEFFE7"/>
              <w:bottom w:val="single" w:sz="8" w:color="auto"/>
            </w:tcBorders>
          </w:tcPr>
          <w:p>
            <w:pPr>
              <w:spacing w:after="0" w:line="20" w:lineRule="exact"/>
              <w:rPr>
                <w:sz w:val="1"/>
                <w:szCs w:val="1"/>
                <w:color w:val="auto"/>
              </w:rPr>
            </w:pPr>
          </w:p>
        </w:tc>
        <w:tc>
          <w:tcPr>
            <w:tcW w:w="1300" w:type="dxa"/>
            <w:vAlign w:val="bottom"/>
            <w:tcBorders>
              <w:top w:val="single" w:sz="8" w:color="CEFFE7"/>
              <w:bottom w:val="single" w:sz="8" w:color="auto"/>
            </w:tcBorders>
          </w:tcPr>
          <w:p>
            <w:pPr>
              <w:spacing w:after="0" w:line="20" w:lineRule="exact"/>
              <w:rPr>
                <w:sz w:val="1"/>
                <w:szCs w:val="1"/>
                <w:color w:val="auto"/>
              </w:rPr>
            </w:pPr>
          </w:p>
        </w:tc>
        <w:tc>
          <w:tcPr>
            <w:tcW w:w="160" w:type="dxa"/>
            <w:vAlign w:val="bottom"/>
            <w:tcBorders>
              <w:top w:val="single" w:sz="8" w:color="CEFFE7"/>
              <w:bottom w:val="single" w:sz="8" w:color="auto"/>
            </w:tcBorders>
          </w:tcPr>
          <w:p>
            <w:pPr>
              <w:spacing w:after="0" w:line="20" w:lineRule="exact"/>
              <w:rPr>
                <w:sz w:val="1"/>
                <w:szCs w:val="1"/>
                <w:color w:val="auto"/>
              </w:rPr>
            </w:pPr>
          </w:p>
        </w:tc>
        <w:tc>
          <w:tcPr>
            <w:tcW w:w="1280" w:type="dxa"/>
            <w:vAlign w:val="bottom"/>
            <w:tcBorders>
              <w:top w:val="single" w:sz="8" w:color="CEFFE7"/>
              <w:bottom w:val="single" w:sz="8" w:color="auto"/>
            </w:tcBorders>
          </w:tcPr>
          <w:p>
            <w:pPr>
              <w:spacing w:after="0" w:line="20" w:lineRule="exact"/>
              <w:rPr>
                <w:sz w:val="1"/>
                <w:szCs w:val="1"/>
                <w:color w:val="auto"/>
              </w:rPr>
            </w:pPr>
          </w:p>
        </w:tc>
      </w:tr>
      <w:tr>
        <w:trPr>
          <w:trHeight w:val="163"/>
        </w:trPr>
        <w:tc>
          <w:tcPr>
            <w:tcW w:w="45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216"/>
        </w:trPr>
        <w:tc>
          <w:tcPr>
            <w:tcW w:w="4520" w:type="dxa"/>
            <w:vAlign w:val="bottom"/>
            <w:shd w:val="clear" w:color="auto" w:fill="CEFFE7"/>
          </w:tcPr>
          <w:p>
            <w:pPr>
              <w:ind w:left="20"/>
              <w:spacing w:after="0"/>
              <w:rPr>
                <w:sz w:val="20"/>
                <w:szCs w:val="20"/>
                <w:color w:val="auto"/>
              </w:rPr>
            </w:pPr>
            <w:r>
              <w:rPr>
                <w:rFonts w:ascii="Arial" w:cs="Arial" w:eastAsia="Arial" w:hAnsi="Arial"/>
                <w:sz w:val="16"/>
                <w:szCs w:val="16"/>
                <w:color w:val="auto"/>
              </w:rPr>
              <w:t>Derivatives not designated as hedges:</w:t>
            </w:r>
          </w:p>
        </w:tc>
        <w:tc>
          <w:tcPr>
            <w:tcW w:w="3800" w:type="dxa"/>
            <w:vAlign w:val="bottom"/>
            <w:shd w:val="clear" w:color="auto" w:fill="CEFFE7"/>
          </w:tcPr>
          <w:p>
            <w:pPr>
              <w:spacing w:after="0"/>
              <w:rPr>
                <w:sz w:val="18"/>
                <w:szCs w:val="18"/>
                <w:color w:val="auto"/>
              </w:rPr>
            </w:pPr>
          </w:p>
        </w:tc>
        <w:tc>
          <w:tcPr>
            <w:tcW w:w="140" w:type="dxa"/>
            <w:vAlign w:val="bottom"/>
            <w:shd w:val="clear" w:color="auto" w:fill="CEFFE7"/>
          </w:tcPr>
          <w:p>
            <w:pPr>
              <w:spacing w:after="0"/>
              <w:rPr>
                <w:sz w:val="18"/>
                <w:szCs w:val="18"/>
                <w:color w:val="auto"/>
              </w:rPr>
            </w:pPr>
          </w:p>
        </w:tc>
        <w:tc>
          <w:tcPr>
            <w:tcW w:w="1300" w:type="dxa"/>
            <w:vAlign w:val="bottom"/>
            <w:shd w:val="clear" w:color="auto" w:fill="CEFFE7"/>
          </w:tcPr>
          <w:p>
            <w:pPr>
              <w:spacing w:after="0"/>
              <w:rPr>
                <w:sz w:val="18"/>
                <w:szCs w:val="18"/>
                <w:color w:val="auto"/>
              </w:rPr>
            </w:pPr>
          </w:p>
        </w:tc>
        <w:tc>
          <w:tcPr>
            <w:tcW w:w="160" w:type="dxa"/>
            <w:vAlign w:val="bottom"/>
            <w:shd w:val="clear" w:color="auto" w:fill="CEFFE7"/>
          </w:tcPr>
          <w:p>
            <w:pPr>
              <w:spacing w:after="0"/>
              <w:rPr>
                <w:sz w:val="18"/>
                <w:szCs w:val="18"/>
                <w:color w:val="auto"/>
              </w:rPr>
            </w:pPr>
          </w:p>
        </w:tc>
        <w:tc>
          <w:tcPr>
            <w:tcW w:w="1280" w:type="dxa"/>
            <w:vAlign w:val="bottom"/>
            <w:shd w:val="clear" w:color="auto" w:fill="CEFFE7"/>
          </w:tcPr>
          <w:p>
            <w:pPr>
              <w:spacing w:after="0"/>
              <w:rPr>
                <w:sz w:val="18"/>
                <w:szCs w:val="18"/>
                <w:color w:val="auto"/>
              </w:rPr>
            </w:pPr>
          </w:p>
        </w:tc>
      </w:tr>
      <w:tr>
        <w:trPr>
          <w:trHeight w:val="213"/>
        </w:trPr>
        <w:tc>
          <w:tcPr>
            <w:tcW w:w="4520" w:type="dxa"/>
            <w:vAlign w:val="bottom"/>
          </w:tcPr>
          <w:p>
            <w:pPr>
              <w:ind w:left="180"/>
              <w:spacing w:after="0"/>
              <w:rPr>
                <w:sz w:val="20"/>
                <w:szCs w:val="20"/>
                <w:color w:val="auto"/>
              </w:rPr>
            </w:pPr>
            <w:r>
              <w:rPr>
                <w:rFonts w:ascii="Arial" w:cs="Arial" w:eastAsia="Arial" w:hAnsi="Arial"/>
                <w:sz w:val="16"/>
                <w:szCs w:val="16"/>
                <w:color w:val="auto"/>
              </w:rPr>
              <w:t>Asset derivative instruments:</w:t>
            </w:r>
          </w:p>
        </w:tc>
        <w:tc>
          <w:tcPr>
            <w:tcW w:w="3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9"/>
        </w:trPr>
        <w:tc>
          <w:tcPr>
            <w:tcW w:w="4520" w:type="dxa"/>
            <w:vAlign w:val="bottom"/>
            <w:shd w:val="clear" w:color="auto" w:fill="CEFFE7"/>
          </w:tcPr>
          <w:p>
            <w:pPr>
              <w:ind w:left="300"/>
              <w:spacing w:after="0"/>
              <w:rPr>
                <w:sz w:val="20"/>
                <w:szCs w:val="20"/>
                <w:color w:val="auto"/>
              </w:rPr>
            </w:pPr>
            <w:r>
              <w:rPr>
                <w:rFonts w:ascii="Arial" w:cs="Arial" w:eastAsia="Arial" w:hAnsi="Arial"/>
                <w:sz w:val="16"/>
                <w:szCs w:val="16"/>
                <w:color w:val="auto"/>
              </w:rPr>
              <w:t>Current commodity derivatives</w:t>
            </w:r>
          </w:p>
        </w:tc>
        <w:tc>
          <w:tcPr>
            <w:tcW w:w="3800" w:type="dxa"/>
            <w:vAlign w:val="bottom"/>
            <w:shd w:val="clear" w:color="auto" w:fill="CEFFE7"/>
          </w:tcPr>
          <w:p>
            <w:pPr>
              <w:spacing w:after="0"/>
              <w:rPr>
                <w:sz w:val="20"/>
                <w:szCs w:val="20"/>
                <w:color w:val="auto"/>
              </w:rPr>
            </w:pPr>
            <w:r>
              <w:rPr>
                <w:rFonts w:ascii="Arial" w:cs="Arial" w:eastAsia="Arial" w:hAnsi="Arial"/>
                <w:sz w:val="16"/>
                <w:szCs w:val="16"/>
                <w:color w:val="auto"/>
              </w:rPr>
              <w:t>Derivative assets, current</w:t>
            </w:r>
          </w:p>
        </w:tc>
        <w:tc>
          <w:tcPr>
            <w:tcW w:w="140" w:type="dxa"/>
            <w:vAlign w:val="bottom"/>
            <w:shd w:val="clear" w:color="auto" w:fill="CEFFE7"/>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1,632</w:t>
            </w:r>
          </w:p>
        </w:tc>
        <w:tc>
          <w:tcPr>
            <w:tcW w:w="1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1,667</w:t>
            </w:r>
          </w:p>
        </w:tc>
      </w:tr>
      <w:tr>
        <w:trPr>
          <w:trHeight w:val="213"/>
        </w:trPr>
        <w:tc>
          <w:tcPr>
            <w:tcW w:w="4520" w:type="dxa"/>
            <w:vAlign w:val="bottom"/>
          </w:tcPr>
          <w:p>
            <w:pPr>
              <w:ind w:left="300"/>
              <w:spacing w:after="0"/>
              <w:rPr>
                <w:sz w:val="20"/>
                <w:szCs w:val="20"/>
                <w:color w:val="auto"/>
              </w:rPr>
            </w:pPr>
            <w:r>
              <w:rPr>
                <w:rFonts w:ascii="Arial" w:cs="Arial" w:eastAsia="Arial" w:hAnsi="Arial"/>
                <w:sz w:val="16"/>
                <w:szCs w:val="16"/>
                <w:color w:val="auto"/>
              </w:rPr>
              <w:t>Noncurrent commodity derivatives</w:t>
            </w:r>
          </w:p>
        </w:tc>
        <w:tc>
          <w:tcPr>
            <w:tcW w:w="3800" w:type="dxa"/>
            <w:vAlign w:val="bottom"/>
          </w:tcPr>
          <w:p>
            <w:pPr>
              <w:spacing w:after="0"/>
              <w:rPr>
                <w:sz w:val="20"/>
                <w:szCs w:val="20"/>
                <w:color w:val="auto"/>
              </w:rPr>
            </w:pPr>
            <w:r>
              <w:rPr>
                <w:rFonts w:ascii="Arial" w:cs="Arial" w:eastAsia="Arial" w:hAnsi="Arial"/>
                <w:sz w:val="16"/>
                <w:szCs w:val="16"/>
                <w:color w:val="auto"/>
              </w:rPr>
              <w:t>Other assets, non-current</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32</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151</w:t>
            </w:r>
          </w:p>
        </w:tc>
      </w:tr>
      <w:tr>
        <w:trPr>
          <w:trHeight w:val="219"/>
        </w:trPr>
        <w:tc>
          <w:tcPr>
            <w:tcW w:w="4520" w:type="dxa"/>
            <w:vAlign w:val="bottom"/>
            <w:shd w:val="clear" w:color="auto" w:fill="CEFFE7"/>
          </w:tcPr>
          <w:p>
            <w:pPr>
              <w:ind w:left="180"/>
              <w:spacing w:after="0"/>
              <w:rPr>
                <w:sz w:val="20"/>
                <w:szCs w:val="20"/>
                <w:color w:val="auto"/>
              </w:rPr>
            </w:pPr>
            <w:r>
              <w:rPr>
                <w:rFonts w:ascii="Arial" w:cs="Arial" w:eastAsia="Arial" w:hAnsi="Arial"/>
                <w:sz w:val="16"/>
                <w:szCs w:val="16"/>
                <w:color w:val="auto"/>
              </w:rPr>
              <w:t>Liability derivative instruments:</w:t>
            </w:r>
          </w:p>
        </w:tc>
        <w:tc>
          <w:tcPr>
            <w:tcW w:w="3800" w:type="dxa"/>
            <w:vAlign w:val="bottom"/>
            <w:shd w:val="clear" w:color="auto" w:fill="CEFFE7"/>
          </w:tcPr>
          <w:p>
            <w:pPr>
              <w:spacing w:after="0"/>
              <w:rPr>
                <w:sz w:val="19"/>
                <w:szCs w:val="19"/>
                <w:color w:val="auto"/>
              </w:rPr>
            </w:pPr>
          </w:p>
        </w:tc>
        <w:tc>
          <w:tcPr>
            <w:tcW w:w="140" w:type="dxa"/>
            <w:vAlign w:val="bottom"/>
            <w:shd w:val="clear" w:color="auto" w:fill="CEFFE7"/>
          </w:tcPr>
          <w:p>
            <w:pPr>
              <w:spacing w:after="0"/>
              <w:rPr>
                <w:sz w:val="19"/>
                <w:szCs w:val="19"/>
                <w:color w:val="auto"/>
              </w:rPr>
            </w:pPr>
          </w:p>
        </w:tc>
        <w:tc>
          <w:tcPr>
            <w:tcW w:w="1300" w:type="dxa"/>
            <w:vAlign w:val="bottom"/>
            <w:shd w:val="clear" w:color="auto" w:fill="CEFFE7"/>
          </w:tcPr>
          <w:p>
            <w:pPr>
              <w:spacing w:after="0"/>
              <w:rPr>
                <w:sz w:val="19"/>
                <w:szCs w:val="19"/>
                <w:color w:val="auto"/>
              </w:rPr>
            </w:pPr>
          </w:p>
        </w:tc>
        <w:tc>
          <w:tcPr>
            <w:tcW w:w="160" w:type="dxa"/>
            <w:vAlign w:val="bottom"/>
            <w:shd w:val="clear" w:color="auto" w:fill="CEFFE7"/>
          </w:tcPr>
          <w:p>
            <w:pPr>
              <w:spacing w:after="0"/>
              <w:rPr>
                <w:sz w:val="19"/>
                <w:szCs w:val="19"/>
                <w:color w:val="auto"/>
              </w:rPr>
            </w:pPr>
          </w:p>
        </w:tc>
        <w:tc>
          <w:tcPr>
            <w:tcW w:w="1280" w:type="dxa"/>
            <w:vAlign w:val="bottom"/>
            <w:shd w:val="clear" w:color="auto" w:fill="CEFFE7"/>
          </w:tcPr>
          <w:p>
            <w:pPr>
              <w:spacing w:after="0"/>
              <w:rPr>
                <w:sz w:val="19"/>
                <w:szCs w:val="19"/>
                <w:color w:val="auto"/>
              </w:rPr>
            </w:pPr>
          </w:p>
        </w:tc>
      </w:tr>
      <w:tr>
        <w:trPr>
          <w:trHeight w:val="213"/>
        </w:trPr>
        <w:tc>
          <w:tcPr>
            <w:tcW w:w="4520" w:type="dxa"/>
            <w:vAlign w:val="bottom"/>
          </w:tcPr>
          <w:p>
            <w:pPr>
              <w:ind w:left="300"/>
              <w:spacing w:after="0"/>
              <w:rPr>
                <w:sz w:val="20"/>
                <w:szCs w:val="20"/>
                <w:color w:val="auto"/>
              </w:rPr>
            </w:pPr>
            <w:r>
              <w:rPr>
                <w:rFonts w:ascii="Arial" w:cs="Arial" w:eastAsia="Arial" w:hAnsi="Arial"/>
                <w:sz w:val="16"/>
                <w:szCs w:val="16"/>
                <w:color w:val="auto"/>
              </w:rPr>
              <w:t>Current commodity derivatives</w:t>
            </w:r>
          </w:p>
        </w:tc>
        <w:tc>
          <w:tcPr>
            <w:tcW w:w="3800" w:type="dxa"/>
            <w:vAlign w:val="bottom"/>
          </w:tcPr>
          <w:p>
            <w:pPr>
              <w:spacing w:after="0"/>
              <w:rPr>
                <w:sz w:val="20"/>
                <w:szCs w:val="20"/>
                <w:color w:val="auto"/>
              </w:rPr>
            </w:pPr>
            <w:r>
              <w:rPr>
                <w:rFonts w:ascii="Arial" w:cs="Arial" w:eastAsia="Arial" w:hAnsi="Arial"/>
                <w:sz w:val="16"/>
                <w:szCs w:val="16"/>
                <w:color w:val="auto"/>
              </w:rPr>
              <w:t>Derivative liabilities, current</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(2,526)</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(1,936)</w:t>
            </w:r>
          </w:p>
        </w:tc>
      </w:tr>
      <w:tr>
        <w:trPr>
          <w:trHeight w:val="216"/>
        </w:trPr>
        <w:tc>
          <w:tcPr>
            <w:tcW w:w="4520" w:type="dxa"/>
            <w:vAlign w:val="bottom"/>
            <w:shd w:val="clear" w:color="auto" w:fill="CEFFE7"/>
          </w:tcPr>
          <w:p>
            <w:pPr>
              <w:ind w:left="300"/>
              <w:spacing w:after="0"/>
              <w:rPr>
                <w:sz w:val="20"/>
                <w:szCs w:val="20"/>
                <w:color w:val="auto"/>
              </w:rPr>
            </w:pPr>
            <w:r>
              <w:rPr>
                <w:rFonts w:ascii="Arial" w:cs="Arial" w:eastAsia="Arial" w:hAnsi="Arial"/>
                <w:sz w:val="16"/>
                <w:szCs w:val="16"/>
                <w:color w:val="auto"/>
              </w:rPr>
              <w:t>Noncurrent commodity derivatives</w:t>
            </w:r>
          </w:p>
        </w:tc>
        <w:tc>
          <w:tcPr>
            <w:tcW w:w="3800" w:type="dxa"/>
            <w:vAlign w:val="bottom"/>
            <w:shd w:val="clear" w:color="auto" w:fill="CEFFE7"/>
          </w:tcPr>
          <w:p>
            <w:pPr>
              <w:spacing w:after="0"/>
              <w:rPr>
                <w:sz w:val="20"/>
                <w:szCs w:val="20"/>
                <w:color w:val="auto"/>
              </w:rPr>
            </w:pPr>
            <w:r>
              <w:rPr>
                <w:rFonts w:ascii="Arial" w:cs="Arial" w:eastAsia="Arial" w:hAnsi="Arial"/>
                <w:sz w:val="16"/>
                <w:szCs w:val="16"/>
                <w:color w:val="auto"/>
              </w:rPr>
              <w:t>Other deferred credits and other liabilities</w:t>
            </w:r>
          </w:p>
        </w:tc>
        <w:tc>
          <w:tcPr>
            <w:tcW w:w="140" w:type="dxa"/>
            <w:vAlign w:val="bottom"/>
            <w:tcBorders>
              <w:bottom w:val="single" w:sz="8" w:color="auto"/>
            </w:tcBorders>
            <w:shd w:val="clear" w:color="auto" w:fill="CEFFE7"/>
          </w:tcPr>
          <w:p>
            <w:pPr>
              <w:spacing w:after="0"/>
              <w:rPr>
                <w:sz w:val="18"/>
                <w:szCs w:val="18"/>
                <w:color w:val="auto"/>
              </w:rPr>
            </w:pPr>
          </w:p>
        </w:tc>
        <w:tc>
          <w:tcPr>
            <w:tcW w:w="13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(43)</w:t>
            </w:r>
          </w:p>
        </w:tc>
        <w:tc>
          <w:tcPr>
            <w:tcW w:w="160" w:type="dxa"/>
            <w:vAlign w:val="bottom"/>
            <w:tcBorders>
              <w:bottom w:val="single" w:sz="8" w:color="auto"/>
            </w:tcBorders>
            <w:shd w:val="clear" w:color="auto" w:fill="CEFFE7"/>
          </w:tcPr>
          <w:p>
            <w:pPr>
              <w:spacing w:after="0"/>
              <w:rPr>
                <w:sz w:val="18"/>
                <w:szCs w:val="18"/>
                <w:color w:val="auto"/>
              </w:rPr>
            </w:pPr>
          </w:p>
        </w:tc>
        <w:tc>
          <w:tcPr>
            <w:tcW w:w="12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4520" w:type="dxa"/>
            <w:vAlign w:val="bottom"/>
          </w:tcPr>
          <w:p>
            <w:pPr>
              <w:ind w:left="20"/>
              <w:spacing w:after="0"/>
              <w:rPr>
                <w:sz w:val="20"/>
                <w:szCs w:val="20"/>
                <w:color w:val="auto"/>
              </w:rPr>
            </w:pPr>
            <w:r>
              <w:rPr>
                <w:rFonts w:ascii="Arial" w:cs="Arial" w:eastAsia="Arial" w:hAnsi="Arial"/>
                <w:sz w:val="16"/>
                <w:szCs w:val="16"/>
                <w:color w:val="auto"/>
              </w:rPr>
              <w:t>Total derivatives not designated as hedges</w:t>
            </w:r>
          </w:p>
        </w:tc>
        <w:tc>
          <w:tcPr>
            <w:tcW w:w="38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(905)</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w:t>
            </w:r>
          </w:p>
        </w:tc>
      </w:tr>
      <w:tr>
        <w:trPr>
          <w:trHeight w:val="21"/>
        </w:trPr>
        <w:tc>
          <w:tcPr>
            <w:tcW w:w="45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32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Derivatives Designated as Hedge Instruments</w:t>
      </w:r>
    </w:p>
    <w:p>
      <w:pPr>
        <w:spacing w:after="0" w:line="248" w:lineRule="exact"/>
        <w:rPr>
          <w:sz w:val="20"/>
          <w:szCs w:val="20"/>
          <w:color w:val="auto"/>
        </w:rPr>
      </w:pPr>
    </w:p>
    <w:p>
      <w:pPr>
        <w:ind w:right="160"/>
        <w:spacing w:after="0" w:line="251" w:lineRule="auto"/>
        <w:rPr>
          <w:sz w:val="20"/>
          <w:szCs w:val="20"/>
          <w:color w:val="auto"/>
        </w:rPr>
      </w:pPr>
      <w:r>
        <w:rPr>
          <w:rFonts w:ascii="Arial" w:cs="Arial" w:eastAsia="Arial" w:hAnsi="Arial"/>
          <w:sz w:val="16"/>
          <w:szCs w:val="16"/>
          <w:color w:val="auto"/>
        </w:rPr>
        <w:t>The impacts of cash flow hedges on our Condensed Consolidated Statements of Comprehensive Income and Condensed Consolidated Statements of Income are presented below for the three months ended March 31, 2021 and 2020. Note that this presentation does not reflect gains or losses arising from the underlying physical transactions; therefore, it is not indicative of the economic profit or loss we realized when the underlying physical and financial transactions were settled.</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160" w:type="dxa"/>
            <w:vAlign w:val="bottom"/>
          </w:tcPr>
          <w:p>
            <w:pPr>
              <w:spacing w:after="0"/>
              <w:rPr>
                <w:sz w:val="16"/>
                <w:szCs w:val="16"/>
                <w:color w:val="auto"/>
              </w:rPr>
            </w:pPr>
          </w:p>
        </w:tc>
        <w:tc>
          <w:tcPr>
            <w:tcW w:w="2220" w:type="dxa"/>
            <w:vAlign w:val="bottom"/>
            <w:gridSpan w:val="4"/>
          </w:tcPr>
          <w:p>
            <w:pPr>
              <w:jc w:val="center"/>
              <w:spacing w:after="0"/>
              <w:rPr>
                <w:sz w:val="20"/>
                <w:szCs w:val="20"/>
                <w:color w:val="auto"/>
              </w:rPr>
            </w:pPr>
            <w:r>
              <w:rPr>
                <w:rFonts w:ascii="Arial" w:cs="Arial" w:eastAsia="Arial" w:hAnsi="Arial"/>
                <w:sz w:val="16"/>
                <w:szCs w:val="16"/>
                <w:color w:val="auto"/>
              </w:rPr>
              <w:t>Three Months Ended March</w:t>
            </w:r>
          </w:p>
        </w:tc>
        <w:tc>
          <w:tcPr>
            <w:tcW w:w="2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20" w:type="dxa"/>
            <w:vAlign w:val="bottom"/>
            <w:gridSpan w:val="3"/>
          </w:tcPr>
          <w:p>
            <w:pPr>
              <w:jc w:val="center"/>
              <w:ind w:right="39"/>
              <w:spacing w:after="0"/>
              <w:rPr>
                <w:sz w:val="20"/>
                <w:szCs w:val="20"/>
                <w:color w:val="auto"/>
              </w:rPr>
            </w:pPr>
            <w:r>
              <w:rPr>
                <w:rFonts w:ascii="Arial" w:cs="Arial" w:eastAsia="Arial" w:hAnsi="Arial"/>
                <w:sz w:val="16"/>
                <w:szCs w:val="16"/>
                <w:color w:val="auto"/>
              </w:rPr>
              <w:t>Three Months Ended March</w:t>
            </w:r>
          </w:p>
        </w:tc>
      </w:tr>
      <w:tr>
        <w:trPr>
          <w:trHeight w:val="198"/>
        </w:trPr>
        <w:tc>
          <w:tcPr>
            <w:tcW w:w="4160" w:type="dxa"/>
            <w:vAlign w:val="bottom"/>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2"/>
          </w:tcPr>
          <w:p>
            <w:pPr>
              <w:jc w:val="center"/>
              <w:ind w:right="299"/>
              <w:spacing w:after="0"/>
              <w:rPr>
                <w:sz w:val="20"/>
                <w:szCs w:val="20"/>
                <w:color w:val="auto"/>
              </w:rPr>
            </w:pPr>
            <w:r>
              <w:rPr>
                <w:rFonts w:ascii="Arial" w:cs="Arial" w:eastAsia="Arial" w:hAnsi="Arial"/>
                <w:sz w:val="16"/>
                <w:szCs w:val="16"/>
                <w:color w:val="auto"/>
                <w:w w:val="98"/>
              </w:rPr>
              <w:t>31,</w:t>
            </w:r>
          </w:p>
        </w:tc>
        <w:tc>
          <w:tcPr>
            <w:tcW w:w="360" w:type="dxa"/>
            <w:vAlign w:val="bottom"/>
            <w:tcBorders>
              <w:bottom w:val="single" w:sz="8" w:color="auto"/>
            </w:tcBorders>
          </w:tcPr>
          <w:p>
            <w:pPr>
              <w:spacing w:after="0"/>
              <w:rPr>
                <w:sz w:val="17"/>
                <w:szCs w:val="17"/>
                <w:color w:val="auto"/>
              </w:rPr>
            </w:pPr>
          </w:p>
        </w:tc>
        <w:tc>
          <w:tcPr>
            <w:tcW w:w="26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2"/>
          </w:tcPr>
          <w:p>
            <w:pPr>
              <w:jc w:val="right"/>
              <w:ind w:right="119"/>
              <w:spacing w:after="0"/>
              <w:rPr>
                <w:sz w:val="20"/>
                <w:szCs w:val="20"/>
                <w:color w:val="auto"/>
              </w:rPr>
            </w:pPr>
            <w:r>
              <w:rPr>
                <w:rFonts w:ascii="Arial" w:cs="Arial" w:eastAsia="Arial" w:hAnsi="Arial"/>
                <w:sz w:val="16"/>
                <w:szCs w:val="16"/>
                <w:color w:val="auto"/>
              </w:rPr>
              <w:t>31,</w:t>
            </w:r>
          </w:p>
        </w:tc>
        <w:tc>
          <w:tcPr>
            <w:tcW w:w="800" w:type="dxa"/>
            <w:vAlign w:val="bottom"/>
            <w:tcBorders>
              <w:bottom w:val="single" w:sz="8" w:color="auto"/>
            </w:tcBorders>
          </w:tcPr>
          <w:p>
            <w:pPr>
              <w:spacing w:after="0"/>
              <w:rPr>
                <w:sz w:val="17"/>
                <w:szCs w:val="17"/>
                <w:color w:val="auto"/>
              </w:rPr>
            </w:pPr>
          </w:p>
        </w:tc>
      </w:tr>
      <w:tr>
        <w:trPr>
          <w:trHeight w:val="209"/>
        </w:trPr>
        <w:tc>
          <w:tcPr>
            <w:tcW w:w="4160" w:type="dxa"/>
            <w:vAlign w:val="bottom"/>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2021</w:t>
            </w:r>
          </w:p>
        </w:tc>
        <w:tc>
          <w:tcPr>
            <w:tcW w:w="3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2020</w:t>
            </w:r>
          </w:p>
        </w:tc>
        <w:tc>
          <w:tcPr>
            <w:tcW w:w="360" w:type="dxa"/>
            <w:vAlign w:val="bottom"/>
            <w:tcBorders>
              <w:bottom w:val="single" w:sz="8" w:color="auto"/>
            </w:tcBorders>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2021</w:t>
            </w: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2020</w:t>
            </w:r>
          </w:p>
        </w:tc>
      </w:tr>
      <w:tr>
        <w:trPr>
          <w:trHeight w:val="174"/>
        </w:trPr>
        <w:tc>
          <w:tcPr>
            <w:tcW w:w="4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20" w:type="dxa"/>
            <w:vAlign w:val="bottom"/>
            <w:gridSpan w:val="3"/>
          </w:tcPr>
          <w:p>
            <w:pPr>
              <w:jc w:val="center"/>
              <w:ind w:right="59"/>
              <w:spacing w:after="0" w:line="174" w:lineRule="exact"/>
              <w:rPr>
                <w:sz w:val="20"/>
                <w:szCs w:val="20"/>
                <w:color w:val="auto"/>
              </w:rPr>
            </w:pPr>
            <w:r>
              <w:rPr>
                <w:rFonts w:ascii="Arial" w:cs="Arial" w:eastAsia="Arial" w:hAnsi="Arial"/>
                <w:sz w:val="16"/>
                <w:szCs w:val="16"/>
                <w:color w:val="auto"/>
              </w:rPr>
              <w:t>Amount of Gain/(Loss)</w:t>
            </w:r>
          </w:p>
        </w:tc>
      </w:tr>
      <w:tr>
        <w:trPr>
          <w:trHeight w:val="162"/>
        </w:trPr>
        <w:tc>
          <w:tcPr>
            <w:tcW w:w="4160" w:type="dxa"/>
            <w:vAlign w:val="bottom"/>
          </w:tcPr>
          <w:p>
            <w:pPr>
              <w:spacing w:after="0"/>
              <w:rPr>
                <w:sz w:val="14"/>
                <w:szCs w:val="14"/>
                <w:color w:val="auto"/>
              </w:rPr>
            </w:pPr>
          </w:p>
        </w:tc>
        <w:tc>
          <w:tcPr>
            <w:tcW w:w="2220" w:type="dxa"/>
            <w:vAlign w:val="bottom"/>
            <w:gridSpan w:val="4"/>
          </w:tcPr>
          <w:p>
            <w:pPr>
              <w:jc w:val="center"/>
              <w:spacing w:after="0" w:line="162" w:lineRule="exact"/>
              <w:rPr>
                <w:sz w:val="20"/>
                <w:szCs w:val="20"/>
                <w:color w:val="auto"/>
              </w:rPr>
            </w:pPr>
            <w:r>
              <w:rPr>
                <w:rFonts w:ascii="Arial" w:cs="Arial" w:eastAsia="Arial" w:hAnsi="Arial"/>
                <w:sz w:val="16"/>
                <w:szCs w:val="16"/>
                <w:color w:val="auto"/>
              </w:rPr>
              <w:t>Amount of (Gain)/Loss</w:t>
            </w:r>
          </w:p>
        </w:tc>
        <w:tc>
          <w:tcPr>
            <w:tcW w:w="2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20" w:type="dxa"/>
            <w:vAlign w:val="bottom"/>
            <w:gridSpan w:val="3"/>
          </w:tcPr>
          <w:p>
            <w:pPr>
              <w:jc w:val="center"/>
              <w:ind w:right="39"/>
              <w:spacing w:after="0" w:line="162" w:lineRule="exact"/>
              <w:rPr>
                <w:sz w:val="20"/>
                <w:szCs w:val="20"/>
                <w:color w:val="auto"/>
              </w:rPr>
            </w:pPr>
            <w:r>
              <w:rPr>
                <w:rFonts w:ascii="Arial" w:cs="Arial" w:eastAsia="Arial" w:hAnsi="Arial"/>
                <w:sz w:val="16"/>
                <w:szCs w:val="16"/>
                <w:color w:val="auto"/>
              </w:rPr>
              <w:t>Reclassified from AOCI into</w:t>
            </w:r>
          </w:p>
        </w:tc>
      </w:tr>
      <w:tr>
        <w:trPr>
          <w:trHeight w:val="198"/>
        </w:trPr>
        <w:tc>
          <w:tcPr>
            <w:tcW w:w="416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auto"/>
              </w:rPr>
              <w:t>Derivatives in Cash Flow Hedging Relationships</w:t>
            </w:r>
          </w:p>
        </w:tc>
        <w:tc>
          <w:tcPr>
            <w:tcW w:w="1860" w:type="dxa"/>
            <w:vAlign w:val="bottom"/>
            <w:tcBorders>
              <w:bottom w:val="single" w:sz="8" w:color="auto"/>
            </w:tcBorders>
            <w:gridSpan w:val="3"/>
          </w:tcPr>
          <w:p>
            <w:pPr>
              <w:jc w:val="center"/>
              <w:ind w:left="259"/>
              <w:spacing w:after="0"/>
              <w:rPr>
                <w:sz w:val="20"/>
                <w:szCs w:val="20"/>
                <w:color w:val="auto"/>
              </w:rPr>
            </w:pPr>
            <w:r>
              <w:rPr>
                <w:rFonts w:ascii="Arial" w:cs="Arial" w:eastAsia="Arial" w:hAnsi="Arial"/>
                <w:sz w:val="16"/>
                <w:szCs w:val="16"/>
                <w:color w:val="auto"/>
              </w:rPr>
              <w:t>Recognized in OCI</w:t>
            </w:r>
          </w:p>
        </w:tc>
        <w:tc>
          <w:tcPr>
            <w:tcW w:w="360" w:type="dxa"/>
            <w:vAlign w:val="bottom"/>
            <w:tcBorders>
              <w:bottom w:val="single" w:sz="8" w:color="auto"/>
            </w:tcBorders>
          </w:tcPr>
          <w:p>
            <w:pPr>
              <w:spacing w:after="0"/>
              <w:rPr>
                <w:sz w:val="17"/>
                <w:szCs w:val="17"/>
                <w:color w:val="auto"/>
              </w:rPr>
            </w:pPr>
          </w:p>
        </w:tc>
        <w:tc>
          <w:tcPr>
            <w:tcW w:w="2620" w:type="dxa"/>
            <w:vAlign w:val="bottom"/>
            <w:tcBorders>
              <w:bottom w:val="single" w:sz="8" w:color="auto"/>
            </w:tcBorders>
          </w:tcPr>
          <w:p>
            <w:pPr>
              <w:ind w:left="320"/>
              <w:spacing w:after="0"/>
              <w:rPr>
                <w:sz w:val="20"/>
                <w:szCs w:val="20"/>
                <w:color w:val="auto"/>
              </w:rPr>
            </w:pPr>
            <w:r>
              <w:rPr>
                <w:rFonts w:ascii="Arial" w:cs="Arial" w:eastAsia="Arial" w:hAnsi="Arial"/>
                <w:sz w:val="16"/>
                <w:szCs w:val="16"/>
                <w:color w:val="auto"/>
              </w:rPr>
              <w:t>Income Statement Location</w:t>
            </w:r>
          </w:p>
        </w:tc>
        <w:tc>
          <w:tcPr>
            <w:tcW w:w="1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2"/>
          </w:tcPr>
          <w:p>
            <w:pPr>
              <w:jc w:val="center"/>
              <w:ind w:left="599"/>
              <w:spacing w:after="0"/>
              <w:rPr>
                <w:sz w:val="20"/>
                <w:szCs w:val="20"/>
                <w:color w:val="auto"/>
              </w:rPr>
            </w:pPr>
            <w:r>
              <w:rPr>
                <w:rFonts w:ascii="Arial" w:cs="Arial" w:eastAsia="Arial" w:hAnsi="Arial"/>
                <w:sz w:val="16"/>
                <w:szCs w:val="16"/>
                <w:color w:val="auto"/>
                <w:w w:val="99"/>
              </w:rPr>
              <w:t>Income</w:t>
            </w:r>
          </w:p>
        </w:tc>
        <w:tc>
          <w:tcPr>
            <w:tcW w:w="800" w:type="dxa"/>
            <w:vAlign w:val="bottom"/>
            <w:tcBorders>
              <w:bottom w:val="single" w:sz="8" w:color="auto"/>
            </w:tcBorders>
          </w:tcPr>
          <w:p>
            <w:pPr>
              <w:spacing w:after="0"/>
              <w:rPr>
                <w:sz w:val="17"/>
                <w:szCs w:val="17"/>
                <w:color w:val="auto"/>
              </w:rPr>
            </w:pPr>
          </w:p>
        </w:tc>
      </w:tr>
      <w:tr>
        <w:trPr>
          <w:trHeight w:val="210"/>
        </w:trPr>
        <w:tc>
          <w:tcPr>
            <w:tcW w:w="4160" w:type="dxa"/>
            <w:vAlign w:val="bottom"/>
            <w:tcBorders>
              <w:bottom w:val="single" w:sz="8" w:color="CEFFE7"/>
            </w:tcBorders>
          </w:tcPr>
          <w:p>
            <w:pPr>
              <w:spacing w:after="0"/>
              <w:rPr>
                <w:sz w:val="18"/>
                <w:szCs w:val="18"/>
                <w:color w:val="auto"/>
              </w:rPr>
            </w:pPr>
          </w:p>
        </w:tc>
        <w:tc>
          <w:tcPr>
            <w:tcW w:w="1860" w:type="dxa"/>
            <w:vAlign w:val="bottom"/>
            <w:tcBorders>
              <w:bottom w:val="single" w:sz="8" w:color="auto"/>
            </w:tcBorders>
            <w:gridSpan w:val="3"/>
          </w:tcPr>
          <w:p>
            <w:pPr>
              <w:jc w:val="center"/>
              <w:ind w:left="279"/>
              <w:spacing w:after="0"/>
              <w:rPr>
                <w:sz w:val="20"/>
                <w:szCs w:val="20"/>
                <w:color w:val="auto"/>
              </w:rPr>
            </w:pPr>
            <w:r>
              <w:rPr>
                <w:rFonts w:ascii="Arial" w:cs="Arial" w:eastAsia="Arial" w:hAnsi="Arial"/>
                <w:sz w:val="16"/>
                <w:szCs w:val="16"/>
                <w:color w:val="auto"/>
              </w:rPr>
              <w:t>(in thousands)</w:t>
            </w:r>
          </w:p>
        </w:tc>
        <w:tc>
          <w:tcPr>
            <w:tcW w:w="360" w:type="dxa"/>
            <w:vAlign w:val="bottom"/>
            <w:tcBorders>
              <w:bottom w:val="single" w:sz="8" w:color="auto"/>
            </w:tcBorders>
          </w:tcPr>
          <w:p>
            <w:pPr>
              <w:spacing w:after="0"/>
              <w:rPr>
                <w:sz w:val="18"/>
                <w:szCs w:val="18"/>
                <w:color w:val="auto"/>
              </w:rPr>
            </w:pPr>
          </w:p>
        </w:tc>
        <w:tc>
          <w:tcPr>
            <w:tcW w:w="2620" w:type="dxa"/>
            <w:vAlign w:val="bottom"/>
            <w:tcBorders>
              <w:bottom w:val="single" w:sz="8" w:color="CEFFE7"/>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3"/>
          </w:tcPr>
          <w:p>
            <w:pPr>
              <w:jc w:val="center"/>
              <w:ind w:right="39"/>
              <w:spacing w:after="0"/>
              <w:rPr>
                <w:sz w:val="20"/>
                <w:szCs w:val="20"/>
                <w:color w:val="auto"/>
              </w:rPr>
            </w:pPr>
            <w:r>
              <w:rPr>
                <w:rFonts w:ascii="Arial" w:cs="Arial" w:eastAsia="Arial" w:hAnsi="Arial"/>
                <w:sz w:val="16"/>
                <w:szCs w:val="16"/>
                <w:color w:val="auto"/>
              </w:rPr>
              <w:t>(in thousands)</w:t>
            </w:r>
          </w:p>
        </w:tc>
      </w:tr>
      <w:tr>
        <w:trPr>
          <w:trHeight w:val="213"/>
        </w:trPr>
        <w:tc>
          <w:tcPr>
            <w:tcW w:w="4160" w:type="dxa"/>
            <w:vAlign w:val="bottom"/>
            <w:shd w:val="clear" w:color="auto" w:fill="CEFFE7"/>
          </w:tcPr>
          <w:p>
            <w:pPr>
              <w:ind w:left="20"/>
              <w:spacing w:after="0"/>
              <w:rPr>
                <w:sz w:val="20"/>
                <w:szCs w:val="20"/>
                <w:color w:val="auto"/>
              </w:rPr>
            </w:pPr>
            <w:r>
              <w:rPr>
                <w:rFonts w:ascii="Arial" w:cs="Arial" w:eastAsia="Arial" w:hAnsi="Arial"/>
                <w:sz w:val="16"/>
                <w:szCs w:val="16"/>
                <w:color w:val="auto"/>
              </w:rPr>
              <w:t>Interest rate swaps</w:t>
            </w:r>
          </w:p>
        </w:tc>
        <w:tc>
          <w:tcPr>
            <w:tcW w:w="740" w:type="dxa"/>
            <w:vAlign w:val="bottom"/>
            <w:shd w:val="clear" w:color="auto" w:fill="CEFFE7"/>
          </w:tcPr>
          <w:p>
            <w:pPr>
              <w:jc w:val="right"/>
              <w:ind w:right="559"/>
              <w:spacing w:after="0"/>
              <w:rPr>
                <w:sz w:val="20"/>
                <w:szCs w:val="20"/>
                <w:color w:val="auto"/>
              </w:rPr>
            </w:pPr>
            <w:r>
              <w:rPr>
                <w:rFonts w:ascii="Arial" w:cs="Arial" w:eastAsia="Arial" w:hAnsi="Arial"/>
                <w:sz w:val="16"/>
                <w:szCs w:val="16"/>
                <w:color w:val="auto"/>
                <w:w w:val="89"/>
              </w:rPr>
              <w:t>$</w:t>
            </w:r>
          </w:p>
        </w:tc>
        <w:tc>
          <w:tcPr>
            <w:tcW w:w="340" w:type="dxa"/>
            <w:vAlign w:val="bottom"/>
            <w:shd w:val="clear" w:color="auto" w:fill="CEFFE7"/>
          </w:tcPr>
          <w:p>
            <w:pPr>
              <w:jc w:val="right"/>
              <w:spacing w:after="0"/>
              <w:rPr>
                <w:sz w:val="20"/>
                <w:szCs w:val="20"/>
                <w:color w:val="auto"/>
              </w:rPr>
            </w:pPr>
            <w:r>
              <w:rPr>
                <w:rFonts w:ascii="Arial" w:cs="Arial" w:eastAsia="Arial" w:hAnsi="Arial"/>
                <w:sz w:val="16"/>
                <w:szCs w:val="16"/>
                <w:color w:val="auto"/>
                <w:w w:val="97"/>
              </w:rPr>
              <w:t>713</w:t>
            </w:r>
          </w:p>
        </w:tc>
        <w:tc>
          <w:tcPr>
            <w:tcW w:w="780" w:type="dxa"/>
            <w:vAlign w:val="bottom"/>
            <w:shd w:val="clear" w:color="auto" w:fill="CEFFE7"/>
          </w:tcPr>
          <w:p>
            <w:pPr>
              <w:jc w:val="right"/>
              <w:ind w:right="579"/>
              <w:spacing w:after="0"/>
              <w:rPr>
                <w:sz w:val="20"/>
                <w:szCs w:val="20"/>
                <w:color w:val="auto"/>
              </w:rPr>
            </w:pPr>
            <w:r>
              <w:rPr>
                <w:rFonts w:ascii="Arial" w:cs="Arial" w:eastAsia="Arial" w:hAnsi="Arial"/>
                <w:sz w:val="16"/>
                <w:szCs w:val="16"/>
                <w:color w:val="auto"/>
              </w:rPr>
              <w:t>$</w:t>
            </w:r>
          </w:p>
        </w:tc>
        <w:tc>
          <w:tcPr>
            <w:tcW w:w="360" w:type="dxa"/>
            <w:vAlign w:val="bottom"/>
            <w:shd w:val="clear" w:color="auto" w:fill="CEFFE7"/>
          </w:tcPr>
          <w:p>
            <w:pPr>
              <w:jc w:val="right"/>
              <w:spacing w:after="0"/>
              <w:rPr>
                <w:sz w:val="20"/>
                <w:szCs w:val="20"/>
                <w:color w:val="auto"/>
              </w:rPr>
            </w:pPr>
            <w:r>
              <w:rPr>
                <w:rFonts w:ascii="Arial" w:cs="Arial" w:eastAsia="Arial" w:hAnsi="Arial"/>
                <w:sz w:val="16"/>
                <w:szCs w:val="16"/>
                <w:color w:val="auto"/>
                <w:w w:val="97"/>
              </w:rPr>
              <w:t>713</w:t>
            </w:r>
          </w:p>
        </w:tc>
        <w:tc>
          <w:tcPr>
            <w:tcW w:w="2620" w:type="dxa"/>
            <w:vAlign w:val="bottom"/>
            <w:shd w:val="clear" w:color="auto" w:fill="CEFFE7"/>
          </w:tcPr>
          <w:p>
            <w:pPr>
              <w:ind w:left="20"/>
              <w:spacing w:after="0"/>
              <w:rPr>
                <w:sz w:val="20"/>
                <w:szCs w:val="20"/>
                <w:color w:val="auto"/>
              </w:rPr>
            </w:pPr>
            <w:r>
              <w:rPr>
                <w:rFonts w:ascii="Arial" w:cs="Arial" w:eastAsia="Arial" w:hAnsi="Arial"/>
                <w:sz w:val="16"/>
                <w:szCs w:val="16"/>
                <w:color w:val="auto"/>
              </w:rPr>
              <w:t>Interest expense</w:t>
            </w:r>
          </w:p>
        </w:tc>
        <w:tc>
          <w:tcPr>
            <w:tcW w:w="120" w:type="dxa"/>
            <w:vAlign w:val="bottom"/>
            <w:shd w:val="clear" w:color="auto" w:fill="CEFFE7"/>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(713)</w:t>
            </w:r>
          </w:p>
        </w:tc>
        <w:tc>
          <w:tcPr>
            <w:tcW w:w="320" w:type="dxa"/>
            <w:vAlign w:val="bottom"/>
            <w:shd w:val="clear" w:color="auto" w:fill="CEFFE7"/>
          </w:tcPr>
          <w:p>
            <w:pPr>
              <w:jc w:val="right"/>
              <w:ind w:right="13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(713)</w:t>
            </w:r>
          </w:p>
        </w:tc>
      </w:tr>
      <w:tr>
        <w:trPr>
          <w:trHeight w:val="177"/>
        </w:trPr>
        <w:tc>
          <w:tcPr>
            <w:tcW w:w="4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20" w:type="dxa"/>
            <w:vAlign w:val="bottom"/>
          </w:tcPr>
          <w:p>
            <w:pPr>
              <w:ind w:left="20"/>
              <w:spacing w:after="0" w:line="178" w:lineRule="exact"/>
              <w:rPr>
                <w:sz w:val="20"/>
                <w:szCs w:val="20"/>
                <w:color w:val="auto"/>
              </w:rPr>
            </w:pPr>
            <w:r>
              <w:rPr>
                <w:rFonts w:ascii="Arial" w:cs="Arial" w:eastAsia="Arial" w:hAnsi="Arial"/>
                <w:sz w:val="16"/>
                <w:szCs w:val="16"/>
                <w:color w:val="auto"/>
              </w:rPr>
              <w:t>Fuel, purchased power and cost of</w:t>
            </w: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98"/>
        </w:trPr>
        <w:tc>
          <w:tcPr>
            <w:tcW w:w="4160" w:type="dxa"/>
            <w:vAlign w:val="bottom"/>
            <w:tcBorders>
              <w:bottom w:val="single" w:sz="8" w:color="CEFFE7"/>
            </w:tcBorders>
          </w:tcPr>
          <w:p>
            <w:pPr>
              <w:ind w:left="20"/>
              <w:spacing w:after="0"/>
              <w:rPr>
                <w:sz w:val="20"/>
                <w:szCs w:val="20"/>
                <w:color w:val="auto"/>
              </w:rPr>
            </w:pPr>
            <w:r>
              <w:rPr>
                <w:rFonts w:ascii="Arial" w:cs="Arial" w:eastAsia="Arial" w:hAnsi="Arial"/>
                <w:sz w:val="16"/>
                <w:szCs w:val="16"/>
                <w:color w:val="auto"/>
              </w:rPr>
              <w:t>Commodity derivatives</w:t>
            </w:r>
          </w:p>
        </w:tc>
        <w:tc>
          <w:tcPr>
            <w:tcW w:w="74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7"/>
              </w:rPr>
              <w:t>173</w:t>
            </w:r>
          </w:p>
        </w:tc>
        <w:tc>
          <w:tcPr>
            <w:tcW w:w="7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7"/>
              </w:rPr>
              <w:t>257</w:t>
            </w:r>
          </w:p>
        </w:tc>
        <w:tc>
          <w:tcPr>
            <w:tcW w:w="2620" w:type="dxa"/>
            <w:vAlign w:val="bottom"/>
            <w:tcBorders>
              <w:bottom w:val="single" w:sz="8" w:color="CEFFE7"/>
            </w:tcBorders>
          </w:tcPr>
          <w:p>
            <w:pPr>
              <w:ind w:left="20"/>
              <w:spacing w:after="0"/>
              <w:rPr>
                <w:sz w:val="20"/>
                <w:szCs w:val="20"/>
                <w:color w:val="auto"/>
              </w:rPr>
            </w:pPr>
            <w:r>
              <w:rPr>
                <w:rFonts w:ascii="Arial" w:cs="Arial" w:eastAsia="Arial" w:hAnsi="Arial"/>
                <w:sz w:val="16"/>
                <w:szCs w:val="16"/>
                <w:color w:val="auto"/>
              </w:rPr>
              <w:t>natural gas sold</w:t>
            </w: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w:t>
            </w:r>
          </w:p>
        </w:tc>
        <w:tc>
          <w:tcPr>
            <w:tcW w:w="3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(486)</w:t>
            </w:r>
          </w:p>
        </w:tc>
      </w:tr>
      <w:tr>
        <w:trPr>
          <w:trHeight w:val="238"/>
        </w:trPr>
        <w:tc>
          <w:tcPr>
            <w:tcW w:w="4160" w:type="dxa"/>
            <w:vAlign w:val="bottom"/>
            <w:tcBorders>
              <w:bottom w:val="single" w:sz="8" w:color="CEFFE7"/>
            </w:tcBorders>
            <w:shd w:val="clear" w:color="auto" w:fill="CEFFE7"/>
          </w:tcPr>
          <w:p>
            <w:pPr>
              <w:ind w:left="360"/>
              <w:spacing w:after="0"/>
              <w:rPr>
                <w:sz w:val="20"/>
                <w:szCs w:val="20"/>
                <w:color w:val="auto"/>
              </w:rPr>
            </w:pPr>
            <w:r>
              <w:rPr>
                <w:rFonts w:ascii="Arial" w:cs="Arial" w:eastAsia="Arial" w:hAnsi="Arial"/>
                <w:sz w:val="16"/>
                <w:szCs w:val="16"/>
                <w:color w:val="auto"/>
              </w:rPr>
              <w:t>Total</w:t>
            </w:r>
          </w:p>
        </w:tc>
        <w:tc>
          <w:tcPr>
            <w:tcW w:w="740" w:type="dxa"/>
            <w:vAlign w:val="bottom"/>
            <w:tcBorders>
              <w:bottom w:val="single" w:sz="8" w:color="auto"/>
            </w:tcBorders>
            <w:shd w:val="clear" w:color="auto" w:fill="CEFFE7"/>
          </w:tcPr>
          <w:p>
            <w:pPr>
              <w:jc w:val="right"/>
              <w:ind w:right="559"/>
              <w:spacing w:after="0"/>
              <w:rPr>
                <w:sz w:val="20"/>
                <w:szCs w:val="20"/>
                <w:color w:val="auto"/>
              </w:rPr>
            </w:pPr>
            <w:r>
              <w:rPr>
                <w:rFonts w:ascii="Arial" w:cs="Arial" w:eastAsia="Arial" w:hAnsi="Arial"/>
                <w:sz w:val="16"/>
                <w:szCs w:val="16"/>
                <w:color w:val="auto"/>
                <w:w w:val="89"/>
              </w:rPr>
              <w:t>$</w:t>
            </w:r>
          </w:p>
        </w:tc>
        <w:tc>
          <w:tcPr>
            <w:tcW w:w="3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w w:val="97"/>
              </w:rPr>
              <w:t>886</w:t>
            </w:r>
          </w:p>
        </w:tc>
        <w:tc>
          <w:tcPr>
            <w:tcW w:w="780" w:type="dxa"/>
            <w:vAlign w:val="bottom"/>
            <w:tcBorders>
              <w:bottom w:val="single" w:sz="8" w:color="auto"/>
            </w:tcBorders>
            <w:shd w:val="clear" w:color="auto" w:fill="CEFFE7"/>
          </w:tcPr>
          <w:p>
            <w:pPr>
              <w:jc w:val="right"/>
              <w:ind w:right="579"/>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w w:val="97"/>
              </w:rPr>
              <w:t>970</w:t>
            </w:r>
          </w:p>
        </w:tc>
        <w:tc>
          <w:tcPr>
            <w:tcW w:w="2620" w:type="dxa"/>
            <w:vAlign w:val="bottom"/>
            <w:tcBorders>
              <w:bottom w:val="single" w:sz="8" w:color="CEFFE7"/>
            </w:tcBorders>
            <w:shd w:val="clear" w:color="auto" w:fill="CEFFE7"/>
          </w:tcPr>
          <w:p>
            <w:pPr>
              <w:spacing w:after="0"/>
              <w:rPr>
                <w:sz w:val="20"/>
                <w:szCs w:val="20"/>
                <w:color w:val="auto"/>
              </w:rPr>
            </w:pPr>
          </w:p>
        </w:tc>
        <w:tc>
          <w:tcPr>
            <w:tcW w:w="1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(744)</w:t>
            </w:r>
          </w:p>
        </w:tc>
        <w:tc>
          <w:tcPr>
            <w:tcW w:w="320" w:type="dxa"/>
            <w:vAlign w:val="bottom"/>
            <w:tcBorders>
              <w:bottom w:val="single" w:sz="8" w:color="auto"/>
            </w:tcBorders>
            <w:shd w:val="clear" w:color="auto" w:fill="CEFFE7"/>
          </w:tcPr>
          <w:p>
            <w:pPr>
              <w:jc w:val="right"/>
              <w:ind w:right="13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(1,199)</w:t>
            </w:r>
          </w:p>
        </w:tc>
      </w:tr>
      <w:tr>
        <w:trPr>
          <w:trHeight w:val="20"/>
        </w:trPr>
        <w:tc>
          <w:tcPr>
            <w:tcW w:w="4160" w:type="dxa"/>
            <w:vAlign w:val="bottom"/>
            <w:tcBorders>
              <w:top w:val="single" w:sz="8" w:color="CEFFE7"/>
            </w:tcBorders>
          </w:tcPr>
          <w:p>
            <w:pPr>
              <w:spacing w:after="0" w:line="20" w:lineRule="exact"/>
              <w:rPr>
                <w:sz w:val="1"/>
                <w:szCs w:val="1"/>
                <w:color w:val="auto"/>
              </w:rPr>
            </w:pPr>
          </w:p>
        </w:tc>
        <w:tc>
          <w:tcPr>
            <w:tcW w:w="740" w:type="dxa"/>
            <w:vAlign w:val="bottom"/>
            <w:tcBorders>
              <w:top w:val="single" w:sz="8" w:color="CEFFE7"/>
              <w:bottom w:val="single" w:sz="8" w:color="auto"/>
            </w:tcBorders>
          </w:tcPr>
          <w:p>
            <w:pPr>
              <w:spacing w:after="0" w:line="20" w:lineRule="exact"/>
              <w:rPr>
                <w:sz w:val="1"/>
                <w:szCs w:val="1"/>
                <w:color w:val="auto"/>
              </w:rPr>
            </w:pPr>
          </w:p>
        </w:tc>
        <w:tc>
          <w:tcPr>
            <w:tcW w:w="340" w:type="dxa"/>
            <w:vAlign w:val="bottom"/>
            <w:tcBorders>
              <w:top w:val="single" w:sz="8" w:color="CEFFE7"/>
              <w:bottom w:val="single" w:sz="8" w:color="auto"/>
            </w:tcBorders>
          </w:tcPr>
          <w:p>
            <w:pPr>
              <w:spacing w:after="0" w:line="20" w:lineRule="exact"/>
              <w:rPr>
                <w:sz w:val="1"/>
                <w:szCs w:val="1"/>
                <w:color w:val="auto"/>
              </w:rPr>
            </w:pPr>
          </w:p>
        </w:tc>
        <w:tc>
          <w:tcPr>
            <w:tcW w:w="780" w:type="dxa"/>
            <w:vAlign w:val="bottom"/>
            <w:tcBorders>
              <w:top w:val="single" w:sz="8" w:color="CEFFE7"/>
              <w:bottom w:val="single" w:sz="8" w:color="auto"/>
            </w:tcBorders>
          </w:tcPr>
          <w:p>
            <w:pPr>
              <w:spacing w:after="0" w:line="20" w:lineRule="exact"/>
              <w:rPr>
                <w:sz w:val="1"/>
                <w:szCs w:val="1"/>
                <w:color w:val="auto"/>
              </w:rPr>
            </w:pPr>
          </w:p>
        </w:tc>
        <w:tc>
          <w:tcPr>
            <w:tcW w:w="360" w:type="dxa"/>
            <w:vAlign w:val="bottom"/>
            <w:tcBorders>
              <w:top w:val="single" w:sz="8" w:color="CEFFE7"/>
              <w:bottom w:val="single" w:sz="8" w:color="auto"/>
            </w:tcBorders>
          </w:tcPr>
          <w:p>
            <w:pPr>
              <w:spacing w:after="0" w:line="20" w:lineRule="exact"/>
              <w:rPr>
                <w:sz w:val="1"/>
                <w:szCs w:val="1"/>
                <w:color w:val="auto"/>
              </w:rPr>
            </w:pPr>
          </w:p>
        </w:tc>
        <w:tc>
          <w:tcPr>
            <w:tcW w:w="2620" w:type="dxa"/>
            <w:vAlign w:val="bottom"/>
            <w:tcBorders>
              <w:top w:val="single" w:sz="8" w:color="CEFFE7"/>
            </w:tcBorders>
          </w:tcPr>
          <w:p>
            <w:pPr>
              <w:spacing w:after="0" w:line="20" w:lineRule="exact"/>
              <w:rPr>
                <w:sz w:val="1"/>
                <w:szCs w:val="1"/>
                <w:color w:val="auto"/>
              </w:rPr>
            </w:pPr>
          </w:p>
        </w:tc>
        <w:tc>
          <w:tcPr>
            <w:tcW w:w="120" w:type="dxa"/>
            <w:vAlign w:val="bottom"/>
            <w:tcBorders>
              <w:top w:val="single" w:sz="8" w:color="CEFFE7"/>
              <w:bottom w:val="single" w:sz="8" w:color="auto"/>
            </w:tcBorders>
          </w:tcPr>
          <w:p>
            <w:pPr>
              <w:spacing w:after="0" w:line="20" w:lineRule="exact"/>
              <w:rPr>
                <w:sz w:val="1"/>
                <w:szCs w:val="1"/>
                <w:color w:val="auto"/>
              </w:rPr>
            </w:pPr>
          </w:p>
        </w:tc>
        <w:tc>
          <w:tcPr>
            <w:tcW w:w="1000" w:type="dxa"/>
            <w:vAlign w:val="bottom"/>
            <w:tcBorders>
              <w:top w:val="single" w:sz="8" w:color="CEFFE7"/>
              <w:bottom w:val="single" w:sz="8" w:color="auto"/>
            </w:tcBorders>
          </w:tcPr>
          <w:p>
            <w:pPr>
              <w:spacing w:after="0" w:line="20" w:lineRule="exact"/>
              <w:rPr>
                <w:sz w:val="1"/>
                <w:szCs w:val="1"/>
                <w:color w:val="auto"/>
              </w:rPr>
            </w:pPr>
          </w:p>
        </w:tc>
        <w:tc>
          <w:tcPr>
            <w:tcW w:w="320" w:type="dxa"/>
            <w:vAlign w:val="bottom"/>
            <w:tcBorders>
              <w:top w:val="single" w:sz="8" w:color="CEFFE7"/>
              <w:bottom w:val="single" w:sz="8" w:color="auto"/>
            </w:tcBorders>
          </w:tcPr>
          <w:p>
            <w:pPr>
              <w:spacing w:after="0" w:line="20" w:lineRule="exact"/>
              <w:rPr>
                <w:sz w:val="1"/>
                <w:szCs w:val="1"/>
                <w:color w:val="auto"/>
              </w:rPr>
            </w:pPr>
          </w:p>
        </w:tc>
        <w:tc>
          <w:tcPr>
            <w:tcW w:w="800" w:type="dxa"/>
            <w:vAlign w:val="bottom"/>
            <w:tcBorders>
              <w:top w:val="single" w:sz="8" w:color="CEFFE7"/>
              <w:bottom w:val="single" w:sz="8" w:color="auto"/>
            </w:tcBorders>
          </w:tcPr>
          <w:p>
            <w:pPr>
              <w:spacing w:after="0" w:line="20" w:lineRule="exact"/>
              <w:rPr>
                <w:sz w:val="1"/>
                <w:szCs w:val="1"/>
                <w:color w:val="auto"/>
              </w:rPr>
            </w:pPr>
          </w:p>
        </w:tc>
      </w:tr>
    </w:tbl>
    <w:p>
      <w:pPr>
        <w:spacing w:after="0" w:line="326" w:lineRule="exact"/>
        <w:rPr>
          <w:sz w:val="20"/>
          <w:szCs w:val="20"/>
          <w:color w:val="auto"/>
        </w:rPr>
      </w:pPr>
    </w:p>
    <w:p>
      <w:pPr>
        <w:ind w:right="100"/>
        <w:spacing w:after="0" w:line="260" w:lineRule="auto"/>
        <w:rPr>
          <w:sz w:val="20"/>
          <w:szCs w:val="20"/>
          <w:color w:val="auto"/>
        </w:rPr>
      </w:pPr>
      <w:r>
        <w:rPr>
          <w:rFonts w:ascii="Arial" w:cs="Arial" w:eastAsia="Arial" w:hAnsi="Arial"/>
          <w:sz w:val="16"/>
          <w:szCs w:val="16"/>
          <w:color w:val="auto"/>
        </w:rPr>
        <w:t>As of March 31, 2021, $0.9 million of net losses related to our interest rate swaps and commodity derivatives are expected to be reclassified from AOCI into earnings within the next 12 months. As market prices fluctuate, estimated and actual realized gains or losses will change during future periods.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Derivatives Not Designated as Hedge Instruments</w:t>
      </w:r>
    </w:p>
    <w:p>
      <w:pPr>
        <w:spacing w:after="0" w:line="248" w:lineRule="exact"/>
        <w:rPr>
          <w:sz w:val="20"/>
          <w:szCs w:val="20"/>
          <w:color w:val="auto"/>
        </w:rPr>
      </w:pPr>
    </w:p>
    <w:p>
      <w:pPr>
        <w:ind w:right="180"/>
        <w:spacing w:after="0" w:line="251" w:lineRule="auto"/>
        <w:rPr>
          <w:sz w:val="20"/>
          <w:szCs w:val="20"/>
          <w:color w:val="auto"/>
        </w:rPr>
      </w:pPr>
      <w:r>
        <w:rPr>
          <w:rFonts w:ascii="Arial" w:cs="Arial" w:eastAsia="Arial" w:hAnsi="Arial"/>
          <w:sz w:val="16"/>
          <w:szCs w:val="16"/>
          <w:color w:val="auto"/>
        </w:rPr>
        <w:t>The following table summarizes the impacts of derivative instruments not designated as hedge instruments on our Condensed Consolidated Statements of Income for the three months ended March 31, 2021 and 2020. Note that this presentation does not reflect gains or losses arising from the underlying physical transactions; therefore, it is not indicative of the economic profit or loss we realized when the underlying physical and financial transactions were settled.</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10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80" w:type="dxa"/>
            <w:vAlign w:val="bottom"/>
            <w:gridSpan w:val="3"/>
          </w:tcPr>
          <w:p>
            <w:pPr>
              <w:jc w:val="center"/>
              <w:ind w:right="199"/>
              <w:spacing w:after="0"/>
              <w:rPr>
                <w:sz w:val="20"/>
                <w:szCs w:val="20"/>
                <w:color w:val="auto"/>
              </w:rPr>
            </w:pPr>
            <w:r>
              <w:rPr>
                <w:rFonts w:ascii="Arial" w:cs="Arial" w:eastAsia="Arial" w:hAnsi="Arial"/>
                <w:sz w:val="16"/>
                <w:szCs w:val="16"/>
                <w:color w:val="auto"/>
              </w:rPr>
              <w:t>Three Months Ended March 31,</w:t>
            </w:r>
          </w:p>
        </w:tc>
      </w:tr>
      <w:tr>
        <w:trPr>
          <w:trHeight w:val="219"/>
        </w:trPr>
        <w:tc>
          <w:tcPr>
            <w:tcW w:w="410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color w:val="auto"/>
              </w:rPr>
              <w:t>2021</w:t>
            </w:r>
          </w:p>
        </w:tc>
        <w:tc>
          <w:tcPr>
            <w:tcW w:w="6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color w:val="auto"/>
              </w:rPr>
              <w:t>2020</w:t>
            </w:r>
          </w:p>
        </w:tc>
      </w:tr>
      <w:tr>
        <w:trPr>
          <w:trHeight w:val="174"/>
        </w:trPr>
        <w:tc>
          <w:tcPr>
            <w:tcW w:w="410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80" w:type="dxa"/>
            <w:vAlign w:val="bottom"/>
            <w:gridSpan w:val="3"/>
          </w:tcPr>
          <w:p>
            <w:pPr>
              <w:jc w:val="center"/>
              <w:ind w:right="179"/>
              <w:spacing w:after="0" w:line="174" w:lineRule="exact"/>
              <w:rPr>
                <w:sz w:val="20"/>
                <w:szCs w:val="20"/>
                <w:color w:val="auto"/>
              </w:rPr>
            </w:pPr>
            <w:r>
              <w:rPr>
                <w:rFonts w:ascii="Arial" w:cs="Arial" w:eastAsia="Arial" w:hAnsi="Arial"/>
                <w:sz w:val="16"/>
                <w:szCs w:val="16"/>
                <w:color w:val="auto"/>
              </w:rPr>
              <w:t>Amount of Gain/(Loss) on Derivatives</w:t>
            </w:r>
          </w:p>
        </w:tc>
      </w:tr>
      <w:tr>
        <w:trPr>
          <w:trHeight w:val="198"/>
        </w:trPr>
        <w:tc>
          <w:tcPr>
            <w:tcW w:w="4100" w:type="dxa"/>
            <w:vAlign w:val="bottom"/>
            <w:tcBorders>
              <w:bottom w:val="single" w:sz="8" w:color="auto"/>
            </w:tcBorders>
          </w:tcPr>
          <w:p>
            <w:pPr>
              <w:ind w:left="240"/>
              <w:spacing w:after="0"/>
              <w:rPr>
                <w:sz w:val="20"/>
                <w:szCs w:val="20"/>
                <w:color w:val="auto"/>
              </w:rPr>
            </w:pPr>
            <w:r>
              <w:rPr>
                <w:rFonts w:ascii="Arial" w:cs="Arial" w:eastAsia="Arial" w:hAnsi="Arial"/>
                <w:sz w:val="16"/>
                <w:szCs w:val="16"/>
                <w:color w:val="auto"/>
              </w:rPr>
              <w:t>Derivatives Not Designated as Hedging Instruments</w:t>
            </w:r>
          </w:p>
        </w:tc>
        <w:tc>
          <w:tcPr>
            <w:tcW w:w="3580" w:type="dxa"/>
            <w:vAlign w:val="bottom"/>
            <w:tcBorders>
              <w:bottom w:val="single" w:sz="8" w:color="auto"/>
            </w:tcBorders>
          </w:tcPr>
          <w:p>
            <w:pPr>
              <w:ind w:left="860"/>
              <w:spacing w:after="0"/>
              <w:rPr>
                <w:sz w:val="20"/>
                <w:szCs w:val="20"/>
                <w:color w:val="auto"/>
              </w:rPr>
            </w:pPr>
            <w:r>
              <w:rPr>
                <w:rFonts w:ascii="Arial" w:cs="Arial" w:eastAsia="Arial" w:hAnsi="Arial"/>
                <w:sz w:val="16"/>
                <w:szCs w:val="16"/>
                <w:color w:val="auto"/>
              </w:rPr>
              <w:t>Income Statement Location</w:t>
            </w:r>
          </w:p>
        </w:tc>
        <w:tc>
          <w:tcPr>
            <w:tcW w:w="280" w:type="dxa"/>
            <w:vAlign w:val="bottom"/>
            <w:tcBorders>
              <w:bottom w:val="single" w:sz="8" w:color="auto"/>
            </w:tcBorders>
          </w:tcPr>
          <w:p>
            <w:pPr>
              <w:spacing w:after="0"/>
              <w:rPr>
                <w:sz w:val="17"/>
                <w:szCs w:val="17"/>
                <w:color w:val="auto"/>
              </w:rPr>
            </w:pPr>
          </w:p>
        </w:tc>
        <w:tc>
          <w:tcPr>
            <w:tcW w:w="3280" w:type="dxa"/>
            <w:vAlign w:val="bottom"/>
            <w:tcBorders>
              <w:bottom w:val="single" w:sz="8" w:color="auto"/>
            </w:tcBorders>
            <w:gridSpan w:val="3"/>
          </w:tcPr>
          <w:p>
            <w:pPr>
              <w:jc w:val="center"/>
              <w:ind w:right="199"/>
              <w:spacing w:after="0"/>
              <w:rPr>
                <w:sz w:val="20"/>
                <w:szCs w:val="20"/>
                <w:color w:val="auto"/>
              </w:rPr>
            </w:pPr>
            <w:r>
              <w:rPr>
                <w:rFonts w:ascii="Arial" w:cs="Arial" w:eastAsia="Arial" w:hAnsi="Arial"/>
                <w:sz w:val="16"/>
                <w:szCs w:val="16"/>
                <w:color w:val="auto"/>
              </w:rPr>
              <w:t>Recognized in Income</w:t>
            </w:r>
          </w:p>
        </w:tc>
      </w:tr>
      <w:tr>
        <w:trPr>
          <w:trHeight w:val="209"/>
        </w:trPr>
        <w:tc>
          <w:tcPr>
            <w:tcW w:w="410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120" w:type="dxa"/>
            <w:vAlign w:val="bottom"/>
            <w:gridSpan w:val="2"/>
          </w:tcPr>
          <w:p>
            <w:pPr>
              <w:jc w:val="center"/>
              <w:ind w:left="819"/>
              <w:spacing w:after="0"/>
              <w:rPr>
                <w:sz w:val="20"/>
                <w:szCs w:val="20"/>
                <w:color w:val="auto"/>
              </w:rPr>
            </w:pPr>
            <w:r>
              <w:rPr>
                <w:rFonts w:ascii="Arial" w:cs="Arial" w:eastAsia="Arial" w:hAnsi="Arial"/>
                <w:sz w:val="16"/>
                <w:szCs w:val="16"/>
                <w:color w:val="auto"/>
              </w:rPr>
              <w:t>(in thousands)</w:t>
            </w:r>
          </w:p>
        </w:tc>
        <w:tc>
          <w:tcPr>
            <w:tcW w:w="1160" w:type="dxa"/>
            <w:vAlign w:val="bottom"/>
          </w:tcPr>
          <w:p>
            <w:pPr>
              <w:spacing w:after="0"/>
              <w:rPr>
                <w:sz w:val="18"/>
                <w:szCs w:val="18"/>
                <w:color w:val="auto"/>
              </w:rPr>
            </w:pPr>
          </w:p>
        </w:tc>
      </w:tr>
      <w:tr>
        <w:trPr>
          <w:trHeight w:val="180"/>
        </w:trPr>
        <w:tc>
          <w:tcPr>
            <w:tcW w:w="4100" w:type="dxa"/>
            <w:vAlign w:val="bottom"/>
            <w:shd w:val="clear" w:color="auto" w:fill="CEFFE7"/>
          </w:tcPr>
          <w:p>
            <w:pPr>
              <w:spacing w:after="0"/>
              <w:rPr>
                <w:sz w:val="15"/>
                <w:szCs w:val="15"/>
                <w:color w:val="auto"/>
              </w:rPr>
            </w:pPr>
          </w:p>
        </w:tc>
        <w:tc>
          <w:tcPr>
            <w:tcW w:w="3580" w:type="dxa"/>
            <w:vAlign w:val="bottom"/>
            <w:shd w:val="clear" w:color="auto" w:fill="CEFFE7"/>
          </w:tcPr>
          <w:p>
            <w:pPr>
              <w:ind w:left="120"/>
              <w:spacing w:after="0" w:line="181" w:lineRule="exact"/>
              <w:rPr>
                <w:sz w:val="20"/>
                <w:szCs w:val="20"/>
                <w:color w:val="auto"/>
              </w:rPr>
            </w:pPr>
            <w:r>
              <w:rPr>
                <w:rFonts w:ascii="Arial" w:cs="Arial" w:eastAsia="Arial" w:hAnsi="Arial"/>
                <w:sz w:val="16"/>
                <w:szCs w:val="16"/>
                <w:color w:val="auto"/>
              </w:rPr>
              <w:t>Fuel, purchased power and cost of natural gas</w:t>
            </w:r>
          </w:p>
        </w:tc>
        <w:tc>
          <w:tcPr>
            <w:tcW w:w="280" w:type="dxa"/>
            <w:vAlign w:val="bottom"/>
            <w:shd w:val="clear" w:color="auto" w:fill="CEFFE7"/>
          </w:tcPr>
          <w:p>
            <w:pPr>
              <w:spacing w:after="0"/>
              <w:rPr>
                <w:sz w:val="15"/>
                <w:szCs w:val="15"/>
                <w:color w:val="auto"/>
              </w:rPr>
            </w:pPr>
          </w:p>
        </w:tc>
        <w:tc>
          <w:tcPr>
            <w:tcW w:w="1500" w:type="dxa"/>
            <w:vAlign w:val="bottom"/>
            <w:shd w:val="clear" w:color="auto" w:fill="CEFFE7"/>
          </w:tcPr>
          <w:p>
            <w:pPr>
              <w:spacing w:after="0"/>
              <w:rPr>
                <w:sz w:val="15"/>
                <w:szCs w:val="15"/>
                <w:color w:val="auto"/>
              </w:rPr>
            </w:pPr>
          </w:p>
        </w:tc>
        <w:tc>
          <w:tcPr>
            <w:tcW w:w="620" w:type="dxa"/>
            <w:vAlign w:val="bottom"/>
            <w:shd w:val="clear" w:color="auto" w:fill="CEFFE7"/>
          </w:tcPr>
          <w:p>
            <w:pPr>
              <w:spacing w:after="0"/>
              <w:rPr>
                <w:sz w:val="15"/>
                <w:szCs w:val="15"/>
                <w:color w:val="auto"/>
              </w:rPr>
            </w:pPr>
          </w:p>
        </w:tc>
        <w:tc>
          <w:tcPr>
            <w:tcW w:w="1160" w:type="dxa"/>
            <w:vAlign w:val="bottom"/>
            <w:shd w:val="clear" w:color="auto" w:fill="CEFFE7"/>
          </w:tcPr>
          <w:p>
            <w:pPr>
              <w:spacing w:after="0"/>
              <w:rPr>
                <w:sz w:val="15"/>
                <w:szCs w:val="15"/>
                <w:color w:val="auto"/>
              </w:rPr>
            </w:pPr>
          </w:p>
        </w:tc>
      </w:tr>
      <w:tr>
        <w:trPr>
          <w:trHeight w:val="201"/>
        </w:trPr>
        <w:tc>
          <w:tcPr>
            <w:tcW w:w="4100" w:type="dxa"/>
            <w:vAlign w:val="bottom"/>
            <w:shd w:val="clear" w:color="auto" w:fill="CEFFE7"/>
          </w:tcPr>
          <w:p>
            <w:pPr>
              <w:ind w:left="20"/>
              <w:spacing w:after="0"/>
              <w:rPr>
                <w:sz w:val="20"/>
                <w:szCs w:val="20"/>
                <w:color w:val="auto"/>
              </w:rPr>
            </w:pPr>
            <w:r>
              <w:rPr>
                <w:rFonts w:ascii="Arial" w:cs="Arial" w:eastAsia="Arial" w:hAnsi="Arial"/>
                <w:sz w:val="16"/>
                <w:szCs w:val="16"/>
                <w:color w:val="auto"/>
              </w:rPr>
              <w:t>Commodity derivatives - Electric</w:t>
            </w:r>
          </w:p>
        </w:tc>
        <w:tc>
          <w:tcPr>
            <w:tcW w:w="3580" w:type="dxa"/>
            <w:vAlign w:val="bottom"/>
            <w:shd w:val="clear" w:color="auto" w:fill="CEFFE7"/>
          </w:tcPr>
          <w:p>
            <w:pPr>
              <w:ind w:left="120"/>
              <w:spacing w:after="0"/>
              <w:rPr>
                <w:sz w:val="20"/>
                <w:szCs w:val="20"/>
                <w:color w:val="auto"/>
              </w:rPr>
            </w:pPr>
            <w:r>
              <w:rPr>
                <w:rFonts w:ascii="Arial" w:cs="Arial" w:eastAsia="Arial" w:hAnsi="Arial"/>
                <w:sz w:val="16"/>
                <w:szCs w:val="16"/>
                <w:color w:val="auto"/>
              </w:rPr>
              <w:t>sold</w:t>
            </w:r>
          </w:p>
        </w:tc>
        <w:tc>
          <w:tcPr>
            <w:tcW w:w="280" w:type="dxa"/>
            <w:vAlign w:val="bottom"/>
            <w:shd w:val="clear" w:color="auto" w:fill="CEFFE7"/>
          </w:tcPr>
          <w:p>
            <w:pPr>
              <w:jc w:val="right"/>
              <w:ind w:right="79"/>
              <w:spacing w:after="0"/>
              <w:rPr>
                <w:sz w:val="20"/>
                <w:szCs w:val="20"/>
                <w:color w:val="auto"/>
              </w:rPr>
            </w:pPr>
            <w:r>
              <w:rPr>
                <w:rFonts w:ascii="Arial" w:cs="Arial" w:eastAsia="Arial" w:hAnsi="Arial"/>
                <w:sz w:val="16"/>
                <w:szCs w:val="16"/>
                <w:color w:val="auto"/>
              </w:rPr>
              <w:t>$</w:t>
            </w:r>
          </w:p>
        </w:tc>
        <w:tc>
          <w:tcPr>
            <w:tcW w:w="15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(1,524)</w:t>
            </w:r>
          </w:p>
        </w:tc>
        <w:tc>
          <w:tcPr>
            <w:tcW w:w="620" w:type="dxa"/>
            <w:vAlign w:val="bottom"/>
            <w:shd w:val="clear" w:color="auto" w:fill="CEFFE7"/>
          </w:tcPr>
          <w:p>
            <w:pPr>
              <w:jc w:val="right"/>
              <w:ind w:right="43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1,362</w:t>
            </w:r>
          </w:p>
        </w:tc>
      </w:tr>
      <w:tr>
        <w:trPr>
          <w:trHeight w:val="177"/>
        </w:trPr>
        <w:tc>
          <w:tcPr>
            <w:tcW w:w="4100" w:type="dxa"/>
            <w:vAlign w:val="bottom"/>
          </w:tcPr>
          <w:p>
            <w:pPr>
              <w:spacing w:after="0"/>
              <w:rPr>
                <w:sz w:val="15"/>
                <w:szCs w:val="15"/>
                <w:color w:val="auto"/>
              </w:rPr>
            </w:pPr>
          </w:p>
        </w:tc>
        <w:tc>
          <w:tcPr>
            <w:tcW w:w="3580" w:type="dxa"/>
            <w:vAlign w:val="bottom"/>
          </w:tcPr>
          <w:p>
            <w:pPr>
              <w:ind w:left="120"/>
              <w:spacing w:after="0" w:line="178" w:lineRule="exact"/>
              <w:rPr>
                <w:sz w:val="20"/>
                <w:szCs w:val="20"/>
                <w:color w:val="auto"/>
              </w:rPr>
            </w:pPr>
            <w:r>
              <w:rPr>
                <w:rFonts w:ascii="Arial" w:cs="Arial" w:eastAsia="Arial" w:hAnsi="Arial"/>
                <w:sz w:val="16"/>
                <w:szCs w:val="16"/>
                <w:color w:val="auto"/>
              </w:rPr>
              <w:t>Fuel, purchased power and cost of natural gas</w:t>
            </w:r>
          </w:p>
        </w:tc>
        <w:tc>
          <w:tcPr>
            <w:tcW w:w="2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98"/>
        </w:trPr>
        <w:tc>
          <w:tcPr>
            <w:tcW w:w="4100" w:type="dxa"/>
            <w:vAlign w:val="bottom"/>
            <w:tcBorders>
              <w:bottom w:val="single" w:sz="8" w:color="CEFFE7"/>
            </w:tcBorders>
          </w:tcPr>
          <w:p>
            <w:pPr>
              <w:ind w:left="20"/>
              <w:spacing w:after="0"/>
              <w:rPr>
                <w:sz w:val="20"/>
                <w:szCs w:val="20"/>
                <w:color w:val="auto"/>
              </w:rPr>
            </w:pPr>
            <w:r>
              <w:rPr>
                <w:rFonts w:ascii="Arial" w:cs="Arial" w:eastAsia="Arial" w:hAnsi="Arial"/>
                <w:sz w:val="16"/>
                <w:szCs w:val="16"/>
                <w:color w:val="auto"/>
              </w:rPr>
              <w:t>Commodity derivatives - Natural Gas</w:t>
            </w:r>
          </w:p>
        </w:tc>
        <w:tc>
          <w:tcPr>
            <w:tcW w:w="3580" w:type="dxa"/>
            <w:vAlign w:val="bottom"/>
            <w:tcBorders>
              <w:bottom w:val="single" w:sz="8" w:color="CEFFE7"/>
            </w:tcBorders>
          </w:tcPr>
          <w:p>
            <w:pPr>
              <w:ind w:left="120"/>
              <w:spacing w:after="0"/>
              <w:rPr>
                <w:sz w:val="20"/>
                <w:szCs w:val="20"/>
                <w:color w:val="auto"/>
              </w:rPr>
            </w:pPr>
            <w:r>
              <w:rPr>
                <w:rFonts w:ascii="Arial" w:cs="Arial" w:eastAsia="Arial" w:hAnsi="Arial"/>
                <w:sz w:val="16"/>
                <w:szCs w:val="16"/>
                <w:color w:val="auto"/>
              </w:rPr>
              <w:t>sold</w:t>
            </w:r>
          </w:p>
        </w:tc>
        <w:tc>
          <w:tcPr>
            <w:tcW w:w="2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366</w:t>
            </w:r>
          </w:p>
        </w:tc>
        <w:tc>
          <w:tcPr>
            <w:tcW w:w="6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766</w:t>
            </w:r>
          </w:p>
        </w:tc>
      </w:tr>
      <w:tr>
        <w:trPr>
          <w:trHeight w:val="235"/>
        </w:trPr>
        <w:tc>
          <w:tcPr>
            <w:tcW w:w="4100" w:type="dxa"/>
            <w:vAlign w:val="bottom"/>
            <w:tcBorders>
              <w:bottom w:val="single" w:sz="8" w:color="CEFFE7"/>
            </w:tcBorders>
            <w:shd w:val="clear" w:color="auto" w:fill="CEFFE7"/>
          </w:tcPr>
          <w:p>
            <w:pPr>
              <w:spacing w:after="0"/>
              <w:rPr>
                <w:sz w:val="19"/>
                <w:szCs w:val="19"/>
                <w:color w:val="auto"/>
              </w:rPr>
            </w:pPr>
          </w:p>
        </w:tc>
        <w:tc>
          <w:tcPr>
            <w:tcW w:w="3580" w:type="dxa"/>
            <w:vAlign w:val="bottom"/>
            <w:tcBorders>
              <w:bottom w:val="single" w:sz="8" w:color="CEFFE7"/>
            </w:tcBorders>
            <w:shd w:val="clear" w:color="auto" w:fill="CEFFE7"/>
          </w:tcPr>
          <w:p>
            <w:pPr>
              <w:spacing w:after="0"/>
              <w:rPr>
                <w:sz w:val="19"/>
                <w:szCs w:val="19"/>
                <w:color w:val="auto"/>
              </w:rPr>
            </w:pPr>
          </w:p>
        </w:tc>
        <w:tc>
          <w:tcPr>
            <w:tcW w:w="280" w:type="dxa"/>
            <w:vAlign w:val="bottom"/>
            <w:tcBorders>
              <w:bottom w:val="single" w:sz="8" w:color="auto"/>
            </w:tcBorders>
            <w:shd w:val="clear" w:color="auto" w:fill="CEFFE7"/>
          </w:tcPr>
          <w:p>
            <w:pPr>
              <w:jc w:val="right"/>
              <w:ind w:right="79"/>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(1,158)</w:t>
            </w:r>
          </w:p>
        </w:tc>
        <w:tc>
          <w:tcPr>
            <w:tcW w:w="620" w:type="dxa"/>
            <w:vAlign w:val="bottom"/>
            <w:tcBorders>
              <w:bottom w:val="single" w:sz="8" w:color="auto"/>
            </w:tcBorders>
            <w:shd w:val="clear" w:color="auto" w:fill="CEFFE7"/>
          </w:tcPr>
          <w:p>
            <w:pPr>
              <w:jc w:val="right"/>
              <w:ind w:right="43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2,128</w:t>
            </w:r>
          </w:p>
        </w:tc>
      </w:tr>
      <w:tr>
        <w:trPr>
          <w:trHeight w:val="20"/>
        </w:trPr>
        <w:tc>
          <w:tcPr>
            <w:tcW w:w="4100" w:type="dxa"/>
            <w:vAlign w:val="bottom"/>
            <w:tcBorders>
              <w:top w:val="single" w:sz="8" w:color="CEFFE7"/>
            </w:tcBorders>
          </w:tcPr>
          <w:p>
            <w:pPr>
              <w:spacing w:after="0" w:line="20" w:lineRule="exact"/>
              <w:rPr>
                <w:sz w:val="1"/>
                <w:szCs w:val="1"/>
                <w:color w:val="auto"/>
              </w:rPr>
            </w:pPr>
          </w:p>
        </w:tc>
        <w:tc>
          <w:tcPr>
            <w:tcW w:w="3580" w:type="dxa"/>
            <w:vAlign w:val="bottom"/>
            <w:tcBorders>
              <w:top w:val="single" w:sz="8" w:color="CEFFE7"/>
            </w:tcBorders>
          </w:tcPr>
          <w:p>
            <w:pPr>
              <w:spacing w:after="0" w:line="20" w:lineRule="exact"/>
              <w:rPr>
                <w:sz w:val="1"/>
                <w:szCs w:val="1"/>
                <w:color w:val="auto"/>
              </w:rPr>
            </w:pPr>
          </w:p>
        </w:tc>
        <w:tc>
          <w:tcPr>
            <w:tcW w:w="280" w:type="dxa"/>
            <w:vAlign w:val="bottom"/>
            <w:tcBorders>
              <w:top w:val="single" w:sz="8" w:color="CEFFE7"/>
              <w:bottom w:val="single" w:sz="8" w:color="auto"/>
            </w:tcBorders>
          </w:tcPr>
          <w:p>
            <w:pPr>
              <w:spacing w:after="0" w:line="20" w:lineRule="exact"/>
              <w:rPr>
                <w:sz w:val="1"/>
                <w:szCs w:val="1"/>
                <w:color w:val="auto"/>
              </w:rPr>
            </w:pPr>
          </w:p>
        </w:tc>
        <w:tc>
          <w:tcPr>
            <w:tcW w:w="1500" w:type="dxa"/>
            <w:vAlign w:val="bottom"/>
            <w:tcBorders>
              <w:top w:val="single" w:sz="8" w:color="CEFFE7"/>
              <w:bottom w:val="single" w:sz="8" w:color="auto"/>
            </w:tcBorders>
          </w:tcPr>
          <w:p>
            <w:pPr>
              <w:spacing w:after="0" w:line="20" w:lineRule="exact"/>
              <w:rPr>
                <w:sz w:val="1"/>
                <w:szCs w:val="1"/>
                <w:color w:val="auto"/>
              </w:rPr>
            </w:pPr>
          </w:p>
        </w:tc>
        <w:tc>
          <w:tcPr>
            <w:tcW w:w="620" w:type="dxa"/>
            <w:vAlign w:val="bottom"/>
            <w:tcBorders>
              <w:top w:val="single" w:sz="8" w:color="CEFFE7"/>
              <w:bottom w:val="single" w:sz="8" w:color="auto"/>
            </w:tcBorders>
          </w:tcPr>
          <w:p>
            <w:pPr>
              <w:spacing w:after="0" w:line="20" w:lineRule="exact"/>
              <w:rPr>
                <w:sz w:val="1"/>
                <w:szCs w:val="1"/>
                <w:color w:val="auto"/>
              </w:rPr>
            </w:pPr>
          </w:p>
        </w:tc>
        <w:tc>
          <w:tcPr>
            <w:tcW w:w="1160" w:type="dxa"/>
            <w:vAlign w:val="bottom"/>
            <w:tcBorders>
              <w:top w:val="single" w:sz="8" w:color="CEFFE7"/>
              <w:bottom w:val="single" w:sz="8" w:color="auto"/>
            </w:tcBorders>
          </w:tcPr>
          <w:p>
            <w:pPr>
              <w:spacing w:after="0" w:line="20" w:lineRule="exact"/>
              <w:rPr>
                <w:sz w:val="1"/>
                <w:szCs w:val="1"/>
                <w:color w:val="auto"/>
              </w:rPr>
            </w:pPr>
          </w:p>
        </w:tc>
      </w:tr>
    </w:tbl>
    <w:p>
      <w:pPr>
        <w:spacing w:after="0" w:line="339"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As discussed above, financial instruments used in our regulated Gas Utilities are not designated as cash flow hedges. There is no earnings impact because the unrealized gains and losses arising from the use of these financial instruments are recorded as Regulatory assets or Regulatory liabilities. The net unrealized losses included in our Regulatory asset or Regulatory liability related to the hedges in our Gas Utilities were $0.3 million and $2.2 million as of March 31, 2021 and December 31, 2020, respectively. For our Electric Utilities, the unrealized gains and losses arising from these derivatives are recognized in the Condensed Consolidated Statements of Income.</w:t>
      </w:r>
    </w:p>
    <w:p>
      <w:pPr>
        <w:spacing w:after="0" w:line="200" w:lineRule="exact"/>
        <w:rPr>
          <w:sz w:val="20"/>
          <w:szCs w:val="20"/>
          <w:color w:val="auto"/>
        </w:rPr>
      </w:pPr>
    </w:p>
    <w:p>
      <w:pPr>
        <w:spacing w:after="0" w:line="253" w:lineRule="exact"/>
        <w:rPr>
          <w:sz w:val="20"/>
          <w:szCs w:val="20"/>
          <w:color w:val="auto"/>
        </w:rPr>
      </w:pPr>
    </w:p>
    <w:p>
      <w:pPr>
        <w:ind w:left="380" w:hanging="372"/>
        <w:spacing w:after="0"/>
        <w:tabs>
          <w:tab w:leader="none" w:pos="380" w:val="left"/>
        </w:tabs>
        <w:numPr>
          <w:ilvl w:val="0"/>
          <w:numId w:val="12"/>
        </w:numPr>
        <w:rPr>
          <w:rFonts w:ascii="Arial" w:cs="Arial" w:eastAsia="Arial" w:hAnsi="Arial"/>
          <w:sz w:val="16"/>
          <w:szCs w:val="16"/>
          <w:b w:val="1"/>
          <w:bCs w:val="1"/>
          <w:color w:val="auto"/>
        </w:rPr>
      </w:pPr>
      <w:r>
        <w:rPr>
          <w:rFonts w:ascii="Arial" w:cs="Arial" w:eastAsia="Arial" w:hAnsi="Arial"/>
          <w:sz w:val="16"/>
          <w:szCs w:val="16"/>
          <w:b w:val="1"/>
          <w:bCs w:val="1"/>
          <w:color w:val="auto"/>
        </w:rPr>
        <w:t>Fair Value Measurements</w:t>
      </w:r>
    </w:p>
    <w:p>
      <w:pPr>
        <w:spacing w:after="0" w:line="268" w:lineRule="exact"/>
        <w:rPr>
          <w:sz w:val="20"/>
          <w:szCs w:val="20"/>
          <w:color w:val="auto"/>
        </w:rPr>
      </w:pPr>
    </w:p>
    <w:p>
      <w:pPr>
        <w:ind w:right="100"/>
        <w:spacing w:after="0" w:line="260" w:lineRule="auto"/>
        <w:rPr>
          <w:sz w:val="20"/>
          <w:szCs w:val="20"/>
          <w:color w:val="auto"/>
        </w:rPr>
      </w:pPr>
      <w:r>
        <w:rPr>
          <w:rFonts w:ascii="Arial" w:cs="Arial" w:eastAsia="Arial" w:hAnsi="Arial"/>
          <w:sz w:val="16"/>
          <w:szCs w:val="16"/>
          <w:color w:val="auto"/>
        </w:rPr>
        <w:t>We use the following fair value hierarchy for determining inputs for our financial instruments. Our assets and liabilities for financial instruments are classified and disclosed in one of the following fair value categories:</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Level 1</w:t>
      </w:r>
      <w:r>
        <w:rPr>
          <w:rFonts w:ascii="Arial" w:cs="Arial" w:eastAsia="Arial" w:hAnsi="Arial"/>
          <w:sz w:val="16"/>
          <w:szCs w:val="16"/>
          <w:color w:val="auto"/>
        </w:rPr>
        <w:t xml:space="preserve"> — Unadjusted quoted prices available in active markets that are accessible at the measurement date for identical unrestricted assets or liabilities.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Level 1 instruments primarily consist of highly liquid and actively traded financial instruments with quoted pricing information on an ongoing basis.</w:t>
      </w:r>
    </w:p>
    <w:p>
      <w:pPr>
        <w:spacing w:after="0" w:line="248"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u w:val="single" w:color="auto"/>
          <w:color w:val="auto"/>
        </w:rPr>
        <w:t>Level 2</w:t>
      </w:r>
      <w:r>
        <w:rPr>
          <w:rFonts w:ascii="Arial" w:cs="Arial" w:eastAsia="Arial" w:hAnsi="Arial"/>
          <w:sz w:val="16"/>
          <w:szCs w:val="16"/>
          <w:color w:val="auto"/>
        </w:rPr>
        <w:t xml:space="preserve"> — Pricing inputs include quoted prices for identical or similar assets and liabilities in active markets other than quoted prices in Level 1, quoted prices for identical or similar assets or liabilities in markets that are not active, inputs other than quoted prices that are observable for the asset or liability and inputs that are derived principally from or corroborated by observable market data by correlation or other means.</w:t>
      </w:r>
    </w:p>
    <w:p>
      <w:pPr>
        <w:spacing w:after="0" w:line="228" w:lineRule="exact"/>
        <w:rPr>
          <w:sz w:val="20"/>
          <w:szCs w:val="20"/>
          <w:color w:val="auto"/>
        </w:rPr>
      </w:pPr>
    </w:p>
    <w:p>
      <w:pPr>
        <w:ind w:right="180"/>
        <w:spacing w:after="0" w:line="260" w:lineRule="auto"/>
        <w:rPr>
          <w:sz w:val="20"/>
          <w:szCs w:val="20"/>
          <w:color w:val="auto"/>
        </w:rPr>
      </w:pPr>
      <w:r>
        <w:rPr>
          <w:rFonts w:ascii="Arial" w:cs="Arial" w:eastAsia="Arial" w:hAnsi="Arial"/>
          <w:sz w:val="16"/>
          <w:szCs w:val="16"/>
          <w:u w:val="single" w:color="auto"/>
          <w:color w:val="auto"/>
        </w:rPr>
        <w:t>Level 3</w:t>
      </w:r>
      <w:r>
        <w:rPr>
          <w:rFonts w:ascii="Arial" w:cs="Arial" w:eastAsia="Arial" w:hAnsi="Arial"/>
          <w:sz w:val="16"/>
          <w:szCs w:val="16"/>
          <w:color w:val="auto"/>
        </w:rPr>
        <w:t xml:space="preserve"> — Pricing inputs are generally less observable from objective sources. These inputs reflect management’s best estimate of fair value using its own assumptions about the assumptions a market participant would use in pricing the asset or liability.</w:t>
      </w:r>
    </w:p>
    <w:p>
      <w:pPr>
        <w:spacing w:after="0" w:line="222"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Assets and liabilities are classified in their entirety based on the lowest level of input that is significant to the fair value measurement. Our assessment of the significance of a particular input to the fair value measurement requires judgment and may affect the placement within the fair value hierarchy levels. We record transfers, if necessary, between levels at the end of the reporting period for all of our financial instruments.</w:t>
      </w:r>
    </w:p>
    <w:p>
      <w:pPr>
        <w:spacing w:after="0" w:line="228" w:lineRule="exact"/>
        <w:rPr>
          <w:sz w:val="20"/>
          <w:szCs w:val="20"/>
          <w:color w:val="auto"/>
        </w:rPr>
      </w:pPr>
    </w:p>
    <w:p>
      <w:pPr>
        <w:ind w:right="100"/>
        <w:spacing w:after="0" w:line="251" w:lineRule="auto"/>
        <w:rPr>
          <w:sz w:val="20"/>
          <w:szCs w:val="20"/>
          <w:color w:val="auto"/>
        </w:rPr>
      </w:pPr>
      <w:r>
        <w:rPr>
          <w:rFonts w:ascii="Arial" w:cs="Arial" w:eastAsia="Arial" w:hAnsi="Arial"/>
          <w:sz w:val="16"/>
          <w:szCs w:val="16"/>
          <w:color w:val="auto"/>
        </w:rPr>
        <w:t>Transfers into Level 3, if any, occur when significant inputs used to value the derivative instruments become less observable, such as a significant decrease in the frequency and volume in which the instrument is traded, negatively impacting the availability of observable pricing inputs. Transfers out of Level 3, if any, occur when the significant inputs become more observable, such as when the time between the valuation date and the delivery date of a transaction becomes shorter, positively impacting the availability of observable pricing inputs.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Recurring Fair Value Measurements</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Derivatives</w:t>
      </w:r>
    </w:p>
    <w:p>
      <w:pPr>
        <w:spacing w:after="0" w:line="264" w:lineRule="exact"/>
        <w:rPr>
          <w:sz w:val="20"/>
          <w:szCs w:val="20"/>
          <w:color w:val="auto"/>
        </w:rPr>
      </w:pPr>
    </w:p>
    <w:p>
      <w:pPr>
        <w:ind w:right="60"/>
        <w:spacing w:after="0" w:line="248" w:lineRule="auto"/>
        <w:rPr>
          <w:sz w:val="20"/>
          <w:szCs w:val="20"/>
          <w:color w:val="auto"/>
        </w:rPr>
      </w:pPr>
      <w:r>
        <w:rPr>
          <w:rFonts w:ascii="Arial" w:cs="Arial" w:eastAsia="Arial" w:hAnsi="Arial"/>
          <w:sz w:val="16"/>
          <w:szCs w:val="16"/>
          <w:color w:val="auto"/>
        </w:rPr>
        <w:t>The commodity contracts for our Utilities segments are valued using the market approach and include forward strip pricing at liquid delivery points, exchange-traded futures, options, basis swaps and over-the-counter swaps and options (Level 2) for wholesale electric energy and natural gas contracts. For exchange-traded futures, options and basis swap assets and liabilities, fair value was derived using broker quotes validated by the exchange settlement pricing for the applicable contract. For over-the-counter instruments, the fair value is obtained by utilizing a nationally recognized service that obtains observable inputs to compute the fair value, which we validate by comparing our valuation with the counterparty. The fair value of these swaps includes a CVA based on the credit spreads of the counterparties when we are in an unrealized gain position or on our own credit spread when we are in an unrealized loss position. For additional information, see Note 1 of our Notes to the Consolidated Financial Statements in our 2020 Annual Report on Form 10-K.</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5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color w:val="auto"/>
              </w:rPr>
              <w:t>As of March 31, 2021</w:t>
            </w:r>
          </w:p>
        </w:tc>
        <w:tc>
          <w:tcPr>
            <w:tcW w:w="1040" w:type="dxa"/>
            <w:vAlign w:val="bottom"/>
            <w:gridSpan w:val="2"/>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98"/>
        </w:trPr>
        <w:tc>
          <w:tcPr>
            <w:tcW w:w="45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40" w:type="dxa"/>
            <w:vAlign w:val="bottom"/>
            <w:gridSpan w:val="3"/>
          </w:tcPr>
          <w:p>
            <w:pPr>
              <w:jc w:val="center"/>
              <w:ind w:right="39"/>
              <w:spacing w:after="0"/>
              <w:rPr>
                <w:sz w:val="20"/>
                <w:szCs w:val="20"/>
                <w:color w:val="auto"/>
              </w:rPr>
            </w:pPr>
            <w:r>
              <w:rPr>
                <w:rFonts w:ascii="Arial" w:cs="Arial" w:eastAsia="Arial" w:hAnsi="Arial"/>
                <w:sz w:val="16"/>
                <w:szCs w:val="16"/>
                <w:color w:val="auto"/>
              </w:rPr>
              <w:t>Cash Collateral and</w:t>
            </w: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62"/>
        </w:trPr>
        <w:tc>
          <w:tcPr>
            <w:tcW w:w="45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40" w:type="dxa"/>
            <w:vAlign w:val="bottom"/>
            <w:gridSpan w:val="3"/>
          </w:tcPr>
          <w:p>
            <w:pPr>
              <w:jc w:val="center"/>
              <w:ind w:right="39"/>
              <w:spacing w:after="0" w:line="162" w:lineRule="exact"/>
              <w:rPr>
                <w:sz w:val="20"/>
                <w:szCs w:val="20"/>
                <w:color w:val="auto"/>
              </w:rPr>
            </w:pPr>
            <w:r>
              <w:rPr>
                <w:rFonts w:ascii="Arial" w:cs="Arial" w:eastAsia="Arial" w:hAnsi="Arial"/>
                <w:sz w:val="16"/>
                <w:szCs w:val="16"/>
                <w:color w:val="auto"/>
              </w:rPr>
              <w:t>Counterparty</w:t>
            </w: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98"/>
        </w:trPr>
        <w:tc>
          <w:tcPr>
            <w:tcW w:w="4580" w:type="dxa"/>
            <w:vAlign w:val="bottom"/>
            <w:tcBorders>
              <w:bottom w:val="single" w:sz="8" w:color="CEFFE7"/>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Level 1</w:t>
            </w:r>
          </w:p>
        </w:tc>
        <w:tc>
          <w:tcPr>
            <w:tcW w:w="4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Level 2</w:t>
            </w: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3"/>
          </w:tcPr>
          <w:p>
            <w:pPr>
              <w:ind w:left="60"/>
              <w:spacing w:after="0"/>
              <w:rPr>
                <w:sz w:val="20"/>
                <w:szCs w:val="20"/>
                <w:color w:val="auto"/>
              </w:rPr>
            </w:pPr>
            <w:r>
              <w:rPr>
                <w:rFonts w:ascii="Arial" w:cs="Arial" w:eastAsia="Arial" w:hAnsi="Arial"/>
                <w:sz w:val="16"/>
                <w:szCs w:val="16"/>
                <w:color w:val="auto"/>
              </w:rPr>
              <w:t>Level 3</w:t>
            </w:r>
          </w:p>
        </w:tc>
        <w:tc>
          <w:tcPr>
            <w:tcW w:w="3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3"/>
          </w:tcPr>
          <w:p>
            <w:pPr>
              <w:jc w:val="center"/>
              <w:ind w:right="39"/>
              <w:spacing w:after="0"/>
              <w:rPr>
                <w:sz w:val="20"/>
                <w:szCs w:val="20"/>
                <w:color w:val="auto"/>
              </w:rPr>
            </w:pPr>
            <w:r>
              <w:rPr>
                <w:rFonts w:ascii="Arial" w:cs="Arial" w:eastAsia="Arial" w:hAnsi="Arial"/>
                <w:sz w:val="16"/>
                <w:szCs w:val="16"/>
                <w:color w:val="auto"/>
                <w:w w:val="98"/>
              </w:rPr>
              <w:t>Netting</w:t>
            </w: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color w:val="auto"/>
              </w:rPr>
              <w:t>Total</w:t>
            </w:r>
          </w:p>
        </w:tc>
      </w:tr>
      <w:tr>
        <w:trPr>
          <w:trHeight w:val="213"/>
        </w:trPr>
        <w:tc>
          <w:tcPr>
            <w:tcW w:w="4580" w:type="dxa"/>
            <w:vAlign w:val="bottom"/>
            <w:shd w:val="clear" w:color="auto" w:fill="CEFFE7"/>
          </w:tcPr>
          <w:p>
            <w:pPr>
              <w:spacing w:after="0"/>
              <w:rPr>
                <w:sz w:val="18"/>
                <w:szCs w:val="18"/>
                <w:color w:val="auto"/>
              </w:rPr>
            </w:pPr>
          </w:p>
        </w:tc>
        <w:tc>
          <w:tcPr>
            <w:tcW w:w="780" w:type="dxa"/>
            <w:vAlign w:val="bottom"/>
            <w:shd w:val="clear" w:color="auto" w:fill="CEFFE7"/>
          </w:tcPr>
          <w:p>
            <w:pPr>
              <w:spacing w:after="0"/>
              <w:rPr>
                <w:sz w:val="18"/>
                <w:szCs w:val="18"/>
                <w:color w:val="auto"/>
              </w:rPr>
            </w:pPr>
          </w:p>
        </w:tc>
        <w:tc>
          <w:tcPr>
            <w:tcW w:w="440" w:type="dxa"/>
            <w:vAlign w:val="bottom"/>
            <w:shd w:val="clear" w:color="auto" w:fill="CEFFE7"/>
          </w:tcPr>
          <w:p>
            <w:pPr>
              <w:spacing w:after="0"/>
              <w:rPr>
                <w:sz w:val="18"/>
                <w:szCs w:val="18"/>
                <w:color w:val="auto"/>
              </w:rPr>
            </w:pPr>
          </w:p>
        </w:tc>
        <w:tc>
          <w:tcPr>
            <w:tcW w:w="840" w:type="dxa"/>
            <w:vAlign w:val="bottom"/>
            <w:shd w:val="clear" w:color="auto" w:fill="CEFFE7"/>
          </w:tcPr>
          <w:p>
            <w:pPr>
              <w:spacing w:after="0"/>
              <w:rPr>
                <w:sz w:val="18"/>
                <w:szCs w:val="18"/>
                <w:color w:val="auto"/>
              </w:rPr>
            </w:pPr>
          </w:p>
        </w:tc>
        <w:tc>
          <w:tcPr>
            <w:tcW w:w="220" w:type="dxa"/>
            <w:vAlign w:val="bottom"/>
            <w:shd w:val="clear" w:color="auto" w:fill="CEFFE7"/>
          </w:tcPr>
          <w:p>
            <w:pPr>
              <w:spacing w:after="0"/>
              <w:rPr>
                <w:sz w:val="18"/>
                <w:szCs w:val="18"/>
                <w:color w:val="auto"/>
              </w:rPr>
            </w:pPr>
          </w:p>
        </w:tc>
        <w:tc>
          <w:tcPr>
            <w:tcW w:w="120" w:type="dxa"/>
            <w:vAlign w:val="bottom"/>
            <w:shd w:val="clear" w:color="auto" w:fill="CEFFE7"/>
          </w:tcPr>
          <w:p>
            <w:pPr>
              <w:spacing w:after="0"/>
              <w:rPr>
                <w:sz w:val="18"/>
                <w:szCs w:val="18"/>
                <w:color w:val="auto"/>
              </w:rPr>
            </w:pPr>
          </w:p>
        </w:tc>
        <w:tc>
          <w:tcPr>
            <w:tcW w:w="160" w:type="dxa"/>
            <w:vAlign w:val="bottom"/>
            <w:shd w:val="clear" w:color="auto" w:fill="CEFFE7"/>
          </w:tcPr>
          <w:p>
            <w:pPr>
              <w:spacing w:after="0"/>
              <w:rPr>
                <w:sz w:val="18"/>
                <w:szCs w:val="18"/>
                <w:color w:val="auto"/>
              </w:rPr>
            </w:pPr>
          </w:p>
        </w:tc>
        <w:tc>
          <w:tcPr>
            <w:tcW w:w="2580" w:type="dxa"/>
            <w:vAlign w:val="bottom"/>
            <w:gridSpan w:val="5"/>
            <w:shd w:val="clear" w:color="auto" w:fill="CEFFE7"/>
          </w:tcPr>
          <w:p>
            <w:pPr>
              <w:jc w:val="center"/>
              <w:ind w:right="959"/>
              <w:spacing w:after="0"/>
              <w:rPr>
                <w:sz w:val="20"/>
                <w:szCs w:val="20"/>
                <w:color w:val="auto"/>
              </w:rPr>
            </w:pPr>
            <w:r>
              <w:rPr>
                <w:rFonts w:ascii="Arial" w:cs="Arial" w:eastAsia="Arial" w:hAnsi="Arial"/>
                <w:sz w:val="16"/>
                <w:szCs w:val="16"/>
                <w:color w:val="auto"/>
              </w:rPr>
              <w:t>(in thousands)</w:t>
            </w:r>
          </w:p>
        </w:tc>
        <w:tc>
          <w:tcPr>
            <w:tcW w:w="360" w:type="dxa"/>
            <w:vAlign w:val="bottom"/>
            <w:shd w:val="clear" w:color="auto" w:fill="CEFFE7"/>
          </w:tcPr>
          <w:p>
            <w:pPr>
              <w:spacing w:after="0"/>
              <w:rPr>
                <w:sz w:val="18"/>
                <w:szCs w:val="18"/>
                <w:color w:val="auto"/>
              </w:rPr>
            </w:pPr>
          </w:p>
        </w:tc>
        <w:tc>
          <w:tcPr>
            <w:tcW w:w="1160" w:type="dxa"/>
            <w:vAlign w:val="bottom"/>
            <w:shd w:val="clear" w:color="auto" w:fill="CEFFE7"/>
          </w:tcPr>
          <w:p>
            <w:pPr>
              <w:spacing w:after="0"/>
              <w:rPr>
                <w:sz w:val="18"/>
                <w:szCs w:val="18"/>
                <w:color w:val="auto"/>
              </w:rPr>
            </w:pPr>
          </w:p>
        </w:tc>
      </w:tr>
      <w:tr>
        <w:trPr>
          <w:trHeight w:val="213"/>
        </w:trPr>
        <w:tc>
          <w:tcPr>
            <w:tcW w:w="4580" w:type="dxa"/>
            <w:vAlign w:val="bottom"/>
          </w:tcPr>
          <w:p>
            <w:pPr>
              <w:ind w:left="20"/>
              <w:spacing w:after="0"/>
              <w:rPr>
                <w:sz w:val="20"/>
                <w:szCs w:val="20"/>
                <w:color w:val="auto"/>
              </w:rPr>
            </w:pPr>
            <w:r>
              <w:rPr>
                <w:rFonts w:ascii="Arial" w:cs="Arial" w:eastAsia="Arial" w:hAnsi="Arial"/>
                <w:sz w:val="16"/>
                <w:szCs w:val="16"/>
                <w:color w:val="auto"/>
              </w:rPr>
              <w:t>Assets:</w:t>
            </w: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9"/>
        </w:trPr>
        <w:tc>
          <w:tcPr>
            <w:tcW w:w="4580" w:type="dxa"/>
            <w:vAlign w:val="bottom"/>
            <w:shd w:val="clear" w:color="auto" w:fill="CEFFE7"/>
          </w:tcPr>
          <w:p>
            <w:pPr>
              <w:ind w:left="140"/>
              <w:spacing w:after="0"/>
              <w:rPr>
                <w:sz w:val="20"/>
                <w:szCs w:val="20"/>
                <w:color w:val="auto"/>
              </w:rPr>
            </w:pPr>
            <w:r>
              <w:rPr>
                <w:rFonts w:ascii="Arial" w:cs="Arial" w:eastAsia="Arial" w:hAnsi="Arial"/>
                <w:sz w:val="16"/>
                <w:szCs w:val="16"/>
                <w:color w:val="auto"/>
              </w:rPr>
              <w:t>Commodity derivatives — Gas Utilities</w:t>
            </w:r>
          </w:p>
        </w:tc>
        <w:tc>
          <w:tcPr>
            <w:tcW w:w="780" w:type="dxa"/>
            <w:vAlign w:val="bottom"/>
            <w:shd w:val="clear" w:color="auto" w:fill="CEFFE7"/>
          </w:tcPr>
          <w:p>
            <w:pPr>
              <w:jc w:val="right"/>
              <w:ind w:right="599"/>
              <w:spacing w:after="0"/>
              <w:rPr>
                <w:sz w:val="20"/>
                <w:szCs w:val="20"/>
                <w:color w:val="auto"/>
              </w:rPr>
            </w:pPr>
            <w:r>
              <w:rPr>
                <w:rFonts w:ascii="Arial" w:cs="Arial" w:eastAsia="Arial" w:hAnsi="Arial"/>
                <w:sz w:val="16"/>
                <w:szCs w:val="16"/>
                <w:color w:val="auto"/>
                <w:w w:val="89"/>
              </w:rPr>
              <w:t>$</w:t>
            </w:r>
          </w:p>
        </w:tc>
        <w:tc>
          <w:tcPr>
            <w:tcW w:w="440" w:type="dxa"/>
            <w:vAlign w:val="bottom"/>
            <w:shd w:val="clear" w:color="auto" w:fill="CEFFE7"/>
          </w:tcPr>
          <w:p>
            <w:pPr>
              <w:ind w:left="20"/>
              <w:spacing w:after="0"/>
              <w:rPr>
                <w:sz w:val="20"/>
                <w:szCs w:val="20"/>
                <w:color w:val="auto"/>
              </w:rPr>
            </w:pPr>
            <w:r>
              <w:rPr>
                <w:rFonts w:ascii="Arial" w:cs="Arial" w:eastAsia="Arial" w:hAnsi="Arial"/>
                <w:sz w:val="16"/>
                <w:szCs w:val="16"/>
                <w:color w:val="auto"/>
              </w:rPr>
              <w:t>— $</w:t>
            </w:r>
          </w:p>
        </w:tc>
        <w:tc>
          <w:tcPr>
            <w:tcW w:w="8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1,389</w:t>
            </w:r>
          </w:p>
        </w:tc>
        <w:tc>
          <w:tcPr>
            <w:tcW w:w="2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EFFE7"/>
          </w:tcPr>
          <w:p>
            <w:pPr>
              <w:spacing w:after="0"/>
              <w:rPr>
                <w:sz w:val="19"/>
                <w:szCs w:val="19"/>
                <w:color w:val="auto"/>
              </w:rPr>
            </w:pPr>
          </w:p>
        </w:tc>
        <w:tc>
          <w:tcPr>
            <w:tcW w:w="160" w:type="dxa"/>
            <w:vAlign w:val="bottom"/>
            <w:shd w:val="clear" w:color="auto" w:fill="CEFFE7"/>
          </w:tcPr>
          <w:p>
            <w:pPr>
              <w:spacing w:after="0"/>
              <w:rPr>
                <w:sz w:val="19"/>
                <w:szCs w:val="19"/>
                <w:color w:val="auto"/>
              </w:rPr>
            </w:pPr>
          </w:p>
        </w:tc>
        <w:tc>
          <w:tcPr>
            <w:tcW w:w="720" w:type="dxa"/>
            <w:vAlign w:val="bottom"/>
            <w:shd w:val="clear" w:color="auto" w:fill="CEFFE7"/>
          </w:tcPr>
          <w:p>
            <w:pPr>
              <w:ind w:left="340"/>
              <w:spacing w:after="0"/>
              <w:rPr>
                <w:sz w:val="20"/>
                <w:szCs w:val="20"/>
                <w:color w:val="auto"/>
              </w:rPr>
            </w:pPr>
            <w:r>
              <w:rPr>
                <w:rFonts w:ascii="Arial" w:cs="Arial" w:eastAsia="Arial" w:hAnsi="Arial"/>
                <w:sz w:val="16"/>
                <w:szCs w:val="16"/>
                <w:color w:val="auto"/>
              </w:rPr>
              <w:t>—</w:t>
            </w:r>
          </w:p>
        </w:tc>
        <w:tc>
          <w:tcPr>
            <w:tcW w:w="3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500" w:type="dxa"/>
            <w:vAlign w:val="bottom"/>
            <w:shd w:val="clear" w:color="auto" w:fill="CEFFE7"/>
          </w:tcPr>
          <w:p>
            <w:pPr>
              <w:spacing w:after="0"/>
              <w:rPr>
                <w:sz w:val="19"/>
                <w:szCs w:val="19"/>
                <w:color w:val="auto"/>
              </w:rPr>
            </w:pPr>
          </w:p>
        </w:tc>
        <w:tc>
          <w:tcPr>
            <w:tcW w:w="140" w:type="dxa"/>
            <w:vAlign w:val="bottom"/>
            <w:shd w:val="clear" w:color="auto" w:fill="CEFFE7"/>
          </w:tcPr>
          <w:p>
            <w:pPr>
              <w:spacing w:after="0"/>
              <w:rPr>
                <w:sz w:val="19"/>
                <w:szCs w:val="19"/>
                <w:color w:val="auto"/>
              </w:rPr>
            </w:pPr>
          </w:p>
        </w:tc>
        <w:tc>
          <w:tcPr>
            <w:tcW w:w="1260" w:type="dxa"/>
            <w:vAlign w:val="bottom"/>
            <w:gridSpan w:val="2"/>
            <w:shd w:val="clear" w:color="auto" w:fill="CEFFE7"/>
          </w:tcPr>
          <w:p>
            <w:pPr>
              <w:jc w:val="right"/>
              <w:ind w:right="159"/>
              <w:spacing w:after="0"/>
              <w:rPr>
                <w:sz w:val="20"/>
                <w:szCs w:val="20"/>
                <w:color w:val="auto"/>
              </w:rPr>
            </w:pPr>
            <w:r>
              <w:rPr>
                <w:rFonts w:ascii="Arial" w:cs="Arial" w:eastAsia="Arial" w:hAnsi="Arial"/>
                <w:sz w:val="16"/>
                <w:szCs w:val="16"/>
                <w:color w:val="auto"/>
              </w:rPr>
              <w:t>— $</w:t>
            </w:r>
          </w:p>
        </w:tc>
        <w:tc>
          <w:tcPr>
            <w:tcW w:w="11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1,389</w:t>
            </w:r>
          </w:p>
        </w:tc>
      </w:tr>
      <w:tr>
        <w:trPr>
          <w:trHeight w:val="213"/>
        </w:trPr>
        <w:tc>
          <w:tcPr>
            <w:tcW w:w="4580" w:type="dxa"/>
            <w:vAlign w:val="bottom"/>
            <w:tcBorders>
              <w:bottom w:val="single" w:sz="8" w:color="CEFFE7"/>
            </w:tcBorders>
          </w:tcPr>
          <w:p>
            <w:pPr>
              <w:ind w:left="140"/>
              <w:spacing w:after="0"/>
              <w:rPr>
                <w:sz w:val="20"/>
                <w:szCs w:val="20"/>
                <w:color w:val="auto"/>
              </w:rPr>
            </w:pPr>
            <w:r>
              <w:rPr>
                <w:rFonts w:ascii="Arial" w:cs="Arial" w:eastAsia="Arial" w:hAnsi="Arial"/>
                <w:sz w:val="16"/>
                <w:szCs w:val="16"/>
                <w:color w:val="auto"/>
              </w:rPr>
              <w:t>Commodity derivatives — Electric Utilities</w:t>
            </w:r>
          </w:p>
        </w:tc>
        <w:tc>
          <w:tcPr>
            <w:tcW w:w="78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 $</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564</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ind w:left="34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2"/>
          </w:tcPr>
          <w:p>
            <w:pPr>
              <w:jc w:val="right"/>
              <w:ind w:right="159"/>
              <w:spacing w:after="0"/>
              <w:rPr>
                <w:sz w:val="20"/>
                <w:szCs w:val="20"/>
                <w:color w:val="auto"/>
              </w:rPr>
            </w:pPr>
            <w:r>
              <w:rPr>
                <w:rFonts w:ascii="Arial" w:cs="Arial" w:eastAsia="Arial" w:hAnsi="Arial"/>
                <w:sz w:val="16"/>
                <w:szCs w:val="16"/>
                <w:color w:val="auto"/>
              </w:rPr>
              <w:t>— $</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564</w:t>
            </w:r>
          </w:p>
        </w:tc>
      </w:tr>
      <w:tr>
        <w:trPr>
          <w:trHeight w:val="238"/>
        </w:trPr>
        <w:tc>
          <w:tcPr>
            <w:tcW w:w="458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Total</w:t>
            </w:r>
          </w:p>
        </w:tc>
        <w:tc>
          <w:tcPr>
            <w:tcW w:w="780" w:type="dxa"/>
            <w:vAlign w:val="bottom"/>
            <w:tcBorders>
              <w:bottom w:val="single" w:sz="8" w:color="auto"/>
            </w:tcBorders>
            <w:shd w:val="clear" w:color="auto" w:fill="CEFFE7"/>
          </w:tcPr>
          <w:p>
            <w:pPr>
              <w:jc w:val="right"/>
              <w:ind w:right="599"/>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shd w:val="clear" w:color="auto" w:fill="CEFFE7"/>
          </w:tcPr>
          <w:p>
            <w:pPr>
              <w:ind w:left="20"/>
              <w:spacing w:after="0"/>
              <w:rPr>
                <w:sz w:val="20"/>
                <w:szCs w:val="20"/>
                <w:color w:val="auto"/>
              </w:rPr>
            </w:pPr>
            <w:r>
              <w:rPr>
                <w:rFonts w:ascii="Arial" w:cs="Arial" w:eastAsia="Arial" w:hAnsi="Arial"/>
                <w:sz w:val="16"/>
                <w:szCs w:val="16"/>
                <w:color w:val="auto"/>
              </w:rPr>
              <w:t>— $</w:t>
            </w:r>
          </w:p>
        </w:tc>
        <w:tc>
          <w:tcPr>
            <w:tcW w:w="8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1,953</w:t>
            </w:r>
          </w:p>
        </w:tc>
        <w:tc>
          <w:tcPr>
            <w:tcW w:w="2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shd w:val="clear" w:color="auto" w:fill="CEFFE7"/>
          </w:tcPr>
          <w:p>
            <w:pPr>
              <w:spacing w:after="0"/>
              <w:rPr>
                <w:sz w:val="20"/>
                <w:szCs w:val="20"/>
                <w:color w:val="auto"/>
              </w:rPr>
            </w:pPr>
          </w:p>
        </w:tc>
        <w:tc>
          <w:tcPr>
            <w:tcW w:w="160" w:type="dxa"/>
            <w:vAlign w:val="bottom"/>
            <w:tcBorders>
              <w:bottom w:val="single" w:sz="8" w:color="auto"/>
            </w:tcBorders>
            <w:shd w:val="clear" w:color="auto" w:fill="CEFFE7"/>
          </w:tcPr>
          <w:p>
            <w:pPr>
              <w:spacing w:after="0"/>
              <w:rPr>
                <w:sz w:val="20"/>
                <w:szCs w:val="20"/>
                <w:color w:val="auto"/>
              </w:rPr>
            </w:pPr>
          </w:p>
        </w:tc>
        <w:tc>
          <w:tcPr>
            <w:tcW w:w="720" w:type="dxa"/>
            <w:vAlign w:val="bottom"/>
            <w:tcBorders>
              <w:bottom w:val="single" w:sz="8" w:color="auto"/>
            </w:tcBorders>
            <w:shd w:val="clear" w:color="auto" w:fill="CEFFE7"/>
          </w:tcPr>
          <w:p>
            <w:pPr>
              <w:ind w:left="34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shd w:val="clear" w:color="auto" w:fill="CEFFE7"/>
          </w:tcPr>
          <w:p>
            <w:pPr>
              <w:spacing w:after="0"/>
              <w:rPr>
                <w:sz w:val="20"/>
                <w:szCs w:val="20"/>
                <w:color w:val="auto"/>
              </w:rPr>
            </w:pPr>
          </w:p>
        </w:tc>
        <w:tc>
          <w:tcPr>
            <w:tcW w:w="140" w:type="dxa"/>
            <w:vAlign w:val="bottom"/>
            <w:tcBorders>
              <w:bottom w:val="single" w:sz="8" w:color="auto"/>
            </w:tcBorders>
            <w:shd w:val="clear" w:color="auto" w:fill="CEFFE7"/>
          </w:tcPr>
          <w:p>
            <w:pPr>
              <w:spacing w:after="0"/>
              <w:rPr>
                <w:sz w:val="20"/>
                <w:szCs w:val="20"/>
                <w:color w:val="auto"/>
              </w:rPr>
            </w:pPr>
          </w:p>
        </w:tc>
        <w:tc>
          <w:tcPr>
            <w:tcW w:w="1260" w:type="dxa"/>
            <w:vAlign w:val="bottom"/>
            <w:tcBorders>
              <w:bottom w:val="single" w:sz="8" w:color="auto"/>
            </w:tcBorders>
            <w:gridSpan w:val="2"/>
            <w:shd w:val="clear" w:color="auto" w:fill="CEFFE7"/>
          </w:tcPr>
          <w:p>
            <w:pPr>
              <w:jc w:val="right"/>
              <w:ind w:right="159"/>
              <w:spacing w:after="0"/>
              <w:rPr>
                <w:sz w:val="20"/>
                <w:szCs w:val="20"/>
                <w:color w:val="auto"/>
              </w:rPr>
            </w:pPr>
            <w:r>
              <w:rPr>
                <w:rFonts w:ascii="Arial" w:cs="Arial" w:eastAsia="Arial" w:hAnsi="Arial"/>
                <w:sz w:val="16"/>
                <w:szCs w:val="16"/>
                <w:color w:val="auto"/>
              </w:rPr>
              <w:t>— $</w:t>
            </w:r>
          </w:p>
        </w:tc>
        <w:tc>
          <w:tcPr>
            <w:tcW w:w="11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1,953</w:t>
            </w:r>
          </w:p>
        </w:tc>
      </w:tr>
      <w:tr>
        <w:trPr>
          <w:trHeight w:val="20"/>
        </w:trPr>
        <w:tc>
          <w:tcPr>
            <w:tcW w:w="4580" w:type="dxa"/>
            <w:vAlign w:val="bottom"/>
            <w:tcBorders>
              <w:top w:val="single" w:sz="8" w:color="CEFFE7"/>
            </w:tcBorders>
          </w:tcPr>
          <w:p>
            <w:pPr>
              <w:spacing w:after="0" w:line="20" w:lineRule="exact"/>
              <w:rPr>
                <w:sz w:val="1"/>
                <w:szCs w:val="1"/>
                <w:color w:val="auto"/>
              </w:rPr>
            </w:pPr>
          </w:p>
        </w:tc>
        <w:tc>
          <w:tcPr>
            <w:tcW w:w="780" w:type="dxa"/>
            <w:vAlign w:val="bottom"/>
            <w:tcBorders>
              <w:top w:val="single" w:sz="8" w:color="CEFFE7"/>
              <w:bottom w:val="single" w:sz="8" w:color="auto"/>
            </w:tcBorders>
          </w:tcPr>
          <w:p>
            <w:pPr>
              <w:spacing w:after="0" w:line="20" w:lineRule="exact"/>
              <w:rPr>
                <w:sz w:val="1"/>
                <w:szCs w:val="1"/>
                <w:color w:val="auto"/>
              </w:rPr>
            </w:pPr>
          </w:p>
        </w:tc>
        <w:tc>
          <w:tcPr>
            <w:tcW w:w="440" w:type="dxa"/>
            <w:vAlign w:val="bottom"/>
            <w:tcBorders>
              <w:top w:val="single" w:sz="8" w:color="CEFFE7"/>
              <w:bottom w:val="single" w:sz="8" w:color="auto"/>
            </w:tcBorders>
          </w:tcPr>
          <w:p>
            <w:pPr>
              <w:spacing w:after="0" w:line="20" w:lineRule="exact"/>
              <w:rPr>
                <w:sz w:val="1"/>
                <w:szCs w:val="1"/>
                <w:color w:val="auto"/>
              </w:rPr>
            </w:pPr>
          </w:p>
        </w:tc>
        <w:tc>
          <w:tcPr>
            <w:tcW w:w="840" w:type="dxa"/>
            <w:vAlign w:val="bottom"/>
            <w:tcBorders>
              <w:top w:val="single" w:sz="8" w:color="CEFFE7"/>
              <w:bottom w:val="single" w:sz="8" w:color="auto"/>
            </w:tcBorders>
          </w:tcPr>
          <w:p>
            <w:pPr>
              <w:spacing w:after="0" w:line="20" w:lineRule="exact"/>
              <w:rPr>
                <w:sz w:val="1"/>
                <w:szCs w:val="1"/>
                <w:color w:val="auto"/>
              </w:rPr>
            </w:pPr>
          </w:p>
        </w:tc>
        <w:tc>
          <w:tcPr>
            <w:tcW w:w="220" w:type="dxa"/>
            <w:vAlign w:val="bottom"/>
            <w:tcBorders>
              <w:top w:val="single" w:sz="8" w:color="CEFFE7"/>
              <w:bottom w:val="single" w:sz="8" w:color="auto"/>
            </w:tcBorders>
          </w:tcPr>
          <w:p>
            <w:pPr>
              <w:spacing w:after="0" w:line="20" w:lineRule="exact"/>
              <w:rPr>
                <w:sz w:val="1"/>
                <w:szCs w:val="1"/>
                <w:color w:val="auto"/>
              </w:rPr>
            </w:pPr>
          </w:p>
        </w:tc>
        <w:tc>
          <w:tcPr>
            <w:tcW w:w="120" w:type="dxa"/>
            <w:vAlign w:val="bottom"/>
            <w:tcBorders>
              <w:top w:val="single" w:sz="8" w:color="CEFFE7"/>
              <w:bottom w:val="single" w:sz="8" w:color="auto"/>
            </w:tcBorders>
          </w:tcPr>
          <w:p>
            <w:pPr>
              <w:spacing w:after="0" w:line="20" w:lineRule="exact"/>
              <w:rPr>
                <w:sz w:val="1"/>
                <w:szCs w:val="1"/>
                <w:color w:val="auto"/>
              </w:rPr>
            </w:pPr>
          </w:p>
        </w:tc>
        <w:tc>
          <w:tcPr>
            <w:tcW w:w="160" w:type="dxa"/>
            <w:vAlign w:val="bottom"/>
            <w:tcBorders>
              <w:top w:val="single" w:sz="8" w:color="CEFFE7"/>
              <w:bottom w:val="single" w:sz="8" w:color="auto"/>
            </w:tcBorders>
          </w:tcPr>
          <w:p>
            <w:pPr>
              <w:spacing w:after="0" w:line="20" w:lineRule="exact"/>
              <w:rPr>
                <w:sz w:val="1"/>
                <w:szCs w:val="1"/>
                <w:color w:val="auto"/>
              </w:rPr>
            </w:pPr>
          </w:p>
        </w:tc>
        <w:tc>
          <w:tcPr>
            <w:tcW w:w="720" w:type="dxa"/>
            <w:vAlign w:val="bottom"/>
            <w:tcBorders>
              <w:top w:val="single" w:sz="8" w:color="CEFFE7"/>
              <w:bottom w:val="single" w:sz="8" w:color="auto"/>
            </w:tcBorders>
          </w:tcPr>
          <w:p>
            <w:pPr>
              <w:spacing w:after="0" w:line="20" w:lineRule="exact"/>
              <w:rPr>
                <w:sz w:val="1"/>
                <w:szCs w:val="1"/>
                <w:color w:val="auto"/>
              </w:rPr>
            </w:pPr>
          </w:p>
        </w:tc>
        <w:tc>
          <w:tcPr>
            <w:tcW w:w="320" w:type="dxa"/>
            <w:vAlign w:val="bottom"/>
            <w:tcBorders>
              <w:top w:val="single" w:sz="8" w:color="CEFFE7"/>
              <w:bottom w:val="single" w:sz="8" w:color="auto"/>
            </w:tcBorders>
          </w:tcPr>
          <w:p>
            <w:pPr>
              <w:spacing w:after="0" w:line="20" w:lineRule="exact"/>
              <w:rPr>
                <w:sz w:val="1"/>
                <w:szCs w:val="1"/>
                <w:color w:val="auto"/>
              </w:rPr>
            </w:pPr>
          </w:p>
        </w:tc>
        <w:tc>
          <w:tcPr>
            <w:tcW w:w="500" w:type="dxa"/>
            <w:vAlign w:val="bottom"/>
            <w:tcBorders>
              <w:top w:val="single" w:sz="8" w:color="CEFFE7"/>
              <w:bottom w:val="single" w:sz="8" w:color="auto"/>
            </w:tcBorders>
          </w:tcPr>
          <w:p>
            <w:pPr>
              <w:spacing w:after="0" w:line="20" w:lineRule="exact"/>
              <w:rPr>
                <w:sz w:val="1"/>
                <w:szCs w:val="1"/>
                <w:color w:val="auto"/>
              </w:rPr>
            </w:pPr>
          </w:p>
        </w:tc>
        <w:tc>
          <w:tcPr>
            <w:tcW w:w="140" w:type="dxa"/>
            <w:vAlign w:val="bottom"/>
            <w:tcBorders>
              <w:top w:val="single" w:sz="8" w:color="CEFFE7"/>
              <w:bottom w:val="single" w:sz="8" w:color="auto"/>
            </w:tcBorders>
          </w:tcPr>
          <w:p>
            <w:pPr>
              <w:spacing w:after="0" w:line="20" w:lineRule="exact"/>
              <w:rPr>
                <w:sz w:val="1"/>
                <w:szCs w:val="1"/>
                <w:color w:val="auto"/>
              </w:rPr>
            </w:pPr>
          </w:p>
        </w:tc>
        <w:tc>
          <w:tcPr>
            <w:tcW w:w="900" w:type="dxa"/>
            <w:vAlign w:val="bottom"/>
            <w:tcBorders>
              <w:top w:val="single" w:sz="8" w:color="CEFFE7"/>
              <w:bottom w:val="single" w:sz="8" w:color="auto"/>
            </w:tcBorders>
          </w:tcPr>
          <w:p>
            <w:pPr>
              <w:spacing w:after="0" w:line="20" w:lineRule="exact"/>
              <w:rPr>
                <w:sz w:val="1"/>
                <w:szCs w:val="1"/>
                <w:color w:val="auto"/>
              </w:rPr>
            </w:pPr>
          </w:p>
        </w:tc>
        <w:tc>
          <w:tcPr>
            <w:tcW w:w="360" w:type="dxa"/>
            <w:vAlign w:val="bottom"/>
            <w:tcBorders>
              <w:top w:val="single" w:sz="8" w:color="CEFFE7"/>
              <w:bottom w:val="single" w:sz="8" w:color="auto"/>
            </w:tcBorders>
          </w:tcPr>
          <w:p>
            <w:pPr>
              <w:spacing w:after="0" w:line="20" w:lineRule="exact"/>
              <w:rPr>
                <w:sz w:val="1"/>
                <w:szCs w:val="1"/>
                <w:color w:val="auto"/>
              </w:rPr>
            </w:pPr>
          </w:p>
        </w:tc>
        <w:tc>
          <w:tcPr>
            <w:tcW w:w="1160" w:type="dxa"/>
            <w:vAlign w:val="bottom"/>
            <w:tcBorders>
              <w:top w:val="single" w:sz="8" w:color="CEFFE7"/>
              <w:bottom w:val="single" w:sz="8" w:color="auto"/>
            </w:tcBorders>
          </w:tcPr>
          <w:p>
            <w:pPr>
              <w:spacing w:after="0" w:line="20" w:lineRule="exact"/>
              <w:rPr>
                <w:sz w:val="1"/>
                <w:szCs w:val="1"/>
                <w:color w:val="auto"/>
              </w:rPr>
            </w:pPr>
          </w:p>
        </w:tc>
      </w:tr>
      <w:tr>
        <w:trPr>
          <w:trHeight w:val="55"/>
        </w:trPr>
        <w:tc>
          <w:tcPr>
            <w:tcW w:w="4580" w:type="dxa"/>
            <w:vAlign w:val="bottom"/>
          </w:tcPr>
          <w:p>
            <w:pPr>
              <w:spacing w:after="0"/>
              <w:rPr>
                <w:sz w:val="4"/>
                <w:szCs w:val="4"/>
                <w:color w:val="auto"/>
              </w:rPr>
            </w:pPr>
          </w:p>
        </w:tc>
        <w:tc>
          <w:tcPr>
            <w:tcW w:w="780" w:type="dxa"/>
            <w:vAlign w:val="bottom"/>
          </w:tcPr>
          <w:p>
            <w:pPr>
              <w:spacing w:after="0"/>
              <w:rPr>
                <w:sz w:val="4"/>
                <w:szCs w:val="4"/>
                <w:color w:val="auto"/>
              </w:rPr>
            </w:pPr>
          </w:p>
        </w:tc>
        <w:tc>
          <w:tcPr>
            <w:tcW w:w="4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20" w:type="dxa"/>
            <w:vAlign w:val="bottom"/>
          </w:tcPr>
          <w:p>
            <w:pPr>
              <w:spacing w:after="0"/>
              <w:rPr>
                <w:sz w:val="4"/>
                <w:szCs w:val="4"/>
                <w:color w:val="auto"/>
              </w:rPr>
            </w:pPr>
          </w:p>
        </w:tc>
        <w:tc>
          <w:tcPr>
            <w:tcW w:w="3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60" w:type="dxa"/>
            <w:vAlign w:val="bottom"/>
          </w:tcPr>
          <w:p>
            <w:pPr>
              <w:spacing w:after="0"/>
              <w:rPr>
                <w:sz w:val="4"/>
                <w:szCs w:val="4"/>
                <w:color w:val="auto"/>
              </w:rPr>
            </w:pPr>
          </w:p>
        </w:tc>
      </w:tr>
      <w:tr>
        <w:trPr>
          <w:trHeight w:val="216"/>
        </w:trPr>
        <w:tc>
          <w:tcPr>
            <w:tcW w:w="4580" w:type="dxa"/>
            <w:vAlign w:val="bottom"/>
            <w:shd w:val="clear" w:color="auto" w:fill="CEFFE7"/>
          </w:tcPr>
          <w:p>
            <w:pPr>
              <w:ind w:left="20"/>
              <w:spacing w:after="0"/>
              <w:rPr>
                <w:sz w:val="20"/>
                <w:szCs w:val="20"/>
                <w:color w:val="auto"/>
              </w:rPr>
            </w:pPr>
            <w:r>
              <w:rPr>
                <w:rFonts w:ascii="Arial" w:cs="Arial" w:eastAsia="Arial" w:hAnsi="Arial"/>
                <w:sz w:val="16"/>
                <w:szCs w:val="16"/>
                <w:color w:val="auto"/>
              </w:rPr>
              <w:t>Liabilities:</w:t>
            </w:r>
          </w:p>
        </w:tc>
        <w:tc>
          <w:tcPr>
            <w:tcW w:w="780" w:type="dxa"/>
            <w:vAlign w:val="bottom"/>
            <w:shd w:val="clear" w:color="auto" w:fill="CEFFE7"/>
          </w:tcPr>
          <w:p>
            <w:pPr>
              <w:spacing w:after="0"/>
              <w:rPr>
                <w:sz w:val="18"/>
                <w:szCs w:val="18"/>
                <w:color w:val="auto"/>
              </w:rPr>
            </w:pPr>
          </w:p>
        </w:tc>
        <w:tc>
          <w:tcPr>
            <w:tcW w:w="440" w:type="dxa"/>
            <w:vAlign w:val="bottom"/>
            <w:shd w:val="clear" w:color="auto" w:fill="CEFFE7"/>
          </w:tcPr>
          <w:p>
            <w:pPr>
              <w:spacing w:after="0"/>
              <w:rPr>
                <w:sz w:val="18"/>
                <w:szCs w:val="18"/>
                <w:color w:val="auto"/>
              </w:rPr>
            </w:pPr>
          </w:p>
        </w:tc>
        <w:tc>
          <w:tcPr>
            <w:tcW w:w="840" w:type="dxa"/>
            <w:vAlign w:val="bottom"/>
            <w:shd w:val="clear" w:color="auto" w:fill="CEFFE7"/>
          </w:tcPr>
          <w:p>
            <w:pPr>
              <w:spacing w:after="0"/>
              <w:rPr>
                <w:sz w:val="18"/>
                <w:szCs w:val="18"/>
                <w:color w:val="auto"/>
              </w:rPr>
            </w:pPr>
          </w:p>
        </w:tc>
        <w:tc>
          <w:tcPr>
            <w:tcW w:w="220" w:type="dxa"/>
            <w:vAlign w:val="bottom"/>
            <w:shd w:val="clear" w:color="auto" w:fill="CEFFE7"/>
          </w:tcPr>
          <w:p>
            <w:pPr>
              <w:spacing w:after="0"/>
              <w:rPr>
                <w:sz w:val="18"/>
                <w:szCs w:val="18"/>
                <w:color w:val="auto"/>
              </w:rPr>
            </w:pPr>
          </w:p>
        </w:tc>
        <w:tc>
          <w:tcPr>
            <w:tcW w:w="120" w:type="dxa"/>
            <w:vAlign w:val="bottom"/>
            <w:shd w:val="clear" w:color="auto" w:fill="CEFFE7"/>
          </w:tcPr>
          <w:p>
            <w:pPr>
              <w:spacing w:after="0"/>
              <w:rPr>
                <w:sz w:val="18"/>
                <w:szCs w:val="18"/>
                <w:color w:val="auto"/>
              </w:rPr>
            </w:pPr>
          </w:p>
        </w:tc>
        <w:tc>
          <w:tcPr>
            <w:tcW w:w="160" w:type="dxa"/>
            <w:vAlign w:val="bottom"/>
            <w:shd w:val="clear" w:color="auto" w:fill="CEFFE7"/>
          </w:tcPr>
          <w:p>
            <w:pPr>
              <w:spacing w:after="0"/>
              <w:rPr>
                <w:sz w:val="18"/>
                <w:szCs w:val="18"/>
                <w:color w:val="auto"/>
              </w:rPr>
            </w:pPr>
          </w:p>
        </w:tc>
        <w:tc>
          <w:tcPr>
            <w:tcW w:w="720" w:type="dxa"/>
            <w:vAlign w:val="bottom"/>
            <w:shd w:val="clear" w:color="auto" w:fill="CEFFE7"/>
          </w:tcPr>
          <w:p>
            <w:pPr>
              <w:spacing w:after="0"/>
              <w:rPr>
                <w:sz w:val="18"/>
                <w:szCs w:val="18"/>
                <w:color w:val="auto"/>
              </w:rPr>
            </w:pPr>
          </w:p>
        </w:tc>
        <w:tc>
          <w:tcPr>
            <w:tcW w:w="320" w:type="dxa"/>
            <w:vAlign w:val="bottom"/>
            <w:shd w:val="clear" w:color="auto" w:fill="CEFFE7"/>
          </w:tcPr>
          <w:p>
            <w:pPr>
              <w:spacing w:after="0"/>
              <w:rPr>
                <w:sz w:val="18"/>
                <w:szCs w:val="18"/>
                <w:color w:val="auto"/>
              </w:rPr>
            </w:pPr>
          </w:p>
        </w:tc>
        <w:tc>
          <w:tcPr>
            <w:tcW w:w="500" w:type="dxa"/>
            <w:vAlign w:val="bottom"/>
            <w:shd w:val="clear" w:color="auto" w:fill="CEFFE7"/>
          </w:tcPr>
          <w:p>
            <w:pPr>
              <w:spacing w:after="0"/>
              <w:rPr>
                <w:sz w:val="18"/>
                <w:szCs w:val="18"/>
                <w:color w:val="auto"/>
              </w:rPr>
            </w:pPr>
          </w:p>
        </w:tc>
        <w:tc>
          <w:tcPr>
            <w:tcW w:w="140" w:type="dxa"/>
            <w:vAlign w:val="bottom"/>
            <w:shd w:val="clear" w:color="auto" w:fill="CEFFE7"/>
          </w:tcPr>
          <w:p>
            <w:pPr>
              <w:spacing w:after="0"/>
              <w:rPr>
                <w:sz w:val="18"/>
                <w:szCs w:val="18"/>
                <w:color w:val="auto"/>
              </w:rPr>
            </w:pPr>
          </w:p>
        </w:tc>
        <w:tc>
          <w:tcPr>
            <w:tcW w:w="900" w:type="dxa"/>
            <w:vAlign w:val="bottom"/>
            <w:shd w:val="clear" w:color="auto" w:fill="CEFFE7"/>
          </w:tcPr>
          <w:p>
            <w:pPr>
              <w:spacing w:after="0"/>
              <w:rPr>
                <w:sz w:val="18"/>
                <w:szCs w:val="18"/>
                <w:color w:val="auto"/>
              </w:rPr>
            </w:pPr>
          </w:p>
        </w:tc>
        <w:tc>
          <w:tcPr>
            <w:tcW w:w="360" w:type="dxa"/>
            <w:vAlign w:val="bottom"/>
            <w:shd w:val="clear" w:color="auto" w:fill="CEFFE7"/>
          </w:tcPr>
          <w:p>
            <w:pPr>
              <w:spacing w:after="0"/>
              <w:rPr>
                <w:sz w:val="18"/>
                <w:szCs w:val="18"/>
                <w:color w:val="auto"/>
              </w:rPr>
            </w:pPr>
          </w:p>
        </w:tc>
        <w:tc>
          <w:tcPr>
            <w:tcW w:w="1160" w:type="dxa"/>
            <w:vAlign w:val="bottom"/>
            <w:shd w:val="clear" w:color="auto" w:fill="CEFFE7"/>
          </w:tcPr>
          <w:p>
            <w:pPr>
              <w:spacing w:after="0"/>
              <w:rPr>
                <w:sz w:val="18"/>
                <w:szCs w:val="18"/>
                <w:color w:val="auto"/>
              </w:rPr>
            </w:pPr>
          </w:p>
        </w:tc>
      </w:tr>
      <w:tr>
        <w:trPr>
          <w:trHeight w:val="213"/>
        </w:trPr>
        <w:tc>
          <w:tcPr>
            <w:tcW w:w="4580" w:type="dxa"/>
            <w:vAlign w:val="bottom"/>
          </w:tcPr>
          <w:p>
            <w:pPr>
              <w:ind w:left="140"/>
              <w:spacing w:after="0"/>
              <w:rPr>
                <w:sz w:val="20"/>
                <w:szCs w:val="20"/>
                <w:color w:val="auto"/>
              </w:rPr>
            </w:pPr>
            <w:r>
              <w:rPr>
                <w:rFonts w:ascii="Arial" w:cs="Arial" w:eastAsia="Arial" w:hAnsi="Arial"/>
                <w:sz w:val="16"/>
                <w:szCs w:val="16"/>
                <w:color w:val="auto"/>
              </w:rPr>
              <w:t>Commodity derivatives — Gas Utilities</w:t>
            </w:r>
          </w:p>
        </w:tc>
        <w:tc>
          <w:tcPr>
            <w:tcW w:w="780" w:type="dxa"/>
            <w:vAlign w:val="bottom"/>
          </w:tcPr>
          <w:p>
            <w:pPr>
              <w:jc w:val="right"/>
              <w:ind w:right="599"/>
              <w:spacing w:after="0"/>
              <w:rPr>
                <w:sz w:val="20"/>
                <w:szCs w:val="20"/>
                <w:color w:val="auto"/>
              </w:rPr>
            </w:pPr>
            <w:r>
              <w:rPr>
                <w:rFonts w:ascii="Arial" w:cs="Arial" w:eastAsia="Arial" w:hAnsi="Arial"/>
                <w:sz w:val="16"/>
                <w:szCs w:val="16"/>
                <w:color w:val="auto"/>
                <w:w w:val="89"/>
              </w:rPr>
              <w:t>$</w:t>
            </w:r>
          </w:p>
        </w:tc>
        <w:tc>
          <w:tcPr>
            <w:tcW w:w="440" w:type="dxa"/>
            <w:vAlign w:val="bottom"/>
          </w:tcPr>
          <w:p>
            <w:pPr>
              <w:ind w:left="20"/>
              <w:spacing w:after="0"/>
              <w:rPr>
                <w:sz w:val="20"/>
                <w:szCs w:val="20"/>
                <w:color w:val="auto"/>
              </w:rPr>
            </w:pPr>
            <w:r>
              <w:rPr>
                <w:rFonts w:ascii="Arial" w:cs="Arial" w:eastAsia="Arial" w:hAnsi="Arial"/>
                <w:sz w:val="16"/>
                <w:szCs w:val="16"/>
                <w:color w:val="auto"/>
              </w:rPr>
              <w:t>— $</w:t>
            </w:r>
          </w:p>
        </w:tc>
        <w:tc>
          <w:tcPr>
            <w:tcW w:w="840" w:type="dxa"/>
            <w:vAlign w:val="bottom"/>
          </w:tcPr>
          <w:p>
            <w:pPr>
              <w:jc w:val="right"/>
              <w:spacing w:after="0"/>
              <w:rPr>
                <w:sz w:val="20"/>
                <w:szCs w:val="20"/>
                <w:color w:val="auto"/>
              </w:rPr>
            </w:pPr>
            <w:r>
              <w:rPr>
                <w:rFonts w:ascii="Arial" w:cs="Arial" w:eastAsia="Arial" w:hAnsi="Arial"/>
                <w:sz w:val="16"/>
                <w:szCs w:val="16"/>
                <w:color w:val="auto"/>
              </w:rPr>
              <w:t>625</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ind w:left="340"/>
              <w:spacing w:after="0"/>
              <w:rPr>
                <w:sz w:val="20"/>
                <w:szCs w:val="20"/>
                <w:color w:val="auto"/>
              </w:rPr>
            </w:pPr>
            <w:r>
              <w:rPr>
                <w:rFonts w:ascii="Arial" w:cs="Arial" w:eastAsia="Arial" w:hAnsi="Arial"/>
                <w:sz w:val="16"/>
                <w:szCs w:val="16"/>
                <w:color w:val="auto"/>
              </w:rPr>
              <w:t>—</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59"/>
              <w:spacing w:after="0"/>
              <w:rPr>
                <w:sz w:val="20"/>
                <w:szCs w:val="20"/>
                <w:color w:val="auto"/>
              </w:rPr>
            </w:pPr>
            <w:r>
              <w:rPr>
                <w:rFonts w:ascii="Arial" w:cs="Arial" w:eastAsia="Arial" w:hAnsi="Arial"/>
                <w:sz w:val="16"/>
                <w:szCs w:val="16"/>
                <w:color w:val="auto"/>
              </w:rPr>
              <w:t>— $</w:t>
            </w:r>
          </w:p>
        </w:tc>
        <w:tc>
          <w:tcPr>
            <w:tcW w:w="1160" w:type="dxa"/>
            <w:vAlign w:val="bottom"/>
          </w:tcPr>
          <w:p>
            <w:pPr>
              <w:jc w:val="right"/>
              <w:spacing w:after="0"/>
              <w:rPr>
                <w:sz w:val="20"/>
                <w:szCs w:val="20"/>
                <w:color w:val="auto"/>
              </w:rPr>
            </w:pPr>
            <w:r>
              <w:rPr>
                <w:rFonts w:ascii="Arial" w:cs="Arial" w:eastAsia="Arial" w:hAnsi="Arial"/>
                <w:sz w:val="16"/>
                <w:szCs w:val="16"/>
                <w:color w:val="auto"/>
              </w:rPr>
              <w:t>625</w:t>
            </w:r>
          </w:p>
        </w:tc>
      </w:tr>
      <w:tr>
        <w:trPr>
          <w:trHeight w:val="216"/>
        </w:trPr>
        <w:tc>
          <w:tcPr>
            <w:tcW w:w="4580" w:type="dxa"/>
            <w:vAlign w:val="bottom"/>
            <w:shd w:val="clear" w:color="auto" w:fill="CEFFE7"/>
          </w:tcPr>
          <w:p>
            <w:pPr>
              <w:ind w:left="140"/>
              <w:spacing w:after="0"/>
              <w:rPr>
                <w:sz w:val="20"/>
                <w:szCs w:val="20"/>
                <w:color w:val="auto"/>
              </w:rPr>
            </w:pPr>
            <w:r>
              <w:rPr>
                <w:rFonts w:ascii="Arial" w:cs="Arial" w:eastAsia="Arial" w:hAnsi="Arial"/>
                <w:sz w:val="16"/>
                <w:szCs w:val="16"/>
                <w:color w:val="auto"/>
              </w:rPr>
              <w:t>Commodity derivatives — Electric Utilities</w:t>
            </w:r>
          </w:p>
        </w:tc>
        <w:tc>
          <w:tcPr>
            <w:tcW w:w="780" w:type="dxa"/>
            <w:vAlign w:val="bottom"/>
            <w:tcBorders>
              <w:bottom w:val="single" w:sz="8" w:color="auto"/>
            </w:tcBorders>
            <w:shd w:val="clear" w:color="auto" w:fill="CEFFE7"/>
          </w:tcPr>
          <w:p>
            <w:pPr>
              <w:jc w:val="right"/>
              <w:ind w:right="599"/>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shd w:val="clear" w:color="auto" w:fill="CEFFE7"/>
          </w:tcPr>
          <w:p>
            <w:pPr>
              <w:ind w:left="20"/>
              <w:spacing w:after="0"/>
              <w:rPr>
                <w:sz w:val="20"/>
                <w:szCs w:val="20"/>
                <w:color w:val="auto"/>
              </w:rPr>
            </w:pPr>
            <w:r>
              <w:rPr>
                <w:rFonts w:ascii="Arial" w:cs="Arial" w:eastAsia="Arial" w:hAnsi="Arial"/>
                <w:sz w:val="16"/>
                <w:szCs w:val="16"/>
                <w:color w:val="auto"/>
              </w:rPr>
              <w:t>— $</w:t>
            </w:r>
          </w:p>
        </w:tc>
        <w:tc>
          <w:tcPr>
            <w:tcW w:w="8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1,944</w:t>
            </w:r>
          </w:p>
        </w:tc>
        <w:tc>
          <w:tcPr>
            <w:tcW w:w="2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shd w:val="clear" w:color="auto" w:fill="CEFFE7"/>
          </w:tcPr>
          <w:p>
            <w:pPr>
              <w:spacing w:after="0"/>
              <w:rPr>
                <w:sz w:val="18"/>
                <w:szCs w:val="18"/>
                <w:color w:val="auto"/>
              </w:rPr>
            </w:pPr>
          </w:p>
        </w:tc>
        <w:tc>
          <w:tcPr>
            <w:tcW w:w="160" w:type="dxa"/>
            <w:vAlign w:val="bottom"/>
            <w:tcBorders>
              <w:bottom w:val="single" w:sz="8" w:color="auto"/>
            </w:tcBorders>
            <w:shd w:val="clear" w:color="auto" w:fill="CEFFE7"/>
          </w:tcPr>
          <w:p>
            <w:pPr>
              <w:spacing w:after="0"/>
              <w:rPr>
                <w:sz w:val="18"/>
                <w:szCs w:val="18"/>
                <w:color w:val="auto"/>
              </w:rPr>
            </w:pPr>
          </w:p>
        </w:tc>
        <w:tc>
          <w:tcPr>
            <w:tcW w:w="720" w:type="dxa"/>
            <w:vAlign w:val="bottom"/>
            <w:tcBorders>
              <w:bottom w:val="single" w:sz="8" w:color="auto"/>
            </w:tcBorders>
            <w:shd w:val="clear" w:color="auto" w:fill="CEFFE7"/>
          </w:tcPr>
          <w:p>
            <w:pPr>
              <w:ind w:left="34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shd w:val="clear" w:color="auto" w:fill="CEFFE7"/>
          </w:tcPr>
          <w:p>
            <w:pPr>
              <w:spacing w:after="0"/>
              <w:rPr>
                <w:sz w:val="18"/>
                <w:szCs w:val="18"/>
                <w:color w:val="auto"/>
              </w:rPr>
            </w:pPr>
          </w:p>
        </w:tc>
        <w:tc>
          <w:tcPr>
            <w:tcW w:w="140" w:type="dxa"/>
            <w:vAlign w:val="bottom"/>
            <w:tcBorders>
              <w:bottom w:val="single" w:sz="8" w:color="auto"/>
            </w:tcBorders>
            <w:shd w:val="clear" w:color="auto" w:fill="CEFFE7"/>
          </w:tcPr>
          <w:p>
            <w:pPr>
              <w:spacing w:after="0"/>
              <w:rPr>
                <w:sz w:val="18"/>
                <w:szCs w:val="18"/>
                <w:color w:val="auto"/>
              </w:rPr>
            </w:pPr>
          </w:p>
        </w:tc>
        <w:tc>
          <w:tcPr>
            <w:tcW w:w="9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shd w:val="clear" w:color="auto" w:fill="CEFFE7"/>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1,944</w:t>
            </w:r>
          </w:p>
        </w:tc>
      </w:tr>
      <w:tr>
        <w:trPr>
          <w:trHeight w:val="213"/>
        </w:trPr>
        <w:tc>
          <w:tcPr>
            <w:tcW w:w="4580" w:type="dxa"/>
            <w:vAlign w:val="bottom"/>
          </w:tcPr>
          <w:p>
            <w:pPr>
              <w:ind w:left="20"/>
              <w:spacing w:after="0"/>
              <w:rPr>
                <w:sz w:val="20"/>
                <w:szCs w:val="20"/>
                <w:color w:val="auto"/>
              </w:rPr>
            </w:pPr>
            <w:r>
              <w:rPr>
                <w:rFonts w:ascii="Arial" w:cs="Arial" w:eastAsia="Arial" w:hAnsi="Arial"/>
                <w:sz w:val="16"/>
                <w:szCs w:val="16"/>
                <w:color w:val="auto"/>
              </w:rPr>
              <w:t>Total</w:t>
            </w:r>
          </w:p>
        </w:tc>
        <w:tc>
          <w:tcPr>
            <w:tcW w:w="78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 $</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2,569</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ind w:left="34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2"/>
          </w:tcPr>
          <w:p>
            <w:pPr>
              <w:jc w:val="right"/>
              <w:ind w:right="159"/>
              <w:spacing w:after="0"/>
              <w:rPr>
                <w:sz w:val="20"/>
                <w:szCs w:val="20"/>
                <w:color w:val="auto"/>
              </w:rPr>
            </w:pPr>
            <w:r>
              <w:rPr>
                <w:rFonts w:ascii="Arial" w:cs="Arial" w:eastAsia="Arial" w:hAnsi="Arial"/>
                <w:sz w:val="16"/>
                <w:szCs w:val="16"/>
                <w:color w:val="auto"/>
              </w:rPr>
              <w:t>— $</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2,569</w:t>
            </w:r>
          </w:p>
        </w:tc>
      </w:tr>
      <w:tr>
        <w:trPr>
          <w:trHeight w:val="21"/>
        </w:trPr>
        <w:tc>
          <w:tcPr>
            <w:tcW w:w="45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gridSpan w:val="3"/>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615"/>
        </w:trPr>
        <w:tc>
          <w:tcPr>
            <w:tcW w:w="45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40" w:type="dxa"/>
            <w:vAlign w:val="bottom"/>
            <w:gridSpan w:val="6"/>
          </w:tcPr>
          <w:p>
            <w:pPr>
              <w:jc w:val="center"/>
              <w:ind w:right="819"/>
              <w:spacing w:after="0"/>
              <w:rPr>
                <w:sz w:val="20"/>
                <w:szCs w:val="20"/>
                <w:color w:val="auto"/>
              </w:rPr>
            </w:pPr>
            <w:r>
              <w:rPr>
                <w:rFonts w:ascii="Arial" w:cs="Arial" w:eastAsia="Arial" w:hAnsi="Arial"/>
                <w:sz w:val="16"/>
                <w:szCs w:val="16"/>
                <w:color w:val="auto"/>
              </w:rPr>
              <w:t>As of December 31, 2020</w:t>
            </w: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
        </w:trPr>
        <w:tc>
          <w:tcPr>
            <w:tcW w:w="45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8"/>
        </w:trPr>
        <w:tc>
          <w:tcPr>
            <w:tcW w:w="45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40" w:type="dxa"/>
            <w:vAlign w:val="bottom"/>
            <w:gridSpan w:val="3"/>
          </w:tcPr>
          <w:p>
            <w:pPr>
              <w:jc w:val="center"/>
              <w:ind w:right="39"/>
              <w:spacing w:after="0"/>
              <w:rPr>
                <w:sz w:val="20"/>
                <w:szCs w:val="20"/>
                <w:color w:val="auto"/>
              </w:rPr>
            </w:pPr>
            <w:r>
              <w:rPr>
                <w:rFonts w:ascii="Arial" w:cs="Arial" w:eastAsia="Arial" w:hAnsi="Arial"/>
                <w:sz w:val="16"/>
                <w:szCs w:val="16"/>
                <w:color w:val="auto"/>
              </w:rPr>
              <w:t>Cash Collateral and</w:t>
            </w: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62"/>
        </w:trPr>
        <w:tc>
          <w:tcPr>
            <w:tcW w:w="45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40" w:type="dxa"/>
            <w:vAlign w:val="bottom"/>
            <w:gridSpan w:val="3"/>
          </w:tcPr>
          <w:p>
            <w:pPr>
              <w:jc w:val="center"/>
              <w:ind w:right="39"/>
              <w:spacing w:after="0" w:line="162" w:lineRule="exact"/>
              <w:rPr>
                <w:sz w:val="20"/>
                <w:szCs w:val="20"/>
                <w:color w:val="auto"/>
              </w:rPr>
            </w:pPr>
            <w:r>
              <w:rPr>
                <w:rFonts w:ascii="Arial" w:cs="Arial" w:eastAsia="Arial" w:hAnsi="Arial"/>
                <w:sz w:val="16"/>
                <w:szCs w:val="16"/>
                <w:color w:val="auto"/>
              </w:rPr>
              <w:t>Counterparty</w:t>
            </w: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98"/>
        </w:trPr>
        <w:tc>
          <w:tcPr>
            <w:tcW w:w="4580" w:type="dxa"/>
            <w:vAlign w:val="bottom"/>
            <w:tcBorders>
              <w:bottom w:val="single" w:sz="8" w:color="CEFFE7"/>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Level 1</w:t>
            </w:r>
          </w:p>
        </w:tc>
        <w:tc>
          <w:tcPr>
            <w:tcW w:w="4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Level 2</w:t>
            </w: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3"/>
          </w:tcPr>
          <w:p>
            <w:pPr>
              <w:ind w:left="60"/>
              <w:spacing w:after="0"/>
              <w:rPr>
                <w:sz w:val="20"/>
                <w:szCs w:val="20"/>
                <w:color w:val="auto"/>
              </w:rPr>
            </w:pPr>
            <w:r>
              <w:rPr>
                <w:rFonts w:ascii="Arial" w:cs="Arial" w:eastAsia="Arial" w:hAnsi="Arial"/>
                <w:sz w:val="16"/>
                <w:szCs w:val="16"/>
                <w:color w:val="auto"/>
              </w:rPr>
              <w:t>Level 3</w:t>
            </w:r>
          </w:p>
        </w:tc>
        <w:tc>
          <w:tcPr>
            <w:tcW w:w="3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3"/>
          </w:tcPr>
          <w:p>
            <w:pPr>
              <w:jc w:val="center"/>
              <w:ind w:right="39"/>
              <w:spacing w:after="0"/>
              <w:rPr>
                <w:sz w:val="20"/>
                <w:szCs w:val="20"/>
                <w:color w:val="auto"/>
              </w:rPr>
            </w:pPr>
            <w:r>
              <w:rPr>
                <w:rFonts w:ascii="Arial" w:cs="Arial" w:eastAsia="Arial" w:hAnsi="Arial"/>
                <w:sz w:val="16"/>
                <w:szCs w:val="16"/>
                <w:color w:val="auto"/>
                <w:w w:val="98"/>
              </w:rPr>
              <w:t>Netting</w:t>
            </w: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color w:val="auto"/>
              </w:rPr>
              <w:t>Total</w:t>
            </w:r>
          </w:p>
        </w:tc>
      </w:tr>
      <w:tr>
        <w:trPr>
          <w:trHeight w:val="213"/>
        </w:trPr>
        <w:tc>
          <w:tcPr>
            <w:tcW w:w="4580" w:type="dxa"/>
            <w:vAlign w:val="bottom"/>
            <w:shd w:val="clear" w:color="auto" w:fill="CEFFE7"/>
          </w:tcPr>
          <w:p>
            <w:pPr>
              <w:spacing w:after="0"/>
              <w:rPr>
                <w:sz w:val="18"/>
                <w:szCs w:val="18"/>
                <w:color w:val="auto"/>
              </w:rPr>
            </w:pPr>
          </w:p>
        </w:tc>
        <w:tc>
          <w:tcPr>
            <w:tcW w:w="780" w:type="dxa"/>
            <w:vAlign w:val="bottom"/>
            <w:shd w:val="clear" w:color="auto" w:fill="CEFFE7"/>
          </w:tcPr>
          <w:p>
            <w:pPr>
              <w:spacing w:after="0"/>
              <w:rPr>
                <w:sz w:val="18"/>
                <w:szCs w:val="18"/>
                <w:color w:val="auto"/>
              </w:rPr>
            </w:pPr>
          </w:p>
        </w:tc>
        <w:tc>
          <w:tcPr>
            <w:tcW w:w="440" w:type="dxa"/>
            <w:vAlign w:val="bottom"/>
            <w:shd w:val="clear" w:color="auto" w:fill="CEFFE7"/>
          </w:tcPr>
          <w:p>
            <w:pPr>
              <w:spacing w:after="0"/>
              <w:rPr>
                <w:sz w:val="18"/>
                <w:szCs w:val="18"/>
                <w:color w:val="auto"/>
              </w:rPr>
            </w:pPr>
          </w:p>
        </w:tc>
        <w:tc>
          <w:tcPr>
            <w:tcW w:w="840" w:type="dxa"/>
            <w:vAlign w:val="bottom"/>
            <w:shd w:val="clear" w:color="auto" w:fill="CEFFE7"/>
          </w:tcPr>
          <w:p>
            <w:pPr>
              <w:spacing w:after="0"/>
              <w:rPr>
                <w:sz w:val="18"/>
                <w:szCs w:val="18"/>
                <w:color w:val="auto"/>
              </w:rPr>
            </w:pPr>
          </w:p>
        </w:tc>
        <w:tc>
          <w:tcPr>
            <w:tcW w:w="220" w:type="dxa"/>
            <w:vAlign w:val="bottom"/>
            <w:shd w:val="clear" w:color="auto" w:fill="CEFFE7"/>
          </w:tcPr>
          <w:p>
            <w:pPr>
              <w:spacing w:after="0"/>
              <w:rPr>
                <w:sz w:val="18"/>
                <w:szCs w:val="18"/>
                <w:color w:val="auto"/>
              </w:rPr>
            </w:pPr>
          </w:p>
        </w:tc>
        <w:tc>
          <w:tcPr>
            <w:tcW w:w="120" w:type="dxa"/>
            <w:vAlign w:val="bottom"/>
            <w:shd w:val="clear" w:color="auto" w:fill="CEFFE7"/>
          </w:tcPr>
          <w:p>
            <w:pPr>
              <w:spacing w:after="0"/>
              <w:rPr>
                <w:sz w:val="18"/>
                <w:szCs w:val="18"/>
                <w:color w:val="auto"/>
              </w:rPr>
            </w:pPr>
          </w:p>
        </w:tc>
        <w:tc>
          <w:tcPr>
            <w:tcW w:w="160" w:type="dxa"/>
            <w:vAlign w:val="bottom"/>
            <w:shd w:val="clear" w:color="auto" w:fill="CEFFE7"/>
          </w:tcPr>
          <w:p>
            <w:pPr>
              <w:spacing w:after="0"/>
              <w:rPr>
                <w:sz w:val="18"/>
                <w:szCs w:val="18"/>
                <w:color w:val="auto"/>
              </w:rPr>
            </w:pPr>
          </w:p>
        </w:tc>
        <w:tc>
          <w:tcPr>
            <w:tcW w:w="2580" w:type="dxa"/>
            <w:vAlign w:val="bottom"/>
            <w:gridSpan w:val="5"/>
            <w:shd w:val="clear" w:color="auto" w:fill="CEFFE7"/>
          </w:tcPr>
          <w:p>
            <w:pPr>
              <w:jc w:val="center"/>
              <w:ind w:right="959"/>
              <w:spacing w:after="0"/>
              <w:rPr>
                <w:sz w:val="20"/>
                <w:szCs w:val="20"/>
                <w:color w:val="auto"/>
              </w:rPr>
            </w:pPr>
            <w:r>
              <w:rPr>
                <w:rFonts w:ascii="Arial" w:cs="Arial" w:eastAsia="Arial" w:hAnsi="Arial"/>
                <w:sz w:val="16"/>
                <w:szCs w:val="16"/>
                <w:color w:val="auto"/>
              </w:rPr>
              <w:t>(in thousands)</w:t>
            </w:r>
          </w:p>
        </w:tc>
        <w:tc>
          <w:tcPr>
            <w:tcW w:w="360" w:type="dxa"/>
            <w:vAlign w:val="bottom"/>
            <w:shd w:val="clear" w:color="auto" w:fill="CEFFE7"/>
          </w:tcPr>
          <w:p>
            <w:pPr>
              <w:spacing w:after="0"/>
              <w:rPr>
                <w:sz w:val="18"/>
                <w:szCs w:val="18"/>
                <w:color w:val="auto"/>
              </w:rPr>
            </w:pPr>
          </w:p>
        </w:tc>
        <w:tc>
          <w:tcPr>
            <w:tcW w:w="1160" w:type="dxa"/>
            <w:vAlign w:val="bottom"/>
            <w:shd w:val="clear" w:color="auto" w:fill="CEFFE7"/>
          </w:tcPr>
          <w:p>
            <w:pPr>
              <w:spacing w:after="0"/>
              <w:rPr>
                <w:sz w:val="18"/>
                <w:szCs w:val="18"/>
                <w:color w:val="auto"/>
              </w:rPr>
            </w:pPr>
          </w:p>
        </w:tc>
      </w:tr>
      <w:tr>
        <w:trPr>
          <w:trHeight w:val="213"/>
        </w:trPr>
        <w:tc>
          <w:tcPr>
            <w:tcW w:w="4580" w:type="dxa"/>
            <w:vAlign w:val="bottom"/>
          </w:tcPr>
          <w:p>
            <w:pPr>
              <w:ind w:left="20"/>
              <w:spacing w:after="0"/>
              <w:rPr>
                <w:sz w:val="20"/>
                <w:szCs w:val="20"/>
                <w:color w:val="auto"/>
              </w:rPr>
            </w:pPr>
            <w:r>
              <w:rPr>
                <w:rFonts w:ascii="Arial" w:cs="Arial" w:eastAsia="Arial" w:hAnsi="Arial"/>
                <w:sz w:val="16"/>
                <w:szCs w:val="16"/>
                <w:color w:val="auto"/>
              </w:rPr>
              <w:t>Assets:</w:t>
            </w: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9"/>
        </w:trPr>
        <w:tc>
          <w:tcPr>
            <w:tcW w:w="4580" w:type="dxa"/>
            <w:vAlign w:val="bottom"/>
            <w:shd w:val="clear" w:color="auto" w:fill="CEFFE7"/>
          </w:tcPr>
          <w:p>
            <w:pPr>
              <w:ind w:left="140"/>
              <w:spacing w:after="0"/>
              <w:rPr>
                <w:sz w:val="20"/>
                <w:szCs w:val="20"/>
                <w:color w:val="auto"/>
              </w:rPr>
            </w:pPr>
            <w:r>
              <w:rPr>
                <w:rFonts w:ascii="Arial" w:cs="Arial" w:eastAsia="Arial" w:hAnsi="Arial"/>
                <w:sz w:val="16"/>
                <w:szCs w:val="16"/>
                <w:color w:val="auto"/>
              </w:rPr>
              <w:t>Commodity derivatives — Gas Utilities</w:t>
            </w:r>
          </w:p>
        </w:tc>
        <w:tc>
          <w:tcPr>
            <w:tcW w:w="780" w:type="dxa"/>
            <w:vAlign w:val="bottom"/>
            <w:shd w:val="clear" w:color="auto" w:fill="CEFFE7"/>
          </w:tcPr>
          <w:p>
            <w:pPr>
              <w:jc w:val="right"/>
              <w:ind w:right="599"/>
              <w:spacing w:after="0"/>
              <w:rPr>
                <w:sz w:val="20"/>
                <w:szCs w:val="20"/>
                <w:color w:val="auto"/>
              </w:rPr>
            </w:pPr>
            <w:r>
              <w:rPr>
                <w:rFonts w:ascii="Arial" w:cs="Arial" w:eastAsia="Arial" w:hAnsi="Arial"/>
                <w:sz w:val="16"/>
                <w:szCs w:val="16"/>
                <w:color w:val="auto"/>
                <w:w w:val="89"/>
              </w:rPr>
              <w:t>$</w:t>
            </w:r>
          </w:p>
        </w:tc>
        <w:tc>
          <w:tcPr>
            <w:tcW w:w="440" w:type="dxa"/>
            <w:vAlign w:val="bottom"/>
            <w:shd w:val="clear" w:color="auto" w:fill="CEFFE7"/>
          </w:tcPr>
          <w:p>
            <w:pPr>
              <w:ind w:left="20"/>
              <w:spacing w:after="0"/>
              <w:rPr>
                <w:sz w:val="20"/>
                <w:szCs w:val="20"/>
                <w:color w:val="auto"/>
              </w:rPr>
            </w:pPr>
            <w:r>
              <w:rPr>
                <w:rFonts w:ascii="Arial" w:cs="Arial" w:eastAsia="Arial" w:hAnsi="Arial"/>
                <w:sz w:val="16"/>
                <w:szCs w:val="16"/>
                <w:color w:val="auto"/>
              </w:rPr>
              <w:t>— $</w:t>
            </w:r>
          </w:p>
        </w:tc>
        <w:tc>
          <w:tcPr>
            <w:tcW w:w="8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2,504</w:t>
            </w:r>
          </w:p>
        </w:tc>
        <w:tc>
          <w:tcPr>
            <w:tcW w:w="2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EFFE7"/>
          </w:tcPr>
          <w:p>
            <w:pPr>
              <w:spacing w:after="0"/>
              <w:rPr>
                <w:sz w:val="19"/>
                <w:szCs w:val="19"/>
                <w:color w:val="auto"/>
              </w:rPr>
            </w:pPr>
          </w:p>
        </w:tc>
        <w:tc>
          <w:tcPr>
            <w:tcW w:w="160" w:type="dxa"/>
            <w:vAlign w:val="bottom"/>
            <w:shd w:val="clear" w:color="auto" w:fill="CEFFE7"/>
          </w:tcPr>
          <w:p>
            <w:pPr>
              <w:spacing w:after="0"/>
              <w:rPr>
                <w:sz w:val="19"/>
                <w:szCs w:val="19"/>
                <w:color w:val="auto"/>
              </w:rPr>
            </w:pPr>
          </w:p>
        </w:tc>
        <w:tc>
          <w:tcPr>
            <w:tcW w:w="720" w:type="dxa"/>
            <w:vAlign w:val="bottom"/>
            <w:shd w:val="clear" w:color="auto" w:fill="CEFFE7"/>
          </w:tcPr>
          <w:p>
            <w:pPr>
              <w:ind w:left="340"/>
              <w:spacing w:after="0"/>
              <w:rPr>
                <w:sz w:val="20"/>
                <w:szCs w:val="20"/>
                <w:color w:val="auto"/>
              </w:rPr>
            </w:pPr>
            <w:r>
              <w:rPr>
                <w:rFonts w:ascii="Arial" w:cs="Arial" w:eastAsia="Arial" w:hAnsi="Arial"/>
                <w:sz w:val="16"/>
                <w:szCs w:val="16"/>
                <w:color w:val="auto"/>
              </w:rPr>
              <w:t>—</w:t>
            </w:r>
          </w:p>
        </w:tc>
        <w:tc>
          <w:tcPr>
            <w:tcW w:w="3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540" w:type="dxa"/>
            <w:vAlign w:val="bottom"/>
            <w:gridSpan w:val="3"/>
            <w:shd w:val="clear" w:color="auto" w:fill="CEFFE7"/>
          </w:tcPr>
          <w:p>
            <w:pPr>
              <w:jc w:val="right"/>
              <w:spacing w:after="0"/>
              <w:rPr>
                <w:sz w:val="20"/>
                <w:szCs w:val="20"/>
                <w:color w:val="auto"/>
              </w:rPr>
            </w:pPr>
            <w:r>
              <w:rPr>
                <w:rFonts w:ascii="Arial" w:cs="Arial" w:eastAsia="Arial" w:hAnsi="Arial"/>
                <w:sz w:val="16"/>
                <w:szCs w:val="16"/>
                <w:color w:val="auto"/>
              </w:rPr>
              <w:t>(1,527)</w:t>
            </w:r>
          </w:p>
        </w:tc>
        <w:tc>
          <w:tcPr>
            <w:tcW w:w="360" w:type="dxa"/>
            <w:vAlign w:val="bottom"/>
            <w:shd w:val="clear" w:color="auto" w:fill="CEFFE7"/>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977</w:t>
            </w:r>
          </w:p>
        </w:tc>
      </w:tr>
      <w:tr>
        <w:trPr>
          <w:trHeight w:val="213"/>
        </w:trPr>
        <w:tc>
          <w:tcPr>
            <w:tcW w:w="4580" w:type="dxa"/>
            <w:vAlign w:val="bottom"/>
            <w:tcBorders>
              <w:bottom w:val="single" w:sz="8" w:color="CEFFE7"/>
            </w:tcBorders>
          </w:tcPr>
          <w:p>
            <w:pPr>
              <w:ind w:left="140"/>
              <w:spacing w:after="0"/>
              <w:rPr>
                <w:sz w:val="20"/>
                <w:szCs w:val="20"/>
                <w:color w:val="auto"/>
              </w:rPr>
            </w:pPr>
            <w:r>
              <w:rPr>
                <w:rFonts w:ascii="Arial" w:cs="Arial" w:eastAsia="Arial" w:hAnsi="Arial"/>
                <w:sz w:val="16"/>
                <w:szCs w:val="16"/>
                <w:color w:val="auto"/>
              </w:rPr>
              <w:t>Commodity derivatives — Electric Utilities</w:t>
            </w:r>
          </w:p>
        </w:tc>
        <w:tc>
          <w:tcPr>
            <w:tcW w:w="78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 $</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1,065</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ind w:left="34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1,065</w:t>
            </w:r>
          </w:p>
        </w:tc>
      </w:tr>
      <w:tr>
        <w:trPr>
          <w:trHeight w:val="238"/>
        </w:trPr>
        <w:tc>
          <w:tcPr>
            <w:tcW w:w="458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Total</w:t>
            </w:r>
          </w:p>
        </w:tc>
        <w:tc>
          <w:tcPr>
            <w:tcW w:w="780" w:type="dxa"/>
            <w:vAlign w:val="bottom"/>
            <w:tcBorders>
              <w:bottom w:val="single" w:sz="8" w:color="auto"/>
            </w:tcBorders>
            <w:shd w:val="clear" w:color="auto" w:fill="CEFFE7"/>
          </w:tcPr>
          <w:p>
            <w:pPr>
              <w:jc w:val="right"/>
              <w:ind w:right="599"/>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shd w:val="clear" w:color="auto" w:fill="CEFFE7"/>
          </w:tcPr>
          <w:p>
            <w:pPr>
              <w:ind w:left="20"/>
              <w:spacing w:after="0"/>
              <w:rPr>
                <w:sz w:val="20"/>
                <w:szCs w:val="20"/>
                <w:color w:val="auto"/>
              </w:rPr>
            </w:pPr>
            <w:r>
              <w:rPr>
                <w:rFonts w:ascii="Arial" w:cs="Arial" w:eastAsia="Arial" w:hAnsi="Arial"/>
                <w:sz w:val="16"/>
                <w:szCs w:val="16"/>
                <w:color w:val="auto"/>
              </w:rPr>
              <w:t>— $</w:t>
            </w:r>
          </w:p>
        </w:tc>
        <w:tc>
          <w:tcPr>
            <w:tcW w:w="8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3,569</w:t>
            </w:r>
          </w:p>
        </w:tc>
        <w:tc>
          <w:tcPr>
            <w:tcW w:w="2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shd w:val="clear" w:color="auto" w:fill="CEFFE7"/>
          </w:tcPr>
          <w:p>
            <w:pPr>
              <w:spacing w:after="0"/>
              <w:rPr>
                <w:sz w:val="20"/>
                <w:szCs w:val="20"/>
                <w:color w:val="auto"/>
              </w:rPr>
            </w:pPr>
          </w:p>
        </w:tc>
        <w:tc>
          <w:tcPr>
            <w:tcW w:w="160" w:type="dxa"/>
            <w:vAlign w:val="bottom"/>
            <w:tcBorders>
              <w:bottom w:val="single" w:sz="8" w:color="auto"/>
            </w:tcBorders>
            <w:shd w:val="clear" w:color="auto" w:fill="CEFFE7"/>
          </w:tcPr>
          <w:p>
            <w:pPr>
              <w:spacing w:after="0"/>
              <w:rPr>
                <w:sz w:val="20"/>
                <w:szCs w:val="20"/>
                <w:color w:val="auto"/>
              </w:rPr>
            </w:pPr>
          </w:p>
        </w:tc>
        <w:tc>
          <w:tcPr>
            <w:tcW w:w="720" w:type="dxa"/>
            <w:vAlign w:val="bottom"/>
            <w:tcBorders>
              <w:bottom w:val="single" w:sz="8" w:color="auto"/>
            </w:tcBorders>
            <w:shd w:val="clear" w:color="auto" w:fill="CEFFE7"/>
          </w:tcPr>
          <w:p>
            <w:pPr>
              <w:ind w:left="34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gridSpan w:val="3"/>
            <w:shd w:val="clear" w:color="auto" w:fill="CEFFE7"/>
          </w:tcPr>
          <w:p>
            <w:pPr>
              <w:jc w:val="right"/>
              <w:spacing w:after="0"/>
              <w:rPr>
                <w:sz w:val="20"/>
                <w:szCs w:val="20"/>
                <w:color w:val="auto"/>
              </w:rPr>
            </w:pPr>
            <w:r>
              <w:rPr>
                <w:rFonts w:ascii="Arial" w:cs="Arial" w:eastAsia="Arial" w:hAnsi="Arial"/>
                <w:sz w:val="16"/>
                <w:szCs w:val="16"/>
                <w:color w:val="auto"/>
              </w:rPr>
              <w:t>(1,527)</w:t>
            </w:r>
          </w:p>
        </w:tc>
        <w:tc>
          <w:tcPr>
            <w:tcW w:w="360" w:type="dxa"/>
            <w:vAlign w:val="bottom"/>
            <w:tcBorders>
              <w:bottom w:val="single" w:sz="8" w:color="auto"/>
            </w:tcBorders>
            <w:shd w:val="clear" w:color="auto" w:fill="CEFFE7"/>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2,042</w:t>
            </w:r>
          </w:p>
        </w:tc>
      </w:tr>
      <w:tr>
        <w:trPr>
          <w:trHeight w:val="20"/>
        </w:trPr>
        <w:tc>
          <w:tcPr>
            <w:tcW w:w="4580" w:type="dxa"/>
            <w:vAlign w:val="bottom"/>
            <w:tcBorders>
              <w:top w:val="single" w:sz="8" w:color="CEFFE7"/>
            </w:tcBorders>
          </w:tcPr>
          <w:p>
            <w:pPr>
              <w:spacing w:after="0" w:line="20" w:lineRule="exact"/>
              <w:rPr>
                <w:sz w:val="1"/>
                <w:szCs w:val="1"/>
                <w:color w:val="auto"/>
              </w:rPr>
            </w:pPr>
          </w:p>
        </w:tc>
        <w:tc>
          <w:tcPr>
            <w:tcW w:w="780" w:type="dxa"/>
            <w:vAlign w:val="bottom"/>
            <w:tcBorders>
              <w:top w:val="single" w:sz="8" w:color="CEFFE7"/>
              <w:bottom w:val="single" w:sz="8" w:color="auto"/>
            </w:tcBorders>
          </w:tcPr>
          <w:p>
            <w:pPr>
              <w:spacing w:after="0" w:line="20" w:lineRule="exact"/>
              <w:rPr>
                <w:sz w:val="1"/>
                <w:szCs w:val="1"/>
                <w:color w:val="auto"/>
              </w:rPr>
            </w:pPr>
          </w:p>
        </w:tc>
        <w:tc>
          <w:tcPr>
            <w:tcW w:w="440" w:type="dxa"/>
            <w:vAlign w:val="bottom"/>
            <w:tcBorders>
              <w:top w:val="single" w:sz="8" w:color="CEFFE7"/>
              <w:bottom w:val="single" w:sz="8" w:color="auto"/>
            </w:tcBorders>
          </w:tcPr>
          <w:p>
            <w:pPr>
              <w:spacing w:after="0" w:line="20" w:lineRule="exact"/>
              <w:rPr>
                <w:sz w:val="1"/>
                <w:szCs w:val="1"/>
                <w:color w:val="auto"/>
              </w:rPr>
            </w:pPr>
          </w:p>
        </w:tc>
        <w:tc>
          <w:tcPr>
            <w:tcW w:w="840" w:type="dxa"/>
            <w:vAlign w:val="bottom"/>
            <w:tcBorders>
              <w:top w:val="single" w:sz="8" w:color="CEFFE7"/>
              <w:bottom w:val="single" w:sz="8" w:color="auto"/>
            </w:tcBorders>
          </w:tcPr>
          <w:p>
            <w:pPr>
              <w:spacing w:after="0" w:line="20" w:lineRule="exact"/>
              <w:rPr>
                <w:sz w:val="1"/>
                <w:szCs w:val="1"/>
                <w:color w:val="auto"/>
              </w:rPr>
            </w:pPr>
          </w:p>
        </w:tc>
        <w:tc>
          <w:tcPr>
            <w:tcW w:w="220" w:type="dxa"/>
            <w:vAlign w:val="bottom"/>
            <w:tcBorders>
              <w:top w:val="single" w:sz="8" w:color="CEFFE7"/>
              <w:bottom w:val="single" w:sz="8" w:color="auto"/>
            </w:tcBorders>
          </w:tcPr>
          <w:p>
            <w:pPr>
              <w:spacing w:after="0" w:line="20" w:lineRule="exact"/>
              <w:rPr>
                <w:sz w:val="1"/>
                <w:szCs w:val="1"/>
                <w:color w:val="auto"/>
              </w:rPr>
            </w:pPr>
          </w:p>
        </w:tc>
        <w:tc>
          <w:tcPr>
            <w:tcW w:w="120" w:type="dxa"/>
            <w:vAlign w:val="bottom"/>
            <w:tcBorders>
              <w:top w:val="single" w:sz="8" w:color="CEFFE7"/>
              <w:bottom w:val="single" w:sz="8" w:color="auto"/>
            </w:tcBorders>
          </w:tcPr>
          <w:p>
            <w:pPr>
              <w:spacing w:after="0" w:line="20" w:lineRule="exact"/>
              <w:rPr>
                <w:sz w:val="1"/>
                <w:szCs w:val="1"/>
                <w:color w:val="auto"/>
              </w:rPr>
            </w:pPr>
          </w:p>
        </w:tc>
        <w:tc>
          <w:tcPr>
            <w:tcW w:w="160" w:type="dxa"/>
            <w:vAlign w:val="bottom"/>
            <w:tcBorders>
              <w:top w:val="single" w:sz="8" w:color="CEFFE7"/>
              <w:bottom w:val="single" w:sz="8" w:color="auto"/>
            </w:tcBorders>
          </w:tcPr>
          <w:p>
            <w:pPr>
              <w:spacing w:after="0" w:line="20" w:lineRule="exact"/>
              <w:rPr>
                <w:sz w:val="1"/>
                <w:szCs w:val="1"/>
                <w:color w:val="auto"/>
              </w:rPr>
            </w:pPr>
          </w:p>
        </w:tc>
        <w:tc>
          <w:tcPr>
            <w:tcW w:w="720" w:type="dxa"/>
            <w:vAlign w:val="bottom"/>
            <w:tcBorders>
              <w:top w:val="single" w:sz="8" w:color="CEFFE7"/>
              <w:bottom w:val="single" w:sz="8" w:color="auto"/>
            </w:tcBorders>
          </w:tcPr>
          <w:p>
            <w:pPr>
              <w:spacing w:after="0" w:line="20" w:lineRule="exact"/>
              <w:rPr>
                <w:sz w:val="1"/>
                <w:szCs w:val="1"/>
                <w:color w:val="auto"/>
              </w:rPr>
            </w:pPr>
          </w:p>
        </w:tc>
        <w:tc>
          <w:tcPr>
            <w:tcW w:w="320" w:type="dxa"/>
            <w:vAlign w:val="bottom"/>
            <w:tcBorders>
              <w:top w:val="single" w:sz="8" w:color="CEFFE7"/>
              <w:bottom w:val="single" w:sz="8" w:color="auto"/>
            </w:tcBorders>
          </w:tcPr>
          <w:p>
            <w:pPr>
              <w:spacing w:after="0" w:line="20" w:lineRule="exact"/>
              <w:rPr>
                <w:sz w:val="1"/>
                <w:szCs w:val="1"/>
                <w:color w:val="auto"/>
              </w:rPr>
            </w:pPr>
          </w:p>
        </w:tc>
        <w:tc>
          <w:tcPr>
            <w:tcW w:w="500" w:type="dxa"/>
            <w:vAlign w:val="bottom"/>
            <w:tcBorders>
              <w:top w:val="single" w:sz="8" w:color="CEFFE7"/>
              <w:bottom w:val="single" w:sz="8" w:color="auto"/>
            </w:tcBorders>
          </w:tcPr>
          <w:p>
            <w:pPr>
              <w:spacing w:after="0" w:line="20" w:lineRule="exact"/>
              <w:rPr>
                <w:sz w:val="1"/>
                <w:szCs w:val="1"/>
                <w:color w:val="auto"/>
              </w:rPr>
            </w:pPr>
          </w:p>
        </w:tc>
        <w:tc>
          <w:tcPr>
            <w:tcW w:w="140" w:type="dxa"/>
            <w:vAlign w:val="bottom"/>
            <w:tcBorders>
              <w:top w:val="single" w:sz="8" w:color="CEFFE7"/>
              <w:bottom w:val="single" w:sz="8" w:color="auto"/>
            </w:tcBorders>
          </w:tcPr>
          <w:p>
            <w:pPr>
              <w:spacing w:after="0" w:line="20" w:lineRule="exact"/>
              <w:rPr>
                <w:sz w:val="1"/>
                <w:szCs w:val="1"/>
                <w:color w:val="auto"/>
              </w:rPr>
            </w:pPr>
          </w:p>
        </w:tc>
        <w:tc>
          <w:tcPr>
            <w:tcW w:w="900" w:type="dxa"/>
            <w:vAlign w:val="bottom"/>
            <w:tcBorders>
              <w:top w:val="single" w:sz="8" w:color="CEFFE7"/>
              <w:bottom w:val="single" w:sz="8" w:color="auto"/>
            </w:tcBorders>
          </w:tcPr>
          <w:p>
            <w:pPr>
              <w:spacing w:after="0" w:line="20" w:lineRule="exact"/>
              <w:rPr>
                <w:sz w:val="1"/>
                <w:szCs w:val="1"/>
                <w:color w:val="auto"/>
              </w:rPr>
            </w:pPr>
          </w:p>
        </w:tc>
        <w:tc>
          <w:tcPr>
            <w:tcW w:w="360" w:type="dxa"/>
            <w:vAlign w:val="bottom"/>
            <w:tcBorders>
              <w:top w:val="single" w:sz="8" w:color="CEFFE7"/>
              <w:bottom w:val="single" w:sz="8" w:color="auto"/>
            </w:tcBorders>
          </w:tcPr>
          <w:p>
            <w:pPr>
              <w:spacing w:after="0" w:line="20" w:lineRule="exact"/>
              <w:rPr>
                <w:sz w:val="1"/>
                <w:szCs w:val="1"/>
                <w:color w:val="auto"/>
              </w:rPr>
            </w:pPr>
          </w:p>
        </w:tc>
        <w:tc>
          <w:tcPr>
            <w:tcW w:w="1160" w:type="dxa"/>
            <w:vAlign w:val="bottom"/>
            <w:tcBorders>
              <w:top w:val="single" w:sz="8" w:color="CEFFE7"/>
              <w:bottom w:val="single" w:sz="8" w:color="auto"/>
            </w:tcBorders>
          </w:tcPr>
          <w:p>
            <w:pPr>
              <w:spacing w:after="0" w:line="20" w:lineRule="exact"/>
              <w:rPr>
                <w:sz w:val="1"/>
                <w:szCs w:val="1"/>
                <w:color w:val="auto"/>
              </w:rPr>
            </w:pPr>
          </w:p>
        </w:tc>
      </w:tr>
      <w:tr>
        <w:trPr>
          <w:trHeight w:val="55"/>
        </w:trPr>
        <w:tc>
          <w:tcPr>
            <w:tcW w:w="4580" w:type="dxa"/>
            <w:vAlign w:val="bottom"/>
          </w:tcPr>
          <w:p>
            <w:pPr>
              <w:spacing w:after="0"/>
              <w:rPr>
                <w:sz w:val="4"/>
                <w:szCs w:val="4"/>
                <w:color w:val="auto"/>
              </w:rPr>
            </w:pPr>
          </w:p>
        </w:tc>
        <w:tc>
          <w:tcPr>
            <w:tcW w:w="780" w:type="dxa"/>
            <w:vAlign w:val="bottom"/>
          </w:tcPr>
          <w:p>
            <w:pPr>
              <w:spacing w:after="0"/>
              <w:rPr>
                <w:sz w:val="4"/>
                <w:szCs w:val="4"/>
                <w:color w:val="auto"/>
              </w:rPr>
            </w:pPr>
          </w:p>
        </w:tc>
        <w:tc>
          <w:tcPr>
            <w:tcW w:w="4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20" w:type="dxa"/>
            <w:vAlign w:val="bottom"/>
          </w:tcPr>
          <w:p>
            <w:pPr>
              <w:spacing w:after="0"/>
              <w:rPr>
                <w:sz w:val="4"/>
                <w:szCs w:val="4"/>
                <w:color w:val="auto"/>
              </w:rPr>
            </w:pPr>
          </w:p>
        </w:tc>
        <w:tc>
          <w:tcPr>
            <w:tcW w:w="3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60" w:type="dxa"/>
            <w:vAlign w:val="bottom"/>
          </w:tcPr>
          <w:p>
            <w:pPr>
              <w:spacing w:after="0"/>
              <w:rPr>
                <w:sz w:val="4"/>
                <w:szCs w:val="4"/>
                <w:color w:val="auto"/>
              </w:rPr>
            </w:pPr>
          </w:p>
        </w:tc>
      </w:tr>
      <w:tr>
        <w:trPr>
          <w:trHeight w:val="216"/>
        </w:trPr>
        <w:tc>
          <w:tcPr>
            <w:tcW w:w="4580" w:type="dxa"/>
            <w:vAlign w:val="bottom"/>
            <w:shd w:val="clear" w:color="auto" w:fill="CEFFE7"/>
          </w:tcPr>
          <w:p>
            <w:pPr>
              <w:ind w:left="20"/>
              <w:spacing w:after="0"/>
              <w:rPr>
                <w:sz w:val="20"/>
                <w:szCs w:val="20"/>
                <w:color w:val="auto"/>
              </w:rPr>
            </w:pPr>
            <w:r>
              <w:rPr>
                <w:rFonts w:ascii="Arial" w:cs="Arial" w:eastAsia="Arial" w:hAnsi="Arial"/>
                <w:sz w:val="16"/>
                <w:szCs w:val="16"/>
                <w:color w:val="auto"/>
              </w:rPr>
              <w:t>Liabilities:</w:t>
            </w:r>
          </w:p>
        </w:tc>
        <w:tc>
          <w:tcPr>
            <w:tcW w:w="780" w:type="dxa"/>
            <w:vAlign w:val="bottom"/>
            <w:shd w:val="clear" w:color="auto" w:fill="CEFFE7"/>
          </w:tcPr>
          <w:p>
            <w:pPr>
              <w:spacing w:after="0"/>
              <w:rPr>
                <w:sz w:val="18"/>
                <w:szCs w:val="18"/>
                <w:color w:val="auto"/>
              </w:rPr>
            </w:pPr>
          </w:p>
        </w:tc>
        <w:tc>
          <w:tcPr>
            <w:tcW w:w="440" w:type="dxa"/>
            <w:vAlign w:val="bottom"/>
            <w:shd w:val="clear" w:color="auto" w:fill="CEFFE7"/>
          </w:tcPr>
          <w:p>
            <w:pPr>
              <w:spacing w:after="0"/>
              <w:rPr>
                <w:sz w:val="18"/>
                <w:szCs w:val="18"/>
                <w:color w:val="auto"/>
              </w:rPr>
            </w:pPr>
          </w:p>
        </w:tc>
        <w:tc>
          <w:tcPr>
            <w:tcW w:w="840" w:type="dxa"/>
            <w:vAlign w:val="bottom"/>
            <w:shd w:val="clear" w:color="auto" w:fill="CEFFE7"/>
          </w:tcPr>
          <w:p>
            <w:pPr>
              <w:spacing w:after="0"/>
              <w:rPr>
                <w:sz w:val="18"/>
                <w:szCs w:val="18"/>
                <w:color w:val="auto"/>
              </w:rPr>
            </w:pPr>
          </w:p>
        </w:tc>
        <w:tc>
          <w:tcPr>
            <w:tcW w:w="220" w:type="dxa"/>
            <w:vAlign w:val="bottom"/>
            <w:shd w:val="clear" w:color="auto" w:fill="CEFFE7"/>
          </w:tcPr>
          <w:p>
            <w:pPr>
              <w:spacing w:after="0"/>
              <w:rPr>
                <w:sz w:val="18"/>
                <w:szCs w:val="18"/>
                <w:color w:val="auto"/>
              </w:rPr>
            </w:pPr>
          </w:p>
        </w:tc>
        <w:tc>
          <w:tcPr>
            <w:tcW w:w="120" w:type="dxa"/>
            <w:vAlign w:val="bottom"/>
            <w:shd w:val="clear" w:color="auto" w:fill="CEFFE7"/>
          </w:tcPr>
          <w:p>
            <w:pPr>
              <w:spacing w:after="0"/>
              <w:rPr>
                <w:sz w:val="18"/>
                <w:szCs w:val="18"/>
                <w:color w:val="auto"/>
              </w:rPr>
            </w:pPr>
          </w:p>
        </w:tc>
        <w:tc>
          <w:tcPr>
            <w:tcW w:w="160" w:type="dxa"/>
            <w:vAlign w:val="bottom"/>
            <w:shd w:val="clear" w:color="auto" w:fill="CEFFE7"/>
          </w:tcPr>
          <w:p>
            <w:pPr>
              <w:spacing w:after="0"/>
              <w:rPr>
                <w:sz w:val="18"/>
                <w:szCs w:val="18"/>
                <w:color w:val="auto"/>
              </w:rPr>
            </w:pPr>
          </w:p>
        </w:tc>
        <w:tc>
          <w:tcPr>
            <w:tcW w:w="720" w:type="dxa"/>
            <w:vAlign w:val="bottom"/>
            <w:shd w:val="clear" w:color="auto" w:fill="CEFFE7"/>
          </w:tcPr>
          <w:p>
            <w:pPr>
              <w:spacing w:after="0"/>
              <w:rPr>
                <w:sz w:val="18"/>
                <w:szCs w:val="18"/>
                <w:color w:val="auto"/>
              </w:rPr>
            </w:pPr>
          </w:p>
        </w:tc>
        <w:tc>
          <w:tcPr>
            <w:tcW w:w="320" w:type="dxa"/>
            <w:vAlign w:val="bottom"/>
            <w:shd w:val="clear" w:color="auto" w:fill="CEFFE7"/>
          </w:tcPr>
          <w:p>
            <w:pPr>
              <w:spacing w:after="0"/>
              <w:rPr>
                <w:sz w:val="18"/>
                <w:szCs w:val="18"/>
                <w:color w:val="auto"/>
              </w:rPr>
            </w:pPr>
          </w:p>
        </w:tc>
        <w:tc>
          <w:tcPr>
            <w:tcW w:w="500" w:type="dxa"/>
            <w:vAlign w:val="bottom"/>
            <w:shd w:val="clear" w:color="auto" w:fill="CEFFE7"/>
          </w:tcPr>
          <w:p>
            <w:pPr>
              <w:spacing w:after="0"/>
              <w:rPr>
                <w:sz w:val="18"/>
                <w:szCs w:val="18"/>
                <w:color w:val="auto"/>
              </w:rPr>
            </w:pPr>
          </w:p>
        </w:tc>
        <w:tc>
          <w:tcPr>
            <w:tcW w:w="140" w:type="dxa"/>
            <w:vAlign w:val="bottom"/>
            <w:shd w:val="clear" w:color="auto" w:fill="CEFFE7"/>
          </w:tcPr>
          <w:p>
            <w:pPr>
              <w:spacing w:after="0"/>
              <w:rPr>
                <w:sz w:val="18"/>
                <w:szCs w:val="18"/>
                <w:color w:val="auto"/>
              </w:rPr>
            </w:pPr>
          </w:p>
        </w:tc>
        <w:tc>
          <w:tcPr>
            <w:tcW w:w="900" w:type="dxa"/>
            <w:vAlign w:val="bottom"/>
            <w:shd w:val="clear" w:color="auto" w:fill="CEFFE7"/>
          </w:tcPr>
          <w:p>
            <w:pPr>
              <w:spacing w:after="0"/>
              <w:rPr>
                <w:sz w:val="18"/>
                <w:szCs w:val="18"/>
                <w:color w:val="auto"/>
              </w:rPr>
            </w:pPr>
          </w:p>
        </w:tc>
        <w:tc>
          <w:tcPr>
            <w:tcW w:w="360" w:type="dxa"/>
            <w:vAlign w:val="bottom"/>
            <w:shd w:val="clear" w:color="auto" w:fill="CEFFE7"/>
          </w:tcPr>
          <w:p>
            <w:pPr>
              <w:spacing w:after="0"/>
              <w:rPr>
                <w:sz w:val="18"/>
                <w:szCs w:val="18"/>
                <w:color w:val="auto"/>
              </w:rPr>
            </w:pPr>
          </w:p>
        </w:tc>
        <w:tc>
          <w:tcPr>
            <w:tcW w:w="1160" w:type="dxa"/>
            <w:vAlign w:val="bottom"/>
            <w:shd w:val="clear" w:color="auto" w:fill="CEFFE7"/>
          </w:tcPr>
          <w:p>
            <w:pPr>
              <w:spacing w:after="0"/>
              <w:rPr>
                <w:sz w:val="18"/>
                <w:szCs w:val="18"/>
                <w:color w:val="auto"/>
              </w:rPr>
            </w:pPr>
          </w:p>
        </w:tc>
      </w:tr>
      <w:tr>
        <w:trPr>
          <w:trHeight w:val="213"/>
        </w:trPr>
        <w:tc>
          <w:tcPr>
            <w:tcW w:w="4580" w:type="dxa"/>
            <w:vAlign w:val="bottom"/>
          </w:tcPr>
          <w:p>
            <w:pPr>
              <w:ind w:left="140"/>
              <w:spacing w:after="0"/>
              <w:rPr>
                <w:sz w:val="20"/>
                <w:szCs w:val="20"/>
                <w:color w:val="auto"/>
              </w:rPr>
            </w:pPr>
            <w:r>
              <w:rPr>
                <w:rFonts w:ascii="Arial" w:cs="Arial" w:eastAsia="Arial" w:hAnsi="Arial"/>
                <w:sz w:val="16"/>
                <w:szCs w:val="16"/>
                <w:color w:val="auto"/>
              </w:rPr>
              <w:t>Commodity derivatives — Gas Utilities</w:t>
            </w:r>
          </w:p>
        </w:tc>
        <w:tc>
          <w:tcPr>
            <w:tcW w:w="780" w:type="dxa"/>
            <w:vAlign w:val="bottom"/>
          </w:tcPr>
          <w:p>
            <w:pPr>
              <w:jc w:val="right"/>
              <w:ind w:right="599"/>
              <w:spacing w:after="0"/>
              <w:rPr>
                <w:sz w:val="20"/>
                <w:szCs w:val="20"/>
                <w:color w:val="auto"/>
              </w:rPr>
            </w:pPr>
            <w:r>
              <w:rPr>
                <w:rFonts w:ascii="Arial" w:cs="Arial" w:eastAsia="Arial" w:hAnsi="Arial"/>
                <w:sz w:val="16"/>
                <w:szCs w:val="16"/>
                <w:color w:val="auto"/>
                <w:w w:val="89"/>
              </w:rPr>
              <w:t>$</w:t>
            </w:r>
          </w:p>
        </w:tc>
        <w:tc>
          <w:tcPr>
            <w:tcW w:w="440" w:type="dxa"/>
            <w:vAlign w:val="bottom"/>
          </w:tcPr>
          <w:p>
            <w:pPr>
              <w:ind w:left="20"/>
              <w:spacing w:after="0"/>
              <w:rPr>
                <w:sz w:val="20"/>
                <w:szCs w:val="20"/>
                <w:color w:val="auto"/>
              </w:rPr>
            </w:pPr>
            <w:r>
              <w:rPr>
                <w:rFonts w:ascii="Arial" w:cs="Arial" w:eastAsia="Arial" w:hAnsi="Arial"/>
                <w:sz w:val="16"/>
                <w:szCs w:val="16"/>
                <w:color w:val="auto"/>
              </w:rPr>
              <w:t>— $</w:t>
            </w:r>
          </w:p>
        </w:tc>
        <w:tc>
          <w:tcPr>
            <w:tcW w:w="840" w:type="dxa"/>
            <w:vAlign w:val="bottom"/>
          </w:tcPr>
          <w:p>
            <w:pPr>
              <w:jc w:val="right"/>
              <w:spacing w:after="0"/>
              <w:rPr>
                <w:sz w:val="20"/>
                <w:szCs w:val="20"/>
                <w:color w:val="auto"/>
              </w:rPr>
            </w:pPr>
            <w:r>
              <w:rPr>
                <w:rFonts w:ascii="Arial" w:cs="Arial" w:eastAsia="Arial" w:hAnsi="Arial"/>
                <w:sz w:val="16"/>
                <w:szCs w:val="16"/>
                <w:color w:val="auto"/>
              </w:rPr>
              <w:t>2,675</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ind w:left="340"/>
              <w:spacing w:after="0"/>
              <w:rPr>
                <w:sz w:val="20"/>
                <w:szCs w:val="20"/>
                <w:color w:val="auto"/>
              </w:rPr>
            </w:pPr>
            <w:r>
              <w:rPr>
                <w:rFonts w:ascii="Arial" w:cs="Arial" w:eastAsia="Arial" w:hAnsi="Arial"/>
                <w:sz w:val="16"/>
                <w:szCs w:val="16"/>
                <w:color w:val="auto"/>
              </w:rPr>
              <w:t>—</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1540" w:type="dxa"/>
            <w:vAlign w:val="bottom"/>
            <w:gridSpan w:val="3"/>
          </w:tcPr>
          <w:p>
            <w:pPr>
              <w:jc w:val="right"/>
              <w:spacing w:after="0"/>
              <w:rPr>
                <w:sz w:val="20"/>
                <w:szCs w:val="20"/>
                <w:color w:val="auto"/>
              </w:rPr>
            </w:pPr>
            <w:r>
              <w:rPr>
                <w:rFonts w:ascii="Arial" w:cs="Arial" w:eastAsia="Arial" w:hAnsi="Arial"/>
                <w:sz w:val="16"/>
                <w:szCs w:val="16"/>
                <w:color w:val="auto"/>
              </w:rPr>
              <w:t>(1,552)</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1,123</w:t>
            </w:r>
          </w:p>
        </w:tc>
      </w:tr>
      <w:tr>
        <w:trPr>
          <w:trHeight w:val="216"/>
        </w:trPr>
        <w:tc>
          <w:tcPr>
            <w:tcW w:w="4580" w:type="dxa"/>
            <w:vAlign w:val="bottom"/>
            <w:shd w:val="clear" w:color="auto" w:fill="CEFFE7"/>
          </w:tcPr>
          <w:p>
            <w:pPr>
              <w:ind w:left="140"/>
              <w:spacing w:after="0"/>
              <w:rPr>
                <w:sz w:val="20"/>
                <w:szCs w:val="20"/>
                <w:color w:val="auto"/>
              </w:rPr>
            </w:pPr>
            <w:r>
              <w:rPr>
                <w:rFonts w:ascii="Arial" w:cs="Arial" w:eastAsia="Arial" w:hAnsi="Arial"/>
                <w:sz w:val="16"/>
                <w:szCs w:val="16"/>
                <w:color w:val="auto"/>
              </w:rPr>
              <w:t>Commodity derivatives — Electric Utilities</w:t>
            </w:r>
          </w:p>
        </w:tc>
        <w:tc>
          <w:tcPr>
            <w:tcW w:w="780" w:type="dxa"/>
            <w:vAlign w:val="bottom"/>
            <w:tcBorders>
              <w:bottom w:val="single" w:sz="8" w:color="auto"/>
            </w:tcBorders>
            <w:shd w:val="clear" w:color="auto" w:fill="CEFFE7"/>
          </w:tcPr>
          <w:p>
            <w:pPr>
              <w:jc w:val="right"/>
              <w:ind w:right="599"/>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shd w:val="clear" w:color="auto" w:fill="CEFFE7"/>
          </w:tcPr>
          <w:p>
            <w:pPr>
              <w:ind w:left="20"/>
              <w:spacing w:after="0"/>
              <w:rPr>
                <w:sz w:val="20"/>
                <w:szCs w:val="20"/>
                <w:color w:val="auto"/>
              </w:rPr>
            </w:pPr>
            <w:r>
              <w:rPr>
                <w:rFonts w:ascii="Arial" w:cs="Arial" w:eastAsia="Arial" w:hAnsi="Arial"/>
                <w:sz w:val="16"/>
                <w:szCs w:val="16"/>
                <w:color w:val="auto"/>
              </w:rPr>
              <w:t>— $</w:t>
            </w:r>
          </w:p>
        </w:tc>
        <w:tc>
          <w:tcPr>
            <w:tcW w:w="8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921</w:t>
            </w:r>
          </w:p>
        </w:tc>
        <w:tc>
          <w:tcPr>
            <w:tcW w:w="2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shd w:val="clear" w:color="auto" w:fill="CEFFE7"/>
          </w:tcPr>
          <w:p>
            <w:pPr>
              <w:spacing w:after="0"/>
              <w:rPr>
                <w:sz w:val="18"/>
                <w:szCs w:val="18"/>
                <w:color w:val="auto"/>
              </w:rPr>
            </w:pPr>
          </w:p>
        </w:tc>
        <w:tc>
          <w:tcPr>
            <w:tcW w:w="160" w:type="dxa"/>
            <w:vAlign w:val="bottom"/>
            <w:tcBorders>
              <w:bottom w:val="single" w:sz="8" w:color="auto"/>
            </w:tcBorders>
            <w:shd w:val="clear" w:color="auto" w:fill="CEFFE7"/>
          </w:tcPr>
          <w:p>
            <w:pPr>
              <w:spacing w:after="0"/>
              <w:rPr>
                <w:sz w:val="18"/>
                <w:szCs w:val="18"/>
                <w:color w:val="auto"/>
              </w:rPr>
            </w:pPr>
          </w:p>
        </w:tc>
        <w:tc>
          <w:tcPr>
            <w:tcW w:w="720" w:type="dxa"/>
            <w:vAlign w:val="bottom"/>
            <w:tcBorders>
              <w:bottom w:val="single" w:sz="8" w:color="auto"/>
            </w:tcBorders>
            <w:shd w:val="clear" w:color="auto" w:fill="CEFFE7"/>
          </w:tcPr>
          <w:p>
            <w:pPr>
              <w:ind w:left="34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shd w:val="clear" w:color="auto" w:fill="CEFFE7"/>
          </w:tcPr>
          <w:p>
            <w:pPr>
              <w:spacing w:after="0"/>
              <w:rPr>
                <w:sz w:val="18"/>
                <w:szCs w:val="18"/>
                <w:color w:val="auto"/>
              </w:rPr>
            </w:pPr>
          </w:p>
        </w:tc>
        <w:tc>
          <w:tcPr>
            <w:tcW w:w="140" w:type="dxa"/>
            <w:vAlign w:val="bottom"/>
            <w:tcBorders>
              <w:bottom w:val="single" w:sz="8" w:color="auto"/>
            </w:tcBorders>
            <w:shd w:val="clear" w:color="auto" w:fill="CEFFE7"/>
          </w:tcPr>
          <w:p>
            <w:pPr>
              <w:spacing w:after="0"/>
              <w:rPr>
                <w:sz w:val="18"/>
                <w:szCs w:val="18"/>
                <w:color w:val="auto"/>
              </w:rPr>
            </w:pPr>
          </w:p>
        </w:tc>
        <w:tc>
          <w:tcPr>
            <w:tcW w:w="9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shd w:val="clear" w:color="auto" w:fill="CEFFE7"/>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921</w:t>
            </w:r>
          </w:p>
        </w:tc>
      </w:tr>
      <w:tr>
        <w:trPr>
          <w:trHeight w:val="213"/>
        </w:trPr>
        <w:tc>
          <w:tcPr>
            <w:tcW w:w="4580" w:type="dxa"/>
            <w:vAlign w:val="bottom"/>
          </w:tcPr>
          <w:p>
            <w:pPr>
              <w:ind w:left="20"/>
              <w:spacing w:after="0"/>
              <w:rPr>
                <w:sz w:val="20"/>
                <w:szCs w:val="20"/>
                <w:color w:val="auto"/>
              </w:rPr>
            </w:pPr>
            <w:r>
              <w:rPr>
                <w:rFonts w:ascii="Arial" w:cs="Arial" w:eastAsia="Arial" w:hAnsi="Arial"/>
                <w:sz w:val="16"/>
                <w:szCs w:val="16"/>
                <w:color w:val="auto"/>
              </w:rPr>
              <w:t>Total</w:t>
            </w:r>
          </w:p>
        </w:tc>
        <w:tc>
          <w:tcPr>
            <w:tcW w:w="78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 $</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3,596</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ind w:left="34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(1,552)</w:t>
            </w: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2,044</w:t>
            </w:r>
          </w:p>
        </w:tc>
      </w:tr>
      <w:tr>
        <w:trPr>
          <w:trHeight w:val="20"/>
        </w:trPr>
        <w:tc>
          <w:tcPr>
            <w:tcW w:w="45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Pension and Postretirement Plan Assets</w:t>
      </w:r>
    </w:p>
    <w:p>
      <w:pPr>
        <w:spacing w:after="0" w:line="264" w:lineRule="exact"/>
        <w:rPr>
          <w:sz w:val="20"/>
          <w:szCs w:val="20"/>
          <w:color w:val="auto"/>
        </w:rPr>
      </w:pPr>
    </w:p>
    <w:p>
      <w:pPr>
        <w:ind w:right="240"/>
        <w:spacing w:after="0" w:line="253" w:lineRule="auto"/>
        <w:rPr>
          <w:sz w:val="20"/>
          <w:szCs w:val="20"/>
          <w:color w:val="auto"/>
        </w:rPr>
      </w:pPr>
      <w:r>
        <w:rPr>
          <w:rFonts w:ascii="Arial" w:cs="Arial" w:eastAsia="Arial" w:hAnsi="Arial"/>
          <w:sz w:val="16"/>
          <w:szCs w:val="16"/>
          <w:color w:val="auto"/>
        </w:rPr>
        <w:t>Fair value measurements also apply to the valuation of our pension and postretirement plan assets. Current accounting guidance requires employers to annually disclose information about the fair value measurements of their assets of a defined benefit pension or other postretirement plan. The fair value of these assets is presented in Note 15 to the Consolidated Financial Statements included in our 2020 Annual Report on Form 10-K.</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Other fair value measures</w:t>
      </w:r>
    </w:p>
    <w:p>
      <w:pPr>
        <w:spacing w:after="0" w:line="248"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The carrying amount of cash and cash equivalents, restricted cash and equivalents, and short-term borrowings approximates fair value due to their liquid or short-term nature. Cash, cash equivalents, and restricted cash are classified in Level 1 in the fair value hierarchy. Notes payable consist of commercial paper borrowings and since these borrowings are not traded on an exchange, they are classified in Level 2 in the fair value hierarchy.</w:t>
      </w:r>
    </w:p>
    <w:p>
      <w:pPr>
        <w:spacing w:after="0" w:line="228"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auto"/>
        </w:rPr>
        <w:t>The following table presents the carrying amounts and fair values of financial instruments not recorded at fair value on the Condensed Consolidated Balance Sheets (in thousands) as of:</w:t>
      </w:r>
    </w:p>
    <w:p>
      <w:pPr>
        <w:spacing w:after="0" w:line="114" w:lineRule="exact"/>
        <w:rPr>
          <w:sz w:val="20"/>
          <w:szCs w:val="20"/>
          <w:color w:val="auto"/>
        </w:rPr>
      </w:pPr>
    </w:p>
    <w:tbl>
      <w:tblPr>
        <w:tblLayout w:type="fixed"/>
        <w:tblInd w:w="20" w:type="dxa"/>
        <w:tblCellMar>
          <w:top w:w="0" w:type="dxa"/>
          <w:left w:w="0" w:type="dxa"/>
          <w:bottom w:w="0" w:type="dxa"/>
          <w:right w:w="0" w:type="dxa"/>
        </w:tblCellMar>
      </w:tblPr>
      <w:tr>
        <w:trPr>
          <w:trHeight w:val="198"/>
        </w:trPr>
        <w:tc>
          <w:tcPr>
            <w:tcW w:w="5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0" w:type="dxa"/>
            <w:vAlign w:val="bottom"/>
            <w:gridSpan w:val="4"/>
          </w:tcPr>
          <w:p>
            <w:pPr>
              <w:ind w:left="560"/>
              <w:spacing w:after="0"/>
              <w:rPr>
                <w:sz w:val="20"/>
                <w:szCs w:val="20"/>
                <w:color w:val="auto"/>
              </w:rPr>
            </w:pPr>
            <w:r>
              <w:rPr>
                <w:rFonts w:ascii="Arial" w:cs="Arial" w:eastAsia="Arial" w:hAnsi="Arial"/>
                <w:sz w:val="16"/>
                <w:szCs w:val="16"/>
                <w:color w:val="auto"/>
              </w:rPr>
              <w:t>March 31, 2021</w:t>
            </w:r>
          </w:p>
        </w:tc>
        <w:tc>
          <w:tcPr>
            <w:tcW w:w="220" w:type="dxa"/>
            <w:vAlign w:val="bottom"/>
          </w:tcPr>
          <w:p>
            <w:pPr>
              <w:spacing w:after="0"/>
              <w:rPr>
                <w:sz w:val="17"/>
                <w:szCs w:val="17"/>
                <w:color w:val="auto"/>
              </w:rPr>
            </w:pPr>
          </w:p>
        </w:tc>
        <w:tc>
          <w:tcPr>
            <w:tcW w:w="2440" w:type="dxa"/>
            <w:vAlign w:val="bottom"/>
            <w:gridSpan w:val="3"/>
          </w:tcPr>
          <w:p>
            <w:pPr>
              <w:jc w:val="right"/>
              <w:ind w:right="539"/>
              <w:spacing w:after="0"/>
              <w:rPr>
                <w:sz w:val="20"/>
                <w:szCs w:val="20"/>
                <w:color w:val="auto"/>
              </w:rPr>
            </w:pPr>
            <w:r>
              <w:rPr>
                <w:rFonts w:ascii="Arial" w:cs="Arial" w:eastAsia="Arial" w:hAnsi="Arial"/>
                <w:sz w:val="16"/>
                <w:szCs w:val="16"/>
                <w:color w:val="auto"/>
              </w:rPr>
              <w:t>December 31, 2020</w:t>
            </w:r>
          </w:p>
        </w:tc>
      </w:tr>
      <w:tr>
        <w:trPr>
          <w:trHeight w:val="174"/>
        </w:trPr>
        <w:tc>
          <w:tcPr>
            <w:tcW w:w="57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ind w:right="279"/>
              <w:spacing w:after="0" w:line="174" w:lineRule="exact"/>
              <w:rPr>
                <w:sz w:val="20"/>
                <w:szCs w:val="20"/>
                <w:color w:val="auto"/>
              </w:rPr>
            </w:pPr>
            <w:r>
              <w:rPr>
                <w:rFonts w:ascii="Arial" w:cs="Arial" w:eastAsia="Arial" w:hAnsi="Arial"/>
                <w:sz w:val="16"/>
                <w:szCs w:val="16"/>
                <w:color w:val="auto"/>
              </w:rPr>
              <w:t>Carrying</w:t>
            </w:r>
          </w:p>
        </w:tc>
        <w:tc>
          <w:tcPr>
            <w:tcW w:w="22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right"/>
              <w:ind w:right="279"/>
              <w:spacing w:after="0" w:line="174" w:lineRule="exact"/>
              <w:rPr>
                <w:sz w:val="20"/>
                <w:szCs w:val="20"/>
                <w:color w:val="auto"/>
              </w:rPr>
            </w:pPr>
            <w:r>
              <w:rPr>
                <w:rFonts w:ascii="Arial" w:cs="Arial" w:eastAsia="Arial" w:hAnsi="Arial"/>
                <w:sz w:val="16"/>
                <w:szCs w:val="16"/>
                <w:color w:val="auto"/>
              </w:rPr>
              <w:t>Carrying</w:t>
            </w:r>
          </w:p>
        </w:tc>
        <w:tc>
          <w:tcPr>
            <w:tcW w:w="24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r>
      <w:tr>
        <w:trPr>
          <w:trHeight w:val="198"/>
        </w:trPr>
        <w:tc>
          <w:tcPr>
            <w:tcW w:w="5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right"/>
              <w:ind w:right="279"/>
              <w:spacing w:after="0"/>
              <w:rPr>
                <w:sz w:val="20"/>
                <w:szCs w:val="20"/>
                <w:color w:val="auto"/>
              </w:rPr>
            </w:pPr>
            <w:r>
              <w:rPr>
                <w:rFonts w:ascii="Arial" w:cs="Arial" w:eastAsia="Arial" w:hAnsi="Arial"/>
                <w:sz w:val="16"/>
                <w:szCs w:val="16"/>
                <w:color w:val="auto"/>
              </w:rPr>
              <w:t>Amount</w:t>
            </w:r>
          </w:p>
        </w:tc>
        <w:tc>
          <w:tcPr>
            <w:tcW w:w="220" w:type="dxa"/>
            <w:vAlign w:val="bottom"/>
          </w:tcPr>
          <w:p>
            <w:pPr>
              <w:spacing w:after="0"/>
              <w:rPr>
                <w:sz w:val="17"/>
                <w:szCs w:val="17"/>
                <w:color w:val="auto"/>
              </w:rPr>
            </w:pPr>
          </w:p>
        </w:tc>
        <w:tc>
          <w:tcPr>
            <w:tcW w:w="1280" w:type="dxa"/>
            <w:vAlign w:val="bottom"/>
            <w:gridSpan w:val="2"/>
          </w:tcPr>
          <w:p>
            <w:pPr>
              <w:ind w:left="100"/>
              <w:spacing w:after="0"/>
              <w:rPr>
                <w:sz w:val="20"/>
                <w:szCs w:val="20"/>
                <w:color w:val="auto"/>
              </w:rPr>
            </w:pPr>
            <w:r>
              <w:rPr>
                <w:rFonts w:ascii="Arial" w:cs="Arial" w:eastAsia="Arial" w:hAnsi="Arial"/>
                <w:sz w:val="16"/>
                <w:szCs w:val="16"/>
                <w:color w:val="auto"/>
              </w:rPr>
              <w:t>Fair Value</w:t>
            </w:r>
          </w:p>
        </w:tc>
        <w:tc>
          <w:tcPr>
            <w:tcW w:w="220" w:type="dxa"/>
            <w:vAlign w:val="bottom"/>
          </w:tcPr>
          <w:p>
            <w:pPr>
              <w:spacing w:after="0"/>
              <w:rPr>
                <w:sz w:val="17"/>
                <w:szCs w:val="17"/>
                <w:color w:val="auto"/>
              </w:rPr>
            </w:pPr>
          </w:p>
        </w:tc>
        <w:tc>
          <w:tcPr>
            <w:tcW w:w="1080" w:type="dxa"/>
            <w:vAlign w:val="bottom"/>
          </w:tcPr>
          <w:p>
            <w:pPr>
              <w:jc w:val="right"/>
              <w:ind w:right="279"/>
              <w:spacing w:after="0"/>
              <w:rPr>
                <w:sz w:val="20"/>
                <w:szCs w:val="20"/>
                <w:color w:val="auto"/>
              </w:rPr>
            </w:pPr>
            <w:r>
              <w:rPr>
                <w:rFonts w:ascii="Arial" w:cs="Arial" w:eastAsia="Arial" w:hAnsi="Arial"/>
                <w:sz w:val="16"/>
                <w:szCs w:val="16"/>
                <w:color w:val="auto"/>
              </w:rPr>
              <w:t>Amount</w:t>
            </w:r>
          </w:p>
        </w:tc>
        <w:tc>
          <w:tcPr>
            <w:tcW w:w="240" w:type="dxa"/>
            <w:vAlign w:val="bottom"/>
          </w:tcPr>
          <w:p>
            <w:pPr>
              <w:spacing w:after="0"/>
              <w:rPr>
                <w:sz w:val="17"/>
                <w:szCs w:val="17"/>
                <w:color w:val="auto"/>
              </w:rPr>
            </w:pPr>
          </w:p>
        </w:tc>
        <w:tc>
          <w:tcPr>
            <w:tcW w:w="1120" w:type="dxa"/>
            <w:vAlign w:val="bottom"/>
          </w:tcPr>
          <w:p>
            <w:pPr>
              <w:jc w:val="right"/>
              <w:ind w:right="219"/>
              <w:spacing w:after="0"/>
              <w:rPr>
                <w:sz w:val="20"/>
                <w:szCs w:val="20"/>
                <w:color w:val="auto"/>
              </w:rPr>
            </w:pPr>
            <w:r>
              <w:rPr>
                <w:rFonts w:ascii="Arial" w:cs="Arial" w:eastAsia="Arial" w:hAnsi="Arial"/>
                <w:sz w:val="16"/>
                <w:szCs w:val="16"/>
                <w:color w:val="auto"/>
              </w:rPr>
              <w:t>Fair Value</w:t>
            </w:r>
          </w:p>
        </w:tc>
      </w:tr>
      <w:tr>
        <w:trPr>
          <w:trHeight w:val="213"/>
        </w:trPr>
        <w:tc>
          <w:tcPr>
            <w:tcW w:w="5720" w:type="dxa"/>
            <w:vAlign w:val="bottom"/>
            <w:tcBorders>
              <w:top w:val="single" w:sz="8" w:color="auto"/>
            </w:tcBorders>
            <w:shd w:val="clear" w:color="auto" w:fill="CEFFE7"/>
          </w:tcPr>
          <w:p>
            <w:pPr>
              <w:ind w:left="20"/>
              <w:spacing w:after="0" w:line="213" w:lineRule="exact"/>
              <w:rPr>
                <w:sz w:val="20"/>
                <w:szCs w:val="20"/>
                <w:color w:val="auto"/>
              </w:rPr>
            </w:pPr>
            <w:r>
              <w:rPr>
                <w:rFonts w:ascii="Arial" w:cs="Arial" w:eastAsia="Arial" w:hAnsi="Arial"/>
                <w:sz w:val="16"/>
                <w:szCs w:val="16"/>
                <w:color w:val="auto"/>
              </w:rPr>
              <w:t xml:space="preserve">Long-term debt, including current maturities </w:t>
            </w:r>
            <w:r>
              <w:rPr>
                <w:rFonts w:ascii="Arial" w:cs="Arial" w:eastAsia="Arial" w:hAnsi="Arial"/>
                <w:sz w:val="21"/>
                <w:szCs w:val="21"/>
                <w:color w:val="auto"/>
                <w:vertAlign w:val="superscript"/>
              </w:rPr>
              <w:t>(a)</w:t>
            </w:r>
          </w:p>
        </w:tc>
        <w:tc>
          <w:tcPr>
            <w:tcW w:w="220" w:type="dxa"/>
            <w:vAlign w:val="bottom"/>
            <w:tcBorders>
              <w:top w:val="single" w:sz="8" w:color="auto"/>
            </w:tcBorders>
            <w:shd w:val="clear" w:color="auto" w:fill="CEFFE7"/>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3,536,158</w:t>
            </w:r>
          </w:p>
        </w:tc>
        <w:tc>
          <w:tcPr>
            <w:tcW w:w="220" w:type="dxa"/>
            <w:vAlign w:val="bottom"/>
            <w:tcBorders>
              <w:top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3,938,977</w:t>
            </w:r>
          </w:p>
        </w:tc>
        <w:tc>
          <w:tcPr>
            <w:tcW w:w="140" w:type="dxa"/>
            <w:vAlign w:val="bottom"/>
            <w:tcBorders>
              <w:top w:val="single" w:sz="8" w:color="CEFFE7"/>
            </w:tcBorders>
            <w:shd w:val="clear" w:color="auto" w:fill="CEFFE7"/>
          </w:tcPr>
          <w:p>
            <w:pPr>
              <w:spacing w:after="0"/>
              <w:rPr>
                <w:sz w:val="18"/>
                <w:szCs w:val="18"/>
                <w:color w:val="auto"/>
              </w:rPr>
            </w:pPr>
          </w:p>
        </w:tc>
        <w:tc>
          <w:tcPr>
            <w:tcW w:w="220" w:type="dxa"/>
            <w:vAlign w:val="bottom"/>
            <w:tcBorders>
              <w:top w:val="single" w:sz="8" w:color="auto"/>
            </w:tcBorders>
            <w:shd w:val="clear" w:color="auto" w:fill="CEFFE7"/>
          </w:tcPr>
          <w:p>
            <w:pPr>
              <w:jc w:val="right"/>
              <w:ind w:right="3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3,536,536</w:t>
            </w:r>
          </w:p>
        </w:tc>
        <w:tc>
          <w:tcPr>
            <w:tcW w:w="240" w:type="dxa"/>
            <w:vAlign w:val="bottom"/>
            <w:tcBorders>
              <w:top w:val="single" w:sz="8" w:color="auto"/>
            </w:tcBorders>
            <w:shd w:val="clear" w:color="auto" w:fill="CEFFE7"/>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4,208,167</w:t>
            </w:r>
          </w:p>
        </w:tc>
      </w:tr>
    </w:tbl>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8" w:lineRule="exact"/>
        <w:rPr>
          <w:sz w:val="20"/>
          <w:szCs w:val="20"/>
          <w:color w:val="auto"/>
        </w:rPr>
      </w:pPr>
    </w:p>
    <w:p>
      <w:pPr>
        <w:ind w:left="340" w:right="100" w:hanging="332"/>
        <w:spacing w:after="0" w:line="258" w:lineRule="auto"/>
        <w:tabs>
          <w:tab w:leader="none" w:pos="352" w:val="left"/>
        </w:tabs>
        <w:numPr>
          <w:ilvl w:val="0"/>
          <w:numId w:val="13"/>
        </w:numPr>
        <w:rPr>
          <w:rFonts w:ascii="Arial" w:cs="Arial" w:eastAsia="Arial" w:hAnsi="Arial"/>
          <w:sz w:val="14"/>
          <w:szCs w:val="14"/>
          <w:color w:val="auto"/>
        </w:rPr>
      </w:pPr>
      <w:r>
        <w:rPr>
          <w:rFonts w:ascii="Arial" w:cs="Arial" w:eastAsia="Arial" w:hAnsi="Arial"/>
          <w:sz w:val="14"/>
          <w:szCs w:val="14"/>
          <w:color w:val="auto"/>
        </w:rPr>
        <w:t>Long-term debt is valued based on observable inputs available either directly or indirectly for similar liabilities in active markets and therefore is classified as Level 2 in the fair value hierarchy. Carrying amount of long-term debt is net of deferred financing costs.</w:t>
      </w:r>
    </w:p>
    <w:p>
      <w:pPr>
        <w:spacing w:after="0" w:line="200" w:lineRule="exact"/>
        <w:rPr>
          <w:sz w:val="20"/>
          <w:szCs w:val="20"/>
          <w:color w:val="auto"/>
        </w:rPr>
      </w:pPr>
    </w:p>
    <w:p>
      <w:pPr>
        <w:spacing w:after="0" w:line="241" w:lineRule="exact"/>
        <w:rPr>
          <w:sz w:val="20"/>
          <w:szCs w:val="20"/>
          <w:color w:val="auto"/>
        </w:rPr>
      </w:pPr>
    </w:p>
    <w:p>
      <w:pPr>
        <w:ind w:left="380" w:hanging="372"/>
        <w:spacing w:after="0"/>
        <w:tabs>
          <w:tab w:leader="none" w:pos="380" w:val="left"/>
        </w:tabs>
        <w:numPr>
          <w:ilvl w:val="0"/>
          <w:numId w:val="14"/>
        </w:numPr>
        <w:rPr>
          <w:rFonts w:ascii="Arial" w:cs="Arial" w:eastAsia="Arial" w:hAnsi="Arial"/>
          <w:sz w:val="16"/>
          <w:szCs w:val="16"/>
          <w:b w:val="1"/>
          <w:bCs w:val="1"/>
          <w:color w:val="auto"/>
        </w:rPr>
      </w:pPr>
      <w:r>
        <w:rPr>
          <w:rFonts w:ascii="Arial" w:cs="Arial" w:eastAsia="Arial" w:hAnsi="Arial"/>
          <w:sz w:val="16"/>
          <w:szCs w:val="16"/>
          <w:b w:val="1"/>
          <w:bCs w:val="1"/>
          <w:color w:val="auto"/>
        </w:rPr>
        <w:t>Other Comprehensive Income</w:t>
      </w:r>
    </w:p>
    <w:p>
      <w:pPr>
        <w:spacing w:after="0" w:line="268" w:lineRule="exact"/>
        <w:rPr>
          <w:sz w:val="20"/>
          <w:szCs w:val="20"/>
          <w:color w:val="auto"/>
        </w:rPr>
      </w:pPr>
    </w:p>
    <w:p>
      <w:pPr>
        <w:ind w:right="200"/>
        <w:spacing w:after="0" w:line="251" w:lineRule="auto"/>
        <w:rPr>
          <w:sz w:val="20"/>
          <w:szCs w:val="20"/>
          <w:color w:val="auto"/>
        </w:rPr>
      </w:pPr>
      <w:r>
        <w:rPr>
          <w:rFonts w:ascii="Arial" w:cs="Arial" w:eastAsia="Arial" w:hAnsi="Arial"/>
          <w:sz w:val="16"/>
          <w:szCs w:val="16"/>
          <w:color w:val="auto"/>
        </w:rPr>
        <w:t>We record deferred gains (losses) in AOCI related to interest rate swaps designated as cash flow hedges, commodity contracts designated as cash flow hedges and the amortization of components of our defined benefit plans. Deferred gains (losses) for our commodity contracts designated as cash flow hedges are recognized in earnings upon settlement, while deferred gains (losses) related to our interest rate swaps are recognized in earnings as they are amortized.</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details reclassifications out of AOCI and into Net income. The amounts in parentheses below indicate decreases to Net income in the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Condensed Consolidated Statements of Income for the period (in thousands):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56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460" w:type="dxa"/>
            <w:vAlign w:val="bottom"/>
            <w:gridSpan w:val="4"/>
          </w:tcPr>
          <w:p>
            <w:pPr>
              <w:jc w:val="right"/>
              <w:ind w:right="840"/>
              <w:spacing w:after="0"/>
              <w:rPr>
                <w:sz w:val="20"/>
                <w:szCs w:val="20"/>
                <w:color w:val="auto"/>
              </w:rPr>
            </w:pPr>
            <w:r>
              <w:rPr>
                <w:rFonts w:ascii="Arial" w:cs="Arial" w:eastAsia="Arial" w:hAnsi="Arial"/>
                <w:sz w:val="16"/>
                <w:szCs w:val="16"/>
                <w:color w:val="auto"/>
              </w:rPr>
              <w:t>Amount Reclassified from AOCI</w:t>
            </w:r>
          </w:p>
        </w:tc>
        <w:tc>
          <w:tcPr>
            <w:tcW w:w="0" w:type="dxa"/>
            <w:vAlign w:val="bottom"/>
          </w:tcPr>
          <w:p>
            <w:pPr>
              <w:spacing w:after="0"/>
              <w:rPr>
                <w:sz w:val="1"/>
                <w:szCs w:val="1"/>
                <w:color w:val="auto"/>
              </w:rPr>
            </w:pPr>
          </w:p>
        </w:tc>
      </w:tr>
      <w:tr>
        <w:trPr>
          <w:trHeight w:val="273"/>
        </w:trPr>
        <w:tc>
          <w:tcPr>
            <w:tcW w:w="4560" w:type="dxa"/>
            <w:vAlign w:val="bottom"/>
          </w:tcPr>
          <w:p>
            <w:pPr>
              <w:spacing w:after="0"/>
              <w:rPr>
                <w:sz w:val="23"/>
                <w:szCs w:val="23"/>
                <w:color w:val="auto"/>
              </w:rPr>
            </w:pPr>
          </w:p>
        </w:tc>
        <w:tc>
          <w:tcPr>
            <w:tcW w:w="2760" w:type="dxa"/>
            <w:vAlign w:val="bottom"/>
            <w:vMerge w:val="restart"/>
          </w:tcPr>
          <w:p>
            <w:pPr>
              <w:ind w:left="440"/>
              <w:spacing w:after="0"/>
              <w:rPr>
                <w:sz w:val="20"/>
                <w:szCs w:val="20"/>
                <w:color w:val="auto"/>
              </w:rPr>
            </w:pPr>
            <w:r>
              <w:rPr>
                <w:rFonts w:ascii="Arial" w:cs="Arial" w:eastAsia="Arial" w:hAnsi="Arial"/>
                <w:sz w:val="16"/>
                <w:szCs w:val="16"/>
                <w:color w:val="auto"/>
              </w:rPr>
              <w:t>Location on the Condensed</w:t>
            </w:r>
          </w:p>
        </w:tc>
        <w:tc>
          <w:tcPr>
            <w:tcW w:w="460" w:type="dxa"/>
            <w:vAlign w:val="bottom"/>
          </w:tcPr>
          <w:p>
            <w:pPr>
              <w:spacing w:after="0"/>
              <w:rPr>
                <w:sz w:val="23"/>
                <w:szCs w:val="23"/>
                <w:color w:val="auto"/>
              </w:rPr>
            </w:pPr>
          </w:p>
        </w:tc>
        <w:tc>
          <w:tcPr>
            <w:tcW w:w="3460" w:type="dxa"/>
            <w:vAlign w:val="bottom"/>
            <w:gridSpan w:val="4"/>
          </w:tcPr>
          <w:p>
            <w:pPr>
              <w:jc w:val="right"/>
              <w:ind w:right="840"/>
              <w:spacing w:after="0"/>
              <w:rPr>
                <w:sz w:val="20"/>
                <w:szCs w:val="20"/>
                <w:color w:val="auto"/>
              </w:rPr>
            </w:pPr>
            <w:r>
              <w:rPr>
                <w:rFonts w:ascii="Arial" w:cs="Arial" w:eastAsia="Arial" w:hAnsi="Arial"/>
                <w:sz w:val="16"/>
                <w:szCs w:val="16"/>
                <w:color w:val="auto"/>
              </w:rPr>
              <w:t>Three Months Ended March 31,</w:t>
            </w:r>
          </w:p>
        </w:tc>
        <w:tc>
          <w:tcPr>
            <w:tcW w:w="0" w:type="dxa"/>
            <w:vAlign w:val="bottom"/>
          </w:tcPr>
          <w:p>
            <w:pPr>
              <w:spacing w:after="0"/>
              <w:rPr>
                <w:sz w:val="1"/>
                <w:szCs w:val="1"/>
                <w:color w:val="auto"/>
              </w:rPr>
            </w:pPr>
          </w:p>
        </w:tc>
      </w:tr>
      <w:tr>
        <w:trPr>
          <w:trHeight w:val="39"/>
        </w:trPr>
        <w:tc>
          <w:tcPr>
            <w:tcW w:w="4560" w:type="dxa"/>
            <w:vAlign w:val="bottom"/>
          </w:tcPr>
          <w:p>
            <w:pPr>
              <w:spacing w:after="0"/>
              <w:rPr>
                <w:sz w:val="3"/>
                <w:szCs w:val="3"/>
                <w:color w:val="auto"/>
              </w:rPr>
            </w:pPr>
          </w:p>
        </w:tc>
        <w:tc>
          <w:tcPr>
            <w:tcW w:w="2760" w:type="dxa"/>
            <w:vAlign w:val="bottom"/>
            <w:vMerge w:val="continue"/>
          </w:tcPr>
          <w:p>
            <w:pPr>
              <w:spacing w:after="0"/>
              <w:rPr>
                <w:sz w:val="3"/>
                <w:szCs w:val="3"/>
                <w:color w:val="auto"/>
              </w:rPr>
            </w:pPr>
          </w:p>
        </w:tc>
        <w:tc>
          <w:tcPr>
            <w:tcW w:w="460" w:type="dxa"/>
            <w:vAlign w:val="bottom"/>
            <w:tcBorders>
              <w:top w:val="single" w:sz="8" w:color="auto"/>
            </w:tcBorders>
          </w:tcPr>
          <w:p>
            <w:pPr>
              <w:spacing w:after="0"/>
              <w:rPr>
                <w:sz w:val="3"/>
                <w:szCs w:val="3"/>
                <w:color w:val="auto"/>
              </w:rPr>
            </w:pPr>
          </w:p>
        </w:tc>
        <w:tc>
          <w:tcPr>
            <w:tcW w:w="1480" w:type="dxa"/>
            <w:vAlign w:val="bottom"/>
            <w:tcBorders>
              <w:top w:val="single" w:sz="8" w:color="auto"/>
            </w:tcBorders>
          </w:tcPr>
          <w:p>
            <w:pPr>
              <w:spacing w:after="0"/>
              <w:rPr>
                <w:sz w:val="3"/>
                <w:szCs w:val="3"/>
                <w:color w:val="auto"/>
              </w:rPr>
            </w:pPr>
          </w:p>
        </w:tc>
        <w:tc>
          <w:tcPr>
            <w:tcW w:w="440" w:type="dxa"/>
            <w:vAlign w:val="bottom"/>
            <w:tcBorders>
              <w:top w:val="single" w:sz="8" w:color="auto"/>
            </w:tcBorders>
          </w:tcPr>
          <w:p>
            <w:pPr>
              <w:spacing w:after="0"/>
              <w:rPr>
                <w:sz w:val="3"/>
                <w:szCs w:val="3"/>
                <w:color w:val="auto"/>
              </w:rPr>
            </w:pPr>
          </w:p>
        </w:tc>
        <w:tc>
          <w:tcPr>
            <w:tcW w:w="1500" w:type="dxa"/>
            <w:vAlign w:val="bottom"/>
            <w:tcBorders>
              <w:top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8"/>
        </w:trPr>
        <w:tc>
          <w:tcPr>
            <w:tcW w:w="4560" w:type="dxa"/>
            <w:vAlign w:val="bottom"/>
            <w:tcBorders>
              <w:bottom w:val="single" w:sz="8" w:color="auto"/>
            </w:tcBorders>
          </w:tcPr>
          <w:p>
            <w:pPr>
              <w:spacing w:after="0"/>
              <w:rPr>
                <w:sz w:val="17"/>
                <w:szCs w:val="17"/>
                <w:color w:val="auto"/>
              </w:rPr>
            </w:pPr>
          </w:p>
        </w:tc>
        <w:tc>
          <w:tcPr>
            <w:tcW w:w="276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Consolidated Statements of Income</w:t>
            </w:r>
          </w:p>
        </w:tc>
        <w:tc>
          <w:tcPr>
            <w:tcW w:w="4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699"/>
              <w:spacing w:after="0"/>
              <w:rPr>
                <w:sz w:val="20"/>
                <w:szCs w:val="20"/>
                <w:color w:val="auto"/>
              </w:rPr>
            </w:pPr>
            <w:r>
              <w:rPr>
                <w:rFonts w:ascii="Arial" w:cs="Arial" w:eastAsia="Arial" w:hAnsi="Arial"/>
                <w:sz w:val="16"/>
                <w:szCs w:val="16"/>
                <w:color w:val="auto"/>
              </w:rPr>
              <w:t>2021</w:t>
            </w:r>
          </w:p>
        </w:tc>
        <w:tc>
          <w:tcPr>
            <w:tcW w:w="4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color w:val="auto"/>
              </w:rPr>
              <w:t>2020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560" w:type="dxa"/>
            <w:vAlign w:val="bottom"/>
            <w:shd w:val="clear" w:color="auto" w:fill="CEFFE7"/>
          </w:tcPr>
          <w:p>
            <w:pPr>
              <w:ind w:left="20"/>
              <w:spacing w:after="0"/>
              <w:rPr>
                <w:sz w:val="20"/>
                <w:szCs w:val="20"/>
                <w:color w:val="auto"/>
              </w:rPr>
            </w:pPr>
            <w:r>
              <w:rPr>
                <w:rFonts w:ascii="Arial" w:cs="Arial" w:eastAsia="Arial" w:hAnsi="Arial"/>
                <w:sz w:val="16"/>
                <w:szCs w:val="16"/>
                <w:color w:val="auto"/>
              </w:rPr>
              <w:t>Gains and (losses) on cash flow hedges:</w:t>
            </w:r>
          </w:p>
        </w:tc>
        <w:tc>
          <w:tcPr>
            <w:tcW w:w="2760" w:type="dxa"/>
            <w:vAlign w:val="bottom"/>
            <w:shd w:val="clear" w:color="auto" w:fill="CEFFE7"/>
          </w:tcPr>
          <w:p>
            <w:pPr>
              <w:spacing w:after="0"/>
              <w:rPr>
                <w:sz w:val="18"/>
                <w:szCs w:val="18"/>
                <w:color w:val="auto"/>
              </w:rPr>
            </w:pPr>
          </w:p>
        </w:tc>
        <w:tc>
          <w:tcPr>
            <w:tcW w:w="460" w:type="dxa"/>
            <w:vAlign w:val="bottom"/>
            <w:shd w:val="clear" w:color="auto" w:fill="CEFFE7"/>
          </w:tcPr>
          <w:p>
            <w:pPr>
              <w:spacing w:after="0"/>
              <w:rPr>
                <w:sz w:val="18"/>
                <w:szCs w:val="18"/>
                <w:color w:val="auto"/>
              </w:rPr>
            </w:pPr>
          </w:p>
        </w:tc>
        <w:tc>
          <w:tcPr>
            <w:tcW w:w="1480" w:type="dxa"/>
            <w:vAlign w:val="bottom"/>
            <w:shd w:val="clear" w:color="auto" w:fill="CEFFE7"/>
          </w:tcPr>
          <w:p>
            <w:pPr>
              <w:spacing w:after="0"/>
              <w:rPr>
                <w:sz w:val="18"/>
                <w:szCs w:val="18"/>
                <w:color w:val="auto"/>
              </w:rPr>
            </w:pPr>
          </w:p>
        </w:tc>
        <w:tc>
          <w:tcPr>
            <w:tcW w:w="440" w:type="dxa"/>
            <w:vAlign w:val="bottom"/>
            <w:shd w:val="clear" w:color="auto" w:fill="CEFFE7"/>
          </w:tcPr>
          <w:p>
            <w:pPr>
              <w:spacing w:after="0"/>
              <w:rPr>
                <w:sz w:val="18"/>
                <w:szCs w:val="18"/>
                <w:color w:val="auto"/>
              </w:rPr>
            </w:pPr>
          </w:p>
        </w:tc>
        <w:tc>
          <w:tcPr>
            <w:tcW w:w="1500" w:type="dxa"/>
            <w:vAlign w:val="bottom"/>
            <w:shd w:val="clear" w:color="auto" w:fill="CEFFE7"/>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560" w:type="dxa"/>
            <w:vAlign w:val="bottom"/>
          </w:tcPr>
          <w:p>
            <w:pPr>
              <w:ind w:left="20"/>
              <w:spacing w:after="0"/>
              <w:rPr>
                <w:sz w:val="20"/>
                <w:szCs w:val="20"/>
                <w:color w:val="auto"/>
              </w:rPr>
            </w:pPr>
            <w:r>
              <w:rPr>
                <w:rFonts w:ascii="Arial" w:cs="Arial" w:eastAsia="Arial" w:hAnsi="Arial"/>
                <w:sz w:val="16"/>
                <w:szCs w:val="16"/>
                <w:color w:val="auto"/>
              </w:rPr>
              <w:t>Interest rate swaps</w:t>
            </w:r>
          </w:p>
        </w:tc>
        <w:tc>
          <w:tcPr>
            <w:tcW w:w="2760" w:type="dxa"/>
            <w:vAlign w:val="bottom"/>
          </w:tcPr>
          <w:p>
            <w:pPr>
              <w:ind w:left="100"/>
              <w:spacing w:after="0"/>
              <w:rPr>
                <w:sz w:val="20"/>
                <w:szCs w:val="20"/>
                <w:color w:val="auto"/>
              </w:rPr>
            </w:pPr>
            <w:r>
              <w:rPr>
                <w:rFonts w:ascii="Arial" w:cs="Arial" w:eastAsia="Arial" w:hAnsi="Arial"/>
                <w:sz w:val="16"/>
                <w:szCs w:val="16"/>
                <w:color w:val="auto"/>
              </w:rPr>
              <w:t>Interest expense</w:t>
            </w:r>
          </w:p>
        </w:tc>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(713)</w:t>
            </w: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(713)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4560" w:type="dxa"/>
            <w:vAlign w:val="bottom"/>
            <w:shd w:val="clear" w:color="auto" w:fill="CEFFE7"/>
          </w:tcPr>
          <w:p>
            <w:pPr>
              <w:spacing w:after="0"/>
              <w:rPr>
                <w:sz w:val="15"/>
                <w:szCs w:val="15"/>
                <w:color w:val="auto"/>
              </w:rPr>
            </w:pPr>
          </w:p>
        </w:tc>
        <w:tc>
          <w:tcPr>
            <w:tcW w:w="2760" w:type="dxa"/>
            <w:vAlign w:val="bottom"/>
            <w:shd w:val="clear" w:color="auto" w:fill="CEFFE7"/>
          </w:tcPr>
          <w:p>
            <w:pPr>
              <w:ind w:left="100"/>
              <w:spacing w:after="0" w:line="181" w:lineRule="exact"/>
              <w:rPr>
                <w:sz w:val="20"/>
                <w:szCs w:val="20"/>
                <w:color w:val="auto"/>
              </w:rPr>
            </w:pPr>
            <w:r>
              <w:rPr>
                <w:rFonts w:ascii="Arial" w:cs="Arial" w:eastAsia="Arial" w:hAnsi="Arial"/>
                <w:sz w:val="16"/>
                <w:szCs w:val="16"/>
                <w:color w:val="auto"/>
              </w:rPr>
              <w:t>Fuel, purchased power and cost of</w:t>
            </w:r>
          </w:p>
        </w:tc>
        <w:tc>
          <w:tcPr>
            <w:tcW w:w="460" w:type="dxa"/>
            <w:vAlign w:val="bottom"/>
            <w:shd w:val="clear" w:color="auto" w:fill="CEFFE7"/>
          </w:tcPr>
          <w:p>
            <w:pPr>
              <w:spacing w:after="0"/>
              <w:rPr>
                <w:sz w:val="15"/>
                <w:szCs w:val="15"/>
                <w:color w:val="auto"/>
              </w:rPr>
            </w:pPr>
          </w:p>
        </w:tc>
        <w:tc>
          <w:tcPr>
            <w:tcW w:w="1480" w:type="dxa"/>
            <w:vAlign w:val="bottom"/>
            <w:shd w:val="clear" w:color="auto" w:fill="CEFFE7"/>
          </w:tcPr>
          <w:p>
            <w:pPr>
              <w:spacing w:after="0"/>
              <w:rPr>
                <w:sz w:val="15"/>
                <w:szCs w:val="15"/>
                <w:color w:val="auto"/>
              </w:rPr>
            </w:pPr>
          </w:p>
        </w:tc>
        <w:tc>
          <w:tcPr>
            <w:tcW w:w="440" w:type="dxa"/>
            <w:vAlign w:val="bottom"/>
            <w:shd w:val="clear" w:color="auto" w:fill="CEFFE7"/>
          </w:tcPr>
          <w:p>
            <w:pPr>
              <w:spacing w:after="0"/>
              <w:rPr>
                <w:sz w:val="15"/>
                <w:szCs w:val="15"/>
                <w:color w:val="auto"/>
              </w:rPr>
            </w:pPr>
          </w:p>
        </w:tc>
        <w:tc>
          <w:tcPr>
            <w:tcW w:w="1500" w:type="dxa"/>
            <w:vAlign w:val="bottom"/>
            <w:shd w:val="clear" w:color="auto" w:fill="CEFFE7"/>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4560" w:type="dxa"/>
            <w:vAlign w:val="bottom"/>
            <w:shd w:val="clear" w:color="auto" w:fill="CEFFE7"/>
          </w:tcPr>
          <w:p>
            <w:pPr>
              <w:ind w:left="20"/>
              <w:spacing w:after="0"/>
              <w:rPr>
                <w:sz w:val="20"/>
                <w:szCs w:val="20"/>
                <w:color w:val="auto"/>
              </w:rPr>
            </w:pPr>
            <w:r>
              <w:rPr>
                <w:rFonts w:ascii="Arial" w:cs="Arial" w:eastAsia="Arial" w:hAnsi="Arial"/>
                <w:sz w:val="16"/>
                <w:szCs w:val="16"/>
                <w:color w:val="auto"/>
              </w:rPr>
              <w:t>Commodity contracts</w:t>
            </w:r>
          </w:p>
        </w:tc>
        <w:tc>
          <w:tcPr>
            <w:tcW w:w="2760" w:type="dxa"/>
            <w:vAlign w:val="bottom"/>
            <w:shd w:val="clear" w:color="auto" w:fill="CEFFE7"/>
          </w:tcPr>
          <w:p>
            <w:pPr>
              <w:ind w:left="100"/>
              <w:spacing w:after="0"/>
              <w:rPr>
                <w:sz w:val="20"/>
                <w:szCs w:val="20"/>
                <w:color w:val="auto"/>
              </w:rPr>
            </w:pPr>
            <w:r>
              <w:rPr>
                <w:rFonts w:ascii="Arial" w:cs="Arial" w:eastAsia="Arial" w:hAnsi="Arial"/>
                <w:sz w:val="16"/>
                <w:szCs w:val="16"/>
                <w:color w:val="auto"/>
              </w:rPr>
              <w:t>natural gas sold</w:t>
            </w:r>
          </w:p>
        </w:tc>
        <w:tc>
          <w:tcPr>
            <w:tcW w:w="460" w:type="dxa"/>
            <w:vAlign w:val="bottom"/>
            <w:tcBorders>
              <w:bottom w:val="single" w:sz="8" w:color="auto"/>
            </w:tcBorders>
            <w:shd w:val="clear" w:color="auto" w:fill="CEFFE7"/>
          </w:tcPr>
          <w:p>
            <w:pPr>
              <w:spacing w:after="0"/>
              <w:rPr>
                <w:sz w:val="17"/>
                <w:szCs w:val="17"/>
                <w:color w:val="auto"/>
              </w:rPr>
            </w:pPr>
          </w:p>
        </w:tc>
        <w:tc>
          <w:tcPr>
            <w:tcW w:w="14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(31)</w:t>
            </w:r>
          </w:p>
        </w:tc>
        <w:tc>
          <w:tcPr>
            <w:tcW w:w="440" w:type="dxa"/>
            <w:vAlign w:val="bottom"/>
            <w:tcBorders>
              <w:bottom w:val="single" w:sz="8" w:color="auto"/>
            </w:tcBorders>
            <w:shd w:val="clear" w:color="auto" w:fill="CEFFE7"/>
          </w:tcPr>
          <w:p>
            <w:pPr>
              <w:spacing w:after="0"/>
              <w:rPr>
                <w:sz w:val="17"/>
                <w:szCs w:val="17"/>
                <w:color w:val="auto"/>
              </w:rPr>
            </w:pPr>
          </w:p>
        </w:tc>
        <w:tc>
          <w:tcPr>
            <w:tcW w:w="15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(486)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56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(744)</w:t>
            </w:r>
          </w:p>
        </w:tc>
        <w:tc>
          <w:tcPr>
            <w:tcW w:w="4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(1,199)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560" w:type="dxa"/>
            <w:vAlign w:val="bottom"/>
            <w:shd w:val="clear" w:color="auto" w:fill="CEFFE7"/>
          </w:tcPr>
          <w:p>
            <w:pPr>
              <w:ind w:left="20"/>
              <w:spacing w:after="0"/>
              <w:rPr>
                <w:sz w:val="20"/>
                <w:szCs w:val="20"/>
                <w:color w:val="auto"/>
              </w:rPr>
            </w:pPr>
            <w:r>
              <w:rPr>
                <w:rFonts w:ascii="Arial" w:cs="Arial" w:eastAsia="Arial" w:hAnsi="Arial"/>
                <w:sz w:val="16"/>
                <w:szCs w:val="16"/>
                <w:color w:val="auto"/>
              </w:rPr>
              <w:t>Income tax</w:t>
            </w:r>
          </w:p>
        </w:tc>
        <w:tc>
          <w:tcPr>
            <w:tcW w:w="2760" w:type="dxa"/>
            <w:vAlign w:val="bottom"/>
            <w:shd w:val="clear" w:color="auto" w:fill="CEFFE7"/>
          </w:tcPr>
          <w:p>
            <w:pPr>
              <w:ind w:left="100"/>
              <w:spacing w:after="0"/>
              <w:rPr>
                <w:sz w:val="20"/>
                <w:szCs w:val="20"/>
                <w:color w:val="auto"/>
              </w:rPr>
            </w:pPr>
            <w:r>
              <w:rPr>
                <w:rFonts w:ascii="Arial" w:cs="Arial" w:eastAsia="Arial" w:hAnsi="Arial"/>
                <w:sz w:val="16"/>
                <w:szCs w:val="16"/>
                <w:color w:val="auto"/>
              </w:rPr>
              <w:t>Income tax benefit</w:t>
            </w:r>
          </w:p>
        </w:tc>
        <w:tc>
          <w:tcPr>
            <w:tcW w:w="460" w:type="dxa"/>
            <w:vAlign w:val="bottom"/>
            <w:tcBorders>
              <w:bottom w:val="single" w:sz="8" w:color="auto"/>
            </w:tcBorders>
            <w:shd w:val="clear" w:color="auto" w:fill="CEFFE7"/>
          </w:tcPr>
          <w:p>
            <w:pPr>
              <w:spacing w:after="0"/>
              <w:rPr>
                <w:sz w:val="19"/>
                <w:szCs w:val="19"/>
                <w:color w:val="auto"/>
              </w:rPr>
            </w:pPr>
          </w:p>
        </w:tc>
        <w:tc>
          <w:tcPr>
            <w:tcW w:w="14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198</w:t>
            </w:r>
          </w:p>
        </w:tc>
        <w:tc>
          <w:tcPr>
            <w:tcW w:w="440" w:type="dxa"/>
            <w:vAlign w:val="bottom"/>
            <w:tcBorders>
              <w:bottom w:val="single" w:sz="8" w:color="auto"/>
            </w:tcBorders>
            <w:shd w:val="clear" w:color="auto" w:fill="CEFFE7"/>
          </w:tcPr>
          <w:p>
            <w:pPr>
              <w:spacing w:after="0"/>
              <w:rPr>
                <w:sz w:val="19"/>
                <w:szCs w:val="19"/>
                <w:color w:val="auto"/>
              </w:rPr>
            </w:pPr>
          </w:p>
        </w:tc>
        <w:tc>
          <w:tcPr>
            <w:tcW w:w="15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285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7"/>
        </w:trPr>
        <w:tc>
          <w:tcPr>
            <w:tcW w:w="4560" w:type="dxa"/>
            <w:vAlign w:val="bottom"/>
          </w:tcPr>
          <w:p>
            <w:pPr>
              <w:ind w:left="20"/>
              <w:spacing w:after="0" w:line="158" w:lineRule="exact"/>
              <w:rPr>
                <w:sz w:val="20"/>
                <w:szCs w:val="20"/>
                <w:color w:val="auto"/>
              </w:rPr>
            </w:pPr>
            <w:r>
              <w:rPr>
                <w:rFonts w:ascii="Arial" w:cs="Arial" w:eastAsia="Arial" w:hAnsi="Arial"/>
                <w:sz w:val="16"/>
                <w:szCs w:val="16"/>
                <w:color w:val="auto"/>
              </w:rPr>
              <w:t>Total reclassification adjustments related to cash flow hedges,</w:t>
            </w:r>
          </w:p>
        </w:tc>
        <w:tc>
          <w:tcPr>
            <w:tcW w:w="27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4560" w:type="dxa"/>
            <w:vAlign w:val="bottom"/>
            <w:tcBorders>
              <w:bottom w:val="single" w:sz="8" w:color="CEFFE7"/>
            </w:tcBorders>
          </w:tcPr>
          <w:p>
            <w:pPr>
              <w:ind w:left="20"/>
              <w:spacing w:after="0"/>
              <w:rPr>
                <w:sz w:val="20"/>
                <w:szCs w:val="20"/>
                <w:color w:val="auto"/>
              </w:rPr>
            </w:pPr>
            <w:r>
              <w:rPr>
                <w:rFonts w:ascii="Arial" w:cs="Arial" w:eastAsia="Arial" w:hAnsi="Arial"/>
                <w:sz w:val="16"/>
                <w:szCs w:val="16"/>
                <w:color w:val="auto"/>
              </w:rPr>
              <w:t>net of tax</w:t>
            </w:r>
          </w:p>
        </w:tc>
        <w:tc>
          <w:tcPr>
            <w:tcW w:w="2760" w:type="dxa"/>
            <w:vAlign w:val="bottom"/>
            <w:tcBorders>
              <w:bottom w:val="single" w:sz="8" w:color="CEFFE7"/>
            </w:tcBorders>
          </w:tcPr>
          <w:p>
            <w:pPr>
              <w:spacing w:after="0"/>
              <w:rPr>
                <w:sz w:val="17"/>
                <w:szCs w:val="17"/>
                <w:color w:val="auto"/>
              </w:rPr>
            </w:pPr>
          </w:p>
        </w:tc>
        <w:tc>
          <w:tcPr>
            <w:tcW w:w="4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(546)</w:t>
            </w:r>
          </w:p>
        </w:tc>
        <w:tc>
          <w:tcPr>
            <w:tcW w:w="4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4560" w:type="dxa"/>
            <w:vAlign w:val="bottom"/>
            <w:shd w:val="clear" w:color="auto" w:fill="CEFFE7"/>
          </w:tcPr>
          <w:p>
            <w:pPr>
              <w:spacing w:after="0"/>
              <w:rPr>
                <w:sz w:val="22"/>
                <w:szCs w:val="22"/>
                <w:color w:val="auto"/>
              </w:rPr>
            </w:pPr>
          </w:p>
        </w:tc>
        <w:tc>
          <w:tcPr>
            <w:tcW w:w="2760" w:type="dxa"/>
            <w:vAlign w:val="bottom"/>
            <w:shd w:val="clear" w:color="auto" w:fill="CEFFE7"/>
          </w:tcPr>
          <w:p>
            <w:pPr>
              <w:spacing w:after="0"/>
              <w:rPr>
                <w:sz w:val="22"/>
                <w:szCs w:val="22"/>
                <w:color w:val="auto"/>
              </w:rPr>
            </w:pPr>
          </w:p>
        </w:tc>
        <w:tc>
          <w:tcPr>
            <w:tcW w:w="460" w:type="dxa"/>
            <w:vAlign w:val="bottom"/>
            <w:shd w:val="clear" w:color="auto" w:fill="CEFFE7"/>
          </w:tcPr>
          <w:p>
            <w:pPr>
              <w:spacing w:after="0"/>
              <w:rPr>
                <w:sz w:val="22"/>
                <w:szCs w:val="22"/>
                <w:color w:val="auto"/>
              </w:rPr>
            </w:pPr>
          </w:p>
        </w:tc>
        <w:tc>
          <w:tcPr>
            <w:tcW w:w="1480" w:type="dxa"/>
            <w:vAlign w:val="bottom"/>
            <w:shd w:val="clear" w:color="auto" w:fill="CEFFE7"/>
          </w:tcPr>
          <w:p>
            <w:pPr>
              <w:spacing w:after="0"/>
              <w:rPr>
                <w:sz w:val="22"/>
                <w:szCs w:val="22"/>
                <w:color w:val="auto"/>
              </w:rPr>
            </w:pPr>
          </w:p>
        </w:tc>
        <w:tc>
          <w:tcPr>
            <w:tcW w:w="440" w:type="dxa"/>
            <w:vAlign w:val="bottom"/>
            <w:shd w:val="clear" w:color="auto" w:fill="CEFFE7"/>
          </w:tcPr>
          <w:p>
            <w:pPr>
              <w:spacing w:after="0"/>
              <w:rPr>
                <w:sz w:val="22"/>
                <w:szCs w:val="22"/>
                <w:color w:val="auto"/>
              </w:rPr>
            </w:pPr>
          </w:p>
        </w:tc>
        <w:tc>
          <w:tcPr>
            <w:tcW w:w="1500" w:type="dxa"/>
            <w:vAlign w:val="bottom"/>
            <w:shd w:val="clear" w:color="auto" w:fill="CEFFE7"/>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4560" w:type="dxa"/>
            <w:vAlign w:val="bottom"/>
          </w:tcPr>
          <w:p>
            <w:pPr>
              <w:ind w:left="20"/>
              <w:spacing w:after="0"/>
              <w:rPr>
                <w:sz w:val="20"/>
                <w:szCs w:val="20"/>
                <w:color w:val="auto"/>
              </w:rPr>
            </w:pPr>
            <w:r>
              <w:rPr>
                <w:rFonts w:ascii="Arial" w:cs="Arial" w:eastAsia="Arial" w:hAnsi="Arial"/>
                <w:sz w:val="16"/>
                <w:szCs w:val="16"/>
                <w:color w:val="auto"/>
              </w:rPr>
              <w:t>Amortization of components of defined benefit plans:</w:t>
            </w:r>
          </w:p>
        </w:tc>
        <w:tc>
          <w:tcPr>
            <w:tcW w:w="2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560" w:type="dxa"/>
            <w:vAlign w:val="bottom"/>
            <w:shd w:val="clear" w:color="auto" w:fill="CEFFE7"/>
          </w:tcPr>
          <w:p>
            <w:pPr>
              <w:ind w:left="20"/>
              <w:spacing w:after="0"/>
              <w:rPr>
                <w:sz w:val="20"/>
                <w:szCs w:val="20"/>
                <w:color w:val="auto"/>
              </w:rPr>
            </w:pPr>
            <w:r>
              <w:rPr>
                <w:rFonts w:ascii="Arial" w:cs="Arial" w:eastAsia="Arial" w:hAnsi="Arial"/>
                <w:sz w:val="16"/>
                <w:szCs w:val="16"/>
                <w:color w:val="auto"/>
              </w:rPr>
              <w:t>Prior service cost</w:t>
            </w:r>
          </w:p>
        </w:tc>
        <w:tc>
          <w:tcPr>
            <w:tcW w:w="2760" w:type="dxa"/>
            <w:vAlign w:val="bottom"/>
            <w:shd w:val="clear" w:color="auto" w:fill="CEFFE7"/>
          </w:tcPr>
          <w:p>
            <w:pPr>
              <w:ind w:left="100"/>
              <w:spacing w:after="0"/>
              <w:rPr>
                <w:sz w:val="20"/>
                <w:szCs w:val="20"/>
                <w:color w:val="auto"/>
              </w:rPr>
            </w:pPr>
            <w:r>
              <w:rPr>
                <w:rFonts w:ascii="Arial" w:cs="Arial" w:eastAsia="Arial" w:hAnsi="Arial"/>
                <w:sz w:val="16"/>
                <w:szCs w:val="16"/>
                <w:color w:val="auto"/>
              </w:rPr>
              <w:t>Operations and maintenance</w:t>
            </w:r>
          </w:p>
        </w:tc>
        <w:tc>
          <w:tcPr>
            <w:tcW w:w="460" w:type="dxa"/>
            <w:vAlign w:val="bottom"/>
            <w:shd w:val="clear" w:color="auto" w:fill="CEFFE7"/>
          </w:tcPr>
          <w:p>
            <w:pPr>
              <w:jc w:val="right"/>
              <w:ind w:right="259"/>
              <w:spacing w:after="0"/>
              <w:rPr>
                <w:sz w:val="20"/>
                <w:szCs w:val="20"/>
                <w:color w:val="auto"/>
              </w:rPr>
            </w:pPr>
            <w:r>
              <w:rPr>
                <w:rFonts w:ascii="Arial" w:cs="Arial" w:eastAsia="Arial" w:hAnsi="Arial"/>
                <w:sz w:val="16"/>
                <w:szCs w:val="16"/>
                <w:color w:val="auto"/>
              </w:rPr>
              <w:t>$</w:t>
            </w:r>
          </w:p>
        </w:tc>
        <w:tc>
          <w:tcPr>
            <w:tcW w:w="14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25</w:t>
            </w:r>
          </w:p>
        </w:tc>
        <w:tc>
          <w:tcPr>
            <w:tcW w:w="440" w:type="dxa"/>
            <w:vAlign w:val="bottom"/>
            <w:shd w:val="clear" w:color="auto" w:fill="CEFFE7"/>
          </w:tcPr>
          <w:p>
            <w:pPr>
              <w:jc w:val="right"/>
              <w:ind w:right="259"/>
              <w:spacing w:after="0"/>
              <w:rPr>
                <w:sz w:val="20"/>
                <w:szCs w:val="20"/>
                <w:color w:val="auto"/>
              </w:rPr>
            </w:pPr>
            <w:r>
              <w:rPr>
                <w:rFonts w:ascii="Arial" w:cs="Arial" w:eastAsia="Arial" w:hAnsi="Arial"/>
                <w:sz w:val="16"/>
                <w:szCs w:val="16"/>
                <w:color w:val="auto"/>
                <w:w w:val="89"/>
              </w:rPr>
              <w:t>$</w:t>
            </w:r>
          </w:p>
        </w:tc>
        <w:tc>
          <w:tcPr>
            <w:tcW w:w="15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560" w:type="dxa"/>
            <w:vAlign w:val="bottom"/>
            <w:tcBorders>
              <w:bottom w:val="single" w:sz="8" w:color="CEFFE7"/>
            </w:tcBorders>
          </w:tcPr>
          <w:p>
            <w:pPr>
              <w:ind w:left="20"/>
              <w:spacing w:after="0"/>
              <w:rPr>
                <w:sz w:val="20"/>
                <w:szCs w:val="20"/>
                <w:color w:val="auto"/>
              </w:rPr>
            </w:pPr>
            <w:r>
              <w:rPr>
                <w:rFonts w:ascii="Arial" w:cs="Arial" w:eastAsia="Arial" w:hAnsi="Arial"/>
                <w:sz w:val="16"/>
                <w:szCs w:val="16"/>
                <w:color w:val="auto"/>
              </w:rPr>
              <w:t>Actuarial gain (loss)</w:t>
            </w:r>
          </w:p>
        </w:tc>
        <w:tc>
          <w:tcPr>
            <w:tcW w:w="2760" w:type="dxa"/>
            <w:vAlign w:val="bottom"/>
            <w:tcBorders>
              <w:bottom w:val="single" w:sz="8" w:color="CEFFE7"/>
            </w:tcBorders>
          </w:tcPr>
          <w:p>
            <w:pPr>
              <w:ind w:left="100"/>
              <w:spacing w:after="0"/>
              <w:rPr>
                <w:sz w:val="20"/>
                <w:szCs w:val="20"/>
                <w:color w:val="auto"/>
              </w:rPr>
            </w:pPr>
            <w:r>
              <w:rPr>
                <w:rFonts w:ascii="Arial" w:cs="Arial" w:eastAsia="Arial" w:hAnsi="Arial"/>
                <w:sz w:val="16"/>
                <w:szCs w:val="16"/>
                <w:color w:val="auto"/>
              </w:rPr>
              <w:t>Operations and maintenance</w:t>
            </w:r>
          </w:p>
        </w:tc>
        <w:tc>
          <w:tcPr>
            <w:tcW w:w="4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(598)</w:t>
            </w:r>
          </w:p>
        </w:tc>
        <w:tc>
          <w:tcPr>
            <w:tcW w:w="4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560" w:type="dxa"/>
            <w:vAlign w:val="bottom"/>
            <w:shd w:val="clear" w:color="auto" w:fill="CEFFE7"/>
          </w:tcPr>
          <w:p>
            <w:pPr>
              <w:spacing w:after="0"/>
              <w:rPr>
                <w:sz w:val="18"/>
                <w:szCs w:val="18"/>
                <w:color w:val="auto"/>
              </w:rPr>
            </w:pPr>
          </w:p>
        </w:tc>
        <w:tc>
          <w:tcPr>
            <w:tcW w:w="2760" w:type="dxa"/>
            <w:vAlign w:val="bottom"/>
            <w:shd w:val="clear" w:color="auto" w:fill="CEFFE7"/>
          </w:tcPr>
          <w:p>
            <w:pPr>
              <w:spacing w:after="0"/>
              <w:rPr>
                <w:sz w:val="18"/>
                <w:szCs w:val="18"/>
                <w:color w:val="auto"/>
              </w:rPr>
            </w:pPr>
          </w:p>
        </w:tc>
        <w:tc>
          <w:tcPr>
            <w:tcW w:w="460" w:type="dxa"/>
            <w:vAlign w:val="bottom"/>
            <w:shd w:val="clear" w:color="auto" w:fill="CEFFE7"/>
          </w:tcPr>
          <w:p>
            <w:pPr>
              <w:spacing w:after="0"/>
              <w:rPr>
                <w:sz w:val="18"/>
                <w:szCs w:val="18"/>
                <w:color w:val="auto"/>
              </w:rPr>
            </w:pPr>
          </w:p>
        </w:tc>
        <w:tc>
          <w:tcPr>
            <w:tcW w:w="14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(573)</w:t>
            </w:r>
          </w:p>
        </w:tc>
        <w:tc>
          <w:tcPr>
            <w:tcW w:w="440" w:type="dxa"/>
            <w:vAlign w:val="bottom"/>
            <w:shd w:val="clear" w:color="auto" w:fill="CEFFE7"/>
          </w:tcPr>
          <w:p>
            <w:pPr>
              <w:spacing w:after="0"/>
              <w:rPr>
                <w:sz w:val="18"/>
                <w:szCs w:val="18"/>
                <w:color w:val="auto"/>
              </w:rPr>
            </w:pPr>
          </w:p>
        </w:tc>
        <w:tc>
          <w:tcPr>
            <w:tcW w:w="15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(567)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560" w:type="dxa"/>
            <w:vAlign w:val="bottom"/>
            <w:tcBorders>
              <w:bottom w:val="single" w:sz="8" w:color="CEFFE7"/>
            </w:tcBorders>
          </w:tcPr>
          <w:p>
            <w:pPr>
              <w:ind w:left="20"/>
              <w:spacing w:after="0"/>
              <w:rPr>
                <w:sz w:val="20"/>
                <w:szCs w:val="20"/>
                <w:color w:val="auto"/>
              </w:rPr>
            </w:pPr>
            <w:r>
              <w:rPr>
                <w:rFonts w:ascii="Arial" w:cs="Arial" w:eastAsia="Arial" w:hAnsi="Arial"/>
                <w:sz w:val="16"/>
                <w:szCs w:val="16"/>
                <w:color w:val="auto"/>
              </w:rPr>
              <w:t>Income tax</w:t>
            </w:r>
          </w:p>
        </w:tc>
        <w:tc>
          <w:tcPr>
            <w:tcW w:w="2760" w:type="dxa"/>
            <w:vAlign w:val="bottom"/>
            <w:tcBorders>
              <w:bottom w:val="single" w:sz="8" w:color="CEFFE7"/>
            </w:tcBorders>
          </w:tcPr>
          <w:p>
            <w:pPr>
              <w:ind w:left="100"/>
              <w:spacing w:after="0"/>
              <w:rPr>
                <w:sz w:val="20"/>
                <w:szCs w:val="20"/>
                <w:color w:val="auto"/>
              </w:rPr>
            </w:pPr>
            <w:r>
              <w:rPr>
                <w:rFonts w:ascii="Arial" w:cs="Arial" w:eastAsia="Arial" w:hAnsi="Arial"/>
                <w:sz w:val="16"/>
                <w:szCs w:val="16"/>
                <w:color w:val="auto"/>
              </w:rPr>
              <w:t>Income tax benefit</w:t>
            </w:r>
          </w:p>
        </w:tc>
        <w:tc>
          <w:tcPr>
            <w:tcW w:w="4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208</w:t>
            </w:r>
          </w:p>
        </w:tc>
        <w:tc>
          <w:tcPr>
            <w:tcW w:w="4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4560" w:type="dxa"/>
            <w:vAlign w:val="bottom"/>
            <w:shd w:val="clear" w:color="auto" w:fill="CEFFE7"/>
          </w:tcPr>
          <w:p>
            <w:pPr>
              <w:ind w:left="20"/>
              <w:spacing w:after="0" w:line="161" w:lineRule="exact"/>
              <w:rPr>
                <w:sz w:val="20"/>
                <w:szCs w:val="20"/>
                <w:color w:val="auto"/>
              </w:rPr>
            </w:pPr>
            <w:r>
              <w:rPr>
                <w:rFonts w:ascii="Arial" w:cs="Arial" w:eastAsia="Arial" w:hAnsi="Arial"/>
                <w:sz w:val="16"/>
                <w:szCs w:val="16"/>
                <w:color w:val="auto"/>
              </w:rPr>
              <w:t>Total reclassification adjustments related to defined benefit</w:t>
            </w:r>
          </w:p>
        </w:tc>
        <w:tc>
          <w:tcPr>
            <w:tcW w:w="2760" w:type="dxa"/>
            <w:vAlign w:val="bottom"/>
            <w:shd w:val="clear" w:color="auto" w:fill="CEFFE7"/>
          </w:tcPr>
          <w:p>
            <w:pPr>
              <w:spacing w:after="0"/>
              <w:rPr>
                <w:sz w:val="13"/>
                <w:szCs w:val="13"/>
                <w:color w:val="auto"/>
              </w:rPr>
            </w:pPr>
          </w:p>
        </w:tc>
        <w:tc>
          <w:tcPr>
            <w:tcW w:w="460" w:type="dxa"/>
            <w:vAlign w:val="bottom"/>
            <w:shd w:val="clear" w:color="auto" w:fill="CEFFE7"/>
          </w:tcPr>
          <w:p>
            <w:pPr>
              <w:spacing w:after="0"/>
              <w:rPr>
                <w:sz w:val="13"/>
                <w:szCs w:val="13"/>
                <w:color w:val="auto"/>
              </w:rPr>
            </w:pPr>
          </w:p>
        </w:tc>
        <w:tc>
          <w:tcPr>
            <w:tcW w:w="1480" w:type="dxa"/>
            <w:vAlign w:val="bottom"/>
            <w:shd w:val="clear" w:color="auto" w:fill="CEFFE7"/>
          </w:tcPr>
          <w:p>
            <w:pPr>
              <w:spacing w:after="0"/>
              <w:rPr>
                <w:sz w:val="13"/>
                <w:szCs w:val="13"/>
                <w:color w:val="auto"/>
              </w:rPr>
            </w:pPr>
          </w:p>
        </w:tc>
        <w:tc>
          <w:tcPr>
            <w:tcW w:w="440" w:type="dxa"/>
            <w:vAlign w:val="bottom"/>
            <w:shd w:val="clear" w:color="auto" w:fill="CEFFE7"/>
          </w:tcPr>
          <w:p>
            <w:pPr>
              <w:spacing w:after="0"/>
              <w:rPr>
                <w:sz w:val="13"/>
                <w:szCs w:val="13"/>
                <w:color w:val="auto"/>
              </w:rPr>
            </w:pPr>
          </w:p>
        </w:tc>
        <w:tc>
          <w:tcPr>
            <w:tcW w:w="1500" w:type="dxa"/>
            <w:vAlign w:val="bottom"/>
            <w:shd w:val="clear" w:color="auto" w:fill="CEFFE7"/>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4560" w:type="dxa"/>
            <w:vAlign w:val="bottom"/>
            <w:shd w:val="clear" w:color="auto" w:fill="CEFFE7"/>
          </w:tcPr>
          <w:p>
            <w:pPr>
              <w:ind w:left="20"/>
              <w:spacing w:after="0"/>
              <w:rPr>
                <w:sz w:val="20"/>
                <w:szCs w:val="20"/>
                <w:color w:val="auto"/>
              </w:rPr>
            </w:pPr>
            <w:r>
              <w:rPr>
                <w:rFonts w:ascii="Arial" w:cs="Arial" w:eastAsia="Arial" w:hAnsi="Arial"/>
                <w:sz w:val="16"/>
                <w:szCs w:val="16"/>
                <w:color w:val="auto"/>
              </w:rPr>
              <w:t>plans, net of tax</w:t>
            </w:r>
          </w:p>
        </w:tc>
        <w:tc>
          <w:tcPr>
            <w:tcW w:w="2760" w:type="dxa"/>
            <w:vAlign w:val="bottom"/>
            <w:shd w:val="clear" w:color="auto" w:fill="CEFFE7"/>
          </w:tcPr>
          <w:p>
            <w:pPr>
              <w:spacing w:after="0"/>
              <w:rPr>
                <w:sz w:val="17"/>
                <w:szCs w:val="17"/>
                <w:color w:val="auto"/>
              </w:rPr>
            </w:pPr>
          </w:p>
        </w:tc>
        <w:tc>
          <w:tcPr>
            <w:tcW w:w="460" w:type="dxa"/>
            <w:vAlign w:val="bottom"/>
            <w:tcBorders>
              <w:bottom w:val="single" w:sz="8" w:color="auto"/>
            </w:tcBorders>
            <w:shd w:val="clear" w:color="auto" w:fill="CEFFE7"/>
          </w:tcPr>
          <w:p>
            <w:pPr>
              <w:jc w:val="right"/>
              <w:ind w:right="25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(365)</w:t>
            </w:r>
          </w:p>
        </w:tc>
        <w:tc>
          <w:tcPr>
            <w:tcW w:w="440" w:type="dxa"/>
            <w:vAlign w:val="bottom"/>
            <w:tcBorders>
              <w:bottom w:val="single" w:sz="8" w:color="auto"/>
            </w:tcBorders>
            <w:shd w:val="clear" w:color="auto" w:fill="CEFFE7"/>
          </w:tcPr>
          <w:p>
            <w:pPr>
              <w:jc w:val="right"/>
              <w:ind w:right="259"/>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(479)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560" w:type="dxa"/>
            <w:vAlign w:val="bottom"/>
          </w:tcPr>
          <w:p>
            <w:pPr>
              <w:ind w:left="20"/>
              <w:spacing w:after="0"/>
              <w:rPr>
                <w:sz w:val="20"/>
                <w:szCs w:val="20"/>
                <w:color w:val="auto"/>
              </w:rPr>
            </w:pPr>
            <w:r>
              <w:rPr>
                <w:rFonts w:ascii="Arial" w:cs="Arial" w:eastAsia="Arial" w:hAnsi="Arial"/>
                <w:sz w:val="16"/>
                <w:szCs w:val="16"/>
                <w:color w:val="auto"/>
              </w:rPr>
              <w:t>Total reclassifications</w:t>
            </w:r>
          </w:p>
        </w:tc>
        <w:tc>
          <w:tcPr>
            <w:tcW w:w="2760" w:type="dxa"/>
            <w:vAlign w:val="bottom"/>
          </w:tcPr>
          <w:p>
            <w:pPr>
              <w:spacing w:after="0"/>
              <w:rPr>
                <w:sz w:val="18"/>
                <w:szCs w:val="18"/>
                <w:color w:val="auto"/>
              </w:rPr>
            </w:pPr>
          </w:p>
        </w:tc>
        <w:tc>
          <w:tcPr>
            <w:tcW w:w="4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(911)</w:t>
            </w:r>
          </w:p>
        </w:tc>
        <w:tc>
          <w:tcPr>
            <w:tcW w:w="4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2760" w:type="dxa"/>
            <w:vAlign w:val="bottom"/>
            <w:vMerge w:val="restart"/>
          </w:tcPr>
          <w:p>
            <w:pPr>
              <w:ind w:left="980"/>
              <w:spacing w:after="0"/>
              <w:rPr>
                <w:sz w:val="20"/>
                <w:szCs w:val="20"/>
                <w:color w:val="auto"/>
              </w:rPr>
            </w:pPr>
            <w:r>
              <w:rPr>
                <w:rFonts w:ascii="Arial" w:cs="Arial" w:eastAsia="Arial" w:hAnsi="Arial"/>
                <w:sz w:val="16"/>
                <w:szCs w:val="16"/>
                <w:color w:val="auto"/>
              </w:rPr>
              <w:t>25</w:t>
            </w: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22"/>
        </w:trPr>
        <w:tc>
          <w:tcPr>
            <w:tcW w:w="4560" w:type="dxa"/>
            <w:vAlign w:val="bottom"/>
          </w:tcPr>
          <w:p>
            <w:pPr>
              <w:spacing w:after="0"/>
              <w:rPr>
                <w:sz w:val="24"/>
                <w:szCs w:val="24"/>
                <w:color w:val="auto"/>
              </w:rPr>
            </w:pPr>
          </w:p>
        </w:tc>
        <w:tc>
          <w:tcPr>
            <w:tcW w:w="276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4560" w:type="dxa"/>
            <w:vAlign w:val="bottom"/>
            <w:tcBorders>
              <w:bottom w:val="single" w:sz="8" w:color="9A9A9A"/>
            </w:tcBorders>
          </w:tcPr>
          <w:p>
            <w:pPr>
              <w:spacing w:after="0"/>
              <w:rPr>
                <w:sz w:val="24"/>
                <w:szCs w:val="24"/>
                <w:color w:val="auto"/>
              </w:rPr>
            </w:pPr>
          </w:p>
        </w:tc>
        <w:tc>
          <w:tcPr>
            <w:tcW w:w="276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color w:val="auto"/>
        </w:rPr>
        <w:t>Balances by classification included within AOCI, net of tax on the accompanying Condensed Consolidated Balance Sheets were as follows (in thousands):</w:t>
      </w:r>
    </w:p>
    <w:p>
      <w:pPr>
        <w:spacing w:after="0" w:line="140"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38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4000" w:type="dxa"/>
            <w:vAlign w:val="bottom"/>
            <w:tcBorders>
              <w:bottom w:val="single" w:sz="8" w:color="auto"/>
            </w:tcBorders>
            <w:gridSpan w:val="3"/>
          </w:tcPr>
          <w:p>
            <w:pPr>
              <w:jc w:val="right"/>
              <w:ind w:right="399"/>
              <w:spacing w:after="0"/>
              <w:rPr>
                <w:sz w:val="20"/>
                <w:szCs w:val="20"/>
                <w:color w:val="auto"/>
              </w:rPr>
            </w:pPr>
            <w:r>
              <w:rPr>
                <w:rFonts w:ascii="Arial" w:cs="Arial" w:eastAsia="Arial" w:hAnsi="Arial"/>
                <w:sz w:val="16"/>
                <w:szCs w:val="16"/>
                <w:color w:val="auto"/>
              </w:rPr>
              <w:t>Derivatives Designated as Cash Flow Hedges</w:t>
            </w:r>
          </w:p>
        </w:tc>
        <w:tc>
          <w:tcPr>
            <w:tcW w:w="1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63"/>
        </w:trPr>
        <w:tc>
          <w:tcPr>
            <w:tcW w:w="3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tcPr>
          <w:p>
            <w:pPr>
              <w:jc w:val="center"/>
              <w:ind w:right="79"/>
              <w:spacing w:after="0" w:line="164" w:lineRule="exact"/>
              <w:rPr>
                <w:sz w:val="20"/>
                <w:szCs w:val="20"/>
                <w:color w:val="auto"/>
              </w:rPr>
            </w:pPr>
            <w:r>
              <w:rPr>
                <w:rFonts w:ascii="Arial" w:cs="Arial" w:eastAsia="Arial" w:hAnsi="Arial"/>
                <w:sz w:val="16"/>
                <w:szCs w:val="16"/>
                <w:color w:val="auto"/>
              </w:rPr>
              <w:t>Employee Benefit</w:t>
            </w: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98"/>
        </w:trPr>
        <w:tc>
          <w:tcPr>
            <w:tcW w:w="38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Interest Rate Swaps</w:t>
            </w:r>
          </w:p>
        </w:tc>
        <w:tc>
          <w:tcPr>
            <w:tcW w:w="14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Commodity Derivatives</w:t>
            </w:r>
          </w:p>
        </w:tc>
        <w:tc>
          <w:tcPr>
            <w:tcW w:w="16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color w:val="auto"/>
              </w:rPr>
              <w:t>Plans</w:t>
            </w: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Total</w:t>
            </w:r>
          </w:p>
        </w:tc>
      </w:tr>
      <w:tr>
        <w:trPr>
          <w:trHeight w:val="210"/>
        </w:trPr>
        <w:tc>
          <w:tcPr>
            <w:tcW w:w="3820" w:type="dxa"/>
            <w:vAlign w:val="bottom"/>
          </w:tcPr>
          <w:p>
            <w:pPr>
              <w:ind w:left="20"/>
              <w:spacing w:after="0"/>
              <w:rPr>
                <w:sz w:val="20"/>
                <w:szCs w:val="20"/>
                <w:color w:val="auto"/>
              </w:rPr>
            </w:pPr>
            <w:r>
              <w:rPr>
                <w:rFonts w:ascii="Arial" w:cs="Arial" w:eastAsia="Arial" w:hAnsi="Arial"/>
                <w:sz w:val="16"/>
                <w:szCs w:val="16"/>
                <w:color w:val="auto"/>
              </w:rPr>
              <w:t>As of December 31, 2020</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020" w:type="dxa"/>
            <w:vAlign w:val="bottom"/>
          </w:tcPr>
          <w:p>
            <w:pPr>
              <w:jc w:val="right"/>
              <w:spacing w:after="0"/>
              <w:rPr>
                <w:sz w:val="20"/>
                <w:szCs w:val="20"/>
                <w:color w:val="auto"/>
              </w:rPr>
            </w:pPr>
            <w:r>
              <w:rPr>
                <w:rFonts w:ascii="Arial" w:cs="Arial" w:eastAsia="Arial" w:hAnsi="Arial"/>
                <w:sz w:val="16"/>
                <w:szCs w:val="16"/>
                <w:color w:val="auto"/>
              </w:rPr>
              <w:t>(12,558)</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840" w:type="dxa"/>
            <w:vAlign w:val="bottom"/>
          </w:tcPr>
          <w:p>
            <w:pPr>
              <w:jc w:val="right"/>
              <w:spacing w:after="0"/>
              <w:rPr>
                <w:sz w:val="20"/>
                <w:szCs w:val="20"/>
                <w:color w:val="auto"/>
              </w:rPr>
            </w:pPr>
            <w:r>
              <w:rPr>
                <w:rFonts w:ascii="Arial" w:cs="Arial" w:eastAsia="Arial" w:hAnsi="Arial"/>
                <w:sz w:val="16"/>
                <w:szCs w:val="16"/>
                <w:color w:val="auto"/>
              </w:rPr>
              <w:t>2</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(14,790)</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(27,346)</w:t>
            </w:r>
          </w:p>
        </w:tc>
      </w:tr>
      <w:tr>
        <w:trPr>
          <w:trHeight w:val="219"/>
        </w:trPr>
        <w:tc>
          <w:tcPr>
            <w:tcW w:w="3820" w:type="dxa"/>
            <w:vAlign w:val="bottom"/>
            <w:shd w:val="clear" w:color="auto" w:fill="CEFFE7"/>
          </w:tcPr>
          <w:p>
            <w:pPr>
              <w:ind w:left="20"/>
              <w:spacing w:after="0"/>
              <w:rPr>
                <w:sz w:val="20"/>
                <w:szCs w:val="20"/>
                <w:color w:val="auto"/>
              </w:rPr>
            </w:pPr>
            <w:r>
              <w:rPr>
                <w:rFonts w:ascii="Arial" w:cs="Arial" w:eastAsia="Arial" w:hAnsi="Arial"/>
                <w:sz w:val="16"/>
                <w:szCs w:val="16"/>
                <w:color w:val="auto"/>
              </w:rPr>
              <w:t>Other comprehensive income (loss)</w:t>
            </w:r>
          </w:p>
        </w:tc>
        <w:tc>
          <w:tcPr>
            <w:tcW w:w="260" w:type="dxa"/>
            <w:vAlign w:val="bottom"/>
            <w:shd w:val="clear" w:color="auto" w:fill="CEFFE7"/>
          </w:tcPr>
          <w:p>
            <w:pPr>
              <w:spacing w:after="0"/>
              <w:rPr>
                <w:sz w:val="19"/>
                <w:szCs w:val="19"/>
                <w:color w:val="auto"/>
              </w:rPr>
            </w:pPr>
          </w:p>
        </w:tc>
        <w:tc>
          <w:tcPr>
            <w:tcW w:w="2020" w:type="dxa"/>
            <w:vAlign w:val="bottom"/>
            <w:shd w:val="clear" w:color="auto" w:fill="CEFFE7"/>
          </w:tcPr>
          <w:p>
            <w:pPr>
              <w:spacing w:after="0"/>
              <w:rPr>
                <w:sz w:val="19"/>
                <w:szCs w:val="19"/>
                <w:color w:val="auto"/>
              </w:rPr>
            </w:pPr>
          </w:p>
        </w:tc>
        <w:tc>
          <w:tcPr>
            <w:tcW w:w="140" w:type="dxa"/>
            <w:vAlign w:val="bottom"/>
            <w:shd w:val="clear" w:color="auto" w:fill="CEFFE7"/>
          </w:tcPr>
          <w:p>
            <w:pPr>
              <w:spacing w:after="0"/>
              <w:rPr>
                <w:sz w:val="19"/>
                <w:szCs w:val="19"/>
                <w:color w:val="auto"/>
              </w:rPr>
            </w:pPr>
          </w:p>
        </w:tc>
        <w:tc>
          <w:tcPr>
            <w:tcW w:w="1840" w:type="dxa"/>
            <w:vAlign w:val="bottom"/>
            <w:shd w:val="clear" w:color="auto" w:fill="CEFFE7"/>
          </w:tcPr>
          <w:p>
            <w:pPr>
              <w:spacing w:after="0"/>
              <w:rPr>
                <w:sz w:val="19"/>
                <w:szCs w:val="19"/>
                <w:color w:val="auto"/>
              </w:rPr>
            </w:pPr>
          </w:p>
        </w:tc>
        <w:tc>
          <w:tcPr>
            <w:tcW w:w="160" w:type="dxa"/>
            <w:vAlign w:val="bottom"/>
            <w:shd w:val="clear" w:color="auto" w:fill="CEFFE7"/>
          </w:tcPr>
          <w:p>
            <w:pPr>
              <w:spacing w:after="0"/>
              <w:rPr>
                <w:sz w:val="19"/>
                <w:szCs w:val="19"/>
                <w:color w:val="auto"/>
              </w:rPr>
            </w:pPr>
          </w:p>
        </w:tc>
        <w:tc>
          <w:tcPr>
            <w:tcW w:w="1540" w:type="dxa"/>
            <w:vAlign w:val="bottom"/>
            <w:shd w:val="clear" w:color="auto" w:fill="CEFFE7"/>
          </w:tcPr>
          <w:p>
            <w:pPr>
              <w:spacing w:after="0"/>
              <w:rPr>
                <w:sz w:val="19"/>
                <w:szCs w:val="19"/>
                <w:color w:val="auto"/>
              </w:rPr>
            </w:pPr>
          </w:p>
        </w:tc>
        <w:tc>
          <w:tcPr>
            <w:tcW w:w="340" w:type="dxa"/>
            <w:vAlign w:val="bottom"/>
            <w:shd w:val="clear" w:color="auto" w:fill="CEFFE7"/>
          </w:tcPr>
          <w:p>
            <w:pPr>
              <w:spacing w:after="0"/>
              <w:rPr>
                <w:sz w:val="19"/>
                <w:szCs w:val="19"/>
                <w:color w:val="auto"/>
              </w:rPr>
            </w:pPr>
          </w:p>
        </w:tc>
        <w:tc>
          <w:tcPr>
            <w:tcW w:w="1080" w:type="dxa"/>
            <w:vAlign w:val="bottom"/>
            <w:shd w:val="clear" w:color="auto" w:fill="CEFFE7"/>
          </w:tcPr>
          <w:p>
            <w:pPr>
              <w:spacing w:after="0"/>
              <w:rPr>
                <w:sz w:val="19"/>
                <w:szCs w:val="19"/>
                <w:color w:val="auto"/>
              </w:rPr>
            </w:pPr>
          </w:p>
        </w:tc>
      </w:tr>
      <w:tr>
        <w:trPr>
          <w:trHeight w:val="213"/>
        </w:trPr>
        <w:tc>
          <w:tcPr>
            <w:tcW w:w="3820" w:type="dxa"/>
            <w:vAlign w:val="bottom"/>
          </w:tcPr>
          <w:p>
            <w:pPr>
              <w:ind w:left="140"/>
              <w:spacing w:after="0"/>
              <w:rPr>
                <w:sz w:val="20"/>
                <w:szCs w:val="20"/>
                <w:color w:val="auto"/>
              </w:rPr>
            </w:pPr>
            <w:r>
              <w:rPr>
                <w:rFonts w:ascii="Arial" w:cs="Arial" w:eastAsia="Arial" w:hAnsi="Arial"/>
                <w:sz w:val="16"/>
                <w:szCs w:val="16"/>
                <w:color w:val="auto"/>
              </w:rPr>
              <w:t>before reclassifications</w:t>
            </w:r>
          </w:p>
        </w:tc>
        <w:tc>
          <w:tcPr>
            <w:tcW w:w="260" w:type="dxa"/>
            <w:vAlign w:val="bottom"/>
          </w:tcPr>
          <w:p>
            <w:pPr>
              <w:spacing w:after="0"/>
              <w:rPr>
                <w:sz w:val="18"/>
                <w:szCs w:val="18"/>
                <w:color w:val="auto"/>
              </w:rPr>
            </w:pPr>
          </w:p>
        </w:tc>
        <w:tc>
          <w:tcPr>
            <w:tcW w:w="202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107</w:t>
            </w:r>
          </w:p>
        </w:tc>
        <w:tc>
          <w:tcPr>
            <w:tcW w:w="1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107</w:t>
            </w:r>
          </w:p>
        </w:tc>
      </w:tr>
      <w:tr>
        <w:trPr>
          <w:trHeight w:val="216"/>
        </w:trPr>
        <w:tc>
          <w:tcPr>
            <w:tcW w:w="3820" w:type="dxa"/>
            <w:vAlign w:val="bottom"/>
            <w:shd w:val="clear" w:color="auto" w:fill="CEFFE7"/>
          </w:tcPr>
          <w:p>
            <w:pPr>
              <w:ind w:left="20"/>
              <w:spacing w:after="0"/>
              <w:rPr>
                <w:sz w:val="20"/>
                <w:szCs w:val="20"/>
                <w:color w:val="auto"/>
              </w:rPr>
            </w:pPr>
            <w:r>
              <w:rPr>
                <w:rFonts w:ascii="Arial" w:cs="Arial" w:eastAsia="Arial" w:hAnsi="Arial"/>
                <w:sz w:val="16"/>
                <w:szCs w:val="16"/>
                <w:color w:val="auto"/>
              </w:rPr>
              <w:t>Amounts reclassified from AOCI</w:t>
            </w:r>
          </w:p>
        </w:tc>
        <w:tc>
          <w:tcPr>
            <w:tcW w:w="260" w:type="dxa"/>
            <w:vAlign w:val="bottom"/>
            <w:tcBorders>
              <w:bottom w:val="single" w:sz="8" w:color="auto"/>
            </w:tcBorders>
            <w:shd w:val="clear" w:color="auto" w:fill="CEFFE7"/>
          </w:tcPr>
          <w:p>
            <w:pPr>
              <w:spacing w:after="0"/>
              <w:rPr>
                <w:sz w:val="18"/>
                <w:szCs w:val="18"/>
                <w:color w:val="auto"/>
              </w:rPr>
            </w:pPr>
          </w:p>
        </w:tc>
        <w:tc>
          <w:tcPr>
            <w:tcW w:w="20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523</w:t>
            </w:r>
          </w:p>
        </w:tc>
        <w:tc>
          <w:tcPr>
            <w:tcW w:w="140" w:type="dxa"/>
            <w:vAlign w:val="bottom"/>
            <w:tcBorders>
              <w:bottom w:val="single" w:sz="8" w:color="auto"/>
            </w:tcBorders>
            <w:shd w:val="clear" w:color="auto" w:fill="CEFFE7"/>
          </w:tcPr>
          <w:p>
            <w:pPr>
              <w:spacing w:after="0"/>
              <w:rPr>
                <w:sz w:val="18"/>
                <w:szCs w:val="18"/>
                <w:color w:val="auto"/>
              </w:rPr>
            </w:pPr>
          </w:p>
        </w:tc>
        <w:tc>
          <w:tcPr>
            <w:tcW w:w="18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23</w:t>
            </w:r>
          </w:p>
        </w:tc>
        <w:tc>
          <w:tcPr>
            <w:tcW w:w="160" w:type="dxa"/>
            <w:vAlign w:val="bottom"/>
            <w:tcBorders>
              <w:bottom w:val="single" w:sz="8" w:color="auto"/>
            </w:tcBorders>
            <w:shd w:val="clear" w:color="auto" w:fill="CEFFE7"/>
          </w:tcPr>
          <w:p>
            <w:pPr>
              <w:spacing w:after="0"/>
              <w:rPr>
                <w:sz w:val="18"/>
                <w:szCs w:val="18"/>
                <w:color w:val="auto"/>
              </w:rPr>
            </w:pPr>
          </w:p>
        </w:tc>
        <w:tc>
          <w:tcPr>
            <w:tcW w:w="15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365</w:t>
            </w:r>
          </w:p>
        </w:tc>
        <w:tc>
          <w:tcPr>
            <w:tcW w:w="340" w:type="dxa"/>
            <w:vAlign w:val="bottom"/>
            <w:tcBorders>
              <w:bottom w:val="single" w:sz="8" w:color="auto"/>
            </w:tcBorders>
            <w:shd w:val="clear" w:color="auto" w:fill="CEFFE7"/>
          </w:tcPr>
          <w:p>
            <w:pPr>
              <w:spacing w:after="0"/>
              <w:rPr>
                <w:sz w:val="18"/>
                <w:szCs w:val="18"/>
                <w:color w:val="auto"/>
              </w:rPr>
            </w:pPr>
          </w:p>
        </w:tc>
        <w:tc>
          <w:tcPr>
            <w:tcW w:w="10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911</w:t>
            </w:r>
          </w:p>
        </w:tc>
      </w:tr>
      <w:tr>
        <w:trPr>
          <w:trHeight w:val="213"/>
        </w:trPr>
        <w:tc>
          <w:tcPr>
            <w:tcW w:w="3820" w:type="dxa"/>
            <w:vAlign w:val="bottom"/>
          </w:tcPr>
          <w:p>
            <w:pPr>
              <w:ind w:left="20"/>
              <w:spacing w:after="0"/>
              <w:rPr>
                <w:sz w:val="20"/>
                <w:szCs w:val="20"/>
                <w:color w:val="auto"/>
              </w:rPr>
            </w:pPr>
            <w:r>
              <w:rPr>
                <w:rFonts w:ascii="Arial" w:cs="Arial" w:eastAsia="Arial" w:hAnsi="Arial"/>
                <w:sz w:val="16"/>
                <w:szCs w:val="16"/>
                <w:color w:val="auto"/>
              </w:rPr>
              <w:t>As of March 31, 2021</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(12,035)</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(14,425)</w:t>
            </w: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(26,328)</w:t>
            </w:r>
          </w:p>
        </w:tc>
      </w:tr>
      <w:tr>
        <w:trPr>
          <w:trHeight w:val="20"/>
        </w:trPr>
        <w:tc>
          <w:tcPr>
            <w:tcW w:w="3820" w:type="dxa"/>
            <w:vAlign w:val="bottom"/>
            <w:tcBorders>
              <w:bottom w:val="single" w:sz="8" w:color="CEFFE7"/>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37"/>
        </w:trPr>
        <w:tc>
          <w:tcPr>
            <w:tcW w:w="3820" w:type="dxa"/>
            <w:vAlign w:val="bottom"/>
            <w:shd w:val="clear" w:color="auto" w:fill="CEFFE7"/>
          </w:tcPr>
          <w:p>
            <w:pPr>
              <w:spacing w:after="0"/>
              <w:rPr>
                <w:sz w:val="20"/>
                <w:szCs w:val="20"/>
                <w:color w:val="auto"/>
              </w:rPr>
            </w:pPr>
          </w:p>
        </w:tc>
        <w:tc>
          <w:tcPr>
            <w:tcW w:w="260" w:type="dxa"/>
            <w:vAlign w:val="bottom"/>
            <w:shd w:val="clear" w:color="auto" w:fill="CEFFE7"/>
          </w:tcPr>
          <w:p>
            <w:pPr>
              <w:spacing w:after="0"/>
              <w:rPr>
                <w:sz w:val="20"/>
                <w:szCs w:val="20"/>
                <w:color w:val="auto"/>
              </w:rPr>
            </w:pPr>
          </w:p>
        </w:tc>
        <w:tc>
          <w:tcPr>
            <w:tcW w:w="2020" w:type="dxa"/>
            <w:vAlign w:val="bottom"/>
            <w:shd w:val="clear" w:color="auto" w:fill="CEFFE7"/>
          </w:tcPr>
          <w:p>
            <w:pPr>
              <w:spacing w:after="0"/>
              <w:rPr>
                <w:sz w:val="20"/>
                <w:szCs w:val="20"/>
                <w:color w:val="auto"/>
              </w:rPr>
            </w:pPr>
          </w:p>
        </w:tc>
        <w:tc>
          <w:tcPr>
            <w:tcW w:w="140" w:type="dxa"/>
            <w:vAlign w:val="bottom"/>
            <w:shd w:val="clear" w:color="auto" w:fill="CEFFE7"/>
          </w:tcPr>
          <w:p>
            <w:pPr>
              <w:spacing w:after="0"/>
              <w:rPr>
                <w:sz w:val="20"/>
                <w:szCs w:val="20"/>
                <w:color w:val="auto"/>
              </w:rPr>
            </w:pPr>
          </w:p>
        </w:tc>
        <w:tc>
          <w:tcPr>
            <w:tcW w:w="1840" w:type="dxa"/>
            <w:vAlign w:val="bottom"/>
            <w:shd w:val="clear" w:color="auto" w:fill="CEFFE7"/>
          </w:tcPr>
          <w:p>
            <w:pPr>
              <w:spacing w:after="0"/>
              <w:rPr>
                <w:sz w:val="20"/>
                <w:szCs w:val="20"/>
                <w:color w:val="auto"/>
              </w:rPr>
            </w:pPr>
          </w:p>
        </w:tc>
        <w:tc>
          <w:tcPr>
            <w:tcW w:w="160" w:type="dxa"/>
            <w:vAlign w:val="bottom"/>
            <w:shd w:val="clear" w:color="auto" w:fill="CEFFE7"/>
          </w:tcPr>
          <w:p>
            <w:pPr>
              <w:spacing w:after="0"/>
              <w:rPr>
                <w:sz w:val="20"/>
                <w:szCs w:val="20"/>
                <w:color w:val="auto"/>
              </w:rPr>
            </w:pPr>
          </w:p>
        </w:tc>
        <w:tc>
          <w:tcPr>
            <w:tcW w:w="1540" w:type="dxa"/>
            <w:vAlign w:val="bottom"/>
            <w:shd w:val="clear" w:color="auto" w:fill="CEFFE7"/>
          </w:tcPr>
          <w:p>
            <w:pPr>
              <w:spacing w:after="0"/>
              <w:rPr>
                <w:sz w:val="20"/>
                <w:szCs w:val="20"/>
                <w:color w:val="auto"/>
              </w:rPr>
            </w:pPr>
          </w:p>
        </w:tc>
        <w:tc>
          <w:tcPr>
            <w:tcW w:w="340" w:type="dxa"/>
            <w:vAlign w:val="bottom"/>
            <w:shd w:val="clear" w:color="auto" w:fill="CEFFE7"/>
          </w:tcPr>
          <w:p>
            <w:pPr>
              <w:spacing w:after="0"/>
              <w:rPr>
                <w:sz w:val="20"/>
                <w:szCs w:val="20"/>
                <w:color w:val="auto"/>
              </w:rPr>
            </w:pPr>
          </w:p>
        </w:tc>
        <w:tc>
          <w:tcPr>
            <w:tcW w:w="1080" w:type="dxa"/>
            <w:vAlign w:val="bottom"/>
            <w:shd w:val="clear" w:color="auto" w:fill="CEFFE7"/>
          </w:tcPr>
          <w:p>
            <w:pPr>
              <w:spacing w:after="0"/>
              <w:rPr>
                <w:sz w:val="20"/>
                <w:szCs w:val="20"/>
                <w:color w:val="auto"/>
              </w:rPr>
            </w:pPr>
          </w:p>
        </w:tc>
      </w:tr>
      <w:tr>
        <w:trPr>
          <w:trHeight w:val="213"/>
        </w:trPr>
        <w:tc>
          <w:tcPr>
            <w:tcW w:w="3820" w:type="dxa"/>
            <w:vAlign w:val="bottom"/>
            <w:tcBorders>
              <w:bottom w:val="single" w:sz="8" w:color="CEFFE7"/>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4000" w:type="dxa"/>
            <w:vAlign w:val="bottom"/>
            <w:tcBorders>
              <w:bottom w:val="single" w:sz="8" w:color="auto"/>
            </w:tcBorders>
            <w:gridSpan w:val="3"/>
          </w:tcPr>
          <w:p>
            <w:pPr>
              <w:jc w:val="right"/>
              <w:ind w:right="399"/>
              <w:spacing w:after="0"/>
              <w:rPr>
                <w:sz w:val="20"/>
                <w:szCs w:val="20"/>
                <w:color w:val="auto"/>
              </w:rPr>
            </w:pPr>
            <w:r>
              <w:rPr>
                <w:rFonts w:ascii="Arial" w:cs="Arial" w:eastAsia="Arial" w:hAnsi="Arial"/>
                <w:sz w:val="16"/>
                <w:szCs w:val="16"/>
                <w:color w:val="auto"/>
              </w:rPr>
              <w:t>Derivatives Designated as Cash Flow Hedges</w:t>
            </w:r>
          </w:p>
        </w:tc>
        <w:tc>
          <w:tcPr>
            <w:tcW w:w="160" w:type="dxa"/>
            <w:vAlign w:val="bottom"/>
            <w:tcBorders>
              <w:bottom w:val="single" w:sz="8" w:color="CEFFE7"/>
            </w:tcBorders>
          </w:tcPr>
          <w:p>
            <w:pPr>
              <w:spacing w:after="0"/>
              <w:rPr>
                <w:sz w:val="18"/>
                <w:szCs w:val="18"/>
                <w:color w:val="auto"/>
              </w:rPr>
            </w:pPr>
          </w:p>
        </w:tc>
        <w:tc>
          <w:tcPr>
            <w:tcW w:w="1540" w:type="dxa"/>
            <w:vAlign w:val="bottom"/>
            <w:tcBorders>
              <w:bottom w:val="single" w:sz="8" w:color="CEFFE7"/>
            </w:tcBorders>
          </w:tcPr>
          <w:p>
            <w:pPr>
              <w:spacing w:after="0"/>
              <w:rPr>
                <w:sz w:val="18"/>
                <w:szCs w:val="18"/>
                <w:color w:val="auto"/>
              </w:rPr>
            </w:pPr>
          </w:p>
        </w:tc>
        <w:tc>
          <w:tcPr>
            <w:tcW w:w="340" w:type="dxa"/>
            <w:vAlign w:val="bottom"/>
            <w:tcBorders>
              <w:bottom w:val="single" w:sz="8" w:color="CEFFE7"/>
            </w:tcBorders>
          </w:tcPr>
          <w:p>
            <w:pPr>
              <w:spacing w:after="0"/>
              <w:rPr>
                <w:sz w:val="18"/>
                <w:szCs w:val="18"/>
                <w:color w:val="auto"/>
              </w:rPr>
            </w:pPr>
          </w:p>
        </w:tc>
        <w:tc>
          <w:tcPr>
            <w:tcW w:w="1080" w:type="dxa"/>
            <w:vAlign w:val="bottom"/>
            <w:tcBorders>
              <w:bottom w:val="single" w:sz="8" w:color="CEFFE7"/>
            </w:tcBorders>
          </w:tcPr>
          <w:p>
            <w:pPr>
              <w:spacing w:after="0"/>
              <w:rPr>
                <w:sz w:val="18"/>
                <w:szCs w:val="18"/>
                <w:color w:val="auto"/>
              </w:rPr>
            </w:pPr>
          </w:p>
        </w:tc>
      </w:tr>
      <w:tr>
        <w:trPr>
          <w:trHeight w:val="160"/>
        </w:trPr>
        <w:tc>
          <w:tcPr>
            <w:tcW w:w="3820" w:type="dxa"/>
            <w:vAlign w:val="bottom"/>
            <w:shd w:val="clear" w:color="auto" w:fill="CEFFE7"/>
          </w:tcPr>
          <w:p>
            <w:pPr>
              <w:spacing w:after="0"/>
              <w:rPr>
                <w:sz w:val="13"/>
                <w:szCs w:val="13"/>
                <w:color w:val="auto"/>
              </w:rPr>
            </w:pPr>
          </w:p>
        </w:tc>
        <w:tc>
          <w:tcPr>
            <w:tcW w:w="260" w:type="dxa"/>
            <w:vAlign w:val="bottom"/>
            <w:shd w:val="clear" w:color="auto" w:fill="CEFFE7"/>
          </w:tcPr>
          <w:p>
            <w:pPr>
              <w:spacing w:after="0"/>
              <w:rPr>
                <w:sz w:val="13"/>
                <w:szCs w:val="13"/>
                <w:color w:val="auto"/>
              </w:rPr>
            </w:pPr>
          </w:p>
        </w:tc>
        <w:tc>
          <w:tcPr>
            <w:tcW w:w="2020" w:type="dxa"/>
            <w:vAlign w:val="bottom"/>
            <w:shd w:val="clear" w:color="auto" w:fill="CEFFE7"/>
          </w:tcPr>
          <w:p>
            <w:pPr>
              <w:spacing w:after="0"/>
              <w:rPr>
                <w:sz w:val="13"/>
                <w:szCs w:val="13"/>
                <w:color w:val="auto"/>
              </w:rPr>
            </w:pPr>
          </w:p>
        </w:tc>
        <w:tc>
          <w:tcPr>
            <w:tcW w:w="140" w:type="dxa"/>
            <w:vAlign w:val="bottom"/>
            <w:shd w:val="clear" w:color="auto" w:fill="CEFFE7"/>
          </w:tcPr>
          <w:p>
            <w:pPr>
              <w:spacing w:after="0"/>
              <w:rPr>
                <w:sz w:val="13"/>
                <w:szCs w:val="13"/>
                <w:color w:val="auto"/>
              </w:rPr>
            </w:pPr>
          </w:p>
        </w:tc>
        <w:tc>
          <w:tcPr>
            <w:tcW w:w="1840" w:type="dxa"/>
            <w:vAlign w:val="bottom"/>
            <w:shd w:val="clear" w:color="auto" w:fill="CEFFE7"/>
          </w:tcPr>
          <w:p>
            <w:pPr>
              <w:spacing w:after="0"/>
              <w:rPr>
                <w:sz w:val="13"/>
                <w:szCs w:val="13"/>
                <w:color w:val="auto"/>
              </w:rPr>
            </w:pPr>
          </w:p>
        </w:tc>
        <w:tc>
          <w:tcPr>
            <w:tcW w:w="160" w:type="dxa"/>
            <w:vAlign w:val="bottom"/>
            <w:shd w:val="clear" w:color="auto" w:fill="CEFFE7"/>
          </w:tcPr>
          <w:p>
            <w:pPr>
              <w:spacing w:after="0"/>
              <w:rPr>
                <w:sz w:val="13"/>
                <w:szCs w:val="13"/>
                <w:color w:val="auto"/>
              </w:rPr>
            </w:pPr>
          </w:p>
        </w:tc>
        <w:tc>
          <w:tcPr>
            <w:tcW w:w="1540" w:type="dxa"/>
            <w:vAlign w:val="bottom"/>
            <w:shd w:val="clear" w:color="auto" w:fill="CEFFE7"/>
          </w:tcPr>
          <w:p>
            <w:pPr>
              <w:jc w:val="center"/>
              <w:ind w:right="79"/>
              <w:spacing w:after="0" w:line="161" w:lineRule="exact"/>
              <w:rPr>
                <w:sz w:val="20"/>
                <w:szCs w:val="20"/>
                <w:color w:val="auto"/>
              </w:rPr>
            </w:pPr>
            <w:r>
              <w:rPr>
                <w:rFonts w:ascii="Arial" w:cs="Arial" w:eastAsia="Arial" w:hAnsi="Arial"/>
                <w:sz w:val="16"/>
                <w:szCs w:val="16"/>
                <w:color w:val="auto"/>
              </w:rPr>
              <w:t>Employee Benefit</w:t>
            </w:r>
          </w:p>
        </w:tc>
        <w:tc>
          <w:tcPr>
            <w:tcW w:w="340" w:type="dxa"/>
            <w:vAlign w:val="bottom"/>
            <w:shd w:val="clear" w:color="auto" w:fill="CEFFE7"/>
          </w:tcPr>
          <w:p>
            <w:pPr>
              <w:spacing w:after="0"/>
              <w:rPr>
                <w:sz w:val="13"/>
                <w:szCs w:val="13"/>
                <w:color w:val="auto"/>
              </w:rPr>
            </w:pPr>
          </w:p>
        </w:tc>
        <w:tc>
          <w:tcPr>
            <w:tcW w:w="1080" w:type="dxa"/>
            <w:vAlign w:val="bottom"/>
            <w:shd w:val="clear" w:color="auto" w:fill="CEFFE7"/>
          </w:tcPr>
          <w:p>
            <w:pPr>
              <w:spacing w:after="0"/>
              <w:rPr>
                <w:sz w:val="13"/>
                <w:szCs w:val="13"/>
                <w:color w:val="auto"/>
              </w:rPr>
            </w:pPr>
          </w:p>
        </w:tc>
      </w:tr>
      <w:tr>
        <w:trPr>
          <w:trHeight w:val="198"/>
        </w:trPr>
        <w:tc>
          <w:tcPr>
            <w:tcW w:w="3820" w:type="dxa"/>
            <w:vAlign w:val="bottom"/>
            <w:shd w:val="clear" w:color="auto" w:fill="CEFFE7"/>
          </w:tcPr>
          <w:p>
            <w:pPr>
              <w:spacing w:after="0"/>
              <w:rPr>
                <w:sz w:val="17"/>
                <w:szCs w:val="17"/>
                <w:color w:val="auto"/>
              </w:rPr>
            </w:pPr>
          </w:p>
        </w:tc>
        <w:tc>
          <w:tcPr>
            <w:tcW w:w="260" w:type="dxa"/>
            <w:vAlign w:val="bottom"/>
            <w:tcBorders>
              <w:bottom w:val="single" w:sz="8" w:color="auto"/>
            </w:tcBorders>
            <w:shd w:val="clear" w:color="auto" w:fill="CEFFE7"/>
          </w:tcPr>
          <w:p>
            <w:pPr>
              <w:spacing w:after="0"/>
              <w:rPr>
                <w:sz w:val="17"/>
                <w:szCs w:val="17"/>
                <w:color w:val="auto"/>
              </w:rPr>
            </w:pPr>
          </w:p>
        </w:tc>
        <w:tc>
          <w:tcPr>
            <w:tcW w:w="2020" w:type="dxa"/>
            <w:vAlign w:val="bottom"/>
            <w:tcBorders>
              <w:bottom w:val="single" w:sz="8" w:color="auto"/>
            </w:tcBorders>
            <w:shd w:val="clear" w:color="auto" w:fill="CEFFE7"/>
          </w:tcPr>
          <w:p>
            <w:pPr>
              <w:jc w:val="right"/>
              <w:ind w:right="319"/>
              <w:spacing w:after="0"/>
              <w:rPr>
                <w:sz w:val="20"/>
                <w:szCs w:val="20"/>
                <w:color w:val="auto"/>
              </w:rPr>
            </w:pPr>
            <w:r>
              <w:rPr>
                <w:rFonts w:ascii="Arial" w:cs="Arial" w:eastAsia="Arial" w:hAnsi="Arial"/>
                <w:sz w:val="16"/>
                <w:szCs w:val="16"/>
                <w:color w:val="auto"/>
              </w:rPr>
              <w:t>Interest Rate Swaps</w:t>
            </w:r>
          </w:p>
        </w:tc>
        <w:tc>
          <w:tcPr>
            <w:tcW w:w="140" w:type="dxa"/>
            <w:vAlign w:val="bottom"/>
            <w:tcBorders>
              <w:bottom w:val="single" w:sz="8" w:color="auto"/>
            </w:tcBorders>
            <w:shd w:val="clear" w:color="auto" w:fill="CEFFE7"/>
          </w:tcPr>
          <w:p>
            <w:pPr>
              <w:spacing w:after="0"/>
              <w:rPr>
                <w:sz w:val="17"/>
                <w:szCs w:val="17"/>
                <w:color w:val="auto"/>
              </w:rPr>
            </w:pPr>
          </w:p>
        </w:tc>
        <w:tc>
          <w:tcPr>
            <w:tcW w:w="1840" w:type="dxa"/>
            <w:vAlign w:val="bottom"/>
            <w:tcBorders>
              <w:bottom w:val="single" w:sz="8" w:color="auto"/>
            </w:tcBorders>
            <w:shd w:val="clear" w:color="auto" w:fill="CEFFE7"/>
          </w:tcPr>
          <w:p>
            <w:pPr>
              <w:jc w:val="right"/>
              <w:ind w:right="79"/>
              <w:spacing w:after="0"/>
              <w:rPr>
                <w:sz w:val="20"/>
                <w:szCs w:val="20"/>
                <w:color w:val="auto"/>
              </w:rPr>
            </w:pPr>
            <w:r>
              <w:rPr>
                <w:rFonts w:ascii="Arial" w:cs="Arial" w:eastAsia="Arial" w:hAnsi="Arial"/>
                <w:sz w:val="16"/>
                <w:szCs w:val="16"/>
                <w:color w:val="auto"/>
              </w:rPr>
              <w:t>Commodity Derivatives</w:t>
            </w:r>
          </w:p>
        </w:tc>
        <w:tc>
          <w:tcPr>
            <w:tcW w:w="160" w:type="dxa"/>
            <w:vAlign w:val="bottom"/>
            <w:tcBorders>
              <w:bottom w:val="single" w:sz="8" w:color="auto"/>
            </w:tcBorders>
            <w:shd w:val="clear" w:color="auto" w:fill="CEFFE7"/>
          </w:tcPr>
          <w:p>
            <w:pPr>
              <w:spacing w:after="0"/>
              <w:rPr>
                <w:sz w:val="17"/>
                <w:szCs w:val="17"/>
                <w:color w:val="auto"/>
              </w:rPr>
            </w:pPr>
          </w:p>
        </w:tc>
        <w:tc>
          <w:tcPr>
            <w:tcW w:w="1540" w:type="dxa"/>
            <w:vAlign w:val="bottom"/>
            <w:tcBorders>
              <w:bottom w:val="single" w:sz="8" w:color="auto"/>
            </w:tcBorders>
            <w:shd w:val="clear" w:color="auto" w:fill="CEFFE7"/>
          </w:tcPr>
          <w:p>
            <w:pPr>
              <w:jc w:val="center"/>
              <w:ind w:right="79"/>
              <w:spacing w:after="0"/>
              <w:rPr>
                <w:sz w:val="20"/>
                <w:szCs w:val="20"/>
                <w:color w:val="auto"/>
              </w:rPr>
            </w:pPr>
            <w:r>
              <w:rPr>
                <w:rFonts w:ascii="Arial" w:cs="Arial" w:eastAsia="Arial" w:hAnsi="Arial"/>
                <w:sz w:val="16"/>
                <w:szCs w:val="16"/>
                <w:color w:val="auto"/>
              </w:rPr>
              <w:t>Plans</w:t>
            </w:r>
          </w:p>
        </w:tc>
        <w:tc>
          <w:tcPr>
            <w:tcW w:w="340" w:type="dxa"/>
            <w:vAlign w:val="bottom"/>
            <w:tcBorders>
              <w:bottom w:val="single" w:sz="8" w:color="auto"/>
            </w:tcBorders>
            <w:shd w:val="clear" w:color="auto" w:fill="CEFFE7"/>
          </w:tcPr>
          <w:p>
            <w:pPr>
              <w:spacing w:after="0"/>
              <w:rPr>
                <w:sz w:val="17"/>
                <w:szCs w:val="17"/>
                <w:color w:val="auto"/>
              </w:rPr>
            </w:pPr>
          </w:p>
        </w:tc>
        <w:tc>
          <w:tcPr>
            <w:tcW w:w="1080" w:type="dxa"/>
            <w:vAlign w:val="bottom"/>
            <w:tcBorders>
              <w:bottom w:val="single" w:sz="8" w:color="auto"/>
            </w:tcBorders>
            <w:shd w:val="clear" w:color="auto" w:fill="CEFFE7"/>
          </w:tcPr>
          <w:p>
            <w:pPr>
              <w:jc w:val="right"/>
              <w:ind w:right="459"/>
              <w:spacing w:after="0"/>
              <w:rPr>
                <w:sz w:val="20"/>
                <w:szCs w:val="20"/>
                <w:color w:val="auto"/>
              </w:rPr>
            </w:pPr>
            <w:r>
              <w:rPr>
                <w:rFonts w:ascii="Arial" w:cs="Arial" w:eastAsia="Arial" w:hAnsi="Arial"/>
                <w:sz w:val="16"/>
                <w:szCs w:val="16"/>
                <w:color w:val="auto"/>
              </w:rPr>
              <w:t>Total</w:t>
            </w:r>
          </w:p>
        </w:tc>
      </w:tr>
      <w:tr>
        <w:trPr>
          <w:trHeight w:val="209"/>
        </w:trPr>
        <w:tc>
          <w:tcPr>
            <w:tcW w:w="3820" w:type="dxa"/>
            <w:vAlign w:val="bottom"/>
          </w:tcPr>
          <w:p>
            <w:pPr>
              <w:ind w:left="20"/>
              <w:spacing w:after="0"/>
              <w:rPr>
                <w:sz w:val="20"/>
                <w:szCs w:val="20"/>
                <w:color w:val="auto"/>
              </w:rPr>
            </w:pPr>
            <w:r>
              <w:rPr>
                <w:rFonts w:ascii="Arial" w:cs="Arial" w:eastAsia="Arial" w:hAnsi="Arial"/>
                <w:sz w:val="16"/>
                <w:szCs w:val="16"/>
                <w:color w:val="auto"/>
              </w:rPr>
              <w:t>As of December 31, 2019</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020" w:type="dxa"/>
            <w:vAlign w:val="bottom"/>
          </w:tcPr>
          <w:p>
            <w:pPr>
              <w:jc w:val="right"/>
              <w:spacing w:after="0"/>
              <w:rPr>
                <w:sz w:val="20"/>
                <w:szCs w:val="20"/>
                <w:color w:val="auto"/>
              </w:rPr>
            </w:pPr>
            <w:r>
              <w:rPr>
                <w:rFonts w:ascii="Arial" w:cs="Arial" w:eastAsia="Arial" w:hAnsi="Arial"/>
                <w:sz w:val="16"/>
                <w:szCs w:val="16"/>
                <w:color w:val="auto"/>
              </w:rPr>
              <w:t>(15,122)</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840" w:type="dxa"/>
            <w:vAlign w:val="bottom"/>
          </w:tcPr>
          <w:p>
            <w:pPr>
              <w:jc w:val="right"/>
              <w:spacing w:after="0"/>
              <w:rPr>
                <w:sz w:val="20"/>
                <w:szCs w:val="20"/>
                <w:color w:val="auto"/>
              </w:rPr>
            </w:pPr>
            <w:r>
              <w:rPr>
                <w:rFonts w:ascii="Arial" w:cs="Arial" w:eastAsia="Arial" w:hAnsi="Arial"/>
                <w:sz w:val="16"/>
                <w:szCs w:val="16"/>
                <w:color w:val="auto"/>
              </w:rPr>
              <w:t>(456)</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(15,077)</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(30,655)</w:t>
            </w:r>
          </w:p>
        </w:tc>
      </w:tr>
      <w:tr>
        <w:trPr>
          <w:trHeight w:val="219"/>
        </w:trPr>
        <w:tc>
          <w:tcPr>
            <w:tcW w:w="3820" w:type="dxa"/>
            <w:vAlign w:val="bottom"/>
            <w:shd w:val="clear" w:color="auto" w:fill="CEFFE7"/>
          </w:tcPr>
          <w:p>
            <w:pPr>
              <w:ind w:left="20"/>
              <w:spacing w:after="0"/>
              <w:rPr>
                <w:sz w:val="20"/>
                <w:szCs w:val="20"/>
                <w:color w:val="auto"/>
              </w:rPr>
            </w:pPr>
            <w:r>
              <w:rPr>
                <w:rFonts w:ascii="Arial" w:cs="Arial" w:eastAsia="Arial" w:hAnsi="Arial"/>
                <w:sz w:val="16"/>
                <w:szCs w:val="16"/>
                <w:color w:val="auto"/>
              </w:rPr>
              <w:t>Other comprehensive income (loss)</w:t>
            </w:r>
          </w:p>
        </w:tc>
        <w:tc>
          <w:tcPr>
            <w:tcW w:w="260" w:type="dxa"/>
            <w:vAlign w:val="bottom"/>
            <w:shd w:val="clear" w:color="auto" w:fill="CEFFE7"/>
          </w:tcPr>
          <w:p>
            <w:pPr>
              <w:spacing w:after="0"/>
              <w:rPr>
                <w:sz w:val="19"/>
                <w:szCs w:val="19"/>
                <w:color w:val="auto"/>
              </w:rPr>
            </w:pPr>
          </w:p>
        </w:tc>
        <w:tc>
          <w:tcPr>
            <w:tcW w:w="2020" w:type="dxa"/>
            <w:vAlign w:val="bottom"/>
            <w:shd w:val="clear" w:color="auto" w:fill="CEFFE7"/>
          </w:tcPr>
          <w:p>
            <w:pPr>
              <w:spacing w:after="0"/>
              <w:rPr>
                <w:sz w:val="19"/>
                <w:szCs w:val="19"/>
                <w:color w:val="auto"/>
              </w:rPr>
            </w:pPr>
          </w:p>
        </w:tc>
        <w:tc>
          <w:tcPr>
            <w:tcW w:w="140" w:type="dxa"/>
            <w:vAlign w:val="bottom"/>
            <w:shd w:val="clear" w:color="auto" w:fill="CEFFE7"/>
          </w:tcPr>
          <w:p>
            <w:pPr>
              <w:spacing w:after="0"/>
              <w:rPr>
                <w:sz w:val="19"/>
                <w:szCs w:val="19"/>
                <w:color w:val="auto"/>
              </w:rPr>
            </w:pPr>
          </w:p>
        </w:tc>
        <w:tc>
          <w:tcPr>
            <w:tcW w:w="1840" w:type="dxa"/>
            <w:vAlign w:val="bottom"/>
            <w:shd w:val="clear" w:color="auto" w:fill="CEFFE7"/>
          </w:tcPr>
          <w:p>
            <w:pPr>
              <w:spacing w:after="0"/>
              <w:rPr>
                <w:sz w:val="19"/>
                <w:szCs w:val="19"/>
                <w:color w:val="auto"/>
              </w:rPr>
            </w:pPr>
          </w:p>
        </w:tc>
        <w:tc>
          <w:tcPr>
            <w:tcW w:w="160" w:type="dxa"/>
            <w:vAlign w:val="bottom"/>
            <w:shd w:val="clear" w:color="auto" w:fill="CEFFE7"/>
          </w:tcPr>
          <w:p>
            <w:pPr>
              <w:spacing w:after="0"/>
              <w:rPr>
                <w:sz w:val="19"/>
                <w:szCs w:val="19"/>
                <w:color w:val="auto"/>
              </w:rPr>
            </w:pPr>
          </w:p>
        </w:tc>
        <w:tc>
          <w:tcPr>
            <w:tcW w:w="1540" w:type="dxa"/>
            <w:vAlign w:val="bottom"/>
            <w:shd w:val="clear" w:color="auto" w:fill="CEFFE7"/>
          </w:tcPr>
          <w:p>
            <w:pPr>
              <w:spacing w:after="0"/>
              <w:rPr>
                <w:sz w:val="19"/>
                <w:szCs w:val="19"/>
                <w:color w:val="auto"/>
              </w:rPr>
            </w:pPr>
          </w:p>
        </w:tc>
        <w:tc>
          <w:tcPr>
            <w:tcW w:w="340" w:type="dxa"/>
            <w:vAlign w:val="bottom"/>
            <w:shd w:val="clear" w:color="auto" w:fill="CEFFE7"/>
          </w:tcPr>
          <w:p>
            <w:pPr>
              <w:spacing w:after="0"/>
              <w:rPr>
                <w:sz w:val="19"/>
                <w:szCs w:val="19"/>
                <w:color w:val="auto"/>
              </w:rPr>
            </w:pPr>
          </w:p>
        </w:tc>
        <w:tc>
          <w:tcPr>
            <w:tcW w:w="1080" w:type="dxa"/>
            <w:vAlign w:val="bottom"/>
            <w:shd w:val="clear" w:color="auto" w:fill="CEFFE7"/>
          </w:tcPr>
          <w:p>
            <w:pPr>
              <w:spacing w:after="0"/>
              <w:rPr>
                <w:sz w:val="19"/>
                <w:szCs w:val="19"/>
                <w:color w:val="auto"/>
              </w:rPr>
            </w:pPr>
          </w:p>
        </w:tc>
      </w:tr>
      <w:tr>
        <w:trPr>
          <w:trHeight w:val="213"/>
        </w:trPr>
        <w:tc>
          <w:tcPr>
            <w:tcW w:w="3820" w:type="dxa"/>
            <w:vAlign w:val="bottom"/>
          </w:tcPr>
          <w:p>
            <w:pPr>
              <w:ind w:left="140"/>
              <w:spacing w:after="0"/>
              <w:rPr>
                <w:sz w:val="20"/>
                <w:szCs w:val="20"/>
                <w:color w:val="auto"/>
              </w:rPr>
            </w:pPr>
            <w:r>
              <w:rPr>
                <w:rFonts w:ascii="Arial" w:cs="Arial" w:eastAsia="Arial" w:hAnsi="Arial"/>
                <w:sz w:val="16"/>
                <w:szCs w:val="16"/>
                <w:color w:val="auto"/>
              </w:rPr>
              <w:t>before reclassifications</w:t>
            </w:r>
          </w:p>
        </w:tc>
        <w:tc>
          <w:tcPr>
            <w:tcW w:w="260" w:type="dxa"/>
            <w:vAlign w:val="bottom"/>
          </w:tcPr>
          <w:p>
            <w:pPr>
              <w:spacing w:after="0"/>
              <w:rPr>
                <w:sz w:val="18"/>
                <w:szCs w:val="18"/>
                <w:color w:val="auto"/>
              </w:rPr>
            </w:pPr>
          </w:p>
        </w:tc>
        <w:tc>
          <w:tcPr>
            <w:tcW w:w="202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(175)</w:t>
            </w:r>
          </w:p>
        </w:tc>
        <w:tc>
          <w:tcPr>
            <w:tcW w:w="1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55</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(120)</w:t>
            </w:r>
          </w:p>
        </w:tc>
      </w:tr>
      <w:tr>
        <w:trPr>
          <w:trHeight w:val="216"/>
        </w:trPr>
        <w:tc>
          <w:tcPr>
            <w:tcW w:w="3820" w:type="dxa"/>
            <w:vAlign w:val="bottom"/>
            <w:shd w:val="clear" w:color="auto" w:fill="CEFFE7"/>
          </w:tcPr>
          <w:p>
            <w:pPr>
              <w:ind w:left="20"/>
              <w:spacing w:after="0"/>
              <w:rPr>
                <w:sz w:val="20"/>
                <w:szCs w:val="20"/>
                <w:color w:val="auto"/>
              </w:rPr>
            </w:pPr>
            <w:r>
              <w:rPr>
                <w:rFonts w:ascii="Arial" w:cs="Arial" w:eastAsia="Arial" w:hAnsi="Arial"/>
                <w:sz w:val="16"/>
                <w:szCs w:val="16"/>
                <w:color w:val="auto"/>
              </w:rPr>
              <w:t>Amounts reclassified from AOCI</w:t>
            </w:r>
          </w:p>
        </w:tc>
        <w:tc>
          <w:tcPr>
            <w:tcW w:w="260" w:type="dxa"/>
            <w:vAlign w:val="bottom"/>
            <w:tcBorders>
              <w:bottom w:val="single" w:sz="8" w:color="auto"/>
            </w:tcBorders>
            <w:shd w:val="clear" w:color="auto" w:fill="CEFFE7"/>
          </w:tcPr>
          <w:p>
            <w:pPr>
              <w:spacing w:after="0"/>
              <w:rPr>
                <w:sz w:val="18"/>
                <w:szCs w:val="18"/>
                <w:color w:val="auto"/>
              </w:rPr>
            </w:pPr>
          </w:p>
        </w:tc>
        <w:tc>
          <w:tcPr>
            <w:tcW w:w="20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543</w:t>
            </w:r>
          </w:p>
        </w:tc>
        <w:tc>
          <w:tcPr>
            <w:tcW w:w="140" w:type="dxa"/>
            <w:vAlign w:val="bottom"/>
            <w:tcBorders>
              <w:bottom w:val="single" w:sz="8" w:color="auto"/>
            </w:tcBorders>
            <w:shd w:val="clear" w:color="auto" w:fill="CEFFE7"/>
          </w:tcPr>
          <w:p>
            <w:pPr>
              <w:spacing w:after="0"/>
              <w:rPr>
                <w:sz w:val="18"/>
                <w:szCs w:val="18"/>
                <w:color w:val="auto"/>
              </w:rPr>
            </w:pPr>
          </w:p>
        </w:tc>
        <w:tc>
          <w:tcPr>
            <w:tcW w:w="18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371</w:t>
            </w:r>
          </w:p>
        </w:tc>
        <w:tc>
          <w:tcPr>
            <w:tcW w:w="160" w:type="dxa"/>
            <w:vAlign w:val="bottom"/>
            <w:tcBorders>
              <w:bottom w:val="single" w:sz="8" w:color="auto"/>
            </w:tcBorders>
            <w:shd w:val="clear" w:color="auto" w:fill="CEFFE7"/>
          </w:tcPr>
          <w:p>
            <w:pPr>
              <w:spacing w:after="0"/>
              <w:rPr>
                <w:sz w:val="18"/>
                <w:szCs w:val="18"/>
                <w:color w:val="auto"/>
              </w:rPr>
            </w:pPr>
          </w:p>
        </w:tc>
        <w:tc>
          <w:tcPr>
            <w:tcW w:w="15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479</w:t>
            </w:r>
          </w:p>
        </w:tc>
        <w:tc>
          <w:tcPr>
            <w:tcW w:w="340" w:type="dxa"/>
            <w:vAlign w:val="bottom"/>
            <w:tcBorders>
              <w:bottom w:val="single" w:sz="8" w:color="auto"/>
            </w:tcBorders>
            <w:shd w:val="clear" w:color="auto" w:fill="CEFFE7"/>
          </w:tcPr>
          <w:p>
            <w:pPr>
              <w:spacing w:after="0"/>
              <w:rPr>
                <w:sz w:val="18"/>
                <w:szCs w:val="18"/>
                <w:color w:val="auto"/>
              </w:rPr>
            </w:pPr>
          </w:p>
        </w:tc>
        <w:tc>
          <w:tcPr>
            <w:tcW w:w="10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1,393</w:t>
            </w:r>
          </w:p>
        </w:tc>
      </w:tr>
      <w:tr>
        <w:trPr>
          <w:trHeight w:val="213"/>
        </w:trPr>
        <w:tc>
          <w:tcPr>
            <w:tcW w:w="3820" w:type="dxa"/>
            <w:vAlign w:val="bottom"/>
          </w:tcPr>
          <w:p>
            <w:pPr>
              <w:ind w:left="20"/>
              <w:spacing w:after="0"/>
              <w:rPr>
                <w:sz w:val="20"/>
                <w:szCs w:val="20"/>
                <w:color w:val="auto"/>
              </w:rPr>
            </w:pPr>
            <w:r>
              <w:rPr>
                <w:rFonts w:ascii="Arial" w:cs="Arial" w:eastAsia="Arial" w:hAnsi="Arial"/>
                <w:sz w:val="16"/>
                <w:szCs w:val="16"/>
                <w:color w:val="auto"/>
              </w:rPr>
              <w:t>As of March 31, 2020</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(14,579)</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(14,543)</w:t>
            </w: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(29,382)</w:t>
            </w:r>
          </w:p>
        </w:tc>
      </w:tr>
      <w:tr>
        <w:trPr>
          <w:trHeight w:val="20"/>
        </w:trPr>
        <w:tc>
          <w:tcPr>
            <w:tcW w:w="38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ind w:left="480" w:hanging="472"/>
        <w:spacing w:after="0"/>
        <w:tabs>
          <w:tab w:leader="none" w:pos="480" w:val="left"/>
        </w:tabs>
        <w:numPr>
          <w:ilvl w:val="0"/>
          <w:numId w:val="15"/>
        </w:numPr>
        <w:rPr>
          <w:rFonts w:ascii="Arial" w:cs="Arial" w:eastAsia="Arial" w:hAnsi="Arial"/>
          <w:sz w:val="16"/>
          <w:szCs w:val="16"/>
          <w:b w:val="1"/>
          <w:bCs w:val="1"/>
          <w:color w:val="auto"/>
        </w:rPr>
      </w:pPr>
      <w:r>
        <w:rPr>
          <w:rFonts w:ascii="Arial" w:cs="Arial" w:eastAsia="Arial" w:hAnsi="Arial"/>
          <w:sz w:val="16"/>
          <w:szCs w:val="16"/>
          <w:b w:val="1"/>
          <w:bCs w:val="1"/>
          <w:color w:val="auto"/>
        </w:rPr>
        <w:t>Employee Benefit Plans</w:t>
      </w: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Defined Benefit Pension Plan</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The components of net periodic benefit cost for the Defined Benefit Pension Plan were as follows (in thousands):</w:t>
      </w:r>
    </w:p>
    <w:p>
      <w:pPr>
        <w:spacing w:after="0" w:line="140"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6580" w:type="dxa"/>
            <w:vAlign w:val="bottom"/>
          </w:tcPr>
          <w:p>
            <w:pPr>
              <w:spacing w:after="0"/>
              <w:rPr>
                <w:sz w:val="16"/>
                <w:szCs w:val="16"/>
                <w:color w:val="auto"/>
              </w:rPr>
            </w:pPr>
          </w:p>
        </w:tc>
        <w:tc>
          <w:tcPr>
            <w:tcW w:w="3860" w:type="dxa"/>
            <w:vAlign w:val="bottom"/>
            <w:gridSpan w:val="3"/>
          </w:tcPr>
          <w:p>
            <w:pPr>
              <w:jc w:val="right"/>
              <w:ind w:right="319"/>
              <w:spacing w:after="0"/>
              <w:rPr>
                <w:sz w:val="20"/>
                <w:szCs w:val="20"/>
                <w:color w:val="auto"/>
              </w:rPr>
            </w:pPr>
            <w:r>
              <w:rPr>
                <w:rFonts w:ascii="Arial" w:cs="Arial" w:eastAsia="Arial" w:hAnsi="Arial"/>
                <w:sz w:val="16"/>
                <w:szCs w:val="16"/>
                <w:color w:val="auto"/>
              </w:rPr>
              <w:t>Three Months Ended March 31,</w:t>
            </w:r>
          </w:p>
        </w:tc>
        <w:tc>
          <w:tcPr>
            <w:tcW w:w="760" w:type="dxa"/>
            <w:vAlign w:val="bottom"/>
          </w:tcPr>
          <w:p>
            <w:pPr>
              <w:spacing w:after="0"/>
              <w:rPr>
                <w:sz w:val="16"/>
                <w:szCs w:val="16"/>
                <w:color w:val="auto"/>
              </w:rPr>
            </w:pPr>
          </w:p>
        </w:tc>
      </w:tr>
      <w:tr>
        <w:trPr>
          <w:trHeight w:val="219"/>
        </w:trPr>
        <w:tc>
          <w:tcPr>
            <w:tcW w:w="6580" w:type="dxa"/>
            <w:vAlign w:val="bottom"/>
            <w:tcBorders>
              <w:bottom w:val="single" w:sz="8" w:color="CEFFE7"/>
            </w:tcBorders>
          </w:tcPr>
          <w:p>
            <w:pPr>
              <w:spacing w:after="0"/>
              <w:rPr>
                <w:sz w:val="19"/>
                <w:szCs w:val="19"/>
                <w:color w:val="auto"/>
              </w:rPr>
            </w:pPr>
          </w:p>
        </w:tc>
        <w:tc>
          <w:tcPr>
            <w:tcW w:w="15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2021</w:t>
            </w:r>
          </w:p>
        </w:tc>
        <w:tc>
          <w:tcPr>
            <w:tcW w:w="7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2020</w:t>
            </w:r>
          </w:p>
        </w:tc>
        <w:tc>
          <w:tcPr>
            <w:tcW w:w="760" w:type="dxa"/>
            <w:vAlign w:val="bottom"/>
            <w:tcBorders>
              <w:bottom w:val="single" w:sz="8" w:color="auto"/>
            </w:tcBorders>
          </w:tcPr>
          <w:p>
            <w:pPr>
              <w:spacing w:after="0"/>
              <w:rPr>
                <w:sz w:val="19"/>
                <w:szCs w:val="19"/>
                <w:color w:val="auto"/>
              </w:rPr>
            </w:pPr>
          </w:p>
        </w:tc>
      </w:tr>
      <w:tr>
        <w:trPr>
          <w:trHeight w:val="213"/>
        </w:trPr>
        <w:tc>
          <w:tcPr>
            <w:tcW w:w="6580" w:type="dxa"/>
            <w:vAlign w:val="bottom"/>
            <w:shd w:val="clear" w:color="auto" w:fill="CEFFE7"/>
          </w:tcPr>
          <w:p>
            <w:pPr>
              <w:ind w:left="20"/>
              <w:spacing w:after="0"/>
              <w:rPr>
                <w:sz w:val="20"/>
                <w:szCs w:val="20"/>
                <w:color w:val="auto"/>
              </w:rPr>
            </w:pPr>
            <w:r>
              <w:rPr>
                <w:rFonts w:ascii="Arial" w:cs="Arial" w:eastAsia="Arial" w:hAnsi="Arial"/>
                <w:sz w:val="16"/>
                <w:szCs w:val="16"/>
                <w:color w:val="auto"/>
              </w:rPr>
              <w:t>Service cost</w:t>
            </w:r>
          </w:p>
        </w:tc>
        <w:tc>
          <w:tcPr>
            <w:tcW w:w="1540" w:type="dxa"/>
            <w:vAlign w:val="bottom"/>
            <w:shd w:val="clear" w:color="auto" w:fill="CEFFE7"/>
          </w:tcPr>
          <w:p>
            <w:pPr>
              <w:jc w:val="right"/>
              <w:ind w:right="135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1,259</w:t>
            </w:r>
          </w:p>
        </w:tc>
        <w:tc>
          <w:tcPr>
            <w:tcW w:w="1560" w:type="dxa"/>
            <w:vAlign w:val="bottom"/>
            <w:shd w:val="clear" w:color="auto" w:fill="CEFFE7"/>
          </w:tcPr>
          <w:p>
            <w:pPr>
              <w:jc w:val="right"/>
              <w:ind w:right="1359"/>
              <w:spacing w:after="0"/>
              <w:rPr>
                <w:sz w:val="20"/>
                <w:szCs w:val="20"/>
                <w:color w:val="auto"/>
              </w:rPr>
            </w:pPr>
            <w:r>
              <w:rPr>
                <w:rFonts w:ascii="Arial" w:cs="Arial" w:eastAsia="Arial" w:hAnsi="Arial"/>
                <w:sz w:val="16"/>
                <w:szCs w:val="16"/>
                <w:color w:val="auto"/>
              </w:rPr>
              <w:t>$</w:t>
            </w:r>
          </w:p>
        </w:tc>
        <w:tc>
          <w:tcPr>
            <w:tcW w:w="760" w:type="dxa"/>
            <w:vAlign w:val="bottom"/>
            <w:shd w:val="clear" w:color="auto" w:fill="CEFFE7"/>
          </w:tcPr>
          <w:p>
            <w:pPr>
              <w:jc w:val="center"/>
              <w:ind w:left="139"/>
              <w:spacing w:after="0"/>
              <w:rPr>
                <w:sz w:val="20"/>
                <w:szCs w:val="20"/>
                <w:color w:val="auto"/>
              </w:rPr>
            </w:pPr>
            <w:r>
              <w:rPr>
                <w:rFonts w:ascii="Arial" w:cs="Arial" w:eastAsia="Arial" w:hAnsi="Arial"/>
                <w:sz w:val="16"/>
                <w:szCs w:val="16"/>
                <w:color w:val="auto"/>
              </w:rPr>
              <w:t>1,353</w:t>
            </w:r>
          </w:p>
        </w:tc>
      </w:tr>
      <w:tr>
        <w:trPr>
          <w:trHeight w:val="213"/>
        </w:trPr>
        <w:tc>
          <w:tcPr>
            <w:tcW w:w="6580" w:type="dxa"/>
            <w:vAlign w:val="bottom"/>
          </w:tcPr>
          <w:p>
            <w:pPr>
              <w:ind w:left="20"/>
              <w:spacing w:after="0"/>
              <w:rPr>
                <w:sz w:val="20"/>
                <w:szCs w:val="20"/>
                <w:color w:val="auto"/>
              </w:rPr>
            </w:pPr>
            <w:r>
              <w:rPr>
                <w:rFonts w:ascii="Arial" w:cs="Arial" w:eastAsia="Arial" w:hAnsi="Arial"/>
                <w:sz w:val="16"/>
                <w:szCs w:val="16"/>
                <w:color w:val="auto"/>
              </w:rPr>
              <w:t>Interest cost</w:t>
            </w:r>
          </w:p>
        </w:tc>
        <w:tc>
          <w:tcPr>
            <w:tcW w:w="15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2,328</w:t>
            </w:r>
          </w:p>
        </w:tc>
        <w:tc>
          <w:tcPr>
            <w:tcW w:w="1560" w:type="dxa"/>
            <w:vAlign w:val="bottom"/>
          </w:tcPr>
          <w:p>
            <w:pPr>
              <w:spacing w:after="0"/>
              <w:rPr>
                <w:sz w:val="18"/>
                <w:szCs w:val="18"/>
                <w:color w:val="auto"/>
              </w:rPr>
            </w:pPr>
          </w:p>
        </w:tc>
        <w:tc>
          <w:tcPr>
            <w:tcW w:w="760" w:type="dxa"/>
            <w:vAlign w:val="bottom"/>
          </w:tcPr>
          <w:p>
            <w:pPr>
              <w:jc w:val="center"/>
              <w:ind w:left="139"/>
              <w:spacing w:after="0"/>
              <w:rPr>
                <w:sz w:val="20"/>
                <w:szCs w:val="20"/>
                <w:color w:val="auto"/>
              </w:rPr>
            </w:pPr>
            <w:r>
              <w:rPr>
                <w:rFonts w:ascii="Arial" w:cs="Arial" w:eastAsia="Arial" w:hAnsi="Arial"/>
                <w:sz w:val="16"/>
                <w:szCs w:val="16"/>
                <w:color w:val="auto"/>
              </w:rPr>
              <w:t>3,357</w:t>
            </w:r>
          </w:p>
        </w:tc>
      </w:tr>
      <w:tr>
        <w:trPr>
          <w:trHeight w:val="219"/>
        </w:trPr>
        <w:tc>
          <w:tcPr>
            <w:tcW w:w="6580" w:type="dxa"/>
            <w:vAlign w:val="bottom"/>
            <w:shd w:val="clear" w:color="auto" w:fill="CEFFE7"/>
          </w:tcPr>
          <w:p>
            <w:pPr>
              <w:ind w:left="20"/>
              <w:spacing w:after="0"/>
              <w:rPr>
                <w:sz w:val="20"/>
                <w:szCs w:val="20"/>
                <w:color w:val="auto"/>
              </w:rPr>
            </w:pPr>
            <w:r>
              <w:rPr>
                <w:rFonts w:ascii="Arial" w:cs="Arial" w:eastAsia="Arial" w:hAnsi="Arial"/>
                <w:sz w:val="16"/>
                <w:szCs w:val="16"/>
                <w:color w:val="auto"/>
              </w:rPr>
              <w:t>Expected return on plan assets</w:t>
            </w:r>
          </w:p>
        </w:tc>
        <w:tc>
          <w:tcPr>
            <w:tcW w:w="1540" w:type="dxa"/>
            <w:vAlign w:val="bottom"/>
            <w:shd w:val="clear" w:color="auto" w:fill="CEFFE7"/>
          </w:tcPr>
          <w:p>
            <w:pPr>
              <w:spacing w:after="0"/>
              <w:rPr>
                <w:sz w:val="19"/>
                <w:szCs w:val="19"/>
                <w:color w:val="auto"/>
              </w:rPr>
            </w:pPr>
          </w:p>
        </w:tc>
        <w:tc>
          <w:tcPr>
            <w:tcW w:w="7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(5,219)</w:t>
            </w:r>
          </w:p>
        </w:tc>
        <w:tc>
          <w:tcPr>
            <w:tcW w:w="1560" w:type="dxa"/>
            <w:vAlign w:val="bottom"/>
            <w:shd w:val="clear" w:color="auto" w:fill="CEFFE7"/>
          </w:tcPr>
          <w:p>
            <w:pPr>
              <w:spacing w:after="0"/>
              <w:rPr>
                <w:sz w:val="19"/>
                <w:szCs w:val="19"/>
                <w:color w:val="auto"/>
              </w:rPr>
            </w:pPr>
          </w:p>
        </w:tc>
        <w:tc>
          <w:tcPr>
            <w:tcW w:w="760" w:type="dxa"/>
            <w:vAlign w:val="bottom"/>
            <w:shd w:val="clear" w:color="auto" w:fill="CEFFE7"/>
          </w:tcPr>
          <w:p>
            <w:pPr>
              <w:jc w:val="center"/>
              <w:ind w:left="119"/>
              <w:spacing w:after="0"/>
              <w:rPr>
                <w:sz w:val="20"/>
                <w:szCs w:val="20"/>
                <w:color w:val="auto"/>
              </w:rPr>
            </w:pPr>
            <w:r>
              <w:rPr>
                <w:rFonts w:ascii="Arial" w:cs="Arial" w:eastAsia="Arial" w:hAnsi="Arial"/>
                <w:sz w:val="16"/>
                <w:szCs w:val="16"/>
                <w:color w:val="auto"/>
              </w:rPr>
              <w:t>(5,648)</w:t>
            </w:r>
          </w:p>
        </w:tc>
      </w:tr>
      <w:tr>
        <w:trPr>
          <w:trHeight w:val="213"/>
        </w:trPr>
        <w:tc>
          <w:tcPr>
            <w:tcW w:w="6580" w:type="dxa"/>
            <w:vAlign w:val="bottom"/>
            <w:tcBorders>
              <w:bottom w:val="single" w:sz="8" w:color="CEFFE7"/>
            </w:tcBorders>
          </w:tcPr>
          <w:p>
            <w:pPr>
              <w:ind w:left="20"/>
              <w:spacing w:after="0"/>
              <w:rPr>
                <w:sz w:val="20"/>
                <w:szCs w:val="20"/>
                <w:color w:val="auto"/>
              </w:rPr>
            </w:pPr>
            <w:r>
              <w:rPr>
                <w:rFonts w:ascii="Arial" w:cs="Arial" w:eastAsia="Arial" w:hAnsi="Arial"/>
                <w:sz w:val="16"/>
                <w:szCs w:val="16"/>
                <w:color w:val="auto"/>
              </w:rPr>
              <w:t>Net loss (gain)</w:t>
            </w:r>
          </w:p>
        </w:tc>
        <w:tc>
          <w:tcPr>
            <w:tcW w:w="15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1,829</w:t>
            </w:r>
          </w:p>
        </w:tc>
        <w:tc>
          <w:tcPr>
            <w:tcW w:w="15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center"/>
              <w:ind w:left="139"/>
              <w:spacing w:after="0"/>
              <w:rPr>
                <w:sz w:val="20"/>
                <w:szCs w:val="20"/>
                <w:color w:val="auto"/>
              </w:rPr>
            </w:pPr>
            <w:r>
              <w:rPr>
                <w:rFonts w:ascii="Arial" w:cs="Arial" w:eastAsia="Arial" w:hAnsi="Arial"/>
                <w:sz w:val="16"/>
                <w:szCs w:val="16"/>
                <w:color w:val="auto"/>
              </w:rPr>
              <w:t>2,093</w:t>
            </w:r>
          </w:p>
        </w:tc>
      </w:tr>
      <w:tr>
        <w:trPr>
          <w:trHeight w:val="238"/>
        </w:trPr>
        <w:tc>
          <w:tcPr>
            <w:tcW w:w="658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Net periodic benefit cost</w:t>
            </w:r>
          </w:p>
        </w:tc>
        <w:tc>
          <w:tcPr>
            <w:tcW w:w="1540" w:type="dxa"/>
            <w:vAlign w:val="bottom"/>
            <w:tcBorders>
              <w:bottom w:val="single" w:sz="8" w:color="auto"/>
            </w:tcBorders>
            <w:shd w:val="clear" w:color="auto" w:fill="CEFFE7"/>
          </w:tcPr>
          <w:p>
            <w:pPr>
              <w:jc w:val="right"/>
              <w:ind w:right="135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197</w:t>
            </w:r>
          </w:p>
        </w:tc>
        <w:tc>
          <w:tcPr>
            <w:tcW w:w="1560" w:type="dxa"/>
            <w:vAlign w:val="bottom"/>
            <w:tcBorders>
              <w:bottom w:val="single" w:sz="8" w:color="auto"/>
            </w:tcBorders>
            <w:shd w:val="clear" w:color="auto" w:fill="CEFFE7"/>
          </w:tcPr>
          <w:p>
            <w:pPr>
              <w:jc w:val="right"/>
              <w:ind w:right="135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CEFFE7"/>
          </w:tcPr>
          <w:p>
            <w:pPr>
              <w:jc w:val="center"/>
              <w:ind w:left="139"/>
              <w:spacing w:after="0"/>
              <w:rPr>
                <w:sz w:val="20"/>
                <w:szCs w:val="20"/>
                <w:color w:val="auto"/>
              </w:rPr>
            </w:pPr>
            <w:r>
              <w:rPr>
                <w:rFonts w:ascii="Arial" w:cs="Arial" w:eastAsia="Arial" w:hAnsi="Arial"/>
                <w:sz w:val="16"/>
                <w:szCs w:val="16"/>
                <w:color w:val="auto"/>
              </w:rPr>
              <w:t>1,155</w:t>
            </w:r>
          </w:p>
        </w:tc>
      </w:tr>
      <w:tr>
        <w:trPr>
          <w:trHeight w:val="20"/>
        </w:trPr>
        <w:tc>
          <w:tcPr>
            <w:tcW w:w="6580" w:type="dxa"/>
            <w:vAlign w:val="bottom"/>
            <w:tcBorders>
              <w:top w:val="single" w:sz="8" w:color="CEFFE7"/>
            </w:tcBorders>
          </w:tcPr>
          <w:p>
            <w:pPr>
              <w:spacing w:after="0" w:line="20" w:lineRule="exact"/>
              <w:rPr>
                <w:sz w:val="1"/>
                <w:szCs w:val="1"/>
                <w:color w:val="auto"/>
              </w:rPr>
            </w:pPr>
          </w:p>
        </w:tc>
        <w:tc>
          <w:tcPr>
            <w:tcW w:w="1540" w:type="dxa"/>
            <w:vAlign w:val="bottom"/>
            <w:tcBorders>
              <w:top w:val="single" w:sz="8" w:color="CEFFE7"/>
              <w:bottom w:val="single" w:sz="8" w:color="auto"/>
            </w:tcBorders>
          </w:tcPr>
          <w:p>
            <w:pPr>
              <w:spacing w:after="0" w:line="20" w:lineRule="exact"/>
              <w:rPr>
                <w:sz w:val="1"/>
                <w:szCs w:val="1"/>
                <w:color w:val="auto"/>
              </w:rPr>
            </w:pPr>
          </w:p>
        </w:tc>
        <w:tc>
          <w:tcPr>
            <w:tcW w:w="760" w:type="dxa"/>
            <w:vAlign w:val="bottom"/>
            <w:tcBorders>
              <w:top w:val="single" w:sz="8" w:color="CEFFE7"/>
              <w:bottom w:val="single" w:sz="8" w:color="auto"/>
            </w:tcBorders>
          </w:tcPr>
          <w:p>
            <w:pPr>
              <w:spacing w:after="0" w:line="20" w:lineRule="exact"/>
              <w:rPr>
                <w:sz w:val="1"/>
                <w:szCs w:val="1"/>
                <w:color w:val="auto"/>
              </w:rPr>
            </w:pPr>
          </w:p>
        </w:tc>
        <w:tc>
          <w:tcPr>
            <w:tcW w:w="1560" w:type="dxa"/>
            <w:vAlign w:val="bottom"/>
            <w:tcBorders>
              <w:top w:val="single" w:sz="8" w:color="CEFFE7"/>
              <w:bottom w:val="single" w:sz="8" w:color="auto"/>
            </w:tcBorders>
          </w:tcPr>
          <w:p>
            <w:pPr>
              <w:spacing w:after="0" w:line="20" w:lineRule="exact"/>
              <w:rPr>
                <w:sz w:val="1"/>
                <w:szCs w:val="1"/>
                <w:color w:val="auto"/>
              </w:rPr>
            </w:pPr>
          </w:p>
        </w:tc>
        <w:tc>
          <w:tcPr>
            <w:tcW w:w="760" w:type="dxa"/>
            <w:vAlign w:val="bottom"/>
            <w:tcBorders>
              <w:top w:val="single" w:sz="8" w:color="CEFFE7"/>
              <w:bottom w:val="single" w:sz="8" w:color="auto"/>
            </w:tcBorders>
          </w:tcPr>
          <w:p>
            <w:pPr>
              <w:spacing w:after="0" w:line="20" w:lineRule="exact"/>
              <w:rPr>
                <w:sz w:val="1"/>
                <w:szCs w:val="1"/>
                <w:color w:val="auto"/>
              </w:rPr>
            </w:pPr>
          </w:p>
        </w:tc>
      </w:tr>
    </w:tbl>
    <w:p>
      <w:pPr>
        <w:spacing w:after="0" w:line="33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Defined Benefit Postretirement Healthcare Plan</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The components of net periodic benefit cost for the Defined Benefit Postretirement Healthcare Plan were as follows (in thousands):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3940" w:type="dxa"/>
            <w:vAlign w:val="bottom"/>
            <w:gridSpan w:val="3"/>
          </w:tcPr>
          <w:p>
            <w:pPr>
              <w:jc w:val="right"/>
              <w:ind w:right="399"/>
              <w:spacing w:after="0"/>
              <w:rPr>
                <w:sz w:val="20"/>
                <w:szCs w:val="20"/>
                <w:color w:val="auto"/>
              </w:rPr>
            </w:pPr>
            <w:r>
              <w:rPr>
                <w:rFonts w:ascii="Arial" w:cs="Arial" w:eastAsia="Arial" w:hAnsi="Arial"/>
                <w:sz w:val="16"/>
                <w:szCs w:val="16"/>
                <w:color w:val="auto"/>
              </w:rPr>
              <w:t>Three Months Ended March 31,</w:t>
            </w: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880" w:type="dxa"/>
            <w:vAlign w:val="bottom"/>
            <w:tcBorders>
              <w:bottom w:val="single" w:sz="8" w:color="CEFFE7"/>
            </w:tcBorders>
          </w:tcPr>
          <w:p>
            <w:pPr>
              <w:spacing w:after="0"/>
              <w:rPr>
                <w:sz w:val="19"/>
                <w:szCs w:val="19"/>
                <w:color w:val="auto"/>
              </w:rPr>
            </w:pPr>
          </w:p>
        </w:tc>
        <w:tc>
          <w:tcPr>
            <w:tcW w:w="2700" w:type="dxa"/>
            <w:vAlign w:val="bottom"/>
            <w:tcBorders>
              <w:bottom w:val="single" w:sz="8" w:color="CEFFE7"/>
            </w:tcBorders>
          </w:tcPr>
          <w:p>
            <w:pPr>
              <w:spacing w:after="0"/>
              <w:rPr>
                <w:sz w:val="19"/>
                <w:szCs w:val="19"/>
                <w:color w:val="auto"/>
              </w:rPr>
            </w:pPr>
          </w:p>
        </w:tc>
        <w:tc>
          <w:tcPr>
            <w:tcW w:w="16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2021</w:t>
            </w:r>
          </w:p>
        </w:tc>
        <w:tc>
          <w:tcPr>
            <w:tcW w:w="6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2020</w:t>
            </w:r>
          </w:p>
        </w:tc>
        <w:tc>
          <w:tcPr>
            <w:tcW w:w="68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880" w:type="dxa"/>
            <w:vAlign w:val="bottom"/>
            <w:shd w:val="clear" w:color="auto" w:fill="CEFFE7"/>
          </w:tcPr>
          <w:p>
            <w:pPr>
              <w:ind w:left="20"/>
              <w:spacing w:after="0"/>
              <w:rPr>
                <w:sz w:val="20"/>
                <w:szCs w:val="20"/>
                <w:color w:val="auto"/>
              </w:rPr>
            </w:pPr>
            <w:r>
              <w:rPr>
                <w:rFonts w:ascii="Arial" w:cs="Arial" w:eastAsia="Arial" w:hAnsi="Arial"/>
                <w:sz w:val="16"/>
                <w:szCs w:val="16"/>
                <w:color w:val="auto"/>
              </w:rPr>
              <w:t>Service cost</w:t>
            </w:r>
          </w:p>
        </w:tc>
        <w:tc>
          <w:tcPr>
            <w:tcW w:w="4320" w:type="dxa"/>
            <w:vAlign w:val="bottom"/>
            <w:gridSpan w:val="2"/>
            <w:shd w:val="clear" w:color="auto" w:fill="CEFFE7"/>
          </w:tcPr>
          <w:p>
            <w:pPr>
              <w:jc w:val="right"/>
              <w:ind w:right="1439"/>
              <w:spacing w:after="0"/>
              <w:rPr>
                <w:sz w:val="20"/>
                <w:szCs w:val="20"/>
                <w:color w:val="auto"/>
              </w:rPr>
            </w:pPr>
            <w:r>
              <w:rPr>
                <w:rFonts w:ascii="Arial" w:cs="Arial" w:eastAsia="Arial" w:hAnsi="Arial"/>
                <w:sz w:val="16"/>
                <w:szCs w:val="16"/>
                <w:color w:val="auto"/>
              </w:rPr>
              <w:t>$</w:t>
            </w:r>
          </w:p>
        </w:tc>
        <w:tc>
          <w:tcPr>
            <w:tcW w:w="6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559</w:t>
            </w:r>
          </w:p>
        </w:tc>
        <w:tc>
          <w:tcPr>
            <w:tcW w:w="1640" w:type="dxa"/>
            <w:vAlign w:val="bottom"/>
            <w:shd w:val="clear" w:color="auto" w:fill="CEFFE7"/>
          </w:tcPr>
          <w:p>
            <w:pPr>
              <w:jc w:val="right"/>
              <w:ind w:right="1439"/>
              <w:spacing w:after="0"/>
              <w:rPr>
                <w:sz w:val="20"/>
                <w:szCs w:val="20"/>
                <w:color w:val="auto"/>
              </w:rPr>
            </w:pPr>
            <w:r>
              <w:rPr>
                <w:rFonts w:ascii="Arial" w:cs="Arial" w:eastAsia="Arial" w:hAnsi="Arial"/>
                <w:sz w:val="16"/>
                <w:szCs w:val="16"/>
                <w:color w:val="auto"/>
              </w:rPr>
              <w:t>$</w:t>
            </w:r>
          </w:p>
        </w:tc>
        <w:tc>
          <w:tcPr>
            <w:tcW w:w="6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514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880" w:type="dxa"/>
            <w:vAlign w:val="bottom"/>
          </w:tcPr>
          <w:p>
            <w:pPr>
              <w:ind w:left="20"/>
              <w:spacing w:after="0"/>
              <w:rPr>
                <w:sz w:val="20"/>
                <w:szCs w:val="20"/>
                <w:color w:val="auto"/>
              </w:rPr>
            </w:pPr>
            <w:r>
              <w:rPr>
                <w:rFonts w:ascii="Arial" w:cs="Arial" w:eastAsia="Arial" w:hAnsi="Arial"/>
                <w:sz w:val="16"/>
                <w:szCs w:val="16"/>
                <w:color w:val="auto"/>
              </w:rPr>
              <w:t>Interest cost</w:t>
            </w:r>
          </w:p>
        </w:tc>
        <w:tc>
          <w:tcPr>
            <w:tcW w:w="27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265</w:t>
            </w:r>
          </w:p>
        </w:tc>
        <w:tc>
          <w:tcPr>
            <w:tcW w:w="16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880" w:type="dxa"/>
            <w:vAlign w:val="bottom"/>
            <w:shd w:val="clear" w:color="auto" w:fill="CEFFE7"/>
          </w:tcPr>
          <w:p>
            <w:pPr>
              <w:ind w:left="20"/>
              <w:spacing w:after="0"/>
              <w:rPr>
                <w:sz w:val="20"/>
                <w:szCs w:val="20"/>
                <w:color w:val="auto"/>
              </w:rPr>
            </w:pPr>
            <w:r>
              <w:rPr>
                <w:rFonts w:ascii="Arial" w:cs="Arial" w:eastAsia="Arial" w:hAnsi="Arial"/>
                <w:sz w:val="16"/>
                <w:szCs w:val="16"/>
                <w:color w:val="auto"/>
              </w:rPr>
              <w:t>Expected return on plan assets</w:t>
            </w:r>
          </w:p>
        </w:tc>
        <w:tc>
          <w:tcPr>
            <w:tcW w:w="2700" w:type="dxa"/>
            <w:vAlign w:val="bottom"/>
            <w:shd w:val="clear" w:color="auto" w:fill="CEFFE7"/>
          </w:tcPr>
          <w:p>
            <w:pPr>
              <w:spacing w:after="0"/>
              <w:rPr>
                <w:sz w:val="19"/>
                <w:szCs w:val="19"/>
                <w:color w:val="auto"/>
              </w:rPr>
            </w:pPr>
          </w:p>
        </w:tc>
        <w:tc>
          <w:tcPr>
            <w:tcW w:w="1620" w:type="dxa"/>
            <w:vAlign w:val="bottom"/>
            <w:shd w:val="clear" w:color="auto" w:fill="CEFFE7"/>
          </w:tcPr>
          <w:p>
            <w:pPr>
              <w:spacing w:after="0"/>
              <w:rPr>
                <w:sz w:val="19"/>
                <w:szCs w:val="19"/>
                <w:color w:val="auto"/>
              </w:rPr>
            </w:pPr>
          </w:p>
        </w:tc>
        <w:tc>
          <w:tcPr>
            <w:tcW w:w="6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(34)</w:t>
            </w:r>
          </w:p>
        </w:tc>
        <w:tc>
          <w:tcPr>
            <w:tcW w:w="1640" w:type="dxa"/>
            <w:vAlign w:val="bottom"/>
            <w:shd w:val="clear" w:color="auto" w:fill="CEFFE7"/>
          </w:tcPr>
          <w:p>
            <w:pPr>
              <w:spacing w:after="0"/>
              <w:rPr>
                <w:sz w:val="19"/>
                <w:szCs w:val="19"/>
                <w:color w:val="auto"/>
              </w:rPr>
            </w:pPr>
          </w:p>
        </w:tc>
        <w:tc>
          <w:tcPr>
            <w:tcW w:w="6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(45)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880" w:type="dxa"/>
            <w:vAlign w:val="bottom"/>
          </w:tcPr>
          <w:p>
            <w:pPr>
              <w:ind w:left="20"/>
              <w:spacing w:after="0"/>
              <w:rPr>
                <w:sz w:val="20"/>
                <w:szCs w:val="20"/>
                <w:color w:val="auto"/>
              </w:rPr>
            </w:pPr>
            <w:r>
              <w:rPr>
                <w:rFonts w:ascii="Arial" w:cs="Arial" w:eastAsia="Arial" w:hAnsi="Arial"/>
                <w:sz w:val="16"/>
                <w:szCs w:val="16"/>
                <w:color w:val="auto"/>
              </w:rPr>
              <w:t>Prior service cost (benefit)</w:t>
            </w:r>
          </w:p>
        </w:tc>
        <w:tc>
          <w:tcPr>
            <w:tcW w:w="27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(109)</w:t>
            </w:r>
          </w:p>
        </w:tc>
        <w:tc>
          <w:tcPr>
            <w:tcW w:w="16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EFFE7"/>
          </w:tcPr>
          <w:p>
            <w:pPr>
              <w:ind w:left="20"/>
              <w:spacing w:after="0"/>
              <w:rPr>
                <w:sz w:val="20"/>
                <w:szCs w:val="20"/>
                <w:color w:val="auto"/>
              </w:rPr>
            </w:pPr>
            <w:r>
              <w:rPr>
                <w:rFonts w:ascii="Arial" w:cs="Arial" w:eastAsia="Arial" w:hAnsi="Arial"/>
                <w:sz w:val="16"/>
                <w:szCs w:val="16"/>
                <w:color w:val="auto"/>
              </w:rPr>
              <w:t>Net loss (gain)</w:t>
            </w:r>
          </w:p>
        </w:tc>
        <w:tc>
          <w:tcPr>
            <w:tcW w:w="2700" w:type="dxa"/>
            <w:vAlign w:val="bottom"/>
            <w:shd w:val="clear" w:color="auto" w:fill="CEFFE7"/>
          </w:tcPr>
          <w:p>
            <w:pPr>
              <w:spacing w:after="0"/>
              <w:rPr>
                <w:sz w:val="18"/>
                <w:szCs w:val="18"/>
                <w:color w:val="auto"/>
              </w:rPr>
            </w:pPr>
          </w:p>
        </w:tc>
        <w:tc>
          <w:tcPr>
            <w:tcW w:w="1620" w:type="dxa"/>
            <w:vAlign w:val="bottom"/>
            <w:tcBorders>
              <w:bottom w:val="single" w:sz="8" w:color="auto"/>
            </w:tcBorders>
            <w:shd w:val="clear" w:color="auto" w:fill="CEFFE7"/>
          </w:tcPr>
          <w:p>
            <w:pPr>
              <w:spacing w:after="0"/>
              <w:rPr>
                <w:sz w:val="18"/>
                <w:szCs w:val="18"/>
                <w:color w:val="auto"/>
              </w:rPr>
            </w:pPr>
          </w:p>
        </w:tc>
        <w:tc>
          <w:tcPr>
            <w:tcW w:w="6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117</w:t>
            </w:r>
          </w:p>
        </w:tc>
        <w:tc>
          <w:tcPr>
            <w:tcW w:w="1640" w:type="dxa"/>
            <w:vAlign w:val="bottom"/>
            <w:tcBorders>
              <w:bottom w:val="single" w:sz="8" w:color="auto"/>
            </w:tcBorders>
            <w:shd w:val="clear" w:color="auto" w:fill="CEFFE7"/>
          </w:tcPr>
          <w:p>
            <w:pPr>
              <w:spacing w:after="0"/>
              <w:rPr>
                <w:sz w:val="18"/>
                <w:szCs w:val="18"/>
                <w:color w:val="auto"/>
              </w:rPr>
            </w:pPr>
          </w:p>
        </w:tc>
        <w:tc>
          <w:tcPr>
            <w:tcW w:w="6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880" w:type="dxa"/>
            <w:vAlign w:val="bottom"/>
          </w:tcPr>
          <w:p>
            <w:pPr>
              <w:ind w:left="20"/>
              <w:spacing w:after="0"/>
              <w:rPr>
                <w:sz w:val="20"/>
                <w:szCs w:val="20"/>
                <w:color w:val="auto"/>
              </w:rPr>
            </w:pPr>
            <w:r>
              <w:rPr>
                <w:rFonts w:ascii="Arial" w:cs="Arial" w:eastAsia="Arial" w:hAnsi="Arial"/>
                <w:sz w:val="16"/>
                <w:szCs w:val="16"/>
                <w:color w:val="auto"/>
              </w:rPr>
              <w:t>Net periodic benefit cost</w:t>
            </w:r>
          </w:p>
        </w:tc>
        <w:tc>
          <w:tcPr>
            <w:tcW w:w="4320" w:type="dxa"/>
            <w:vAlign w:val="bottom"/>
            <w:gridSpan w:val="2"/>
          </w:tcPr>
          <w:p>
            <w:pPr>
              <w:jc w:val="right"/>
              <w:ind w:right="1439"/>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798</w:t>
            </w:r>
          </w:p>
        </w:tc>
        <w:tc>
          <w:tcPr>
            <w:tcW w:w="1640" w:type="dxa"/>
            <w:vAlign w:val="bottom"/>
          </w:tcPr>
          <w:p>
            <w:pPr>
              <w:jc w:val="right"/>
              <w:ind w:right="1439"/>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749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2700" w:type="dxa"/>
            <w:vAlign w:val="bottom"/>
            <w:vMerge w:val="restart"/>
          </w:tcPr>
          <w:p>
            <w:pPr>
              <w:jc w:val="right"/>
              <w:ind w:right="799"/>
              <w:spacing w:after="0"/>
              <w:rPr>
                <w:sz w:val="20"/>
                <w:szCs w:val="20"/>
                <w:color w:val="auto"/>
              </w:rPr>
            </w:pPr>
            <w:r>
              <w:rPr>
                <w:rFonts w:ascii="Arial" w:cs="Arial" w:eastAsia="Arial" w:hAnsi="Arial"/>
                <w:sz w:val="16"/>
                <w:szCs w:val="16"/>
                <w:color w:val="auto"/>
              </w:rPr>
              <w:t>26</w:t>
            </w:r>
          </w:p>
        </w:tc>
        <w:tc>
          <w:tcPr>
            <w:tcW w:w="16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65"/>
        </w:trPr>
        <w:tc>
          <w:tcPr>
            <w:tcW w:w="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2700" w:type="dxa"/>
            <w:vAlign w:val="bottom"/>
            <w:vMerge w:val="continue"/>
          </w:tcPr>
          <w:p>
            <w:pPr>
              <w:spacing w:after="0"/>
              <w:rPr>
                <w:sz w:val="24"/>
                <w:szCs w:val="24"/>
                <w:color w:val="auto"/>
              </w:rPr>
            </w:pPr>
          </w:p>
        </w:tc>
        <w:tc>
          <w:tcPr>
            <w:tcW w:w="1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20" w:type="dxa"/>
            <w:vAlign w:val="bottom"/>
            <w:tcBorders>
              <w:bottom w:val="single" w:sz="8" w:color="9A9A9A"/>
            </w:tcBorders>
          </w:tcPr>
          <w:p>
            <w:pPr>
              <w:spacing w:after="0"/>
              <w:rPr>
                <w:sz w:val="24"/>
                <w:szCs w:val="24"/>
                <w:color w:val="auto"/>
              </w:rPr>
            </w:pPr>
          </w:p>
        </w:tc>
        <w:tc>
          <w:tcPr>
            <w:tcW w:w="3880" w:type="dxa"/>
            <w:vAlign w:val="bottom"/>
            <w:tcBorders>
              <w:bottom w:val="single" w:sz="8" w:color="9A9A9A"/>
            </w:tcBorders>
          </w:tcPr>
          <w:p>
            <w:pPr>
              <w:spacing w:after="0"/>
              <w:rPr>
                <w:sz w:val="24"/>
                <w:szCs w:val="24"/>
                <w:color w:val="auto"/>
              </w:rPr>
            </w:pPr>
          </w:p>
        </w:tc>
        <w:tc>
          <w:tcPr>
            <w:tcW w:w="270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Supplemental Non-qualified Defined Benefit and Defined Contribution Plans</w:t>
      </w:r>
    </w:p>
    <w:p>
      <w:pPr>
        <w:spacing w:after="0" w:line="248" w:lineRule="exact"/>
        <w:rPr>
          <w:sz w:val="20"/>
          <w:szCs w:val="20"/>
          <w:color w:val="auto"/>
        </w:rPr>
      </w:pPr>
    </w:p>
    <w:p>
      <w:pPr>
        <w:ind w:right="740"/>
        <w:spacing w:after="0" w:line="260" w:lineRule="auto"/>
        <w:rPr>
          <w:sz w:val="20"/>
          <w:szCs w:val="20"/>
          <w:color w:val="auto"/>
        </w:rPr>
      </w:pPr>
      <w:r>
        <w:rPr>
          <w:rFonts w:ascii="Arial" w:cs="Arial" w:eastAsia="Arial" w:hAnsi="Arial"/>
          <w:sz w:val="16"/>
          <w:szCs w:val="16"/>
          <w:color w:val="auto"/>
        </w:rPr>
        <w:t>The components of net periodic benefit cost for the Supplemental Non-qualified Defined Benefit and Defined Contribution Plans were as follows (in thousands):</w:t>
      </w:r>
    </w:p>
    <w:p>
      <w:pPr>
        <w:spacing w:after="0" w:line="114"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6580" w:type="dxa"/>
            <w:vAlign w:val="bottom"/>
          </w:tcPr>
          <w:p>
            <w:pPr>
              <w:spacing w:after="0"/>
              <w:rPr>
                <w:sz w:val="16"/>
                <w:szCs w:val="16"/>
                <w:color w:val="auto"/>
              </w:rPr>
            </w:pPr>
          </w:p>
        </w:tc>
        <w:tc>
          <w:tcPr>
            <w:tcW w:w="3860" w:type="dxa"/>
            <w:vAlign w:val="bottom"/>
            <w:gridSpan w:val="3"/>
          </w:tcPr>
          <w:p>
            <w:pPr>
              <w:jc w:val="right"/>
              <w:ind w:right="319"/>
              <w:spacing w:after="0"/>
              <w:rPr>
                <w:sz w:val="20"/>
                <w:szCs w:val="20"/>
                <w:color w:val="auto"/>
              </w:rPr>
            </w:pPr>
            <w:r>
              <w:rPr>
                <w:rFonts w:ascii="Arial" w:cs="Arial" w:eastAsia="Arial" w:hAnsi="Arial"/>
                <w:sz w:val="16"/>
                <w:szCs w:val="16"/>
                <w:color w:val="auto"/>
              </w:rPr>
              <w:t>Three Months Ended March 31,</w:t>
            </w:r>
          </w:p>
        </w:tc>
        <w:tc>
          <w:tcPr>
            <w:tcW w:w="760" w:type="dxa"/>
            <w:vAlign w:val="bottom"/>
          </w:tcPr>
          <w:p>
            <w:pPr>
              <w:spacing w:after="0"/>
              <w:rPr>
                <w:sz w:val="16"/>
                <w:szCs w:val="16"/>
                <w:color w:val="auto"/>
              </w:rPr>
            </w:pPr>
          </w:p>
        </w:tc>
      </w:tr>
      <w:tr>
        <w:trPr>
          <w:trHeight w:val="219"/>
        </w:trPr>
        <w:tc>
          <w:tcPr>
            <w:tcW w:w="6580" w:type="dxa"/>
            <w:vAlign w:val="bottom"/>
            <w:tcBorders>
              <w:bottom w:val="single" w:sz="8" w:color="CEFFE7"/>
            </w:tcBorders>
          </w:tcPr>
          <w:p>
            <w:pPr>
              <w:spacing w:after="0"/>
              <w:rPr>
                <w:sz w:val="19"/>
                <w:szCs w:val="19"/>
                <w:color w:val="auto"/>
              </w:rPr>
            </w:pPr>
          </w:p>
        </w:tc>
        <w:tc>
          <w:tcPr>
            <w:tcW w:w="15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2021</w:t>
            </w:r>
          </w:p>
        </w:tc>
        <w:tc>
          <w:tcPr>
            <w:tcW w:w="7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2020</w:t>
            </w:r>
          </w:p>
        </w:tc>
        <w:tc>
          <w:tcPr>
            <w:tcW w:w="760" w:type="dxa"/>
            <w:vAlign w:val="bottom"/>
            <w:tcBorders>
              <w:bottom w:val="single" w:sz="8" w:color="auto"/>
            </w:tcBorders>
          </w:tcPr>
          <w:p>
            <w:pPr>
              <w:spacing w:after="0"/>
              <w:rPr>
                <w:sz w:val="19"/>
                <w:szCs w:val="19"/>
                <w:color w:val="auto"/>
              </w:rPr>
            </w:pPr>
          </w:p>
        </w:tc>
      </w:tr>
      <w:tr>
        <w:trPr>
          <w:trHeight w:val="213"/>
        </w:trPr>
        <w:tc>
          <w:tcPr>
            <w:tcW w:w="6580" w:type="dxa"/>
            <w:vAlign w:val="bottom"/>
            <w:shd w:val="clear" w:color="auto" w:fill="CEFFE7"/>
          </w:tcPr>
          <w:p>
            <w:pPr>
              <w:ind w:left="20"/>
              <w:spacing w:after="0"/>
              <w:rPr>
                <w:sz w:val="20"/>
                <w:szCs w:val="20"/>
                <w:color w:val="auto"/>
              </w:rPr>
            </w:pPr>
            <w:r>
              <w:rPr>
                <w:rFonts w:ascii="Arial" w:cs="Arial" w:eastAsia="Arial" w:hAnsi="Arial"/>
                <w:sz w:val="16"/>
                <w:szCs w:val="16"/>
                <w:color w:val="auto"/>
              </w:rPr>
              <w:t>Service cost</w:t>
            </w:r>
          </w:p>
        </w:tc>
        <w:tc>
          <w:tcPr>
            <w:tcW w:w="1580" w:type="dxa"/>
            <w:vAlign w:val="bottom"/>
            <w:shd w:val="clear" w:color="auto" w:fill="CEFFE7"/>
          </w:tcPr>
          <w:p>
            <w:pPr>
              <w:jc w:val="right"/>
              <w:ind w:right="1399"/>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693</w:t>
            </w:r>
          </w:p>
        </w:tc>
        <w:tc>
          <w:tcPr>
            <w:tcW w:w="1580" w:type="dxa"/>
            <w:vAlign w:val="bottom"/>
            <w:shd w:val="clear" w:color="auto" w:fill="CEFFE7"/>
          </w:tcPr>
          <w:p>
            <w:pPr>
              <w:jc w:val="right"/>
              <w:ind w:right="1359"/>
              <w:spacing w:after="0"/>
              <w:rPr>
                <w:sz w:val="20"/>
                <w:szCs w:val="20"/>
                <w:color w:val="auto"/>
              </w:rPr>
            </w:pPr>
            <w:r>
              <w:rPr>
                <w:rFonts w:ascii="Arial" w:cs="Arial" w:eastAsia="Arial" w:hAnsi="Arial"/>
                <w:sz w:val="16"/>
                <w:szCs w:val="16"/>
                <w:color w:val="auto"/>
              </w:rPr>
              <w:t>$</w:t>
            </w:r>
          </w:p>
        </w:tc>
        <w:tc>
          <w:tcPr>
            <w:tcW w:w="7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(1,370)</w:t>
            </w:r>
          </w:p>
        </w:tc>
      </w:tr>
      <w:tr>
        <w:trPr>
          <w:trHeight w:val="213"/>
        </w:trPr>
        <w:tc>
          <w:tcPr>
            <w:tcW w:w="6580" w:type="dxa"/>
            <w:vAlign w:val="bottom"/>
          </w:tcPr>
          <w:p>
            <w:pPr>
              <w:ind w:left="20"/>
              <w:spacing w:after="0"/>
              <w:rPr>
                <w:sz w:val="20"/>
                <w:szCs w:val="20"/>
                <w:color w:val="auto"/>
              </w:rPr>
            </w:pPr>
            <w:r>
              <w:rPr>
                <w:rFonts w:ascii="Arial" w:cs="Arial" w:eastAsia="Arial" w:hAnsi="Arial"/>
                <w:sz w:val="16"/>
                <w:szCs w:val="16"/>
                <w:color w:val="auto"/>
              </w:rPr>
              <w:t>Interest cost</w:t>
            </w:r>
          </w:p>
        </w:tc>
        <w:tc>
          <w:tcPr>
            <w:tcW w:w="15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177</w:t>
            </w:r>
          </w:p>
        </w:tc>
        <w:tc>
          <w:tcPr>
            <w:tcW w:w="15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275</w:t>
            </w:r>
          </w:p>
        </w:tc>
      </w:tr>
      <w:tr>
        <w:trPr>
          <w:trHeight w:val="216"/>
        </w:trPr>
        <w:tc>
          <w:tcPr>
            <w:tcW w:w="6580" w:type="dxa"/>
            <w:vAlign w:val="bottom"/>
            <w:shd w:val="clear" w:color="auto" w:fill="CEFFE7"/>
          </w:tcPr>
          <w:p>
            <w:pPr>
              <w:ind w:left="20"/>
              <w:spacing w:after="0"/>
              <w:rPr>
                <w:sz w:val="20"/>
                <w:szCs w:val="20"/>
                <w:color w:val="auto"/>
              </w:rPr>
            </w:pPr>
            <w:r>
              <w:rPr>
                <w:rFonts w:ascii="Arial" w:cs="Arial" w:eastAsia="Arial" w:hAnsi="Arial"/>
                <w:sz w:val="16"/>
                <w:szCs w:val="16"/>
                <w:color w:val="auto"/>
              </w:rPr>
              <w:t>Net loss (gain)</w:t>
            </w:r>
          </w:p>
        </w:tc>
        <w:tc>
          <w:tcPr>
            <w:tcW w:w="1580" w:type="dxa"/>
            <w:vAlign w:val="bottom"/>
            <w:tcBorders>
              <w:bottom w:val="single" w:sz="8" w:color="auto"/>
            </w:tcBorders>
            <w:shd w:val="clear" w:color="auto" w:fill="CEFFE7"/>
          </w:tcPr>
          <w:p>
            <w:pPr>
              <w:spacing w:after="0"/>
              <w:rPr>
                <w:sz w:val="18"/>
                <w:szCs w:val="18"/>
                <w:color w:val="auto"/>
              </w:rPr>
            </w:pPr>
          </w:p>
        </w:tc>
        <w:tc>
          <w:tcPr>
            <w:tcW w:w="7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439</w:t>
            </w:r>
          </w:p>
        </w:tc>
        <w:tc>
          <w:tcPr>
            <w:tcW w:w="1580" w:type="dxa"/>
            <w:vAlign w:val="bottom"/>
            <w:tcBorders>
              <w:bottom w:val="single" w:sz="8" w:color="auto"/>
            </w:tcBorders>
            <w:shd w:val="clear" w:color="auto" w:fill="CEFFE7"/>
          </w:tcPr>
          <w:p>
            <w:pPr>
              <w:spacing w:after="0"/>
              <w:rPr>
                <w:sz w:val="18"/>
                <w:szCs w:val="18"/>
                <w:color w:val="auto"/>
              </w:rPr>
            </w:pPr>
          </w:p>
        </w:tc>
        <w:tc>
          <w:tcPr>
            <w:tcW w:w="7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426</w:t>
            </w:r>
          </w:p>
        </w:tc>
      </w:tr>
      <w:tr>
        <w:trPr>
          <w:trHeight w:val="212"/>
        </w:trPr>
        <w:tc>
          <w:tcPr>
            <w:tcW w:w="6580" w:type="dxa"/>
            <w:vAlign w:val="bottom"/>
          </w:tcPr>
          <w:p>
            <w:pPr>
              <w:ind w:left="20"/>
              <w:spacing w:after="0"/>
              <w:rPr>
                <w:sz w:val="20"/>
                <w:szCs w:val="20"/>
                <w:color w:val="auto"/>
              </w:rPr>
            </w:pPr>
            <w:r>
              <w:rPr>
                <w:rFonts w:ascii="Arial" w:cs="Arial" w:eastAsia="Arial" w:hAnsi="Arial"/>
                <w:sz w:val="16"/>
                <w:szCs w:val="16"/>
                <w:color w:val="auto"/>
              </w:rPr>
              <w:t>Net periodic benefit cost</w:t>
            </w:r>
          </w:p>
        </w:tc>
        <w:tc>
          <w:tcPr>
            <w:tcW w:w="1580" w:type="dxa"/>
            <w:vAlign w:val="bottom"/>
            <w:tcBorders>
              <w:bottom w:val="single" w:sz="8" w:color="auto"/>
            </w:tcBorders>
          </w:tcPr>
          <w:p>
            <w:pPr>
              <w:jc w:val="right"/>
              <w:ind w:right="139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1,309</w:t>
            </w:r>
          </w:p>
        </w:tc>
        <w:tc>
          <w:tcPr>
            <w:tcW w:w="1580" w:type="dxa"/>
            <w:vAlign w:val="bottom"/>
            <w:tcBorders>
              <w:bottom w:val="single" w:sz="8" w:color="auto"/>
            </w:tcBorders>
          </w:tcPr>
          <w:p>
            <w:pPr>
              <w:jc w:val="right"/>
              <w:ind w:right="135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(669)</w:t>
            </w:r>
          </w:p>
        </w:tc>
      </w:tr>
      <w:tr>
        <w:trPr>
          <w:trHeight w:val="21"/>
        </w:trPr>
        <w:tc>
          <w:tcPr>
            <w:tcW w:w="65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32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Contributions</w:t>
      </w:r>
    </w:p>
    <w:p>
      <w:pPr>
        <w:spacing w:after="0" w:line="248"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Contributions to the Defined Benefit Pension Plan are cash contributions made directly to the Pension Plan Trust account. Contributions to the Postretirement Healthcare and Supplemental Plans are made in the form of benefit payments. Contributions made in the first quarter of 2021 and anticipated contributions for 2021 and 2022 are as follows (in thousands):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tcPr>
          <w:p>
            <w:pPr>
              <w:jc w:val="center"/>
              <w:ind w:right="19"/>
              <w:spacing w:after="0"/>
              <w:rPr>
                <w:sz w:val="20"/>
                <w:szCs w:val="20"/>
                <w:color w:val="auto"/>
              </w:rPr>
            </w:pPr>
            <w:r>
              <w:rPr>
                <w:rFonts w:ascii="Arial" w:cs="Arial" w:eastAsia="Arial" w:hAnsi="Arial"/>
                <w:sz w:val="16"/>
                <w:szCs w:val="16"/>
                <w:color w:val="auto"/>
              </w:rPr>
              <w:t>Contributions Made</w:t>
            </w:r>
          </w:p>
        </w:tc>
        <w:tc>
          <w:tcPr>
            <w:tcW w:w="1800" w:type="dxa"/>
            <w:vAlign w:val="bottom"/>
            <w:gridSpan w:val="2"/>
          </w:tcPr>
          <w:p>
            <w:pPr>
              <w:jc w:val="right"/>
              <w:spacing w:after="0"/>
              <w:rPr>
                <w:sz w:val="20"/>
                <w:szCs w:val="20"/>
                <w:color w:val="auto"/>
              </w:rPr>
            </w:pPr>
            <w:r>
              <w:rPr>
                <w:rFonts w:ascii="Arial" w:cs="Arial" w:eastAsia="Arial" w:hAnsi="Arial"/>
                <w:sz w:val="16"/>
                <w:szCs w:val="16"/>
                <w:color w:val="auto"/>
              </w:rPr>
              <w:t>Additional Contributions</w:t>
            </w:r>
          </w:p>
        </w:tc>
        <w:tc>
          <w:tcPr>
            <w:tcW w:w="140" w:type="dxa"/>
            <w:vAlign w:val="bottom"/>
          </w:tcPr>
          <w:p>
            <w:pPr>
              <w:spacing w:after="0"/>
              <w:rPr>
                <w:sz w:val="16"/>
                <w:szCs w:val="16"/>
                <w:color w:val="auto"/>
              </w:rPr>
            </w:pPr>
          </w:p>
        </w:tc>
        <w:tc>
          <w:tcPr>
            <w:tcW w:w="1640" w:type="dxa"/>
            <w:vAlign w:val="bottom"/>
          </w:tcPr>
          <w:p>
            <w:pPr>
              <w:jc w:val="right"/>
              <w:ind w:right="339"/>
              <w:spacing w:after="0"/>
              <w:rPr>
                <w:sz w:val="20"/>
                <w:szCs w:val="20"/>
                <w:color w:val="auto"/>
              </w:rPr>
            </w:pPr>
            <w:r>
              <w:rPr>
                <w:rFonts w:ascii="Arial" w:cs="Arial" w:eastAsia="Arial" w:hAnsi="Arial"/>
                <w:sz w:val="16"/>
                <w:szCs w:val="16"/>
                <w:color w:val="auto"/>
              </w:rPr>
              <w:t>Contributions</w:t>
            </w:r>
          </w:p>
        </w:tc>
      </w:tr>
      <w:tr>
        <w:trPr>
          <w:trHeight w:val="183"/>
        </w:trPr>
        <w:tc>
          <w:tcPr>
            <w:tcW w:w="5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tcPr>
          <w:p>
            <w:pPr>
              <w:jc w:val="center"/>
              <w:ind w:right="19"/>
              <w:spacing w:after="0"/>
              <w:rPr>
                <w:sz w:val="20"/>
                <w:szCs w:val="20"/>
                <w:color w:val="auto"/>
              </w:rPr>
            </w:pPr>
            <w:r>
              <w:rPr>
                <w:rFonts w:ascii="Arial" w:cs="Arial" w:eastAsia="Arial" w:hAnsi="Arial"/>
                <w:sz w:val="16"/>
                <w:szCs w:val="16"/>
                <w:color w:val="auto"/>
              </w:rPr>
              <w:t>Three Months Ended</w:t>
            </w:r>
          </w:p>
        </w:tc>
        <w:tc>
          <w:tcPr>
            <w:tcW w:w="1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40" w:type="dxa"/>
            <w:vAlign w:val="bottom"/>
          </w:tcPr>
          <w:p>
            <w:pPr>
              <w:spacing w:after="0"/>
              <w:rPr>
                <w:sz w:val="15"/>
                <w:szCs w:val="15"/>
                <w:color w:val="auto"/>
              </w:rPr>
            </w:pPr>
          </w:p>
        </w:tc>
      </w:tr>
      <w:tr>
        <w:trPr>
          <w:trHeight w:val="198"/>
        </w:trPr>
        <w:tc>
          <w:tcPr>
            <w:tcW w:w="5920" w:type="dxa"/>
            <w:vAlign w:val="bottom"/>
            <w:tcBorders>
              <w:bottom w:val="single" w:sz="8" w:color="CEFFE7"/>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color w:val="auto"/>
              </w:rPr>
              <w:t>March 31, 2021</w:t>
            </w:r>
          </w:p>
        </w:tc>
        <w:tc>
          <w:tcPr>
            <w:tcW w:w="16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Anticipated for 2021</w:t>
            </w:r>
          </w:p>
        </w:tc>
        <w:tc>
          <w:tcPr>
            <w:tcW w:w="14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Anticipated for 2022</w:t>
            </w:r>
          </w:p>
        </w:tc>
      </w:tr>
      <w:tr>
        <w:trPr>
          <w:trHeight w:val="213"/>
        </w:trPr>
        <w:tc>
          <w:tcPr>
            <w:tcW w:w="5920" w:type="dxa"/>
            <w:vAlign w:val="bottom"/>
            <w:shd w:val="clear" w:color="auto" w:fill="CEFFE7"/>
          </w:tcPr>
          <w:p>
            <w:pPr>
              <w:ind w:left="20"/>
              <w:spacing w:after="0"/>
              <w:rPr>
                <w:sz w:val="20"/>
                <w:szCs w:val="20"/>
                <w:color w:val="auto"/>
              </w:rPr>
            </w:pPr>
            <w:r>
              <w:rPr>
                <w:rFonts w:ascii="Arial" w:cs="Arial" w:eastAsia="Arial" w:hAnsi="Arial"/>
                <w:sz w:val="16"/>
                <w:szCs w:val="16"/>
                <w:color w:val="auto"/>
              </w:rPr>
              <w:t>Defined Benefit Pension Plan</w:t>
            </w:r>
          </w:p>
        </w:tc>
        <w:tc>
          <w:tcPr>
            <w:tcW w:w="120" w:type="dxa"/>
            <w:vAlign w:val="bottom"/>
            <w:shd w:val="clear" w:color="auto" w:fill="CEFFE7"/>
          </w:tcPr>
          <w:p>
            <w:pPr>
              <w:jc w:val="right"/>
              <w:spacing w:after="0"/>
              <w:rPr>
                <w:sz w:val="20"/>
                <w:szCs w:val="20"/>
                <w:color w:val="auto"/>
              </w:rPr>
            </w:pPr>
            <w:r>
              <w:rPr>
                <w:rFonts w:ascii="Arial" w:cs="Arial" w:eastAsia="Arial" w:hAnsi="Arial"/>
                <w:sz w:val="16"/>
                <w:szCs w:val="16"/>
                <w:color w:val="auto"/>
                <w:w w:val="89"/>
              </w:rPr>
              <w:t>$</w:t>
            </w:r>
          </w:p>
        </w:tc>
        <w:tc>
          <w:tcPr>
            <w:tcW w:w="1780" w:type="dxa"/>
            <w:vAlign w:val="bottom"/>
            <w:gridSpan w:val="2"/>
            <w:shd w:val="clear" w:color="auto" w:fill="CEFFE7"/>
          </w:tcPr>
          <w:p>
            <w:pPr>
              <w:jc w:val="right"/>
              <w:spacing w:after="0"/>
              <w:rPr>
                <w:sz w:val="20"/>
                <w:szCs w:val="20"/>
                <w:color w:val="auto"/>
              </w:rPr>
            </w:pPr>
            <w:r>
              <w:rPr>
                <w:rFonts w:ascii="Arial" w:cs="Arial" w:eastAsia="Arial" w:hAnsi="Arial"/>
                <w:sz w:val="16"/>
                <w:szCs w:val="16"/>
                <w:color w:val="auto"/>
              </w:rPr>
              <w:t>— $</w:t>
            </w:r>
          </w:p>
        </w:tc>
        <w:tc>
          <w:tcPr>
            <w:tcW w:w="1780" w:type="dxa"/>
            <w:vAlign w:val="bottom"/>
            <w:gridSpan w:val="2"/>
            <w:shd w:val="clear" w:color="auto" w:fill="CEFFE7"/>
          </w:tcPr>
          <w:p>
            <w:pPr>
              <w:jc w:val="right"/>
              <w:spacing w:after="0"/>
              <w:rPr>
                <w:sz w:val="20"/>
                <w:szCs w:val="20"/>
                <w:color w:val="auto"/>
              </w:rPr>
            </w:pPr>
            <w:r>
              <w:rPr>
                <w:rFonts w:ascii="Arial" w:cs="Arial" w:eastAsia="Arial" w:hAnsi="Arial"/>
                <w:sz w:val="16"/>
                <w:szCs w:val="16"/>
                <w:color w:val="auto"/>
              </w:rPr>
              <w:t>— $</w:t>
            </w:r>
          </w:p>
        </w:tc>
        <w:tc>
          <w:tcPr>
            <w:tcW w:w="16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3,788</w:t>
            </w:r>
          </w:p>
        </w:tc>
      </w:tr>
      <w:tr>
        <w:trPr>
          <w:trHeight w:val="213"/>
        </w:trPr>
        <w:tc>
          <w:tcPr>
            <w:tcW w:w="5920" w:type="dxa"/>
            <w:vAlign w:val="bottom"/>
          </w:tcPr>
          <w:p>
            <w:pPr>
              <w:ind w:left="20"/>
              <w:spacing w:after="0"/>
              <w:rPr>
                <w:sz w:val="20"/>
                <w:szCs w:val="20"/>
                <w:color w:val="auto"/>
              </w:rPr>
            </w:pPr>
            <w:r>
              <w:rPr>
                <w:rFonts w:ascii="Arial" w:cs="Arial" w:eastAsia="Arial" w:hAnsi="Arial"/>
                <w:sz w:val="16"/>
                <w:szCs w:val="16"/>
                <w:color w:val="auto"/>
              </w:rPr>
              <w:t>Non-pension Defined Benefit Postretirement Healthcare Plan</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spacing w:after="0"/>
              <w:rPr>
                <w:sz w:val="20"/>
                <w:szCs w:val="20"/>
                <w:color w:val="auto"/>
              </w:rPr>
            </w:pPr>
            <w:r>
              <w:rPr>
                <w:rFonts w:ascii="Arial" w:cs="Arial" w:eastAsia="Arial" w:hAnsi="Arial"/>
                <w:sz w:val="16"/>
                <w:szCs w:val="16"/>
                <w:color w:val="auto"/>
              </w:rPr>
              <w:t>1,382</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4,145</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5,241</w:t>
            </w:r>
          </w:p>
        </w:tc>
      </w:tr>
      <w:tr>
        <w:trPr>
          <w:trHeight w:val="219"/>
        </w:trPr>
        <w:tc>
          <w:tcPr>
            <w:tcW w:w="5920" w:type="dxa"/>
            <w:vAlign w:val="bottom"/>
            <w:shd w:val="clear" w:color="auto" w:fill="CEFFE7"/>
          </w:tcPr>
          <w:p>
            <w:pPr>
              <w:ind w:left="20"/>
              <w:spacing w:after="0"/>
              <w:rPr>
                <w:sz w:val="20"/>
                <w:szCs w:val="20"/>
                <w:color w:val="auto"/>
              </w:rPr>
            </w:pPr>
            <w:r>
              <w:rPr>
                <w:rFonts w:ascii="Arial" w:cs="Arial" w:eastAsia="Arial" w:hAnsi="Arial"/>
                <w:sz w:val="16"/>
                <w:szCs w:val="16"/>
                <w:color w:val="auto"/>
              </w:rPr>
              <w:t>Supplemental Non-qualified Defined Benefit and Defined Contribution Plans</w:t>
            </w:r>
          </w:p>
        </w:tc>
        <w:tc>
          <w:tcPr>
            <w:tcW w:w="120" w:type="dxa"/>
            <w:vAlign w:val="bottom"/>
            <w:shd w:val="clear" w:color="auto" w:fill="CEFFE7"/>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482</w:t>
            </w:r>
          </w:p>
        </w:tc>
        <w:tc>
          <w:tcPr>
            <w:tcW w:w="1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6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1,445</w:t>
            </w:r>
          </w:p>
        </w:tc>
        <w:tc>
          <w:tcPr>
            <w:tcW w:w="140" w:type="dxa"/>
            <w:vAlign w:val="bottom"/>
            <w:shd w:val="clear" w:color="auto" w:fill="CEFFE7"/>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1,967</w:t>
            </w:r>
          </w:p>
        </w:tc>
      </w:tr>
    </w:tbl>
    <w:p>
      <w:pPr>
        <w:spacing w:after="0" w:line="200" w:lineRule="exact"/>
        <w:rPr>
          <w:sz w:val="20"/>
          <w:szCs w:val="20"/>
          <w:color w:val="auto"/>
        </w:rPr>
      </w:pPr>
    </w:p>
    <w:p>
      <w:pPr>
        <w:spacing w:after="0" w:line="362" w:lineRule="exact"/>
        <w:rPr>
          <w:sz w:val="20"/>
          <w:szCs w:val="20"/>
          <w:color w:val="auto"/>
        </w:rPr>
      </w:pPr>
    </w:p>
    <w:p>
      <w:pPr>
        <w:ind w:left="480" w:hanging="472"/>
        <w:spacing w:after="0"/>
        <w:tabs>
          <w:tab w:leader="none" w:pos="480" w:val="left"/>
        </w:tabs>
        <w:numPr>
          <w:ilvl w:val="0"/>
          <w:numId w:val="16"/>
        </w:numPr>
        <w:rPr>
          <w:rFonts w:ascii="Arial" w:cs="Arial" w:eastAsia="Arial" w:hAnsi="Arial"/>
          <w:sz w:val="16"/>
          <w:szCs w:val="16"/>
          <w:b w:val="1"/>
          <w:bCs w:val="1"/>
          <w:color w:val="auto"/>
        </w:rPr>
      </w:pPr>
      <w:r>
        <w:rPr>
          <w:rFonts w:ascii="Arial" w:cs="Arial" w:eastAsia="Arial" w:hAnsi="Arial"/>
          <w:sz w:val="16"/>
          <w:szCs w:val="16"/>
          <w:b w:val="1"/>
          <w:bCs w:val="1"/>
          <w:color w:val="auto"/>
        </w:rPr>
        <w:t>Income Taxes</w:t>
      </w:r>
    </w:p>
    <w:p>
      <w:pPr>
        <w:spacing w:after="0" w:line="248"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Winter Storm Uri</w:t>
      </w:r>
    </w:p>
    <w:p>
      <w:pPr>
        <w:spacing w:after="0" w:line="268" w:lineRule="exact"/>
        <w:rPr>
          <w:sz w:val="20"/>
          <w:szCs w:val="20"/>
          <w:color w:val="auto"/>
        </w:rPr>
      </w:pPr>
    </w:p>
    <w:p>
      <w:pPr>
        <w:ind w:right="60"/>
        <w:spacing w:after="0" w:line="251" w:lineRule="auto"/>
        <w:rPr>
          <w:rFonts w:ascii="Arial" w:cs="Arial" w:eastAsia="Arial" w:hAnsi="Arial"/>
          <w:sz w:val="16"/>
          <w:szCs w:val="16"/>
          <w:color w:val="auto"/>
        </w:rPr>
      </w:pPr>
      <w:r>
        <w:rPr>
          <w:rFonts w:ascii="Arial" w:cs="Arial" w:eastAsia="Arial" w:hAnsi="Arial"/>
          <w:sz w:val="16"/>
          <w:szCs w:val="16"/>
          <w:color w:val="auto"/>
        </w:rPr>
        <w:t xml:space="preserve">As discussed in </w:t>
      </w:r>
      <w:hyperlink w:anchor="page15">
        <w:r>
          <w:rPr>
            <w:rFonts w:ascii="Arial" w:cs="Arial" w:eastAsia="Arial" w:hAnsi="Arial"/>
            <w:sz w:val="16"/>
            <w:szCs w:val="16"/>
            <w:u w:val="single" w:color="auto"/>
            <w:color w:val="0000FF"/>
          </w:rPr>
          <w:t>Note 2</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above, $559 million of the incremental costs from Winter Storm Uri are recoverable through our Utilities’ regulatory mechanisms, and we recorded these costs as regulatory assets at March 31, 2021. We expect to recover these costs from customers over several years. Winter Storm Uri costs, which will be deductible in our 2021 tax return, created a net deferred tax liability of approximately $132 million at March 31, 2021. The deferred tax liability will reverse with the same timing as the costs are recovered from our customers.</w:t>
      </w:r>
    </w:p>
    <w:p>
      <w:pPr>
        <w:spacing w:after="0" w:line="229"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The income tax deduction recognized from Winter Storm Uri will create an NOL in our 2021 federal and state income tax returns. Our federal NOL carryforwards no longer expire due to the TCJA; however, our state NOL carryforwards expire at various dates from 2021 to 2040. We do not anticipate material changes to our valuation allowance against the state NOL carryforwards from Winter Storm Uri. Therefore, we did not record an additional valuation allowance against the state NOL carryforwards as of March 31, 2021.</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Income Tax Benefit (Expense) and Effective Tax Rates</w:t>
      </w: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Three Months Ended March 31, 2021 Compared to the Three Months Ended March 31, 2020</w:t>
      </w:r>
    </w:p>
    <w:p>
      <w:pPr>
        <w:spacing w:after="0" w:line="248" w:lineRule="exact"/>
        <w:rPr>
          <w:sz w:val="20"/>
          <w:szCs w:val="20"/>
          <w:color w:val="auto"/>
        </w:rPr>
      </w:pPr>
    </w:p>
    <w:p>
      <w:pPr>
        <w:ind w:right="60"/>
        <w:spacing w:after="0" w:line="250" w:lineRule="auto"/>
        <w:rPr>
          <w:sz w:val="20"/>
          <w:szCs w:val="20"/>
          <w:color w:val="auto"/>
        </w:rPr>
      </w:pPr>
      <w:r>
        <w:rPr>
          <w:rFonts w:ascii="Arial" w:cs="Arial" w:eastAsia="Arial" w:hAnsi="Arial"/>
          <w:sz w:val="16"/>
          <w:szCs w:val="16"/>
          <w:color w:val="auto"/>
        </w:rPr>
        <w:t>Income tax (expense) for the three months ended March 31, 2021 was $(0.5) million compared to $(16) million reported for the same period in 2020. For the three months ended March 31, 2021 the effective tax rate was 0.5% compared to 14.1% for the same period in 2020. The lower effective tax rate is primarily due to $7.6 million of increased tax benefits from Colorado Electric’s TCJA-related bill credits to customers (which is offset by reduced revenue), $1.5 million of increased tax benefits from amortization of excess deferred income taxes and $1.3 million of increased tax benefits from federal production tax credits associated with new wind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86" w:lineRule="exact"/>
        <w:rPr>
          <w:sz w:val="20"/>
          <w:szCs w:val="20"/>
          <w:color w:val="auto"/>
        </w:rPr>
      </w:pPr>
    </w:p>
    <w:p>
      <w:pPr>
        <w:ind w:left="480" w:hanging="472"/>
        <w:spacing w:after="0"/>
        <w:tabs>
          <w:tab w:leader="none" w:pos="480" w:val="left"/>
        </w:tabs>
        <w:numPr>
          <w:ilvl w:val="0"/>
          <w:numId w:val="17"/>
        </w:numPr>
        <w:rPr>
          <w:rFonts w:ascii="Arial" w:cs="Arial" w:eastAsia="Arial" w:hAnsi="Arial"/>
          <w:sz w:val="16"/>
          <w:szCs w:val="16"/>
          <w:b w:val="1"/>
          <w:bCs w:val="1"/>
          <w:color w:val="auto"/>
        </w:rPr>
      </w:pPr>
      <w:r>
        <w:rPr>
          <w:rFonts w:ascii="Arial" w:cs="Arial" w:eastAsia="Arial" w:hAnsi="Arial"/>
          <w:sz w:val="16"/>
          <w:szCs w:val="16"/>
          <w:b w:val="1"/>
          <w:bCs w:val="1"/>
          <w:color w:val="auto"/>
        </w:rPr>
        <w:t>Business Segment Information</w:t>
      </w:r>
    </w:p>
    <w:p>
      <w:pPr>
        <w:spacing w:after="0" w:line="26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Our reportable segments are based on our method of internal reporting, which is generally segregated by differences in products, services and regulation. All of our operations and assets are located within the United States.</w:t>
      </w:r>
    </w:p>
    <w:p>
      <w:pPr>
        <w:spacing w:after="0" w:line="222"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Accounting standards for presentation of segments require an approach based on the way we organize the segments for making operating decisions and how the Chief Operating Decision Maker (CODM) assesses performance. The CODM assesses the performance of our segments using adjusted operating income, which recognizes intersegment revenues, costs, and assets for Colorado Electric’s PPA with Black Hills Colorado IPP on an accrual basis rather than as a finance lease. This presentation of segment information does not impact consolidated financial results.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220" w:type="dxa"/>
            <w:vAlign w:val="bottom"/>
            <w:gridSpan w:val="2"/>
          </w:tcPr>
          <w:p>
            <w:pPr>
              <w:spacing w:after="0"/>
              <w:rPr>
                <w:sz w:val="20"/>
                <w:szCs w:val="20"/>
                <w:color w:val="auto"/>
              </w:rPr>
            </w:pPr>
            <w:r>
              <w:rPr>
                <w:rFonts w:ascii="Arial" w:cs="Arial" w:eastAsia="Arial" w:hAnsi="Arial"/>
                <w:sz w:val="16"/>
                <w:szCs w:val="16"/>
                <w:color w:val="252525"/>
              </w:rPr>
              <w:t>Segment information was as follows (in thousands):</w:t>
            </w: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27"/>
        </w:trPr>
        <w:tc>
          <w:tcPr>
            <w:tcW w:w="40" w:type="dxa"/>
            <w:vAlign w:val="bottom"/>
          </w:tcPr>
          <w:p>
            <w:pPr>
              <w:spacing w:after="0"/>
              <w:rPr>
                <w:sz w:val="24"/>
                <w:szCs w:val="24"/>
                <w:color w:val="auto"/>
              </w:rPr>
            </w:pPr>
          </w:p>
        </w:tc>
        <w:tc>
          <w:tcPr>
            <w:tcW w:w="5180" w:type="dxa"/>
            <w:vAlign w:val="bottom"/>
          </w:tcPr>
          <w:p>
            <w:pPr>
              <w:spacing w:after="0"/>
              <w:rPr>
                <w:sz w:val="20"/>
                <w:szCs w:val="20"/>
                <w:color w:val="auto"/>
              </w:rPr>
            </w:pPr>
            <w:r>
              <w:rPr>
                <w:rFonts w:ascii="Arial" w:cs="Arial" w:eastAsia="Arial" w:hAnsi="Arial"/>
                <w:sz w:val="16"/>
                <w:szCs w:val="16"/>
                <w:color w:val="auto"/>
              </w:rPr>
              <w:t>Total assets (net of intercompany eliminations) as of:</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gridSpan w:val="3"/>
          </w:tcPr>
          <w:p>
            <w:pPr>
              <w:jc w:val="right"/>
              <w:spacing w:after="0"/>
              <w:rPr>
                <w:sz w:val="20"/>
                <w:szCs w:val="20"/>
                <w:color w:val="auto"/>
              </w:rPr>
            </w:pPr>
            <w:r>
              <w:rPr>
                <w:rFonts w:ascii="Arial" w:cs="Arial" w:eastAsia="Arial" w:hAnsi="Arial"/>
                <w:sz w:val="16"/>
                <w:szCs w:val="16"/>
                <w:color w:val="auto"/>
              </w:rPr>
              <w:t>March 31, 2021</w:t>
            </w:r>
          </w:p>
        </w:tc>
        <w:tc>
          <w:tcPr>
            <w:tcW w:w="360" w:type="dxa"/>
            <w:vAlign w:val="bottom"/>
          </w:tcPr>
          <w:p>
            <w:pPr>
              <w:spacing w:after="0"/>
              <w:rPr>
                <w:sz w:val="24"/>
                <w:szCs w:val="24"/>
                <w:color w:val="auto"/>
              </w:rPr>
            </w:pPr>
          </w:p>
        </w:tc>
        <w:tc>
          <w:tcPr>
            <w:tcW w:w="2100" w:type="dxa"/>
            <w:vAlign w:val="bottom"/>
            <w:gridSpan w:val="5"/>
          </w:tcPr>
          <w:p>
            <w:pPr>
              <w:ind w:left="380"/>
              <w:spacing w:after="0"/>
              <w:rPr>
                <w:sz w:val="20"/>
                <w:szCs w:val="20"/>
                <w:color w:val="auto"/>
              </w:rPr>
            </w:pPr>
            <w:r>
              <w:rPr>
                <w:rFonts w:ascii="Arial" w:cs="Arial" w:eastAsia="Arial" w:hAnsi="Arial"/>
                <w:sz w:val="16"/>
                <w:szCs w:val="16"/>
                <w:color w:val="auto"/>
              </w:rPr>
              <w:t>December 31, 2020</w:t>
            </w:r>
          </w:p>
        </w:tc>
      </w:tr>
      <w:tr>
        <w:trPr>
          <w:trHeight w:val="213"/>
        </w:trPr>
        <w:tc>
          <w:tcPr>
            <w:tcW w:w="40" w:type="dxa"/>
            <w:vAlign w:val="bottom"/>
          </w:tcPr>
          <w:p>
            <w:pPr>
              <w:spacing w:after="0"/>
              <w:rPr>
                <w:sz w:val="18"/>
                <w:szCs w:val="18"/>
                <w:color w:val="auto"/>
              </w:rPr>
            </w:pPr>
          </w:p>
        </w:tc>
        <w:tc>
          <w:tcPr>
            <w:tcW w:w="5180" w:type="dxa"/>
            <w:vAlign w:val="bottom"/>
            <w:tcBorders>
              <w:top w:val="single" w:sz="8" w:color="auto"/>
            </w:tcBorders>
            <w:shd w:val="clear" w:color="auto" w:fill="CEFFE7"/>
          </w:tcPr>
          <w:p>
            <w:pPr>
              <w:ind w:left="120"/>
              <w:spacing w:after="0"/>
              <w:rPr>
                <w:sz w:val="20"/>
                <w:szCs w:val="20"/>
                <w:color w:val="auto"/>
              </w:rPr>
            </w:pPr>
            <w:r>
              <w:rPr>
                <w:rFonts w:ascii="Arial" w:cs="Arial" w:eastAsia="Arial" w:hAnsi="Arial"/>
                <w:sz w:val="16"/>
                <w:szCs w:val="16"/>
                <w:color w:val="auto"/>
              </w:rPr>
              <w:t>Electric Utilities</w:t>
            </w:r>
          </w:p>
        </w:tc>
        <w:tc>
          <w:tcPr>
            <w:tcW w:w="100" w:type="dxa"/>
            <w:vAlign w:val="bottom"/>
            <w:tcBorders>
              <w:top w:val="single" w:sz="8" w:color="auto"/>
            </w:tcBorders>
            <w:shd w:val="clear" w:color="auto" w:fill="CEFFE7"/>
          </w:tcPr>
          <w:p>
            <w:pPr>
              <w:spacing w:after="0"/>
              <w:rPr>
                <w:sz w:val="18"/>
                <w:szCs w:val="18"/>
                <w:color w:val="auto"/>
              </w:rPr>
            </w:pPr>
          </w:p>
        </w:tc>
        <w:tc>
          <w:tcPr>
            <w:tcW w:w="1020" w:type="dxa"/>
            <w:vAlign w:val="bottom"/>
            <w:tcBorders>
              <w:top w:val="single" w:sz="8" w:color="auto"/>
            </w:tcBorders>
            <w:shd w:val="clear" w:color="auto" w:fill="CEFFE7"/>
          </w:tcPr>
          <w:p>
            <w:pPr>
              <w:spacing w:after="0"/>
              <w:rPr>
                <w:sz w:val="18"/>
                <w:szCs w:val="18"/>
                <w:color w:val="auto"/>
              </w:rPr>
            </w:pPr>
          </w:p>
        </w:tc>
        <w:tc>
          <w:tcPr>
            <w:tcW w:w="180" w:type="dxa"/>
            <w:vAlign w:val="bottom"/>
            <w:tcBorders>
              <w:top w:val="single" w:sz="8" w:color="auto"/>
            </w:tcBorders>
            <w:shd w:val="clear" w:color="auto" w:fill="CEFFE7"/>
          </w:tcPr>
          <w:p>
            <w:pPr>
              <w:spacing w:after="0"/>
              <w:rPr>
                <w:sz w:val="18"/>
                <w:szCs w:val="18"/>
                <w:color w:val="auto"/>
              </w:rPr>
            </w:pPr>
          </w:p>
        </w:tc>
        <w:tc>
          <w:tcPr>
            <w:tcW w:w="1000" w:type="dxa"/>
            <w:vAlign w:val="bottom"/>
            <w:tcBorders>
              <w:top w:val="single" w:sz="8" w:color="auto"/>
            </w:tcBorders>
            <w:gridSpan w:val="2"/>
            <w:shd w:val="clear" w:color="auto" w:fill="CEFFE7"/>
          </w:tcPr>
          <w:p>
            <w:pPr>
              <w:jc w:val="right"/>
              <w:ind w:right="179"/>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auto"/>
            </w:tcBorders>
            <w:shd w:val="clear" w:color="auto" w:fill="CEFFE7"/>
          </w:tcPr>
          <w:p>
            <w:pPr>
              <w:spacing w:after="0"/>
              <w:rPr>
                <w:sz w:val="18"/>
                <w:szCs w:val="18"/>
                <w:color w:val="auto"/>
              </w:rPr>
            </w:pPr>
          </w:p>
        </w:tc>
        <w:tc>
          <w:tcPr>
            <w:tcW w:w="140" w:type="dxa"/>
            <w:vAlign w:val="bottom"/>
            <w:tcBorders>
              <w:top w:val="single" w:sz="8" w:color="auto"/>
            </w:tcBorders>
            <w:shd w:val="clear" w:color="auto" w:fill="CEFFE7"/>
          </w:tcPr>
          <w:p>
            <w:pPr>
              <w:spacing w:after="0"/>
              <w:rPr>
                <w:sz w:val="18"/>
                <w:szCs w:val="18"/>
                <w:color w:val="auto"/>
              </w:rPr>
            </w:pPr>
          </w:p>
        </w:tc>
        <w:tc>
          <w:tcPr>
            <w:tcW w:w="1360" w:type="dxa"/>
            <w:vAlign w:val="bottom"/>
            <w:tcBorders>
              <w:top w:val="single" w:sz="8" w:color="auto"/>
            </w:tcBorders>
            <w:gridSpan w:val="2"/>
            <w:shd w:val="clear" w:color="auto" w:fill="CEFFE7"/>
          </w:tcPr>
          <w:p>
            <w:pPr>
              <w:jc w:val="right"/>
              <w:spacing w:after="0"/>
              <w:rPr>
                <w:sz w:val="20"/>
                <w:szCs w:val="20"/>
                <w:color w:val="auto"/>
              </w:rPr>
            </w:pPr>
            <w:r>
              <w:rPr>
                <w:rFonts w:ascii="Arial" w:cs="Arial" w:eastAsia="Arial" w:hAnsi="Arial"/>
                <w:sz w:val="16"/>
                <w:szCs w:val="16"/>
                <w:color w:val="auto"/>
              </w:rPr>
              <w:t>3,217,474</w:t>
            </w:r>
          </w:p>
        </w:tc>
        <w:tc>
          <w:tcPr>
            <w:tcW w:w="800" w:type="dxa"/>
            <w:vAlign w:val="bottom"/>
            <w:tcBorders>
              <w:top w:val="single" w:sz="8" w:color="auto"/>
            </w:tcBorders>
            <w:shd w:val="clear" w:color="auto" w:fill="CEFFE7"/>
          </w:tcPr>
          <w:p>
            <w:pPr>
              <w:jc w:val="right"/>
              <w:ind w:right="519"/>
              <w:spacing w:after="0"/>
              <w:rPr>
                <w:sz w:val="20"/>
                <w:szCs w:val="20"/>
                <w:color w:val="auto"/>
              </w:rPr>
            </w:pPr>
            <w:r>
              <w:rPr>
                <w:rFonts w:ascii="Arial" w:cs="Arial" w:eastAsia="Arial" w:hAnsi="Arial"/>
                <w:sz w:val="16"/>
                <w:szCs w:val="16"/>
                <w:color w:val="auto"/>
              </w:rPr>
              <w:t>$</w:t>
            </w:r>
          </w:p>
        </w:tc>
        <w:tc>
          <w:tcPr>
            <w:tcW w:w="140" w:type="dxa"/>
            <w:vAlign w:val="bottom"/>
            <w:tcBorders>
              <w:top w:val="single" w:sz="8" w:color="auto"/>
            </w:tcBorders>
            <w:shd w:val="clear" w:color="auto" w:fill="CEFFE7"/>
          </w:tcPr>
          <w:p>
            <w:pPr>
              <w:spacing w:after="0"/>
              <w:rPr>
                <w:sz w:val="18"/>
                <w:szCs w:val="18"/>
                <w:color w:val="auto"/>
              </w:rPr>
            </w:pPr>
          </w:p>
        </w:tc>
        <w:tc>
          <w:tcPr>
            <w:tcW w:w="160" w:type="dxa"/>
            <w:vAlign w:val="bottom"/>
            <w:tcBorders>
              <w:top w:val="single" w:sz="8" w:color="auto"/>
            </w:tcBorders>
            <w:shd w:val="clear" w:color="auto" w:fill="CEFFE7"/>
          </w:tcPr>
          <w:p>
            <w:pPr>
              <w:spacing w:after="0"/>
              <w:rPr>
                <w:sz w:val="18"/>
                <w:szCs w:val="18"/>
                <w:color w:val="auto"/>
              </w:rPr>
            </w:pPr>
          </w:p>
        </w:tc>
        <w:tc>
          <w:tcPr>
            <w:tcW w:w="980" w:type="dxa"/>
            <w:vAlign w:val="bottom"/>
            <w:tcBorders>
              <w:top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3,120,928</w:t>
            </w:r>
          </w:p>
        </w:tc>
        <w:tc>
          <w:tcPr>
            <w:tcW w:w="20" w:type="dxa"/>
            <w:vAlign w:val="bottom"/>
          </w:tcPr>
          <w:p>
            <w:pPr>
              <w:spacing w:after="0"/>
              <w:rPr>
                <w:sz w:val="18"/>
                <w:szCs w:val="18"/>
                <w:color w:val="auto"/>
              </w:rPr>
            </w:pPr>
          </w:p>
        </w:tc>
      </w:tr>
      <w:tr>
        <w:trPr>
          <w:trHeight w:val="213"/>
        </w:trPr>
        <w:tc>
          <w:tcPr>
            <w:tcW w:w="40" w:type="dxa"/>
            <w:vAlign w:val="bottom"/>
          </w:tcPr>
          <w:p>
            <w:pPr>
              <w:spacing w:after="0"/>
              <w:rPr>
                <w:sz w:val="18"/>
                <w:szCs w:val="18"/>
                <w:color w:val="auto"/>
              </w:rPr>
            </w:pPr>
          </w:p>
        </w:tc>
        <w:tc>
          <w:tcPr>
            <w:tcW w:w="5180" w:type="dxa"/>
            <w:vAlign w:val="bottom"/>
          </w:tcPr>
          <w:p>
            <w:pPr>
              <w:ind w:left="120"/>
              <w:spacing w:after="0"/>
              <w:rPr>
                <w:sz w:val="20"/>
                <w:szCs w:val="20"/>
                <w:color w:val="auto"/>
              </w:rPr>
            </w:pPr>
            <w:r>
              <w:rPr>
                <w:rFonts w:ascii="Arial" w:cs="Arial" w:eastAsia="Arial" w:hAnsi="Arial"/>
                <w:sz w:val="16"/>
                <w:szCs w:val="16"/>
                <w:color w:val="auto"/>
              </w:rPr>
              <w:t>Gas Utilities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4,900,939</w:t>
            </w: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4,376,204</w:t>
            </w:r>
          </w:p>
        </w:tc>
        <w:tc>
          <w:tcPr>
            <w:tcW w:w="20" w:type="dxa"/>
            <w:vAlign w:val="bottom"/>
          </w:tcPr>
          <w:p>
            <w:pPr>
              <w:spacing w:after="0"/>
              <w:rPr>
                <w:sz w:val="18"/>
                <w:szCs w:val="18"/>
                <w:color w:val="auto"/>
              </w:rPr>
            </w:pPr>
          </w:p>
        </w:tc>
      </w:tr>
      <w:tr>
        <w:trPr>
          <w:trHeight w:val="219"/>
        </w:trPr>
        <w:tc>
          <w:tcPr>
            <w:tcW w:w="40" w:type="dxa"/>
            <w:vAlign w:val="bottom"/>
          </w:tcPr>
          <w:p>
            <w:pPr>
              <w:spacing w:after="0"/>
              <w:rPr>
                <w:sz w:val="19"/>
                <w:szCs w:val="19"/>
                <w:color w:val="auto"/>
              </w:rPr>
            </w:pPr>
          </w:p>
        </w:tc>
        <w:tc>
          <w:tcPr>
            <w:tcW w:w="5180" w:type="dxa"/>
            <w:vAlign w:val="bottom"/>
            <w:shd w:val="clear" w:color="auto" w:fill="CEFFE7"/>
          </w:tcPr>
          <w:p>
            <w:pPr>
              <w:ind w:left="120"/>
              <w:spacing w:after="0"/>
              <w:rPr>
                <w:sz w:val="20"/>
                <w:szCs w:val="20"/>
                <w:color w:val="auto"/>
              </w:rPr>
            </w:pPr>
            <w:r>
              <w:rPr>
                <w:rFonts w:ascii="Arial" w:cs="Arial" w:eastAsia="Arial" w:hAnsi="Arial"/>
                <w:sz w:val="16"/>
                <w:szCs w:val="16"/>
                <w:color w:val="auto"/>
              </w:rPr>
              <w:t>Power Generation</w:t>
            </w:r>
          </w:p>
        </w:tc>
        <w:tc>
          <w:tcPr>
            <w:tcW w:w="100" w:type="dxa"/>
            <w:vAlign w:val="bottom"/>
            <w:shd w:val="clear" w:color="auto" w:fill="CEFFE7"/>
          </w:tcPr>
          <w:p>
            <w:pPr>
              <w:spacing w:after="0"/>
              <w:rPr>
                <w:sz w:val="19"/>
                <w:szCs w:val="19"/>
                <w:color w:val="auto"/>
              </w:rPr>
            </w:pPr>
          </w:p>
        </w:tc>
        <w:tc>
          <w:tcPr>
            <w:tcW w:w="1020" w:type="dxa"/>
            <w:vAlign w:val="bottom"/>
            <w:shd w:val="clear" w:color="auto" w:fill="CEFFE7"/>
          </w:tcPr>
          <w:p>
            <w:pPr>
              <w:spacing w:after="0"/>
              <w:rPr>
                <w:sz w:val="19"/>
                <w:szCs w:val="19"/>
                <w:color w:val="auto"/>
              </w:rPr>
            </w:pPr>
          </w:p>
        </w:tc>
        <w:tc>
          <w:tcPr>
            <w:tcW w:w="180" w:type="dxa"/>
            <w:vAlign w:val="bottom"/>
            <w:shd w:val="clear" w:color="auto" w:fill="CEFFE7"/>
          </w:tcPr>
          <w:p>
            <w:pPr>
              <w:spacing w:after="0"/>
              <w:rPr>
                <w:sz w:val="19"/>
                <w:szCs w:val="19"/>
                <w:color w:val="auto"/>
              </w:rPr>
            </w:pPr>
          </w:p>
        </w:tc>
        <w:tc>
          <w:tcPr>
            <w:tcW w:w="620" w:type="dxa"/>
            <w:vAlign w:val="bottom"/>
            <w:shd w:val="clear" w:color="auto" w:fill="CEFFE7"/>
          </w:tcPr>
          <w:p>
            <w:pPr>
              <w:spacing w:after="0"/>
              <w:rPr>
                <w:sz w:val="19"/>
                <w:szCs w:val="19"/>
                <w:color w:val="auto"/>
              </w:rPr>
            </w:pPr>
          </w:p>
        </w:tc>
        <w:tc>
          <w:tcPr>
            <w:tcW w:w="380" w:type="dxa"/>
            <w:vAlign w:val="bottom"/>
            <w:shd w:val="clear" w:color="auto" w:fill="CEFFE7"/>
          </w:tcPr>
          <w:p>
            <w:pPr>
              <w:spacing w:after="0"/>
              <w:rPr>
                <w:sz w:val="19"/>
                <w:szCs w:val="19"/>
                <w:color w:val="auto"/>
              </w:rPr>
            </w:pPr>
          </w:p>
        </w:tc>
        <w:tc>
          <w:tcPr>
            <w:tcW w:w="120" w:type="dxa"/>
            <w:vAlign w:val="bottom"/>
            <w:shd w:val="clear" w:color="auto" w:fill="CEFFE7"/>
          </w:tcPr>
          <w:p>
            <w:pPr>
              <w:spacing w:after="0"/>
              <w:rPr>
                <w:sz w:val="19"/>
                <w:szCs w:val="19"/>
                <w:color w:val="auto"/>
              </w:rPr>
            </w:pPr>
          </w:p>
        </w:tc>
        <w:tc>
          <w:tcPr>
            <w:tcW w:w="140" w:type="dxa"/>
            <w:vAlign w:val="bottom"/>
            <w:shd w:val="clear" w:color="auto" w:fill="CEFFE7"/>
          </w:tcPr>
          <w:p>
            <w:pPr>
              <w:spacing w:after="0"/>
              <w:rPr>
                <w:sz w:val="19"/>
                <w:szCs w:val="19"/>
                <w:color w:val="auto"/>
              </w:rPr>
            </w:pPr>
          </w:p>
        </w:tc>
        <w:tc>
          <w:tcPr>
            <w:tcW w:w="1360" w:type="dxa"/>
            <w:vAlign w:val="bottom"/>
            <w:gridSpan w:val="2"/>
            <w:shd w:val="clear" w:color="auto" w:fill="CEFFE7"/>
          </w:tcPr>
          <w:p>
            <w:pPr>
              <w:jc w:val="right"/>
              <w:spacing w:after="0"/>
              <w:rPr>
                <w:sz w:val="20"/>
                <w:szCs w:val="20"/>
                <w:color w:val="auto"/>
              </w:rPr>
            </w:pPr>
            <w:r>
              <w:rPr>
                <w:rFonts w:ascii="Arial" w:cs="Arial" w:eastAsia="Arial" w:hAnsi="Arial"/>
                <w:sz w:val="16"/>
                <w:szCs w:val="16"/>
                <w:color w:val="auto"/>
              </w:rPr>
              <w:t>406,742</w:t>
            </w:r>
          </w:p>
        </w:tc>
        <w:tc>
          <w:tcPr>
            <w:tcW w:w="800" w:type="dxa"/>
            <w:vAlign w:val="bottom"/>
            <w:shd w:val="clear" w:color="auto" w:fill="CEFFE7"/>
          </w:tcPr>
          <w:p>
            <w:pPr>
              <w:spacing w:after="0"/>
              <w:rPr>
                <w:sz w:val="19"/>
                <w:szCs w:val="19"/>
                <w:color w:val="auto"/>
              </w:rPr>
            </w:pPr>
          </w:p>
        </w:tc>
        <w:tc>
          <w:tcPr>
            <w:tcW w:w="140" w:type="dxa"/>
            <w:vAlign w:val="bottom"/>
            <w:shd w:val="clear" w:color="auto" w:fill="CEFFE7"/>
          </w:tcPr>
          <w:p>
            <w:pPr>
              <w:spacing w:after="0"/>
              <w:rPr>
                <w:sz w:val="19"/>
                <w:szCs w:val="19"/>
                <w:color w:val="auto"/>
              </w:rPr>
            </w:pPr>
          </w:p>
        </w:tc>
        <w:tc>
          <w:tcPr>
            <w:tcW w:w="160" w:type="dxa"/>
            <w:vAlign w:val="bottom"/>
            <w:shd w:val="clear" w:color="auto" w:fill="CEFFE7"/>
          </w:tcPr>
          <w:p>
            <w:pPr>
              <w:spacing w:after="0"/>
              <w:rPr>
                <w:sz w:val="19"/>
                <w:szCs w:val="19"/>
                <w:color w:val="auto"/>
              </w:rPr>
            </w:pPr>
          </w:p>
        </w:tc>
        <w:tc>
          <w:tcPr>
            <w:tcW w:w="9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404,220</w:t>
            </w:r>
          </w:p>
        </w:tc>
        <w:tc>
          <w:tcPr>
            <w:tcW w:w="20" w:type="dxa"/>
            <w:vAlign w:val="bottom"/>
          </w:tcPr>
          <w:p>
            <w:pPr>
              <w:spacing w:after="0"/>
              <w:rPr>
                <w:sz w:val="19"/>
                <w:szCs w:val="19"/>
                <w:color w:val="auto"/>
              </w:rPr>
            </w:pPr>
          </w:p>
        </w:tc>
      </w:tr>
      <w:tr>
        <w:trPr>
          <w:trHeight w:val="213"/>
        </w:trPr>
        <w:tc>
          <w:tcPr>
            <w:tcW w:w="40" w:type="dxa"/>
            <w:vAlign w:val="bottom"/>
          </w:tcPr>
          <w:p>
            <w:pPr>
              <w:spacing w:after="0"/>
              <w:rPr>
                <w:sz w:val="18"/>
                <w:szCs w:val="18"/>
                <w:color w:val="auto"/>
              </w:rPr>
            </w:pPr>
          </w:p>
        </w:tc>
        <w:tc>
          <w:tcPr>
            <w:tcW w:w="5180" w:type="dxa"/>
            <w:vAlign w:val="bottom"/>
          </w:tcPr>
          <w:p>
            <w:pPr>
              <w:ind w:left="120"/>
              <w:spacing w:after="0"/>
              <w:rPr>
                <w:sz w:val="20"/>
                <w:szCs w:val="20"/>
                <w:color w:val="auto"/>
              </w:rPr>
            </w:pPr>
            <w:r>
              <w:rPr>
                <w:rFonts w:ascii="Arial" w:cs="Arial" w:eastAsia="Arial" w:hAnsi="Arial"/>
                <w:sz w:val="16"/>
                <w:szCs w:val="16"/>
                <w:color w:val="auto"/>
              </w:rPr>
              <w:t>Mining</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76,097</w:t>
            </w: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77,085</w:t>
            </w:r>
          </w:p>
        </w:tc>
        <w:tc>
          <w:tcPr>
            <w:tcW w:w="2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180" w:type="dxa"/>
            <w:vAlign w:val="bottom"/>
            <w:shd w:val="clear" w:color="auto" w:fill="CEFFE7"/>
          </w:tcPr>
          <w:p>
            <w:pPr>
              <w:ind w:left="120"/>
              <w:spacing w:after="0"/>
              <w:rPr>
                <w:sz w:val="20"/>
                <w:szCs w:val="20"/>
                <w:color w:val="auto"/>
              </w:rPr>
            </w:pPr>
            <w:r>
              <w:rPr>
                <w:rFonts w:ascii="Arial" w:cs="Arial" w:eastAsia="Arial" w:hAnsi="Arial"/>
                <w:sz w:val="16"/>
                <w:szCs w:val="16"/>
                <w:color w:val="auto"/>
              </w:rPr>
              <w:t>Corporate and Other</w:t>
            </w:r>
          </w:p>
        </w:tc>
        <w:tc>
          <w:tcPr>
            <w:tcW w:w="100" w:type="dxa"/>
            <w:vAlign w:val="bottom"/>
            <w:shd w:val="clear" w:color="auto" w:fill="CEFFE7"/>
          </w:tcPr>
          <w:p>
            <w:pPr>
              <w:spacing w:after="0"/>
              <w:rPr>
                <w:sz w:val="18"/>
                <w:szCs w:val="18"/>
                <w:color w:val="auto"/>
              </w:rPr>
            </w:pPr>
          </w:p>
        </w:tc>
        <w:tc>
          <w:tcPr>
            <w:tcW w:w="1020" w:type="dxa"/>
            <w:vAlign w:val="bottom"/>
            <w:shd w:val="clear" w:color="auto" w:fill="CEFFE7"/>
          </w:tcPr>
          <w:p>
            <w:pPr>
              <w:spacing w:after="0"/>
              <w:rPr>
                <w:sz w:val="18"/>
                <w:szCs w:val="18"/>
                <w:color w:val="auto"/>
              </w:rPr>
            </w:pPr>
          </w:p>
        </w:tc>
        <w:tc>
          <w:tcPr>
            <w:tcW w:w="180" w:type="dxa"/>
            <w:vAlign w:val="bottom"/>
            <w:shd w:val="clear" w:color="auto" w:fill="CEFFE7"/>
          </w:tcPr>
          <w:p>
            <w:pPr>
              <w:spacing w:after="0"/>
              <w:rPr>
                <w:sz w:val="18"/>
                <w:szCs w:val="18"/>
                <w:color w:val="auto"/>
              </w:rPr>
            </w:pPr>
          </w:p>
        </w:tc>
        <w:tc>
          <w:tcPr>
            <w:tcW w:w="620" w:type="dxa"/>
            <w:vAlign w:val="bottom"/>
            <w:shd w:val="clear" w:color="auto" w:fill="CEFFE7"/>
          </w:tcPr>
          <w:p>
            <w:pPr>
              <w:spacing w:after="0"/>
              <w:rPr>
                <w:sz w:val="18"/>
                <w:szCs w:val="18"/>
                <w:color w:val="auto"/>
              </w:rPr>
            </w:pPr>
          </w:p>
        </w:tc>
        <w:tc>
          <w:tcPr>
            <w:tcW w:w="380" w:type="dxa"/>
            <w:vAlign w:val="bottom"/>
            <w:tcBorders>
              <w:bottom w:val="single" w:sz="8" w:color="auto"/>
            </w:tcBorders>
            <w:shd w:val="clear" w:color="auto" w:fill="CEFFE7"/>
          </w:tcPr>
          <w:p>
            <w:pPr>
              <w:spacing w:after="0"/>
              <w:rPr>
                <w:sz w:val="18"/>
                <w:szCs w:val="18"/>
                <w:color w:val="auto"/>
              </w:rPr>
            </w:pPr>
          </w:p>
        </w:tc>
        <w:tc>
          <w:tcPr>
            <w:tcW w:w="120" w:type="dxa"/>
            <w:vAlign w:val="bottom"/>
            <w:tcBorders>
              <w:bottom w:val="single" w:sz="8" w:color="auto"/>
            </w:tcBorders>
            <w:shd w:val="clear" w:color="auto" w:fill="CEFFE7"/>
          </w:tcPr>
          <w:p>
            <w:pPr>
              <w:spacing w:after="0"/>
              <w:rPr>
                <w:sz w:val="18"/>
                <w:szCs w:val="18"/>
                <w:color w:val="auto"/>
              </w:rPr>
            </w:pPr>
          </w:p>
        </w:tc>
        <w:tc>
          <w:tcPr>
            <w:tcW w:w="140" w:type="dxa"/>
            <w:vAlign w:val="bottom"/>
            <w:tcBorders>
              <w:bottom w:val="single" w:sz="8" w:color="auto"/>
            </w:tcBorders>
            <w:shd w:val="clear" w:color="auto" w:fill="CEFFE7"/>
          </w:tcPr>
          <w:p>
            <w:pPr>
              <w:spacing w:after="0"/>
              <w:rPr>
                <w:sz w:val="18"/>
                <w:szCs w:val="18"/>
                <w:color w:val="auto"/>
              </w:rPr>
            </w:pPr>
          </w:p>
        </w:tc>
        <w:tc>
          <w:tcPr>
            <w:tcW w:w="1360" w:type="dxa"/>
            <w:vAlign w:val="bottom"/>
            <w:tcBorders>
              <w:bottom w:val="single" w:sz="8" w:color="auto"/>
            </w:tcBorders>
            <w:gridSpan w:val="2"/>
            <w:shd w:val="clear" w:color="auto" w:fill="CEFFE7"/>
          </w:tcPr>
          <w:p>
            <w:pPr>
              <w:jc w:val="right"/>
              <w:spacing w:after="0"/>
              <w:rPr>
                <w:sz w:val="20"/>
                <w:szCs w:val="20"/>
                <w:color w:val="auto"/>
              </w:rPr>
            </w:pPr>
            <w:r>
              <w:rPr>
                <w:rFonts w:ascii="Arial" w:cs="Arial" w:eastAsia="Arial" w:hAnsi="Arial"/>
                <w:sz w:val="16"/>
                <w:szCs w:val="16"/>
                <w:color w:val="auto"/>
              </w:rPr>
              <w:t>94,947</w:t>
            </w:r>
          </w:p>
        </w:tc>
        <w:tc>
          <w:tcPr>
            <w:tcW w:w="800" w:type="dxa"/>
            <w:vAlign w:val="bottom"/>
            <w:tcBorders>
              <w:bottom w:val="single" w:sz="8" w:color="auto"/>
            </w:tcBorders>
            <w:shd w:val="clear" w:color="auto" w:fill="CEFFE7"/>
          </w:tcPr>
          <w:p>
            <w:pPr>
              <w:spacing w:after="0"/>
              <w:rPr>
                <w:sz w:val="18"/>
                <w:szCs w:val="18"/>
                <w:color w:val="auto"/>
              </w:rPr>
            </w:pPr>
          </w:p>
        </w:tc>
        <w:tc>
          <w:tcPr>
            <w:tcW w:w="140" w:type="dxa"/>
            <w:vAlign w:val="bottom"/>
            <w:tcBorders>
              <w:bottom w:val="single" w:sz="8" w:color="auto"/>
            </w:tcBorders>
            <w:shd w:val="clear" w:color="auto" w:fill="CEFFE7"/>
          </w:tcPr>
          <w:p>
            <w:pPr>
              <w:spacing w:after="0"/>
              <w:rPr>
                <w:sz w:val="18"/>
                <w:szCs w:val="18"/>
                <w:color w:val="auto"/>
              </w:rPr>
            </w:pPr>
          </w:p>
        </w:tc>
        <w:tc>
          <w:tcPr>
            <w:tcW w:w="160" w:type="dxa"/>
            <w:vAlign w:val="bottom"/>
            <w:tcBorders>
              <w:bottom w:val="single" w:sz="8" w:color="auto"/>
            </w:tcBorders>
            <w:shd w:val="clear" w:color="auto" w:fill="CEFFE7"/>
          </w:tcPr>
          <w:p>
            <w:pPr>
              <w:spacing w:after="0"/>
              <w:rPr>
                <w:sz w:val="18"/>
                <w:szCs w:val="18"/>
                <w:color w:val="auto"/>
              </w:rPr>
            </w:pPr>
          </w:p>
        </w:tc>
        <w:tc>
          <w:tcPr>
            <w:tcW w:w="9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110,349</w:t>
            </w:r>
          </w:p>
        </w:tc>
        <w:tc>
          <w:tcPr>
            <w:tcW w:w="20" w:type="dxa"/>
            <w:vAlign w:val="bottom"/>
          </w:tcPr>
          <w:p>
            <w:pPr>
              <w:spacing w:after="0"/>
              <w:rPr>
                <w:sz w:val="18"/>
                <w:szCs w:val="18"/>
                <w:color w:val="auto"/>
              </w:rPr>
            </w:pPr>
          </w:p>
        </w:tc>
      </w:tr>
      <w:tr>
        <w:trPr>
          <w:trHeight w:val="213"/>
        </w:trPr>
        <w:tc>
          <w:tcPr>
            <w:tcW w:w="4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6"/>
                <w:szCs w:val="16"/>
                <w:color w:val="auto"/>
              </w:rPr>
              <w:t>Total assets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17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8,696,199</w:t>
            </w:r>
          </w:p>
        </w:tc>
        <w:tc>
          <w:tcPr>
            <w:tcW w:w="800" w:type="dxa"/>
            <w:vAlign w:val="bottom"/>
          </w:tcPr>
          <w:p>
            <w:pPr>
              <w:jc w:val="right"/>
              <w:ind w:right="51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8,088,786</w:t>
            </w:r>
          </w:p>
        </w:tc>
        <w:tc>
          <w:tcPr>
            <w:tcW w:w="20" w:type="dxa"/>
            <w:vAlign w:val="bottom"/>
          </w:tcPr>
          <w:p>
            <w:pPr>
              <w:spacing w:after="0"/>
              <w:rPr>
                <w:sz w:val="18"/>
                <w:szCs w:val="18"/>
                <w:color w:val="auto"/>
              </w:rPr>
            </w:pPr>
          </w:p>
        </w:tc>
      </w:tr>
      <w:tr>
        <w:trPr>
          <w:trHeight w:val="20"/>
        </w:trPr>
        <w:tc>
          <w:tcPr>
            <w:tcW w:w="4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160" w:type="dxa"/>
            <w:vAlign w:val="bottom"/>
            <w:tcBorders>
              <w:top w:val="single" w:sz="8" w:color="auto"/>
              <w:bottom w:val="single" w:sz="8" w:color="auto"/>
            </w:tcBorders>
            <w:gridSpan w:val="3"/>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765"/>
        </w:trPr>
        <w:tc>
          <w:tcPr>
            <w:tcW w:w="4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00" w:type="dxa"/>
            <w:vAlign w:val="bottom"/>
            <w:gridSpan w:val="4"/>
          </w:tcPr>
          <w:p>
            <w:pPr>
              <w:jc w:val="center"/>
              <w:ind w:right="280"/>
              <w:spacing w:after="0"/>
              <w:rPr>
                <w:sz w:val="20"/>
                <w:szCs w:val="20"/>
                <w:color w:val="auto"/>
              </w:rPr>
            </w:pPr>
            <w:r>
              <w:rPr>
                <w:rFonts w:ascii="Arial" w:cs="Arial" w:eastAsia="Arial" w:hAnsi="Arial"/>
                <w:sz w:val="16"/>
                <w:szCs w:val="16"/>
                <w:color w:val="auto"/>
              </w:rPr>
              <w:t>Inter-company Operating</w:t>
            </w: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5"/>
        </w:trPr>
        <w:tc>
          <w:tcPr>
            <w:tcW w:w="40" w:type="dxa"/>
            <w:vAlign w:val="bottom"/>
          </w:tcPr>
          <w:p>
            <w:pPr>
              <w:spacing w:after="0"/>
              <w:rPr>
                <w:sz w:val="16"/>
                <w:szCs w:val="16"/>
                <w:color w:val="auto"/>
              </w:rPr>
            </w:pPr>
          </w:p>
        </w:tc>
        <w:tc>
          <w:tcPr>
            <w:tcW w:w="5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0" w:type="dxa"/>
            <w:vAlign w:val="bottom"/>
            <w:gridSpan w:val="4"/>
          </w:tcPr>
          <w:p>
            <w:pPr>
              <w:jc w:val="right"/>
              <w:ind w:right="59"/>
              <w:spacing w:after="0"/>
              <w:rPr>
                <w:sz w:val="20"/>
                <w:szCs w:val="20"/>
                <w:color w:val="auto"/>
              </w:rPr>
            </w:pPr>
            <w:r>
              <w:rPr>
                <w:rFonts w:ascii="Arial" w:cs="Arial" w:eastAsia="Arial" w:hAnsi="Arial"/>
                <w:sz w:val="16"/>
                <w:szCs w:val="16"/>
                <w:color w:val="auto"/>
              </w:rPr>
              <w:t>External Operating Revenue</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gridSpan w:val="2"/>
          </w:tcPr>
          <w:p>
            <w:pPr>
              <w:jc w:val="center"/>
              <w:ind w:left="579"/>
              <w:spacing w:after="0"/>
              <w:rPr>
                <w:sz w:val="20"/>
                <w:szCs w:val="20"/>
                <w:color w:val="auto"/>
              </w:rPr>
            </w:pPr>
            <w:r>
              <w:rPr>
                <w:rFonts w:ascii="Arial" w:cs="Arial" w:eastAsia="Arial" w:hAnsi="Arial"/>
                <w:sz w:val="16"/>
                <w:szCs w:val="16"/>
                <w:color w:val="auto"/>
              </w:rPr>
              <w:t>Revenue</w:t>
            </w: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37"/>
        </w:trPr>
        <w:tc>
          <w:tcPr>
            <w:tcW w:w="40" w:type="dxa"/>
            <w:vAlign w:val="bottom"/>
          </w:tcPr>
          <w:p>
            <w:pPr>
              <w:spacing w:after="0"/>
              <w:rPr>
                <w:sz w:val="20"/>
                <w:szCs w:val="20"/>
                <w:color w:val="auto"/>
              </w:rPr>
            </w:pPr>
          </w:p>
        </w:tc>
        <w:tc>
          <w:tcPr>
            <w:tcW w:w="5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rPr>
              <w:t>Contract</w:t>
            </w:r>
          </w:p>
        </w:tc>
        <w:tc>
          <w:tcPr>
            <w:tcW w:w="180" w:type="dxa"/>
            <w:vAlign w:val="bottom"/>
          </w:tcPr>
          <w:p>
            <w:pPr>
              <w:spacing w:after="0"/>
              <w:rPr>
                <w:sz w:val="20"/>
                <w:szCs w:val="20"/>
                <w:color w:val="auto"/>
              </w:rPr>
            </w:pPr>
          </w:p>
        </w:tc>
        <w:tc>
          <w:tcPr>
            <w:tcW w:w="1000" w:type="dxa"/>
            <w:vAlign w:val="bottom"/>
            <w:gridSpan w:val="2"/>
          </w:tcPr>
          <w:p>
            <w:pPr>
              <w:jc w:val="center"/>
              <w:ind w:right="39"/>
              <w:spacing w:after="0"/>
              <w:rPr>
                <w:sz w:val="20"/>
                <w:szCs w:val="20"/>
                <w:color w:val="auto"/>
              </w:rPr>
            </w:pPr>
            <w:r>
              <w:rPr>
                <w:rFonts w:ascii="Arial" w:cs="Arial" w:eastAsia="Arial" w:hAnsi="Arial"/>
                <w:sz w:val="16"/>
                <w:szCs w:val="16"/>
                <w:color w:val="auto"/>
                <w:w w:val="99"/>
              </w:rPr>
              <w:t>Other</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Arial" w:cs="Arial" w:eastAsia="Arial" w:hAnsi="Arial"/>
                <w:sz w:val="16"/>
                <w:szCs w:val="16"/>
                <w:color w:val="auto"/>
                <w:w w:val="99"/>
              </w:rPr>
              <w:t>Contract</w:t>
            </w:r>
          </w:p>
        </w:tc>
        <w:tc>
          <w:tcPr>
            <w:tcW w:w="360" w:type="dxa"/>
            <w:vAlign w:val="bottom"/>
          </w:tcPr>
          <w:p>
            <w:pPr>
              <w:spacing w:after="0"/>
              <w:rPr>
                <w:sz w:val="20"/>
                <w:szCs w:val="20"/>
                <w:color w:val="auto"/>
              </w:rPr>
            </w:pPr>
          </w:p>
        </w:tc>
        <w:tc>
          <w:tcPr>
            <w:tcW w:w="940" w:type="dxa"/>
            <w:vAlign w:val="bottom"/>
            <w:gridSpan w:val="2"/>
          </w:tcPr>
          <w:p>
            <w:pPr>
              <w:jc w:val="center"/>
              <w:ind w:right="460"/>
              <w:spacing w:after="0"/>
              <w:rPr>
                <w:sz w:val="20"/>
                <w:szCs w:val="20"/>
                <w:color w:val="auto"/>
              </w:rPr>
            </w:pPr>
            <w:r>
              <w:rPr>
                <w:rFonts w:ascii="Arial" w:cs="Arial" w:eastAsia="Arial" w:hAnsi="Arial"/>
                <w:sz w:val="16"/>
                <w:szCs w:val="16"/>
                <w:color w:val="auto"/>
                <w:w w:val="99"/>
              </w:rPr>
              <w:t>Other</w:t>
            </w:r>
          </w:p>
        </w:tc>
        <w:tc>
          <w:tcPr>
            <w:tcW w:w="160" w:type="dxa"/>
            <w:vAlign w:val="bottom"/>
          </w:tcPr>
          <w:p>
            <w:pPr>
              <w:spacing w:after="0"/>
              <w:rPr>
                <w:sz w:val="20"/>
                <w:szCs w:val="20"/>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6"/>
                <w:szCs w:val="16"/>
                <w:color w:val="auto"/>
                <w:w w:val="95"/>
              </w:rPr>
              <w:t>Total</w:t>
            </w:r>
          </w:p>
        </w:tc>
      </w:tr>
      <w:tr>
        <w:trPr>
          <w:trHeight w:val="198"/>
        </w:trPr>
        <w:tc>
          <w:tcPr>
            <w:tcW w:w="40" w:type="dxa"/>
            <w:vAlign w:val="bottom"/>
          </w:tcPr>
          <w:p>
            <w:pPr>
              <w:spacing w:after="0"/>
              <w:rPr>
                <w:sz w:val="17"/>
                <w:szCs w:val="17"/>
                <w:color w:val="auto"/>
              </w:rPr>
            </w:pPr>
          </w:p>
        </w:tc>
        <w:tc>
          <w:tcPr>
            <w:tcW w:w="5180" w:type="dxa"/>
            <w:vAlign w:val="bottom"/>
          </w:tcPr>
          <w:p>
            <w:pPr>
              <w:spacing w:after="0"/>
              <w:rPr>
                <w:sz w:val="20"/>
                <w:szCs w:val="20"/>
                <w:color w:val="auto"/>
              </w:rPr>
            </w:pPr>
            <w:r>
              <w:rPr>
                <w:rFonts w:ascii="Arial" w:cs="Arial" w:eastAsia="Arial" w:hAnsi="Arial"/>
                <w:sz w:val="16"/>
                <w:szCs w:val="16"/>
                <w:color w:val="auto"/>
              </w:rPr>
              <w:t>Three Months Ended March 31, 2021</w:t>
            </w:r>
          </w:p>
        </w:tc>
        <w:tc>
          <w:tcPr>
            <w:tcW w:w="10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rPr>
              <w:t>Customers</w:t>
            </w:r>
          </w:p>
        </w:tc>
        <w:tc>
          <w:tcPr>
            <w:tcW w:w="180" w:type="dxa"/>
            <w:vAlign w:val="bottom"/>
          </w:tcPr>
          <w:p>
            <w:pPr>
              <w:spacing w:after="0"/>
              <w:rPr>
                <w:sz w:val="17"/>
                <w:szCs w:val="17"/>
                <w:color w:val="auto"/>
              </w:rPr>
            </w:pPr>
          </w:p>
        </w:tc>
        <w:tc>
          <w:tcPr>
            <w:tcW w:w="1000" w:type="dxa"/>
            <w:vAlign w:val="bottom"/>
            <w:gridSpan w:val="2"/>
          </w:tcPr>
          <w:p>
            <w:pPr>
              <w:jc w:val="center"/>
              <w:ind w:right="99"/>
              <w:spacing w:after="0"/>
              <w:rPr>
                <w:sz w:val="20"/>
                <w:szCs w:val="20"/>
                <w:color w:val="auto"/>
              </w:rPr>
            </w:pPr>
            <w:r>
              <w:rPr>
                <w:rFonts w:ascii="Arial" w:cs="Arial" w:eastAsia="Arial" w:hAnsi="Arial"/>
                <w:sz w:val="16"/>
                <w:szCs w:val="16"/>
                <w:color w:val="auto"/>
              </w:rPr>
              <w:t>Revenues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center"/>
              <w:ind w:right="59"/>
              <w:spacing w:after="0"/>
              <w:rPr>
                <w:sz w:val="20"/>
                <w:szCs w:val="20"/>
                <w:color w:val="auto"/>
              </w:rPr>
            </w:pPr>
            <w:r>
              <w:rPr>
                <w:rFonts w:ascii="Arial" w:cs="Arial" w:eastAsia="Arial" w:hAnsi="Arial"/>
                <w:sz w:val="16"/>
                <w:szCs w:val="16"/>
                <w:color w:val="auto"/>
              </w:rPr>
              <w:t>Customers</w:t>
            </w:r>
          </w:p>
        </w:tc>
        <w:tc>
          <w:tcPr>
            <w:tcW w:w="1300" w:type="dxa"/>
            <w:vAlign w:val="bottom"/>
            <w:gridSpan w:val="3"/>
          </w:tcPr>
          <w:p>
            <w:pPr>
              <w:jc w:val="center"/>
              <w:ind w:right="140"/>
              <w:spacing w:after="0"/>
              <w:rPr>
                <w:sz w:val="20"/>
                <w:szCs w:val="20"/>
                <w:color w:val="auto"/>
              </w:rPr>
            </w:pPr>
            <w:r>
              <w:rPr>
                <w:rFonts w:ascii="Arial" w:cs="Arial" w:eastAsia="Arial" w:hAnsi="Arial"/>
                <w:sz w:val="16"/>
                <w:szCs w:val="16"/>
                <w:color w:val="auto"/>
                <w:w w:val="99"/>
              </w:rPr>
              <w:t>Revenues</w:t>
            </w:r>
          </w:p>
        </w:tc>
        <w:tc>
          <w:tcPr>
            <w:tcW w:w="160" w:type="dxa"/>
            <w:vAlign w:val="bottom"/>
          </w:tcPr>
          <w:p>
            <w:pPr>
              <w:spacing w:after="0"/>
              <w:rPr>
                <w:sz w:val="17"/>
                <w:szCs w:val="17"/>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6"/>
                <w:szCs w:val="16"/>
                <w:color w:val="auto"/>
              </w:rPr>
              <w:t>Revenues</w:t>
            </w:r>
          </w:p>
        </w:tc>
      </w:tr>
      <w:tr>
        <w:trPr>
          <w:trHeight w:val="210"/>
        </w:trPr>
        <w:tc>
          <w:tcPr>
            <w:tcW w:w="40" w:type="dxa"/>
            <w:vAlign w:val="bottom"/>
          </w:tcPr>
          <w:p>
            <w:pPr>
              <w:spacing w:after="0"/>
              <w:rPr>
                <w:sz w:val="18"/>
                <w:szCs w:val="18"/>
                <w:color w:val="auto"/>
              </w:rPr>
            </w:pPr>
          </w:p>
        </w:tc>
        <w:tc>
          <w:tcPr>
            <w:tcW w:w="518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Segment:</w:t>
            </w: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19"/>
        </w:trPr>
        <w:tc>
          <w:tcPr>
            <w:tcW w:w="40" w:type="dxa"/>
            <w:vAlign w:val="bottom"/>
          </w:tcPr>
          <w:p>
            <w:pPr>
              <w:spacing w:after="0"/>
              <w:rPr>
                <w:sz w:val="19"/>
                <w:szCs w:val="19"/>
                <w:color w:val="auto"/>
              </w:rPr>
            </w:pPr>
          </w:p>
        </w:tc>
        <w:tc>
          <w:tcPr>
            <w:tcW w:w="5180" w:type="dxa"/>
            <w:vAlign w:val="bottom"/>
            <w:shd w:val="clear" w:color="auto" w:fill="CEFFE7"/>
          </w:tcPr>
          <w:p>
            <w:pPr>
              <w:ind w:left="120"/>
              <w:spacing w:after="0"/>
              <w:rPr>
                <w:sz w:val="20"/>
                <w:szCs w:val="20"/>
                <w:color w:val="auto"/>
              </w:rPr>
            </w:pPr>
            <w:r>
              <w:rPr>
                <w:rFonts w:ascii="Arial" w:cs="Arial" w:eastAsia="Arial" w:hAnsi="Arial"/>
                <w:sz w:val="16"/>
                <w:szCs w:val="16"/>
                <w:color w:val="auto"/>
              </w:rPr>
              <w:t>Electric Utilities</w:t>
            </w:r>
          </w:p>
        </w:tc>
        <w:tc>
          <w:tcPr>
            <w:tcW w:w="100" w:type="dxa"/>
            <w:vAlign w:val="bottom"/>
            <w:shd w:val="clear" w:color="auto" w:fill="CEFFE7"/>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220,500</w:t>
            </w:r>
          </w:p>
        </w:tc>
        <w:tc>
          <w:tcPr>
            <w:tcW w:w="1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EFFE7"/>
          </w:tcPr>
          <w:p>
            <w:pPr>
              <w:jc w:val="right"/>
              <w:spacing w:after="0"/>
              <w:rPr>
                <w:sz w:val="20"/>
                <w:szCs w:val="20"/>
                <w:color w:val="auto"/>
              </w:rPr>
            </w:pPr>
            <w:r>
              <w:rPr>
                <w:rFonts w:ascii="Arial" w:cs="Arial" w:eastAsia="Arial" w:hAnsi="Arial"/>
                <w:sz w:val="16"/>
                <w:szCs w:val="16"/>
                <w:color w:val="auto"/>
              </w:rPr>
              <w:t>137</w:t>
            </w:r>
          </w:p>
        </w:tc>
        <w:tc>
          <w:tcPr>
            <w:tcW w:w="260" w:type="dxa"/>
            <w:vAlign w:val="bottom"/>
            <w:gridSpan w:val="2"/>
            <w:shd w:val="clear" w:color="auto" w:fill="CEFFE7"/>
          </w:tcPr>
          <w:p>
            <w:pPr>
              <w:jc w:val="right"/>
              <w:ind w:right="2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6,771</w:t>
            </w:r>
          </w:p>
        </w:tc>
        <w:tc>
          <w:tcPr>
            <w:tcW w:w="360" w:type="dxa"/>
            <w:vAlign w:val="bottom"/>
            <w:shd w:val="clear" w:color="auto" w:fill="CEFFE7"/>
          </w:tcPr>
          <w:p>
            <w:pPr>
              <w:jc w:val="right"/>
              <w:ind w:right="159"/>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EFFE7"/>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EFFE7"/>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227,408</w:t>
            </w:r>
          </w:p>
        </w:tc>
        <w:tc>
          <w:tcPr>
            <w:tcW w:w="20" w:type="dxa"/>
            <w:vAlign w:val="bottom"/>
          </w:tcPr>
          <w:p>
            <w:pPr>
              <w:spacing w:after="0"/>
              <w:rPr>
                <w:sz w:val="19"/>
                <w:szCs w:val="19"/>
                <w:color w:val="auto"/>
              </w:rPr>
            </w:pPr>
          </w:p>
        </w:tc>
      </w:tr>
      <w:tr>
        <w:trPr>
          <w:trHeight w:val="213"/>
        </w:trPr>
        <w:tc>
          <w:tcPr>
            <w:tcW w:w="40" w:type="dxa"/>
            <w:vAlign w:val="bottom"/>
          </w:tcPr>
          <w:p>
            <w:pPr>
              <w:spacing w:after="0"/>
              <w:rPr>
                <w:sz w:val="18"/>
                <w:szCs w:val="18"/>
                <w:color w:val="auto"/>
              </w:rPr>
            </w:pPr>
          </w:p>
        </w:tc>
        <w:tc>
          <w:tcPr>
            <w:tcW w:w="5180" w:type="dxa"/>
            <w:vAlign w:val="bottom"/>
          </w:tcPr>
          <w:p>
            <w:pPr>
              <w:ind w:left="120"/>
              <w:spacing w:after="0"/>
              <w:rPr>
                <w:sz w:val="20"/>
                <w:szCs w:val="20"/>
                <w:color w:val="auto"/>
              </w:rPr>
            </w:pPr>
            <w:r>
              <w:rPr>
                <w:rFonts w:ascii="Arial" w:cs="Arial" w:eastAsia="Arial" w:hAnsi="Arial"/>
                <w:sz w:val="16"/>
                <w:szCs w:val="16"/>
                <w:color w:val="auto"/>
              </w:rPr>
              <w:t>Gas Utilities</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398,499</w:t>
            </w:r>
          </w:p>
        </w:tc>
        <w:tc>
          <w:tcPr>
            <w:tcW w:w="18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2,408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1,520</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402,519</w:t>
            </w:r>
          </w:p>
        </w:tc>
        <w:tc>
          <w:tcPr>
            <w:tcW w:w="20" w:type="dxa"/>
            <w:vAlign w:val="bottom"/>
          </w:tcPr>
          <w:p>
            <w:pPr>
              <w:spacing w:after="0"/>
              <w:rPr>
                <w:sz w:val="18"/>
                <w:szCs w:val="18"/>
                <w:color w:val="auto"/>
              </w:rPr>
            </w:pPr>
          </w:p>
        </w:tc>
      </w:tr>
      <w:tr>
        <w:trPr>
          <w:trHeight w:val="219"/>
        </w:trPr>
        <w:tc>
          <w:tcPr>
            <w:tcW w:w="40" w:type="dxa"/>
            <w:vAlign w:val="bottom"/>
          </w:tcPr>
          <w:p>
            <w:pPr>
              <w:spacing w:after="0"/>
              <w:rPr>
                <w:sz w:val="19"/>
                <w:szCs w:val="19"/>
                <w:color w:val="auto"/>
              </w:rPr>
            </w:pPr>
          </w:p>
        </w:tc>
        <w:tc>
          <w:tcPr>
            <w:tcW w:w="5180" w:type="dxa"/>
            <w:vAlign w:val="bottom"/>
            <w:shd w:val="clear" w:color="auto" w:fill="CEFFE7"/>
          </w:tcPr>
          <w:p>
            <w:pPr>
              <w:ind w:left="120"/>
              <w:spacing w:after="0"/>
              <w:rPr>
                <w:sz w:val="20"/>
                <w:szCs w:val="20"/>
                <w:color w:val="auto"/>
              </w:rPr>
            </w:pPr>
            <w:r>
              <w:rPr>
                <w:rFonts w:ascii="Arial" w:cs="Arial" w:eastAsia="Arial" w:hAnsi="Arial"/>
                <w:sz w:val="16"/>
                <w:szCs w:val="16"/>
                <w:color w:val="auto"/>
              </w:rPr>
              <w:t>Power Generation</w:t>
            </w:r>
          </w:p>
        </w:tc>
        <w:tc>
          <w:tcPr>
            <w:tcW w:w="100" w:type="dxa"/>
            <w:vAlign w:val="bottom"/>
            <w:shd w:val="clear" w:color="auto" w:fill="CEFFE7"/>
          </w:tcPr>
          <w:p>
            <w:pPr>
              <w:spacing w:after="0"/>
              <w:rPr>
                <w:sz w:val="19"/>
                <w:szCs w:val="19"/>
                <w:color w:val="auto"/>
              </w:rPr>
            </w:pPr>
          </w:p>
        </w:tc>
        <w:tc>
          <w:tcPr>
            <w:tcW w:w="10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4,241</w:t>
            </w:r>
          </w:p>
        </w:tc>
        <w:tc>
          <w:tcPr>
            <w:tcW w:w="180" w:type="dxa"/>
            <w:vAlign w:val="bottom"/>
            <w:shd w:val="clear" w:color="auto" w:fill="CEFFE7"/>
          </w:tcPr>
          <w:p>
            <w:pPr>
              <w:spacing w:after="0"/>
              <w:rPr>
                <w:sz w:val="19"/>
                <w:szCs w:val="19"/>
                <w:color w:val="auto"/>
              </w:rPr>
            </w:pPr>
          </w:p>
        </w:tc>
        <w:tc>
          <w:tcPr>
            <w:tcW w:w="1000" w:type="dxa"/>
            <w:vAlign w:val="bottom"/>
            <w:gridSpan w:val="2"/>
            <w:shd w:val="clear" w:color="auto" w:fill="CEFFE7"/>
          </w:tcPr>
          <w:p>
            <w:pPr>
              <w:jc w:val="right"/>
              <w:spacing w:after="0"/>
              <w:rPr>
                <w:sz w:val="20"/>
                <w:szCs w:val="20"/>
                <w:color w:val="auto"/>
              </w:rPr>
            </w:pPr>
            <w:r>
              <w:rPr>
                <w:rFonts w:ascii="Arial" w:cs="Arial" w:eastAsia="Arial" w:hAnsi="Arial"/>
                <w:sz w:val="16"/>
                <w:szCs w:val="16"/>
                <w:color w:val="auto"/>
              </w:rPr>
              <w:t>421</w:t>
            </w:r>
          </w:p>
        </w:tc>
        <w:tc>
          <w:tcPr>
            <w:tcW w:w="120" w:type="dxa"/>
            <w:vAlign w:val="bottom"/>
            <w:shd w:val="clear" w:color="auto" w:fill="CEFFE7"/>
          </w:tcPr>
          <w:p>
            <w:pPr>
              <w:spacing w:after="0"/>
              <w:rPr>
                <w:sz w:val="19"/>
                <w:szCs w:val="19"/>
                <w:color w:val="auto"/>
              </w:rPr>
            </w:pPr>
          </w:p>
        </w:tc>
        <w:tc>
          <w:tcPr>
            <w:tcW w:w="140" w:type="dxa"/>
            <w:vAlign w:val="bottom"/>
            <w:shd w:val="clear" w:color="auto" w:fill="CEFFE7"/>
          </w:tcPr>
          <w:p>
            <w:pPr>
              <w:spacing w:after="0"/>
              <w:rPr>
                <w:sz w:val="19"/>
                <w:szCs w:val="19"/>
                <w:color w:val="auto"/>
              </w:rPr>
            </w:pPr>
          </w:p>
        </w:tc>
        <w:tc>
          <w:tcPr>
            <w:tcW w:w="10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24,451</w:t>
            </w:r>
          </w:p>
        </w:tc>
        <w:tc>
          <w:tcPr>
            <w:tcW w:w="360" w:type="dxa"/>
            <w:vAlign w:val="bottom"/>
            <w:shd w:val="clear" w:color="auto" w:fill="CEFFE7"/>
          </w:tcPr>
          <w:p>
            <w:pPr>
              <w:spacing w:after="0"/>
              <w:rPr>
                <w:sz w:val="19"/>
                <w:szCs w:val="19"/>
                <w:color w:val="auto"/>
              </w:rPr>
            </w:pPr>
          </w:p>
        </w:tc>
        <w:tc>
          <w:tcPr>
            <w:tcW w:w="8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50</w:t>
            </w:r>
          </w:p>
        </w:tc>
        <w:tc>
          <w:tcPr>
            <w:tcW w:w="140" w:type="dxa"/>
            <w:vAlign w:val="bottom"/>
            <w:shd w:val="clear" w:color="auto" w:fill="CEFFE7"/>
          </w:tcPr>
          <w:p>
            <w:pPr>
              <w:spacing w:after="0"/>
              <w:rPr>
                <w:sz w:val="19"/>
                <w:szCs w:val="19"/>
                <w:color w:val="auto"/>
              </w:rPr>
            </w:pPr>
          </w:p>
        </w:tc>
        <w:tc>
          <w:tcPr>
            <w:tcW w:w="160" w:type="dxa"/>
            <w:vAlign w:val="bottom"/>
            <w:shd w:val="clear" w:color="auto" w:fill="CEFFE7"/>
          </w:tcPr>
          <w:p>
            <w:pPr>
              <w:spacing w:after="0"/>
              <w:rPr>
                <w:sz w:val="19"/>
                <w:szCs w:val="19"/>
                <w:color w:val="auto"/>
              </w:rPr>
            </w:pPr>
          </w:p>
        </w:tc>
        <w:tc>
          <w:tcPr>
            <w:tcW w:w="9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29,163</w:t>
            </w:r>
          </w:p>
        </w:tc>
        <w:tc>
          <w:tcPr>
            <w:tcW w:w="20" w:type="dxa"/>
            <w:vAlign w:val="bottom"/>
          </w:tcPr>
          <w:p>
            <w:pPr>
              <w:spacing w:after="0"/>
              <w:rPr>
                <w:sz w:val="19"/>
                <w:szCs w:val="19"/>
                <w:color w:val="auto"/>
              </w:rPr>
            </w:pPr>
          </w:p>
        </w:tc>
      </w:tr>
      <w:tr>
        <w:trPr>
          <w:trHeight w:val="213"/>
        </w:trPr>
        <w:tc>
          <w:tcPr>
            <w:tcW w:w="40" w:type="dxa"/>
            <w:vAlign w:val="bottom"/>
          </w:tcPr>
          <w:p>
            <w:pPr>
              <w:spacing w:after="0"/>
              <w:rPr>
                <w:sz w:val="18"/>
                <w:szCs w:val="18"/>
                <w:color w:val="auto"/>
              </w:rPr>
            </w:pPr>
          </w:p>
        </w:tc>
        <w:tc>
          <w:tcPr>
            <w:tcW w:w="5180" w:type="dxa"/>
            <w:vAlign w:val="bottom"/>
          </w:tcPr>
          <w:p>
            <w:pPr>
              <w:ind w:left="120"/>
              <w:spacing w:after="0"/>
              <w:rPr>
                <w:sz w:val="20"/>
                <w:szCs w:val="20"/>
                <w:color w:val="auto"/>
              </w:rPr>
            </w:pPr>
            <w:r>
              <w:rPr>
                <w:rFonts w:ascii="Arial" w:cs="Arial" w:eastAsia="Arial" w:hAnsi="Arial"/>
                <w:sz w:val="16"/>
                <w:szCs w:val="16"/>
                <w:color w:val="auto"/>
              </w:rPr>
              <w:t>Mining</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6,977</w:t>
            </w:r>
          </w:p>
        </w:tc>
        <w:tc>
          <w:tcPr>
            <w:tcW w:w="18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249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7,106</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340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14,672</w:t>
            </w:r>
          </w:p>
        </w:tc>
        <w:tc>
          <w:tcPr>
            <w:tcW w:w="2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180" w:type="dxa"/>
            <w:vAlign w:val="bottom"/>
            <w:shd w:val="clear" w:color="auto" w:fill="CEFFE7"/>
          </w:tcPr>
          <w:p>
            <w:pPr>
              <w:spacing w:after="0"/>
              <w:rPr>
                <w:sz w:val="20"/>
                <w:szCs w:val="20"/>
                <w:color w:val="auto"/>
              </w:rPr>
            </w:pPr>
            <w:r>
              <w:rPr>
                <w:rFonts w:ascii="Arial" w:cs="Arial" w:eastAsia="Arial" w:hAnsi="Arial"/>
                <w:sz w:val="16"/>
                <w:szCs w:val="16"/>
                <w:color w:val="auto"/>
              </w:rPr>
              <w:t>Inter-company eliminations</w:t>
            </w:r>
          </w:p>
        </w:tc>
        <w:tc>
          <w:tcPr>
            <w:tcW w:w="100" w:type="dxa"/>
            <w:vAlign w:val="bottom"/>
            <w:tcBorders>
              <w:bottom w:val="single" w:sz="8" w:color="auto"/>
            </w:tcBorders>
            <w:shd w:val="clear" w:color="auto" w:fill="CEFFE7"/>
          </w:tcPr>
          <w:p>
            <w:pPr>
              <w:spacing w:after="0"/>
              <w:rPr>
                <w:sz w:val="18"/>
                <w:szCs w:val="18"/>
                <w:color w:val="auto"/>
              </w:rPr>
            </w:pPr>
          </w:p>
        </w:tc>
        <w:tc>
          <w:tcPr>
            <w:tcW w:w="10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shd w:val="clear" w:color="auto" w:fill="CEFFE7"/>
          </w:tcPr>
          <w:p>
            <w:pPr>
              <w:spacing w:after="0"/>
              <w:rPr>
                <w:sz w:val="18"/>
                <w:szCs w:val="18"/>
                <w:color w:val="auto"/>
              </w:rPr>
            </w:pPr>
          </w:p>
        </w:tc>
        <w:tc>
          <w:tcPr>
            <w:tcW w:w="620" w:type="dxa"/>
            <w:vAlign w:val="bottom"/>
            <w:tcBorders>
              <w:bottom w:val="single" w:sz="8" w:color="auto"/>
            </w:tcBorders>
            <w:shd w:val="clear" w:color="auto" w:fill="CEFFE7"/>
          </w:tcPr>
          <w:p>
            <w:pPr>
              <w:spacing w:after="0"/>
              <w:rPr>
                <w:sz w:val="18"/>
                <w:szCs w:val="18"/>
                <w:color w:val="auto"/>
              </w:rPr>
            </w:pPr>
          </w:p>
        </w:tc>
        <w:tc>
          <w:tcPr>
            <w:tcW w:w="3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EFFE7"/>
          </w:tcPr>
          <w:p>
            <w:pPr>
              <w:spacing w:after="0"/>
              <w:rPr>
                <w:sz w:val="18"/>
                <w:szCs w:val="18"/>
                <w:color w:val="auto"/>
              </w:rPr>
            </w:pPr>
          </w:p>
        </w:tc>
        <w:tc>
          <w:tcPr>
            <w:tcW w:w="140" w:type="dxa"/>
            <w:vAlign w:val="bottom"/>
            <w:tcBorders>
              <w:bottom w:val="single" w:sz="8" w:color="auto"/>
            </w:tcBorders>
            <w:shd w:val="clear" w:color="auto" w:fill="CEFFE7"/>
          </w:tcPr>
          <w:p>
            <w:pPr>
              <w:spacing w:after="0"/>
              <w:rPr>
                <w:sz w:val="18"/>
                <w:szCs w:val="18"/>
                <w:color w:val="auto"/>
              </w:rPr>
            </w:pPr>
          </w:p>
        </w:tc>
        <w:tc>
          <w:tcPr>
            <w:tcW w:w="10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(39,848)</w:t>
            </w:r>
          </w:p>
        </w:tc>
        <w:tc>
          <w:tcPr>
            <w:tcW w:w="360" w:type="dxa"/>
            <w:vAlign w:val="bottom"/>
            <w:tcBorders>
              <w:bottom w:val="single" w:sz="8" w:color="auto"/>
            </w:tcBorders>
            <w:shd w:val="clear" w:color="auto" w:fill="CEFFE7"/>
          </w:tcPr>
          <w:p>
            <w:pPr>
              <w:spacing w:after="0"/>
              <w:rPr>
                <w:sz w:val="18"/>
                <w:szCs w:val="18"/>
                <w:color w:val="auto"/>
              </w:rPr>
            </w:pPr>
          </w:p>
        </w:tc>
        <w:tc>
          <w:tcPr>
            <w:tcW w:w="8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(482)</w:t>
            </w:r>
          </w:p>
        </w:tc>
        <w:tc>
          <w:tcPr>
            <w:tcW w:w="140" w:type="dxa"/>
            <w:vAlign w:val="bottom"/>
            <w:shd w:val="clear" w:color="auto" w:fill="CEFFE7"/>
          </w:tcPr>
          <w:p>
            <w:pPr>
              <w:spacing w:after="0"/>
              <w:rPr>
                <w:sz w:val="18"/>
                <w:szCs w:val="18"/>
                <w:color w:val="auto"/>
              </w:rPr>
            </w:pPr>
          </w:p>
        </w:tc>
        <w:tc>
          <w:tcPr>
            <w:tcW w:w="160" w:type="dxa"/>
            <w:vAlign w:val="bottom"/>
            <w:tcBorders>
              <w:bottom w:val="single" w:sz="8" w:color="auto"/>
            </w:tcBorders>
            <w:shd w:val="clear" w:color="auto" w:fill="CEFFE7"/>
          </w:tcPr>
          <w:p>
            <w:pPr>
              <w:spacing w:after="0"/>
              <w:rPr>
                <w:sz w:val="18"/>
                <w:szCs w:val="18"/>
                <w:color w:val="auto"/>
              </w:rPr>
            </w:pPr>
          </w:p>
        </w:tc>
        <w:tc>
          <w:tcPr>
            <w:tcW w:w="9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(40,330)</w:t>
            </w:r>
          </w:p>
        </w:tc>
        <w:tc>
          <w:tcPr>
            <w:tcW w:w="20" w:type="dxa"/>
            <w:vAlign w:val="bottom"/>
          </w:tcPr>
          <w:p>
            <w:pPr>
              <w:spacing w:after="0"/>
              <w:rPr>
                <w:sz w:val="18"/>
                <w:szCs w:val="18"/>
                <w:color w:val="auto"/>
              </w:rPr>
            </w:pPr>
          </w:p>
        </w:tc>
      </w:tr>
      <w:tr>
        <w:trPr>
          <w:trHeight w:val="213"/>
        </w:trPr>
        <w:tc>
          <w:tcPr>
            <w:tcW w:w="4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6"/>
                <w:szCs w:val="16"/>
                <w:color w:val="auto"/>
              </w:rPr>
              <w:t>Total</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630,217</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3,215</w:t>
            </w:r>
          </w:p>
        </w:tc>
        <w:tc>
          <w:tcPr>
            <w:tcW w:w="2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ind w:right="159"/>
              <w:spacing w:after="0"/>
              <w:rPr>
                <w:sz w:val="20"/>
                <w:szCs w:val="20"/>
                <w:color w:val="auto"/>
              </w:rPr>
            </w:pPr>
            <w:r>
              <w:rPr>
                <w:rFonts w:ascii="Arial" w:cs="Arial" w:eastAsia="Arial" w:hAnsi="Arial"/>
                <w:sz w:val="16"/>
                <w:szCs w:val="16"/>
                <w:color w:val="auto"/>
              </w:rPr>
              <w:t>— $</w:t>
            </w: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633,432</w:t>
            </w:r>
          </w:p>
        </w:tc>
        <w:tc>
          <w:tcPr>
            <w:tcW w:w="20" w:type="dxa"/>
            <w:vAlign w:val="bottom"/>
          </w:tcPr>
          <w:p>
            <w:pPr>
              <w:spacing w:after="0"/>
              <w:rPr>
                <w:sz w:val="18"/>
                <w:szCs w:val="18"/>
                <w:color w:val="auto"/>
              </w:rPr>
            </w:pPr>
          </w:p>
        </w:tc>
      </w:tr>
      <w:tr>
        <w:trPr>
          <w:trHeight w:val="20"/>
        </w:trPr>
        <w:tc>
          <w:tcPr>
            <w:tcW w:w="4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160" w:type="dxa"/>
            <w:vAlign w:val="bottom"/>
            <w:tcBorders>
              <w:top w:val="single" w:sz="8" w:color="auto"/>
              <w:bottom w:val="single" w:sz="8" w:color="auto"/>
            </w:tcBorders>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724"/>
        </w:trPr>
        <w:tc>
          <w:tcPr>
            <w:tcW w:w="4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00" w:type="dxa"/>
            <w:vAlign w:val="bottom"/>
            <w:gridSpan w:val="4"/>
          </w:tcPr>
          <w:p>
            <w:pPr>
              <w:jc w:val="center"/>
              <w:ind w:right="280"/>
              <w:spacing w:after="0"/>
              <w:rPr>
                <w:sz w:val="20"/>
                <w:szCs w:val="20"/>
                <w:color w:val="auto"/>
              </w:rPr>
            </w:pPr>
            <w:r>
              <w:rPr>
                <w:rFonts w:ascii="Arial" w:cs="Arial" w:eastAsia="Arial" w:hAnsi="Arial"/>
                <w:sz w:val="16"/>
                <w:szCs w:val="16"/>
                <w:color w:val="auto"/>
              </w:rPr>
              <w:t>Inter-company Operating</w:t>
            </w: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5"/>
        </w:trPr>
        <w:tc>
          <w:tcPr>
            <w:tcW w:w="40" w:type="dxa"/>
            <w:vAlign w:val="bottom"/>
          </w:tcPr>
          <w:p>
            <w:pPr>
              <w:spacing w:after="0"/>
              <w:rPr>
                <w:sz w:val="16"/>
                <w:szCs w:val="16"/>
                <w:color w:val="auto"/>
              </w:rPr>
            </w:pPr>
          </w:p>
        </w:tc>
        <w:tc>
          <w:tcPr>
            <w:tcW w:w="5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0" w:type="dxa"/>
            <w:vAlign w:val="bottom"/>
            <w:gridSpan w:val="4"/>
          </w:tcPr>
          <w:p>
            <w:pPr>
              <w:jc w:val="right"/>
              <w:ind w:right="59"/>
              <w:spacing w:after="0"/>
              <w:rPr>
                <w:sz w:val="20"/>
                <w:szCs w:val="20"/>
                <w:color w:val="auto"/>
              </w:rPr>
            </w:pPr>
            <w:r>
              <w:rPr>
                <w:rFonts w:ascii="Arial" w:cs="Arial" w:eastAsia="Arial" w:hAnsi="Arial"/>
                <w:sz w:val="16"/>
                <w:szCs w:val="16"/>
                <w:color w:val="auto"/>
              </w:rPr>
              <w:t>External Operating Revenue</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gridSpan w:val="2"/>
          </w:tcPr>
          <w:p>
            <w:pPr>
              <w:jc w:val="center"/>
              <w:ind w:left="579"/>
              <w:spacing w:after="0"/>
              <w:rPr>
                <w:sz w:val="20"/>
                <w:szCs w:val="20"/>
                <w:color w:val="auto"/>
              </w:rPr>
            </w:pPr>
            <w:r>
              <w:rPr>
                <w:rFonts w:ascii="Arial" w:cs="Arial" w:eastAsia="Arial" w:hAnsi="Arial"/>
                <w:sz w:val="16"/>
                <w:szCs w:val="16"/>
                <w:color w:val="auto"/>
              </w:rPr>
              <w:t>Revenue</w:t>
            </w: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37"/>
        </w:trPr>
        <w:tc>
          <w:tcPr>
            <w:tcW w:w="40" w:type="dxa"/>
            <w:vAlign w:val="bottom"/>
          </w:tcPr>
          <w:p>
            <w:pPr>
              <w:spacing w:after="0"/>
              <w:rPr>
                <w:sz w:val="20"/>
                <w:szCs w:val="20"/>
                <w:color w:val="auto"/>
              </w:rPr>
            </w:pPr>
          </w:p>
        </w:tc>
        <w:tc>
          <w:tcPr>
            <w:tcW w:w="5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rPr>
              <w:t>Contract</w:t>
            </w:r>
          </w:p>
        </w:tc>
        <w:tc>
          <w:tcPr>
            <w:tcW w:w="180" w:type="dxa"/>
            <w:vAlign w:val="bottom"/>
          </w:tcPr>
          <w:p>
            <w:pPr>
              <w:spacing w:after="0"/>
              <w:rPr>
                <w:sz w:val="20"/>
                <w:szCs w:val="20"/>
                <w:color w:val="auto"/>
              </w:rPr>
            </w:pPr>
          </w:p>
        </w:tc>
        <w:tc>
          <w:tcPr>
            <w:tcW w:w="1000" w:type="dxa"/>
            <w:vAlign w:val="bottom"/>
            <w:gridSpan w:val="2"/>
          </w:tcPr>
          <w:p>
            <w:pPr>
              <w:jc w:val="center"/>
              <w:ind w:right="39"/>
              <w:spacing w:after="0"/>
              <w:rPr>
                <w:sz w:val="20"/>
                <w:szCs w:val="20"/>
                <w:color w:val="auto"/>
              </w:rPr>
            </w:pPr>
            <w:r>
              <w:rPr>
                <w:rFonts w:ascii="Arial" w:cs="Arial" w:eastAsia="Arial" w:hAnsi="Arial"/>
                <w:sz w:val="16"/>
                <w:szCs w:val="16"/>
                <w:color w:val="auto"/>
                <w:w w:val="99"/>
              </w:rPr>
              <w:t>Other</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Arial" w:cs="Arial" w:eastAsia="Arial" w:hAnsi="Arial"/>
                <w:sz w:val="16"/>
                <w:szCs w:val="16"/>
                <w:color w:val="auto"/>
                <w:w w:val="99"/>
              </w:rPr>
              <w:t>Contract</w:t>
            </w:r>
          </w:p>
        </w:tc>
        <w:tc>
          <w:tcPr>
            <w:tcW w:w="360" w:type="dxa"/>
            <w:vAlign w:val="bottom"/>
          </w:tcPr>
          <w:p>
            <w:pPr>
              <w:spacing w:after="0"/>
              <w:rPr>
                <w:sz w:val="20"/>
                <w:szCs w:val="20"/>
                <w:color w:val="auto"/>
              </w:rPr>
            </w:pPr>
          </w:p>
        </w:tc>
        <w:tc>
          <w:tcPr>
            <w:tcW w:w="940" w:type="dxa"/>
            <w:vAlign w:val="bottom"/>
            <w:gridSpan w:val="2"/>
          </w:tcPr>
          <w:p>
            <w:pPr>
              <w:jc w:val="center"/>
              <w:ind w:right="460"/>
              <w:spacing w:after="0"/>
              <w:rPr>
                <w:sz w:val="20"/>
                <w:szCs w:val="20"/>
                <w:color w:val="auto"/>
              </w:rPr>
            </w:pPr>
            <w:r>
              <w:rPr>
                <w:rFonts w:ascii="Arial" w:cs="Arial" w:eastAsia="Arial" w:hAnsi="Arial"/>
                <w:sz w:val="16"/>
                <w:szCs w:val="16"/>
                <w:color w:val="auto"/>
                <w:w w:val="99"/>
              </w:rPr>
              <w:t>Other</w:t>
            </w:r>
          </w:p>
        </w:tc>
        <w:tc>
          <w:tcPr>
            <w:tcW w:w="160" w:type="dxa"/>
            <w:vAlign w:val="bottom"/>
          </w:tcPr>
          <w:p>
            <w:pPr>
              <w:spacing w:after="0"/>
              <w:rPr>
                <w:sz w:val="20"/>
                <w:szCs w:val="20"/>
                <w:color w:val="auto"/>
              </w:rPr>
            </w:pPr>
          </w:p>
        </w:tc>
        <w:tc>
          <w:tcPr>
            <w:tcW w:w="1000" w:type="dxa"/>
            <w:vAlign w:val="bottom"/>
            <w:gridSpan w:val="2"/>
          </w:tcPr>
          <w:p>
            <w:pPr>
              <w:jc w:val="center"/>
              <w:ind w:right="140"/>
              <w:spacing w:after="0"/>
              <w:rPr>
                <w:sz w:val="20"/>
                <w:szCs w:val="20"/>
                <w:color w:val="auto"/>
              </w:rPr>
            </w:pPr>
            <w:r>
              <w:rPr>
                <w:rFonts w:ascii="Arial" w:cs="Arial" w:eastAsia="Arial" w:hAnsi="Arial"/>
                <w:sz w:val="16"/>
                <w:szCs w:val="16"/>
                <w:color w:val="auto"/>
                <w:w w:val="95"/>
              </w:rPr>
              <w:t>Total</w:t>
            </w:r>
          </w:p>
        </w:tc>
      </w:tr>
      <w:tr>
        <w:trPr>
          <w:trHeight w:val="198"/>
        </w:trPr>
        <w:tc>
          <w:tcPr>
            <w:tcW w:w="40" w:type="dxa"/>
            <w:vAlign w:val="bottom"/>
          </w:tcPr>
          <w:p>
            <w:pPr>
              <w:spacing w:after="0"/>
              <w:rPr>
                <w:sz w:val="17"/>
                <w:szCs w:val="17"/>
                <w:color w:val="auto"/>
              </w:rPr>
            </w:pPr>
          </w:p>
        </w:tc>
        <w:tc>
          <w:tcPr>
            <w:tcW w:w="5180" w:type="dxa"/>
            <w:vAlign w:val="bottom"/>
          </w:tcPr>
          <w:p>
            <w:pPr>
              <w:spacing w:after="0"/>
              <w:rPr>
                <w:sz w:val="20"/>
                <w:szCs w:val="20"/>
                <w:color w:val="auto"/>
              </w:rPr>
            </w:pPr>
            <w:r>
              <w:rPr>
                <w:rFonts w:ascii="Arial" w:cs="Arial" w:eastAsia="Arial" w:hAnsi="Arial"/>
                <w:sz w:val="16"/>
                <w:szCs w:val="16"/>
                <w:color w:val="2C2C2C"/>
              </w:rPr>
              <w:t>Three Months Ended March 31, 2020</w:t>
            </w:r>
          </w:p>
        </w:tc>
        <w:tc>
          <w:tcPr>
            <w:tcW w:w="10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rPr>
              <w:t>Customers</w:t>
            </w:r>
          </w:p>
        </w:tc>
        <w:tc>
          <w:tcPr>
            <w:tcW w:w="180" w:type="dxa"/>
            <w:vAlign w:val="bottom"/>
          </w:tcPr>
          <w:p>
            <w:pPr>
              <w:spacing w:after="0"/>
              <w:rPr>
                <w:sz w:val="17"/>
                <w:szCs w:val="17"/>
                <w:color w:val="auto"/>
              </w:rPr>
            </w:pPr>
          </w:p>
        </w:tc>
        <w:tc>
          <w:tcPr>
            <w:tcW w:w="1000" w:type="dxa"/>
            <w:vAlign w:val="bottom"/>
            <w:gridSpan w:val="2"/>
          </w:tcPr>
          <w:p>
            <w:pPr>
              <w:jc w:val="center"/>
              <w:ind w:right="99"/>
              <w:spacing w:after="0"/>
              <w:rPr>
                <w:sz w:val="20"/>
                <w:szCs w:val="20"/>
                <w:color w:val="auto"/>
              </w:rPr>
            </w:pPr>
            <w:r>
              <w:rPr>
                <w:rFonts w:ascii="Arial" w:cs="Arial" w:eastAsia="Arial" w:hAnsi="Arial"/>
                <w:sz w:val="16"/>
                <w:szCs w:val="16"/>
                <w:color w:val="auto"/>
              </w:rPr>
              <w:t>Revenues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center"/>
              <w:ind w:right="59"/>
              <w:spacing w:after="0"/>
              <w:rPr>
                <w:sz w:val="20"/>
                <w:szCs w:val="20"/>
                <w:color w:val="auto"/>
              </w:rPr>
            </w:pPr>
            <w:r>
              <w:rPr>
                <w:rFonts w:ascii="Arial" w:cs="Arial" w:eastAsia="Arial" w:hAnsi="Arial"/>
                <w:sz w:val="16"/>
                <w:szCs w:val="16"/>
                <w:color w:val="auto"/>
              </w:rPr>
              <w:t>Customers</w:t>
            </w:r>
          </w:p>
        </w:tc>
        <w:tc>
          <w:tcPr>
            <w:tcW w:w="1300" w:type="dxa"/>
            <w:vAlign w:val="bottom"/>
            <w:gridSpan w:val="3"/>
          </w:tcPr>
          <w:p>
            <w:pPr>
              <w:jc w:val="center"/>
              <w:ind w:right="140"/>
              <w:spacing w:after="0"/>
              <w:rPr>
                <w:sz w:val="20"/>
                <w:szCs w:val="20"/>
                <w:color w:val="auto"/>
              </w:rPr>
            </w:pPr>
            <w:r>
              <w:rPr>
                <w:rFonts w:ascii="Arial" w:cs="Arial" w:eastAsia="Arial" w:hAnsi="Arial"/>
                <w:sz w:val="16"/>
                <w:szCs w:val="16"/>
                <w:color w:val="auto"/>
                <w:w w:val="99"/>
              </w:rPr>
              <w:t>Revenues</w:t>
            </w:r>
          </w:p>
        </w:tc>
        <w:tc>
          <w:tcPr>
            <w:tcW w:w="160" w:type="dxa"/>
            <w:vAlign w:val="bottom"/>
          </w:tcPr>
          <w:p>
            <w:pPr>
              <w:spacing w:after="0"/>
              <w:rPr>
                <w:sz w:val="17"/>
                <w:szCs w:val="17"/>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6"/>
                <w:szCs w:val="16"/>
                <w:color w:val="auto"/>
              </w:rPr>
              <w:t>Revenues</w:t>
            </w:r>
          </w:p>
        </w:tc>
      </w:tr>
      <w:tr>
        <w:trPr>
          <w:trHeight w:val="213"/>
        </w:trPr>
        <w:tc>
          <w:tcPr>
            <w:tcW w:w="40" w:type="dxa"/>
            <w:vAlign w:val="bottom"/>
          </w:tcPr>
          <w:p>
            <w:pPr>
              <w:spacing w:after="0"/>
              <w:rPr>
                <w:sz w:val="18"/>
                <w:szCs w:val="18"/>
                <w:color w:val="auto"/>
              </w:rPr>
            </w:pPr>
          </w:p>
        </w:tc>
        <w:tc>
          <w:tcPr>
            <w:tcW w:w="5180" w:type="dxa"/>
            <w:vAlign w:val="bottom"/>
            <w:tcBorders>
              <w:top w:val="single" w:sz="8" w:color="auto"/>
            </w:tcBorders>
            <w:shd w:val="clear" w:color="auto" w:fill="CEFFE7"/>
          </w:tcPr>
          <w:p>
            <w:pPr>
              <w:spacing w:after="0"/>
              <w:rPr>
                <w:sz w:val="20"/>
                <w:szCs w:val="20"/>
                <w:color w:val="auto"/>
              </w:rPr>
            </w:pPr>
            <w:r>
              <w:rPr>
                <w:rFonts w:ascii="Arial" w:cs="Arial" w:eastAsia="Arial" w:hAnsi="Arial"/>
                <w:sz w:val="16"/>
                <w:szCs w:val="16"/>
                <w:color w:val="auto"/>
              </w:rPr>
              <w:t>Segment:</w:t>
            </w:r>
          </w:p>
        </w:tc>
        <w:tc>
          <w:tcPr>
            <w:tcW w:w="100" w:type="dxa"/>
            <w:vAlign w:val="bottom"/>
            <w:tcBorders>
              <w:top w:val="single" w:sz="8" w:color="auto"/>
            </w:tcBorders>
            <w:shd w:val="clear" w:color="auto" w:fill="CEFFE7"/>
          </w:tcPr>
          <w:p>
            <w:pPr>
              <w:spacing w:after="0"/>
              <w:rPr>
                <w:sz w:val="18"/>
                <w:szCs w:val="18"/>
                <w:color w:val="auto"/>
              </w:rPr>
            </w:pPr>
          </w:p>
        </w:tc>
        <w:tc>
          <w:tcPr>
            <w:tcW w:w="1020" w:type="dxa"/>
            <w:vAlign w:val="bottom"/>
            <w:tcBorders>
              <w:top w:val="single" w:sz="8" w:color="auto"/>
            </w:tcBorders>
            <w:shd w:val="clear" w:color="auto" w:fill="CEFFE7"/>
          </w:tcPr>
          <w:p>
            <w:pPr>
              <w:spacing w:after="0"/>
              <w:rPr>
                <w:sz w:val="18"/>
                <w:szCs w:val="18"/>
                <w:color w:val="auto"/>
              </w:rPr>
            </w:pPr>
          </w:p>
        </w:tc>
        <w:tc>
          <w:tcPr>
            <w:tcW w:w="180" w:type="dxa"/>
            <w:vAlign w:val="bottom"/>
            <w:tcBorders>
              <w:top w:val="single" w:sz="8" w:color="auto"/>
            </w:tcBorders>
            <w:shd w:val="clear" w:color="auto" w:fill="CEFFE7"/>
          </w:tcPr>
          <w:p>
            <w:pPr>
              <w:spacing w:after="0"/>
              <w:rPr>
                <w:sz w:val="18"/>
                <w:szCs w:val="18"/>
                <w:color w:val="auto"/>
              </w:rPr>
            </w:pPr>
          </w:p>
        </w:tc>
        <w:tc>
          <w:tcPr>
            <w:tcW w:w="620" w:type="dxa"/>
            <w:vAlign w:val="bottom"/>
            <w:tcBorders>
              <w:top w:val="single" w:sz="8" w:color="auto"/>
            </w:tcBorders>
            <w:shd w:val="clear" w:color="auto" w:fill="CEFFE7"/>
          </w:tcPr>
          <w:p>
            <w:pPr>
              <w:spacing w:after="0"/>
              <w:rPr>
                <w:sz w:val="18"/>
                <w:szCs w:val="18"/>
                <w:color w:val="auto"/>
              </w:rPr>
            </w:pPr>
          </w:p>
        </w:tc>
        <w:tc>
          <w:tcPr>
            <w:tcW w:w="380" w:type="dxa"/>
            <w:vAlign w:val="bottom"/>
            <w:tcBorders>
              <w:top w:val="single" w:sz="8" w:color="auto"/>
            </w:tcBorders>
            <w:shd w:val="clear" w:color="auto" w:fill="CEFFE7"/>
          </w:tcPr>
          <w:p>
            <w:pPr>
              <w:spacing w:after="0"/>
              <w:rPr>
                <w:sz w:val="18"/>
                <w:szCs w:val="18"/>
                <w:color w:val="auto"/>
              </w:rPr>
            </w:pPr>
          </w:p>
        </w:tc>
        <w:tc>
          <w:tcPr>
            <w:tcW w:w="120" w:type="dxa"/>
            <w:vAlign w:val="bottom"/>
            <w:tcBorders>
              <w:top w:val="single" w:sz="8" w:color="auto"/>
            </w:tcBorders>
            <w:shd w:val="clear" w:color="auto" w:fill="CEFFE7"/>
          </w:tcPr>
          <w:p>
            <w:pPr>
              <w:spacing w:after="0"/>
              <w:rPr>
                <w:sz w:val="18"/>
                <w:szCs w:val="18"/>
                <w:color w:val="auto"/>
              </w:rPr>
            </w:pPr>
          </w:p>
        </w:tc>
        <w:tc>
          <w:tcPr>
            <w:tcW w:w="140" w:type="dxa"/>
            <w:vAlign w:val="bottom"/>
            <w:tcBorders>
              <w:top w:val="single" w:sz="8" w:color="auto"/>
            </w:tcBorders>
            <w:shd w:val="clear" w:color="auto" w:fill="CEFFE7"/>
          </w:tcPr>
          <w:p>
            <w:pPr>
              <w:spacing w:after="0"/>
              <w:rPr>
                <w:sz w:val="18"/>
                <w:szCs w:val="18"/>
                <w:color w:val="auto"/>
              </w:rPr>
            </w:pPr>
          </w:p>
        </w:tc>
        <w:tc>
          <w:tcPr>
            <w:tcW w:w="1000" w:type="dxa"/>
            <w:vAlign w:val="bottom"/>
            <w:tcBorders>
              <w:top w:val="single" w:sz="8" w:color="auto"/>
            </w:tcBorders>
            <w:shd w:val="clear" w:color="auto" w:fill="CEFFE7"/>
          </w:tcPr>
          <w:p>
            <w:pPr>
              <w:spacing w:after="0"/>
              <w:rPr>
                <w:sz w:val="18"/>
                <w:szCs w:val="18"/>
                <w:color w:val="auto"/>
              </w:rPr>
            </w:pPr>
          </w:p>
        </w:tc>
        <w:tc>
          <w:tcPr>
            <w:tcW w:w="360" w:type="dxa"/>
            <w:vAlign w:val="bottom"/>
            <w:tcBorders>
              <w:top w:val="single" w:sz="8" w:color="auto"/>
            </w:tcBorders>
            <w:shd w:val="clear" w:color="auto" w:fill="CEFFE7"/>
          </w:tcPr>
          <w:p>
            <w:pPr>
              <w:spacing w:after="0"/>
              <w:rPr>
                <w:sz w:val="18"/>
                <w:szCs w:val="18"/>
                <w:color w:val="auto"/>
              </w:rPr>
            </w:pPr>
          </w:p>
        </w:tc>
        <w:tc>
          <w:tcPr>
            <w:tcW w:w="800" w:type="dxa"/>
            <w:vAlign w:val="bottom"/>
            <w:tcBorders>
              <w:top w:val="single" w:sz="8" w:color="auto"/>
            </w:tcBorders>
            <w:shd w:val="clear" w:color="auto" w:fill="CEFFE7"/>
          </w:tcPr>
          <w:p>
            <w:pPr>
              <w:spacing w:after="0"/>
              <w:rPr>
                <w:sz w:val="18"/>
                <w:szCs w:val="18"/>
                <w:color w:val="auto"/>
              </w:rPr>
            </w:pPr>
          </w:p>
        </w:tc>
        <w:tc>
          <w:tcPr>
            <w:tcW w:w="140" w:type="dxa"/>
            <w:vAlign w:val="bottom"/>
            <w:tcBorders>
              <w:top w:val="single" w:sz="8" w:color="auto"/>
            </w:tcBorders>
            <w:shd w:val="clear" w:color="auto" w:fill="CEFFE7"/>
          </w:tcPr>
          <w:p>
            <w:pPr>
              <w:spacing w:after="0"/>
              <w:rPr>
                <w:sz w:val="18"/>
                <w:szCs w:val="18"/>
                <w:color w:val="auto"/>
              </w:rPr>
            </w:pPr>
          </w:p>
        </w:tc>
        <w:tc>
          <w:tcPr>
            <w:tcW w:w="160" w:type="dxa"/>
            <w:vAlign w:val="bottom"/>
            <w:tcBorders>
              <w:top w:val="single" w:sz="8" w:color="auto"/>
            </w:tcBorders>
            <w:shd w:val="clear" w:color="auto" w:fill="CEFFE7"/>
          </w:tcPr>
          <w:p>
            <w:pPr>
              <w:spacing w:after="0"/>
              <w:rPr>
                <w:sz w:val="18"/>
                <w:szCs w:val="18"/>
                <w:color w:val="auto"/>
              </w:rPr>
            </w:pPr>
          </w:p>
        </w:tc>
        <w:tc>
          <w:tcPr>
            <w:tcW w:w="980" w:type="dxa"/>
            <w:vAlign w:val="bottom"/>
            <w:tcBorders>
              <w:top w:val="single" w:sz="8" w:color="auto"/>
            </w:tcBorders>
            <w:shd w:val="clear" w:color="auto" w:fill="CEFFE7"/>
          </w:tcPr>
          <w:p>
            <w:pPr>
              <w:spacing w:after="0"/>
              <w:rPr>
                <w:sz w:val="18"/>
                <w:szCs w:val="18"/>
                <w:color w:val="auto"/>
              </w:rPr>
            </w:pPr>
          </w:p>
        </w:tc>
        <w:tc>
          <w:tcPr>
            <w:tcW w:w="20" w:type="dxa"/>
            <w:vAlign w:val="bottom"/>
          </w:tcPr>
          <w:p>
            <w:pPr>
              <w:spacing w:after="0"/>
              <w:rPr>
                <w:sz w:val="18"/>
                <w:szCs w:val="18"/>
                <w:color w:val="auto"/>
              </w:rPr>
            </w:pPr>
          </w:p>
        </w:tc>
      </w:tr>
      <w:tr>
        <w:trPr>
          <w:trHeight w:val="213"/>
        </w:trPr>
        <w:tc>
          <w:tcPr>
            <w:tcW w:w="40" w:type="dxa"/>
            <w:vAlign w:val="bottom"/>
          </w:tcPr>
          <w:p>
            <w:pPr>
              <w:spacing w:after="0"/>
              <w:rPr>
                <w:sz w:val="18"/>
                <w:szCs w:val="18"/>
                <w:color w:val="auto"/>
              </w:rPr>
            </w:pPr>
          </w:p>
        </w:tc>
        <w:tc>
          <w:tcPr>
            <w:tcW w:w="5180" w:type="dxa"/>
            <w:vAlign w:val="bottom"/>
          </w:tcPr>
          <w:p>
            <w:pPr>
              <w:ind w:left="120"/>
              <w:spacing w:after="0"/>
              <w:rPr>
                <w:sz w:val="20"/>
                <w:szCs w:val="20"/>
                <w:color w:val="auto"/>
              </w:rPr>
            </w:pPr>
            <w:r>
              <w:rPr>
                <w:rFonts w:ascii="Arial" w:cs="Arial" w:eastAsia="Arial" w:hAnsi="Arial"/>
                <w:sz w:val="16"/>
                <w:szCs w:val="16"/>
                <w:color w:val="auto"/>
              </w:rPr>
              <w:t>Electric Utilities</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167,503</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223</w:t>
            </w:r>
          </w:p>
        </w:tc>
        <w:tc>
          <w:tcPr>
            <w:tcW w:w="2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6,413</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174,139</w:t>
            </w:r>
          </w:p>
        </w:tc>
        <w:tc>
          <w:tcPr>
            <w:tcW w:w="20" w:type="dxa"/>
            <w:vAlign w:val="bottom"/>
          </w:tcPr>
          <w:p>
            <w:pPr>
              <w:spacing w:after="0"/>
              <w:rPr>
                <w:sz w:val="18"/>
                <w:szCs w:val="18"/>
                <w:color w:val="auto"/>
              </w:rPr>
            </w:pPr>
          </w:p>
        </w:tc>
      </w:tr>
      <w:tr>
        <w:trPr>
          <w:trHeight w:val="219"/>
        </w:trPr>
        <w:tc>
          <w:tcPr>
            <w:tcW w:w="40" w:type="dxa"/>
            <w:vAlign w:val="bottom"/>
          </w:tcPr>
          <w:p>
            <w:pPr>
              <w:spacing w:after="0"/>
              <w:rPr>
                <w:sz w:val="19"/>
                <w:szCs w:val="19"/>
                <w:color w:val="auto"/>
              </w:rPr>
            </w:pPr>
          </w:p>
        </w:tc>
        <w:tc>
          <w:tcPr>
            <w:tcW w:w="5180" w:type="dxa"/>
            <w:vAlign w:val="bottom"/>
            <w:shd w:val="clear" w:color="auto" w:fill="CEFFE7"/>
          </w:tcPr>
          <w:p>
            <w:pPr>
              <w:ind w:left="120"/>
              <w:spacing w:after="0"/>
              <w:rPr>
                <w:sz w:val="20"/>
                <w:szCs w:val="20"/>
                <w:color w:val="auto"/>
              </w:rPr>
            </w:pPr>
            <w:r>
              <w:rPr>
                <w:rFonts w:ascii="Arial" w:cs="Arial" w:eastAsia="Arial" w:hAnsi="Arial"/>
                <w:sz w:val="16"/>
                <w:szCs w:val="16"/>
                <w:color w:val="auto"/>
              </w:rPr>
              <w:t>Gas Utilities</w:t>
            </w:r>
          </w:p>
        </w:tc>
        <w:tc>
          <w:tcPr>
            <w:tcW w:w="100" w:type="dxa"/>
            <w:vAlign w:val="bottom"/>
            <w:shd w:val="clear" w:color="auto" w:fill="CEFFE7"/>
          </w:tcPr>
          <w:p>
            <w:pPr>
              <w:spacing w:after="0"/>
              <w:rPr>
                <w:sz w:val="19"/>
                <w:szCs w:val="19"/>
                <w:color w:val="auto"/>
              </w:rPr>
            </w:pPr>
          </w:p>
        </w:tc>
        <w:tc>
          <w:tcPr>
            <w:tcW w:w="10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354,287</w:t>
            </w:r>
          </w:p>
        </w:tc>
        <w:tc>
          <w:tcPr>
            <w:tcW w:w="180" w:type="dxa"/>
            <w:vAlign w:val="bottom"/>
            <w:shd w:val="clear" w:color="auto" w:fill="CEFFE7"/>
          </w:tcPr>
          <w:p>
            <w:pPr>
              <w:spacing w:after="0"/>
              <w:rPr>
                <w:sz w:val="19"/>
                <w:szCs w:val="19"/>
                <w:color w:val="auto"/>
              </w:rPr>
            </w:pPr>
          </w:p>
        </w:tc>
        <w:tc>
          <w:tcPr>
            <w:tcW w:w="1000" w:type="dxa"/>
            <w:vAlign w:val="bottom"/>
            <w:gridSpan w:val="2"/>
            <w:shd w:val="clear" w:color="auto" w:fill="CEFFE7"/>
          </w:tcPr>
          <w:p>
            <w:pPr>
              <w:jc w:val="right"/>
              <w:spacing w:after="0"/>
              <w:rPr>
                <w:sz w:val="20"/>
                <w:szCs w:val="20"/>
                <w:color w:val="auto"/>
              </w:rPr>
            </w:pPr>
            <w:r>
              <w:rPr>
                <w:rFonts w:ascii="Arial" w:cs="Arial" w:eastAsia="Arial" w:hAnsi="Arial"/>
                <w:sz w:val="16"/>
                <w:szCs w:val="16"/>
                <w:color w:val="auto"/>
              </w:rPr>
              <w:t>5,708</w:t>
            </w:r>
          </w:p>
        </w:tc>
        <w:tc>
          <w:tcPr>
            <w:tcW w:w="120" w:type="dxa"/>
            <w:vAlign w:val="bottom"/>
            <w:shd w:val="clear" w:color="auto" w:fill="CEFFE7"/>
          </w:tcPr>
          <w:p>
            <w:pPr>
              <w:spacing w:after="0"/>
              <w:rPr>
                <w:sz w:val="19"/>
                <w:szCs w:val="19"/>
                <w:color w:val="auto"/>
              </w:rPr>
            </w:pPr>
          </w:p>
        </w:tc>
        <w:tc>
          <w:tcPr>
            <w:tcW w:w="140" w:type="dxa"/>
            <w:vAlign w:val="bottom"/>
            <w:shd w:val="clear" w:color="auto" w:fill="CEFFE7"/>
          </w:tcPr>
          <w:p>
            <w:pPr>
              <w:spacing w:after="0"/>
              <w:rPr>
                <w:sz w:val="19"/>
                <w:szCs w:val="19"/>
                <w:color w:val="auto"/>
              </w:rPr>
            </w:pPr>
          </w:p>
        </w:tc>
        <w:tc>
          <w:tcPr>
            <w:tcW w:w="10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778</w:t>
            </w:r>
          </w:p>
        </w:tc>
        <w:tc>
          <w:tcPr>
            <w:tcW w:w="360" w:type="dxa"/>
            <w:vAlign w:val="bottom"/>
            <w:shd w:val="clear" w:color="auto" w:fill="CEFFE7"/>
          </w:tcPr>
          <w:p>
            <w:pPr>
              <w:spacing w:after="0"/>
              <w:rPr>
                <w:sz w:val="19"/>
                <w:szCs w:val="19"/>
                <w:color w:val="auto"/>
              </w:rPr>
            </w:pPr>
          </w:p>
        </w:tc>
        <w:tc>
          <w:tcPr>
            <w:tcW w:w="940" w:type="dxa"/>
            <w:vAlign w:val="bottom"/>
            <w:gridSpan w:val="2"/>
            <w:shd w:val="clear" w:color="auto" w:fill="CEFFE7"/>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EFFE7"/>
          </w:tcPr>
          <w:p>
            <w:pPr>
              <w:spacing w:after="0"/>
              <w:rPr>
                <w:sz w:val="19"/>
                <w:szCs w:val="19"/>
                <w:color w:val="auto"/>
              </w:rPr>
            </w:pPr>
          </w:p>
        </w:tc>
        <w:tc>
          <w:tcPr>
            <w:tcW w:w="9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360,773</w:t>
            </w:r>
          </w:p>
        </w:tc>
        <w:tc>
          <w:tcPr>
            <w:tcW w:w="20" w:type="dxa"/>
            <w:vAlign w:val="bottom"/>
          </w:tcPr>
          <w:p>
            <w:pPr>
              <w:spacing w:after="0"/>
              <w:rPr>
                <w:sz w:val="19"/>
                <w:szCs w:val="19"/>
                <w:color w:val="auto"/>
              </w:rPr>
            </w:pPr>
          </w:p>
        </w:tc>
      </w:tr>
      <w:tr>
        <w:trPr>
          <w:trHeight w:val="213"/>
        </w:trPr>
        <w:tc>
          <w:tcPr>
            <w:tcW w:w="40" w:type="dxa"/>
            <w:vAlign w:val="bottom"/>
          </w:tcPr>
          <w:p>
            <w:pPr>
              <w:spacing w:after="0"/>
              <w:rPr>
                <w:sz w:val="18"/>
                <w:szCs w:val="18"/>
                <w:color w:val="auto"/>
              </w:rPr>
            </w:pPr>
          </w:p>
        </w:tc>
        <w:tc>
          <w:tcPr>
            <w:tcW w:w="5180" w:type="dxa"/>
            <w:vAlign w:val="bottom"/>
          </w:tcPr>
          <w:p>
            <w:pPr>
              <w:ind w:left="120"/>
              <w:spacing w:after="0"/>
              <w:rPr>
                <w:sz w:val="20"/>
                <w:szCs w:val="20"/>
                <w:color w:val="auto"/>
              </w:rPr>
            </w:pPr>
            <w:r>
              <w:rPr>
                <w:rFonts w:ascii="Arial" w:cs="Arial" w:eastAsia="Arial" w:hAnsi="Arial"/>
                <w:sz w:val="16"/>
                <w:szCs w:val="16"/>
                <w:color w:val="auto"/>
              </w:rPr>
              <w:t>Power Generation</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1,855</w:t>
            </w:r>
          </w:p>
        </w:tc>
        <w:tc>
          <w:tcPr>
            <w:tcW w:w="18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443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23,612</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25,966</w:t>
            </w:r>
          </w:p>
        </w:tc>
        <w:tc>
          <w:tcPr>
            <w:tcW w:w="20" w:type="dxa"/>
            <w:vAlign w:val="bottom"/>
          </w:tcPr>
          <w:p>
            <w:pPr>
              <w:spacing w:after="0"/>
              <w:rPr>
                <w:sz w:val="18"/>
                <w:szCs w:val="18"/>
                <w:color w:val="auto"/>
              </w:rPr>
            </w:pPr>
          </w:p>
        </w:tc>
      </w:tr>
      <w:tr>
        <w:trPr>
          <w:trHeight w:val="219"/>
        </w:trPr>
        <w:tc>
          <w:tcPr>
            <w:tcW w:w="40" w:type="dxa"/>
            <w:vAlign w:val="bottom"/>
          </w:tcPr>
          <w:p>
            <w:pPr>
              <w:spacing w:after="0"/>
              <w:rPr>
                <w:sz w:val="19"/>
                <w:szCs w:val="19"/>
                <w:color w:val="auto"/>
              </w:rPr>
            </w:pPr>
          </w:p>
        </w:tc>
        <w:tc>
          <w:tcPr>
            <w:tcW w:w="5180" w:type="dxa"/>
            <w:vAlign w:val="bottom"/>
            <w:shd w:val="clear" w:color="auto" w:fill="CEFFE7"/>
          </w:tcPr>
          <w:p>
            <w:pPr>
              <w:ind w:left="120"/>
              <w:spacing w:after="0"/>
              <w:rPr>
                <w:sz w:val="20"/>
                <w:szCs w:val="20"/>
                <w:color w:val="auto"/>
              </w:rPr>
            </w:pPr>
            <w:r>
              <w:rPr>
                <w:rFonts w:ascii="Arial" w:cs="Arial" w:eastAsia="Arial" w:hAnsi="Arial"/>
                <w:sz w:val="16"/>
                <w:szCs w:val="16"/>
                <w:color w:val="auto"/>
              </w:rPr>
              <w:t>Mining</w:t>
            </w:r>
          </w:p>
        </w:tc>
        <w:tc>
          <w:tcPr>
            <w:tcW w:w="100" w:type="dxa"/>
            <w:vAlign w:val="bottom"/>
            <w:shd w:val="clear" w:color="auto" w:fill="CEFFE7"/>
          </w:tcPr>
          <w:p>
            <w:pPr>
              <w:spacing w:after="0"/>
              <w:rPr>
                <w:sz w:val="19"/>
                <w:szCs w:val="19"/>
                <w:color w:val="auto"/>
              </w:rPr>
            </w:pPr>
          </w:p>
        </w:tc>
        <w:tc>
          <w:tcPr>
            <w:tcW w:w="10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6,564</w:t>
            </w:r>
          </w:p>
        </w:tc>
        <w:tc>
          <w:tcPr>
            <w:tcW w:w="180" w:type="dxa"/>
            <w:vAlign w:val="bottom"/>
            <w:shd w:val="clear" w:color="auto" w:fill="CEFFE7"/>
          </w:tcPr>
          <w:p>
            <w:pPr>
              <w:spacing w:after="0"/>
              <w:rPr>
                <w:sz w:val="19"/>
                <w:szCs w:val="19"/>
                <w:color w:val="auto"/>
              </w:rPr>
            </w:pPr>
          </w:p>
        </w:tc>
        <w:tc>
          <w:tcPr>
            <w:tcW w:w="1000" w:type="dxa"/>
            <w:vAlign w:val="bottom"/>
            <w:gridSpan w:val="2"/>
            <w:shd w:val="clear" w:color="auto" w:fill="CEFFE7"/>
          </w:tcPr>
          <w:p>
            <w:pPr>
              <w:jc w:val="right"/>
              <w:spacing w:after="0"/>
              <w:rPr>
                <w:sz w:val="20"/>
                <w:szCs w:val="20"/>
                <w:color w:val="auto"/>
              </w:rPr>
            </w:pPr>
            <w:r>
              <w:rPr>
                <w:rFonts w:ascii="Arial" w:cs="Arial" w:eastAsia="Arial" w:hAnsi="Arial"/>
                <w:sz w:val="16"/>
                <w:szCs w:val="16"/>
                <w:color w:val="auto"/>
              </w:rPr>
              <w:t>467</w:t>
            </w:r>
          </w:p>
        </w:tc>
        <w:tc>
          <w:tcPr>
            <w:tcW w:w="120" w:type="dxa"/>
            <w:vAlign w:val="bottom"/>
            <w:shd w:val="clear" w:color="auto" w:fill="CEFFE7"/>
          </w:tcPr>
          <w:p>
            <w:pPr>
              <w:spacing w:after="0"/>
              <w:rPr>
                <w:sz w:val="19"/>
                <w:szCs w:val="19"/>
                <w:color w:val="auto"/>
              </w:rPr>
            </w:pPr>
          </w:p>
        </w:tc>
        <w:tc>
          <w:tcPr>
            <w:tcW w:w="140" w:type="dxa"/>
            <w:vAlign w:val="bottom"/>
            <w:shd w:val="clear" w:color="auto" w:fill="CEFFE7"/>
          </w:tcPr>
          <w:p>
            <w:pPr>
              <w:spacing w:after="0"/>
              <w:rPr>
                <w:sz w:val="19"/>
                <w:szCs w:val="19"/>
                <w:color w:val="auto"/>
              </w:rPr>
            </w:pPr>
          </w:p>
        </w:tc>
        <w:tc>
          <w:tcPr>
            <w:tcW w:w="10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7,839</w:t>
            </w:r>
          </w:p>
        </w:tc>
        <w:tc>
          <w:tcPr>
            <w:tcW w:w="360" w:type="dxa"/>
            <w:vAlign w:val="bottom"/>
            <w:shd w:val="clear" w:color="auto" w:fill="CEFFE7"/>
          </w:tcPr>
          <w:p>
            <w:pPr>
              <w:spacing w:after="0"/>
              <w:rPr>
                <w:sz w:val="19"/>
                <w:szCs w:val="19"/>
                <w:color w:val="auto"/>
              </w:rPr>
            </w:pPr>
          </w:p>
        </w:tc>
        <w:tc>
          <w:tcPr>
            <w:tcW w:w="8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335</w:t>
            </w:r>
          </w:p>
        </w:tc>
        <w:tc>
          <w:tcPr>
            <w:tcW w:w="140" w:type="dxa"/>
            <w:vAlign w:val="bottom"/>
            <w:shd w:val="clear" w:color="auto" w:fill="CEFFE7"/>
          </w:tcPr>
          <w:p>
            <w:pPr>
              <w:spacing w:after="0"/>
              <w:rPr>
                <w:sz w:val="19"/>
                <w:szCs w:val="19"/>
                <w:color w:val="auto"/>
              </w:rPr>
            </w:pPr>
          </w:p>
        </w:tc>
        <w:tc>
          <w:tcPr>
            <w:tcW w:w="160" w:type="dxa"/>
            <w:vAlign w:val="bottom"/>
            <w:shd w:val="clear" w:color="auto" w:fill="CEFFE7"/>
          </w:tcPr>
          <w:p>
            <w:pPr>
              <w:spacing w:after="0"/>
              <w:rPr>
                <w:sz w:val="19"/>
                <w:szCs w:val="19"/>
                <w:color w:val="auto"/>
              </w:rPr>
            </w:pPr>
          </w:p>
        </w:tc>
        <w:tc>
          <w:tcPr>
            <w:tcW w:w="9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15,205</w:t>
            </w:r>
          </w:p>
        </w:tc>
        <w:tc>
          <w:tcPr>
            <w:tcW w:w="20" w:type="dxa"/>
            <w:vAlign w:val="bottom"/>
          </w:tcPr>
          <w:p>
            <w:pPr>
              <w:spacing w:after="0"/>
              <w:rPr>
                <w:sz w:val="19"/>
                <w:szCs w:val="19"/>
                <w:color w:val="auto"/>
              </w:rPr>
            </w:pPr>
          </w:p>
        </w:tc>
      </w:tr>
      <w:tr>
        <w:trPr>
          <w:trHeight w:val="213"/>
        </w:trPr>
        <w:tc>
          <w:tcPr>
            <w:tcW w:w="40" w:type="dxa"/>
            <w:vAlign w:val="bottom"/>
          </w:tcPr>
          <w:p>
            <w:pPr>
              <w:spacing w:after="0"/>
              <w:rPr>
                <w:sz w:val="18"/>
                <w:szCs w:val="18"/>
                <w:color w:val="auto"/>
              </w:rPr>
            </w:pPr>
          </w:p>
        </w:tc>
        <w:tc>
          <w:tcPr>
            <w:tcW w:w="5180" w:type="dxa"/>
            <w:vAlign w:val="bottom"/>
            <w:tcBorders>
              <w:bottom w:val="single" w:sz="8" w:color="CEFFE7"/>
            </w:tcBorders>
          </w:tcPr>
          <w:p>
            <w:pPr>
              <w:spacing w:after="0"/>
              <w:rPr>
                <w:sz w:val="20"/>
                <w:szCs w:val="20"/>
                <w:color w:val="auto"/>
              </w:rPr>
            </w:pPr>
            <w:r>
              <w:rPr>
                <w:rFonts w:ascii="Arial" w:cs="Arial" w:eastAsia="Arial" w:hAnsi="Arial"/>
                <w:sz w:val="16"/>
                <w:szCs w:val="16"/>
                <w:color w:val="auto"/>
              </w:rPr>
              <w:t>Inter-company eliminations</w:t>
            </w: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EFFE7"/>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(38,642)</w:t>
            </w:r>
          </w:p>
        </w:tc>
        <w:tc>
          <w:tcPr>
            <w:tcW w:w="3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(391)</w:t>
            </w:r>
          </w:p>
        </w:tc>
        <w:tc>
          <w:tcPr>
            <w:tcW w:w="140" w:type="dxa"/>
            <w:vAlign w:val="bottom"/>
            <w:tcBorders>
              <w:bottom w:val="single" w:sz="8" w:color="CEFFE7"/>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(39,033)</w:t>
            </w:r>
          </w:p>
        </w:tc>
        <w:tc>
          <w:tcPr>
            <w:tcW w:w="20" w:type="dxa"/>
            <w:vAlign w:val="bottom"/>
          </w:tcPr>
          <w:p>
            <w:pPr>
              <w:spacing w:after="0"/>
              <w:rPr>
                <w:sz w:val="18"/>
                <w:szCs w:val="18"/>
                <w:color w:val="auto"/>
              </w:rPr>
            </w:pPr>
          </w:p>
        </w:tc>
      </w:tr>
      <w:tr>
        <w:trPr>
          <w:trHeight w:val="233"/>
        </w:trPr>
        <w:tc>
          <w:tcPr>
            <w:tcW w:w="40" w:type="dxa"/>
            <w:vAlign w:val="bottom"/>
          </w:tcPr>
          <w:p>
            <w:pPr>
              <w:spacing w:after="0"/>
              <w:rPr>
                <w:sz w:val="20"/>
                <w:szCs w:val="20"/>
                <w:color w:val="auto"/>
              </w:rPr>
            </w:pPr>
          </w:p>
        </w:tc>
        <w:tc>
          <w:tcPr>
            <w:tcW w:w="5180" w:type="dxa"/>
            <w:vAlign w:val="bottom"/>
            <w:shd w:val="clear" w:color="auto" w:fill="CEFFE7"/>
          </w:tcPr>
          <w:p>
            <w:pPr>
              <w:spacing w:after="0"/>
              <w:rPr>
                <w:sz w:val="20"/>
                <w:szCs w:val="20"/>
                <w:color w:val="auto"/>
              </w:rPr>
            </w:pPr>
            <w:r>
              <w:rPr>
                <w:rFonts w:ascii="Arial" w:cs="Arial" w:eastAsia="Arial" w:hAnsi="Arial"/>
                <w:sz w:val="16"/>
                <w:szCs w:val="16"/>
                <w:color w:val="auto"/>
              </w:rPr>
              <w:t>Total</w:t>
            </w:r>
          </w:p>
        </w:tc>
        <w:tc>
          <w:tcPr>
            <w:tcW w:w="100" w:type="dxa"/>
            <w:vAlign w:val="bottom"/>
            <w:shd w:val="clear" w:color="auto" w:fill="CEFFE7"/>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530,209</w:t>
            </w:r>
          </w:p>
        </w:tc>
        <w:tc>
          <w:tcPr>
            <w:tcW w:w="1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EFFE7"/>
          </w:tcPr>
          <w:p>
            <w:pPr>
              <w:jc w:val="right"/>
              <w:spacing w:after="0"/>
              <w:rPr>
                <w:sz w:val="20"/>
                <w:szCs w:val="20"/>
                <w:color w:val="auto"/>
              </w:rPr>
            </w:pPr>
            <w:r>
              <w:rPr>
                <w:rFonts w:ascii="Arial" w:cs="Arial" w:eastAsia="Arial" w:hAnsi="Arial"/>
                <w:sz w:val="16"/>
                <w:szCs w:val="16"/>
                <w:color w:val="auto"/>
              </w:rPr>
              <w:t>6,841</w:t>
            </w:r>
          </w:p>
        </w:tc>
        <w:tc>
          <w:tcPr>
            <w:tcW w:w="260" w:type="dxa"/>
            <w:vAlign w:val="bottom"/>
            <w:gridSpan w:val="2"/>
            <w:shd w:val="clear" w:color="auto" w:fill="CEFFE7"/>
          </w:tcPr>
          <w:p>
            <w:pPr>
              <w:jc w:val="right"/>
              <w:ind w:right="20"/>
              <w:spacing w:after="0"/>
              <w:rPr>
                <w:sz w:val="20"/>
                <w:szCs w:val="20"/>
                <w:color w:val="auto"/>
              </w:rPr>
            </w:pPr>
            <w:r>
              <w:rPr>
                <w:rFonts w:ascii="Arial" w:cs="Arial" w:eastAsia="Arial" w:hAnsi="Arial"/>
                <w:sz w:val="16"/>
                <w:szCs w:val="16"/>
                <w:color w:val="auto"/>
              </w:rPr>
              <w:t>$</w:t>
            </w:r>
          </w:p>
        </w:tc>
        <w:tc>
          <w:tcPr>
            <w:tcW w:w="1360" w:type="dxa"/>
            <w:vAlign w:val="bottom"/>
            <w:gridSpan w:val="2"/>
            <w:shd w:val="clear" w:color="auto" w:fill="CEFFE7"/>
          </w:tcPr>
          <w:p>
            <w:pPr>
              <w:jc w:val="right"/>
              <w:ind w:right="159"/>
              <w:spacing w:after="0"/>
              <w:rPr>
                <w:sz w:val="20"/>
                <w:szCs w:val="20"/>
                <w:color w:val="auto"/>
              </w:rPr>
            </w:pPr>
            <w:r>
              <w:rPr>
                <w:rFonts w:ascii="Arial" w:cs="Arial" w:eastAsia="Arial" w:hAnsi="Arial"/>
                <w:sz w:val="16"/>
                <w:szCs w:val="16"/>
                <w:color w:val="auto"/>
              </w:rPr>
              <w:t>— $</w:t>
            </w:r>
          </w:p>
        </w:tc>
        <w:tc>
          <w:tcPr>
            <w:tcW w:w="940" w:type="dxa"/>
            <w:vAlign w:val="bottom"/>
            <w:gridSpan w:val="2"/>
            <w:shd w:val="clear" w:color="auto" w:fill="CEFFE7"/>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EFFE7"/>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537,050</w:t>
            </w:r>
          </w:p>
        </w:tc>
        <w:tc>
          <w:tcPr>
            <w:tcW w:w="20" w:type="dxa"/>
            <w:vAlign w:val="bottom"/>
          </w:tcPr>
          <w:p>
            <w:pPr>
              <w:spacing w:after="0"/>
              <w:rPr>
                <w:sz w:val="20"/>
                <w:szCs w:val="20"/>
                <w:color w:val="auto"/>
              </w:rPr>
            </w:pPr>
          </w:p>
        </w:tc>
      </w:tr>
      <w:tr>
        <w:trPr>
          <w:trHeight w:val="20"/>
        </w:trPr>
        <w:tc>
          <w:tcPr>
            <w:tcW w:w="40" w:type="dxa"/>
            <w:vAlign w:val="bottom"/>
          </w:tcPr>
          <w:p>
            <w:pPr>
              <w:spacing w:after="0" w:line="20" w:lineRule="exact"/>
              <w:rPr>
                <w:sz w:val="1"/>
                <w:szCs w:val="1"/>
                <w:color w:val="auto"/>
              </w:rPr>
            </w:pPr>
          </w:p>
        </w:tc>
        <w:tc>
          <w:tcPr>
            <w:tcW w:w="5180" w:type="dxa"/>
            <w:vAlign w:val="bottom"/>
            <w:tcBorders>
              <w:top w:val="single" w:sz="8" w:color="CEFFE7"/>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EFFE7"/>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EFFE7"/>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940"/>
        </w:trPr>
        <w:tc>
          <w:tcPr>
            <w:tcW w:w="4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jc w:val="right"/>
              <w:ind w:right="539"/>
              <w:spacing w:after="0"/>
              <w:rPr>
                <w:sz w:val="20"/>
                <w:szCs w:val="20"/>
                <w:color w:val="auto"/>
              </w:rPr>
            </w:pPr>
            <w:r>
              <w:rPr>
                <w:rFonts w:ascii="Arial" w:cs="Arial" w:eastAsia="Arial" w:hAnsi="Arial"/>
                <w:sz w:val="16"/>
                <w:szCs w:val="16"/>
                <w:color w:val="auto"/>
              </w:rPr>
              <w:t>28</w:t>
            </w: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50"/>
        </w:trPr>
        <w:tc>
          <w:tcPr>
            <w:tcW w:w="40" w:type="dxa"/>
            <w:vAlign w:val="bottom"/>
            <w:tcBorders>
              <w:bottom w:val="single" w:sz="8" w:color="9A9A9A"/>
            </w:tcBorders>
          </w:tcPr>
          <w:p>
            <w:pPr>
              <w:spacing w:after="0"/>
              <w:rPr>
                <w:sz w:val="24"/>
                <w:szCs w:val="24"/>
                <w:color w:val="auto"/>
              </w:rPr>
            </w:pPr>
          </w:p>
        </w:tc>
        <w:tc>
          <w:tcPr>
            <w:tcW w:w="5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ind w:left="100"/>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00" w:type="dxa"/>
            <w:vAlign w:val="bottom"/>
          </w:tcPr>
          <w:p>
            <w:pPr>
              <w:spacing w:after="0"/>
              <w:rPr>
                <w:sz w:val="16"/>
                <w:szCs w:val="16"/>
                <w:color w:val="auto"/>
              </w:rPr>
            </w:pPr>
          </w:p>
        </w:tc>
        <w:tc>
          <w:tcPr>
            <w:tcW w:w="496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3040" w:type="dxa"/>
            <w:vAlign w:val="bottom"/>
            <w:gridSpan w:val="2"/>
          </w:tcPr>
          <w:p>
            <w:pPr>
              <w:jc w:val="right"/>
              <w:ind w:right="79"/>
              <w:spacing w:after="0"/>
              <w:rPr>
                <w:sz w:val="20"/>
                <w:szCs w:val="20"/>
                <w:color w:val="auto"/>
              </w:rPr>
            </w:pPr>
            <w:r>
              <w:rPr>
                <w:rFonts w:ascii="Arial" w:cs="Arial" w:eastAsia="Arial" w:hAnsi="Arial"/>
                <w:sz w:val="16"/>
                <w:szCs w:val="16"/>
                <w:color w:val="auto"/>
              </w:rPr>
              <w:t>Three Months Ended March 31,</w:t>
            </w:r>
          </w:p>
        </w:tc>
        <w:tc>
          <w:tcPr>
            <w:tcW w:w="780" w:type="dxa"/>
            <w:vAlign w:val="bottom"/>
          </w:tcPr>
          <w:p>
            <w:pPr>
              <w:spacing w:after="0"/>
              <w:rPr>
                <w:sz w:val="16"/>
                <w:szCs w:val="16"/>
                <w:color w:val="auto"/>
              </w:rPr>
            </w:pPr>
          </w:p>
        </w:tc>
      </w:tr>
      <w:tr>
        <w:trPr>
          <w:trHeight w:val="219"/>
        </w:trPr>
        <w:tc>
          <w:tcPr>
            <w:tcW w:w="100" w:type="dxa"/>
            <w:vAlign w:val="bottom"/>
          </w:tcPr>
          <w:p>
            <w:pPr>
              <w:spacing w:after="0"/>
              <w:rPr>
                <w:sz w:val="19"/>
                <w:szCs w:val="19"/>
                <w:color w:val="auto"/>
              </w:rPr>
            </w:pPr>
          </w:p>
        </w:tc>
        <w:tc>
          <w:tcPr>
            <w:tcW w:w="4960" w:type="dxa"/>
            <w:vAlign w:val="bottom"/>
            <w:tcBorders>
              <w:bottom w:val="single" w:sz="8" w:color="auto"/>
            </w:tcBorders>
          </w:tcPr>
          <w:p>
            <w:pPr>
              <w:spacing w:after="0"/>
              <w:rPr>
                <w:sz w:val="19"/>
                <w:szCs w:val="19"/>
                <w:color w:val="auto"/>
              </w:rPr>
            </w:pPr>
          </w:p>
        </w:tc>
        <w:tc>
          <w:tcPr>
            <w:tcW w:w="3220" w:type="dxa"/>
            <w:vAlign w:val="bottom"/>
            <w:tcBorders>
              <w:bottom w:val="single" w:sz="8" w:color="auto"/>
            </w:tcBorders>
            <w:gridSpan w:val="2"/>
          </w:tcPr>
          <w:p>
            <w:pPr>
              <w:jc w:val="right"/>
              <w:ind w:right="59"/>
              <w:spacing w:after="0"/>
              <w:rPr>
                <w:sz w:val="20"/>
                <w:szCs w:val="20"/>
                <w:color w:val="auto"/>
              </w:rPr>
            </w:pPr>
            <w:r>
              <w:rPr>
                <w:rFonts w:ascii="Arial" w:cs="Arial" w:eastAsia="Arial" w:hAnsi="Arial"/>
                <w:sz w:val="16"/>
                <w:szCs w:val="16"/>
                <w:color w:val="auto"/>
              </w:rPr>
              <w:t>2021</w:t>
            </w:r>
          </w:p>
        </w:tc>
        <w:tc>
          <w:tcPr>
            <w:tcW w:w="1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2020</w:t>
            </w:r>
          </w:p>
        </w:tc>
        <w:tc>
          <w:tcPr>
            <w:tcW w:w="780" w:type="dxa"/>
            <w:vAlign w:val="bottom"/>
            <w:tcBorders>
              <w:bottom w:val="single" w:sz="8" w:color="auto"/>
            </w:tcBorders>
          </w:tcPr>
          <w:p>
            <w:pPr>
              <w:spacing w:after="0"/>
              <w:rPr>
                <w:sz w:val="19"/>
                <w:szCs w:val="19"/>
                <w:color w:val="auto"/>
              </w:rPr>
            </w:pPr>
          </w:p>
        </w:tc>
      </w:tr>
      <w:tr>
        <w:trPr>
          <w:trHeight w:val="213"/>
        </w:trPr>
        <w:tc>
          <w:tcPr>
            <w:tcW w:w="100" w:type="dxa"/>
            <w:vAlign w:val="bottom"/>
          </w:tcPr>
          <w:p>
            <w:pPr>
              <w:spacing w:after="0"/>
              <w:rPr>
                <w:sz w:val="18"/>
                <w:szCs w:val="18"/>
                <w:color w:val="auto"/>
              </w:rPr>
            </w:pPr>
          </w:p>
        </w:tc>
        <w:tc>
          <w:tcPr>
            <w:tcW w:w="4960" w:type="dxa"/>
            <w:vAlign w:val="bottom"/>
            <w:shd w:val="clear" w:color="auto" w:fill="CEFFE7"/>
          </w:tcPr>
          <w:p>
            <w:pPr>
              <w:spacing w:after="0"/>
              <w:rPr>
                <w:sz w:val="20"/>
                <w:szCs w:val="20"/>
                <w:color w:val="auto"/>
              </w:rPr>
            </w:pPr>
            <w:r>
              <w:rPr>
                <w:rFonts w:ascii="Arial" w:cs="Arial" w:eastAsia="Arial" w:hAnsi="Arial"/>
                <w:sz w:val="16"/>
                <w:szCs w:val="16"/>
                <w:color w:val="auto"/>
              </w:rPr>
              <w:t>justed operating income:</w:t>
            </w:r>
          </w:p>
        </w:tc>
        <w:tc>
          <w:tcPr>
            <w:tcW w:w="2100" w:type="dxa"/>
            <w:vAlign w:val="bottom"/>
            <w:shd w:val="clear" w:color="auto" w:fill="CEFFE7"/>
          </w:tcPr>
          <w:p>
            <w:pPr>
              <w:spacing w:after="0"/>
              <w:rPr>
                <w:sz w:val="18"/>
                <w:szCs w:val="18"/>
                <w:color w:val="auto"/>
              </w:rPr>
            </w:pPr>
          </w:p>
        </w:tc>
        <w:tc>
          <w:tcPr>
            <w:tcW w:w="1120" w:type="dxa"/>
            <w:vAlign w:val="bottom"/>
            <w:shd w:val="clear" w:color="auto" w:fill="CEFFE7"/>
          </w:tcPr>
          <w:p>
            <w:pPr>
              <w:spacing w:after="0"/>
              <w:rPr>
                <w:sz w:val="18"/>
                <w:szCs w:val="18"/>
                <w:color w:val="auto"/>
              </w:rPr>
            </w:pPr>
          </w:p>
        </w:tc>
        <w:tc>
          <w:tcPr>
            <w:tcW w:w="1920" w:type="dxa"/>
            <w:vAlign w:val="bottom"/>
            <w:shd w:val="clear" w:color="auto" w:fill="CEFFE7"/>
          </w:tcPr>
          <w:p>
            <w:pPr>
              <w:spacing w:after="0"/>
              <w:rPr>
                <w:sz w:val="18"/>
                <w:szCs w:val="18"/>
                <w:color w:val="auto"/>
              </w:rPr>
            </w:pPr>
          </w:p>
        </w:tc>
        <w:tc>
          <w:tcPr>
            <w:tcW w:w="780" w:type="dxa"/>
            <w:vAlign w:val="bottom"/>
            <w:shd w:val="clear" w:color="auto" w:fill="CEFFE7"/>
          </w:tcPr>
          <w:p>
            <w:pPr>
              <w:spacing w:after="0"/>
              <w:rPr>
                <w:sz w:val="18"/>
                <w:szCs w:val="18"/>
                <w:color w:val="auto"/>
              </w:rPr>
            </w:pPr>
          </w:p>
        </w:tc>
      </w:tr>
      <w:tr>
        <w:trPr>
          <w:trHeight w:val="210"/>
        </w:trPr>
        <w:tc>
          <w:tcPr>
            <w:tcW w:w="5060" w:type="dxa"/>
            <w:vAlign w:val="bottom"/>
            <w:gridSpan w:val="2"/>
          </w:tcPr>
          <w:p>
            <w:pPr>
              <w:ind w:left="40"/>
              <w:spacing w:after="0"/>
              <w:rPr>
                <w:sz w:val="20"/>
                <w:szCs w:val="20"/>
                <w:color w:val="auto"/>
              </w:rPr>
            </w:pPr>
            <w:r>
              <w:rPr>
                <w:rFonts w:ascii="Arial" w:cs="Arial" w:eastAsia="Arial" w:hAnsi="Arial"/>
                <w:sz w:val="16"/>
                <w:szCs w:val="16"/>
                <w:color w:val="auto"/>
              </w:rPr>
              <w:t>lectric Utilities</w:t>
            </w:r>
          </w:p>
        </w:tc>
        <w:tc>
          <w:tcPr>
            <w:tcW w:w="21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Pr>
          <w:p>
            <w:pPr>
              <w:spacing w:after="0"/>
              <w:rPr>
                <w:sz w:val="18"/>
                <w:szCs w:val="18"/>
                <w:color w:val="auto"/>
              </w:rPr>
            </w:pPr>
          </w:p>
        </w:tc>
        <w:tc>
          <w:tcPr>
            <w:tcW w:w="1920" w:type="dxa"/>
            <w:vAlign w:val="bottom"/>
          </w:tcPr>
          <w:p>
            <w:pPr>
              <w:jc w:val="right"/>
              <w:ind w:right="1119"/>
              <w:spacing w:after="0"/>
              <w:rPr>
                <w:sz w:val="20"/>
                <w:szCs w:val="20"/>
                <w:color w:val="auto"/>
              </w:rPr>
            </w:pPr>
            <w:r>
              <w:rPr>
                <w:rFonts w:ascii="Arial" w:cs="Arial" w:eastAsia="Arial" w:hAnsi="Arial"/>
                <w:sz w:val="16"/>
                <w:szCs w:val="16"/>
                <w:color w:val="auto"/>
              </w:rPr>
              <w:t>21,813$</w:t>
            </w:r>
          </w:p>
        </w:tc>
        <w:tc>
          <w:tcPr>
            <w:tcW w:w="780" w:type="dxa"/>
            <w:vAlign w:val="bottom"/>
          </w:tcPr>
          <w:p>
            <w:pPr>
              <w:jc w:val="right"/>
              <w:spacing w:after="0"/>
              <w:rPr>
                <w:sz w:val="20"/>
                <w:szCs w:val="20"/>
                <w:color w:val="auto"/>
              </w:rPr>
            </w:pPr>
            <w:r>
              <w:rPr>
                <w:rFonts w:ascii="Arial" w:cs="Arial" w:eastAsia="Arial" w:hAnsi="Arial"/>
                <w:sz w:val="16"/>
                <w:szCs w:val="16"/>
                <w:color w:val="auto"/>
              </w:rPr>
              <w:t>35,650</w:t>
            </w:r>
          </w:p>
        </w:tc>
      </w:tr>
      <w:tr>
        <w:trPr>
          <w:trHeight w:val="216"/>
        </w:trPr>
        <w:tc>
          <w:tcPr>
            <w:tcW w:w="5060" w:type="dxa"/>
            <w:vAlign w:val="bottom"/>
            <w:gridSpan w:val="2"/>
          </w:tcPr>
          <w:p>
            <w:pPr>
              <w:ind w:left="40"/>
              <w:spacing w:after="0"/>
              <w:rPr>
                <w:sz w:val="20"/>
                <w:szCs w:val="20"/>
                <w:color w:val="auto"/>
              </w:rPr>
            </w:pPr>
            <w:r>
              <w:rPr>
                <w:rFonts w:ascii="Arial" w:cs="Arial" w:eastAsia="Arial" w:hAnsi="Arial"/>
                <w:sz w:val="16"/>
                <w:szCs w:val="16"/>
                <w:color w:val="auto"/>
              </w:rPr>
              <w:t>as Utilities</w:t>
            </w:r>
          </w:p>
        </w:tc>
        <w:tc>
          <w:tcPr>
            <w:tcW w:w="2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920" w:type="dxa"/>
            <w:vAlign w:val="bottom"/>
          </w:tcPr>
          <w:p>
            <w:pPr>
              <w:jc w:val="right"/>
              <w:ind w:right="1119"/>
              <w:spacing w:after="0"/>
              <w:rPr>
                <w:sz w:val="20"/>
                <w:szCs w:val="20"/>
                <w:color w:val="auto"/>
              </w:rPr>
            </w:pPr>
            <w:r>
              <w:rPr>
                <w:rFonts w:ascii="Arial" w:cs="Arial" w:eastAsia="Arial" w:hAnsi="Arial"/>
                <w:sz w:val="16"/>
                <w:szCs w:val="16"/>
                <w:color w:val="auto"/>
              </w:rPr>
              <w:t>102,094</w:t>
            </w:r>
          </w:p>
        </w:tc>
        <w:tc>
          <w:tcPr>
            <w:tcW w:w="780" w:type="dxa"/>
            <w:vAlign w:val="bottom"/>
          </w:tcPr>
          <w:p>
            <w:pPr>
              <w:jc w:val="right"/>
              <w:spacing w:after="0"/>
              <w:rPr>
                <w:sz w:val="20"/>
                <w:szCs w:val="20"/>
                <w:color w:val="auto"/>
              </w:rPr>
            </w:pPr>
            <w:r>
              <w:rPr>
                <w:rFonts w:ascii="Arial" w:cs="Arial" w:eastAsia="Arial" w:hAnsi="Arial"/>
                <w:sz w:val="16"/>
                <w:szCs w:val="16"/>
                <w:color w:val="auto"/>
              </w:rPr>
              <w:t>102,897</w:t>
            </w:r>
          </w:p>
        </w:tc>
      </w:tr>
      <w:tr>
        <w:trPr>
          <w:trHeight w:val="219"/>
        </w:trPr>
        <w:tc>
          <w:tcPr>
            <w:tcW w:w="5060" w:type="dxa"/>
            <w:vAlign w:val="bottom"/>
            <w:gridSpan w:val="2"/>
          </w:tcPr>
          <w:p>
            <w:pPr>
              <w:ind w:left="40"/>
              <w:spacing w:after="0"/>
              <w:rPr>
                <w:sz w:val="20"/>
                <w:szCs w:val="20"/>
                <w:color w:val="auto"/>
              </w:rPr>
            </w:pPr>
            <w:r>
              <w:rPr>
                <w:rFonts w:ascii="Arial" w:cs="Arial" w:eastAsia="Arial" w:hAnsi="Arial"/>
                <w:sz w:val="16"/>
                <w:szCs w:val="16"/>
                <w:color w:val="auto"/>
              </w:rPr>
              <w:t>ower Generation</w:t>
            </w:r>
          </w:p>
        </w:tc>
        <w:tc>
          <w:tcPr>
            <w:tcW w:w="2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920" w:type="dxa"/>
            <w:vAlign w:val="bottom"/>
          </w:tcPr>
          <w:p>
            <w:pPr>
              <w:jc w:val="right"/>
              <w:ind w:right="1119"/>
              <w:spacing w:after="0"/>
              <w:rPr>
                <w:sz w:val="20"/>
                <w:szCs w:val="20"/>
                <w:color w:val="auto"/>
              </w:rPr>
            </w:pPr>
            <w:r>
              <w:rPr>
                <w:rFonts w:ascii="Arial" w:cs="Arial" w:eastAsia="Arial" w:hAnsi="Arial"/>
                <w:sz w:val="16"/>
                <w:szCs w:val="16"/>
                <w:color w:val="auto"/>
              </w:rPr>
              <w:t>14,269</w:t>
            </w:r>
          </w:p>
        </w:tc>
        <w:tc>
          <w:tcPr>
            <w:tcW w:w="780" w:type="dxa"/>
            <w:vAlign w:val="bottom"/>
          </w:tcPr>
          <w:p>
            <w:pPr>
              <w:jc w:val="right"/>
              <w:spacing w:after="0"/>
              <w:rPr>
                <w:sz w:val="20"/>
                <w:szCs w:val="20"/>
                <w:color w:val="auto"/>
              </w:rPr>
            </w:pPr>
            <w:r>
              <w:rPr>
                <w:rFonts w:ascii="Arial" w:cs="Arial" w:eastAsia="Arial" w:hAnsi="Arial"/>
                <w:sz w:val="16"/>
                <w:szCs w:val="16"/>
                <w:color w:val="auto"/>
              </w:rPr>
              <w:t>11,349</w:t>
            </w:r>
          </w:p>
        </w:tc>
      </w:tr>
      <w:tr>
        <w:trPr>
          <w:trHeight w:val="219"/>
        </w:trPr>
        <w:tc>
          <w:tcPr>
            <w:tcW w:w="100" w:type="dxa"/>
            <w:vAlign w:val="bottom"/>
          </w:tcPr>
          <w:p>
            <w:pPr>
              <w:spacing w:after="0"/>
              <w:rPr>
                <w:sz w:val="19"/>
                <w:szCs w:val="19"/>
                <w:color w:val="auto"/>
              </w:rPr>
            </w:pPr>
          </w:p>
        </w:tc>
        <w:tc>
          <w:tcPr>
            <w:tcW w:w="4960" w:type="dxa"/>
            <w:vAlign w:val="bottom"/>
            <w:shd w:val="clear" w:color="auto" w:fill="CEFFE7"/>
          </w:tcPr>
          <w:p>
            <w:pPr>
              <w:spacing w:after="0"/>
              <w:rPr>
                <w:sz w:val="20"/>
                <w:szCs w:val="20"/>
                <w:color w:val="auto"/>
              </w:rPr>
            </w:pPr>
            <w:r>
              <w:rPr>
                <w:rFonts w:ascii="Arial" w:cs="Arial" w:eastAsia="Arial" w:hAnsi="Arial"/>
                <w:sz w:val="16"/>
                <w:szCs w:val="16"/>
                <w:color w:val="auto"/>
              </w:rPr>
              <w:t>ining</w:t>
            </w:r>
          </w:p>
        </w:tc>
        <w:tc>
          <w:tcPr>
            <w:tcW w:w="2100" w:type="dxa"/>
            <w:vAlign w:val="bottom"/>
            <w:shd w:val="clear" w:color="auto" w:fill="CEFFE7"/>
          </w:tcPr>
          <w:p>
            <w:pPr>
              <w:spacing w:after="0"/>
              <w:rPr>
                <w:sz w:val="19"/>
                <w:szCs w:val="19"/>
                <w:color w:val="auto"/>
              </w:rPr>
            </w:pPr>
          </w:p>
        </w:tc>
        <w:tc>
          <w:tcPr>
            <w:tcW w:w="1120" w:type="dxa"/>
            <w:vAlign w:val="bottom"/>
            <w:shd w:val="clear" w:color="auto" w:fill="CEFFE7"/>
          </w:tcPr>
          <w:p>
            <w:pPr>
              <w:spacing w:after="0"/>
              <w:rPr>
                <w:sz w:val="19"/>
                <w:szCs w:val="19"/>
                <w:color w:val="auto"/>
              </w:rPr>
            </w:pPr>
          </w:p>
        </w:tc>
        <w:tc>
          <w:tcPr>
            <w:tcW w:w="1920" w:type="dxa"/>
            <w:vAlign w:val="bottom"/>
            <w:shd w:val="clear" w:color="auto" w:fill="CEFFE7"/>
          </w:tcPr>
          <w:p>
            <w:pPr>
              <w:jc w:val="right"/>
              <w:ind w:right="1119"/>
              <w:spacing w:after="0"/>
              <w:rPr>
                <w:sz w:val="20"/>
                <w:szCs w:val="20"/>
                <w:color w:val="auto"/>
              </w:rPr>
            </w:pPr>
            <w:r>
              <w:rPr>
                <w:rFonts w:ascii="Arial" w:cs="Arial" w:eastAsia="Arial" w:hAnsi="Arial"/>
                <w:sz w:val="16"/>
                <w:szCs w:val="16"/>
                <w:color w:val="auto"/>
              </w:rPr>
              <w:t>3,261</w:t>
            </w:r>
          </w:p>
        </w:tc>
        <w:tc>
          <w:tcPr>
            <w:tcW w:w="7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3,129</w:t>
            </w:r>
          </w:p>
        </w:tc>
      </w:tr>
      <w:tr>
        <w:trPr>
          <w:trHeight w:val="213"/>
        </w:trPr>
        <w:tc>
          <w:tcPr>
            <w:tcW w:w="5060" w:type="dxa"/>
            <w:vAlign w:val="bottom"/>
            <w:gridSpan w:val="2"/>
          </w:tcPr>
          <w:p>
            <w:pPr>
              <w:ind w:left="40"/>
              <w:spacing w:after="0"/>
              <w:rPr>
                <w:sz w:val="20"/>
                <w:szCs w:val="20"/>
                <w:color w:val="auto"/>
              </w:rPr>
            </w:pPr>
            <w:r>
              <w:rPr>
                <w:rFonts w:ascii="Arial" w:cs="Arial" w:eastAsia="Arial" w:hAnsi="Arial"/>
                <w:sz w:val="16"/>
                <w:szCs w:val="16"/>
                <w:color w:val="auto"/>
              </w:rPr>
              <w:t>orporate and Other</w:t>
            </w:r>
          </w:p>
        </w:tc>
        <w:tc>
          <w:tcPr>
            <w:tcW w:w="2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920" w:type="dxa"/>
            <w:vAlign w:val="bottom"/>
          </w:tcPr>
          <w:p>
            <w:pPr>
              <w:jc w:val="right"/>
              <w:ind w:right="1079"/>
              <w:spacing w:after="0"/>
              <w:rPr>
                <w:sz w:val="20"/>
                <w:szCs w:val="20"/>
                <w:color w:val="auto"/>
              </w:rPr>
            </w:pPr>
            <w:r>
              <w:rPr>
                <w:rFonts w:ascii="Arial" w:cs="Arial" w:eastAsia="Arial" w:hAnsi="Arial"/>
                <w:sz w:val="16"/>
                <w:szCs w:val="16"/>
                <w:color w:val="auto"/>
              </w:rPr>
              <w:t>(3,122)</w:t>
            </w:r>
          </w:p>
        </w:tc>
        <w:tc>
          <w:tcPr>
            <w:tcW w:w="780" w:type="dxa"/>
            <w:vAlign w:val="bottom"/>
          </w:tcPr>
          <w:p>
            <w:pPr>
              <w:jc w:val="right"/>
              <w:spacing w:after="0"/>
              <w:rPr>
                <w:sz w:val="20"/>
                <w:szCs w:val="20"/>
                <w:color w:val="auto"/>
              </w:rPr>
            </w:pPr>
            <w:r>
              <w:rPr>
                <w:rFonts w:ascii="Arial" w:cs="Arial" w:eastAsia="Arial" w:hAnsi="Arial"/>
                <w:sz w:val="16"/>
                <w:szCs w:val="16"/>
                <w:color w:val="auto"/>
              </w:rPr>
              <w:t>160</w:t>
            </w:r>
          </w:p>
        </w:tc>
      </w:tr>
      <w:tr>
        <w:trPr>
          <w:trHeight w:val="213"/>
        </w:trPr>
        <w:tc>
          <w:tcPr>
            <w:tcW w:w="100" w:type="dxa"/>
            <w:vAlign w:val="bottom"/>
          </w:tcPr>
          <w:p>
            <w:pPr>
              <w:spacing w:after="0"/>
              <w:rPr>
                <w:sz w:val="18"/>
                <w:szCs w:val="18"/>
                <w:color w:val="auto"/>
              </w:rPr>
            </w:pPr>
          </w:p>
        </w:tc>
        <w:tc>
          <w:tcPr>
            <w:tcW w:w="4960" w:type="dxa"/>
            <w:vAlign w:val="bottom"/>
            <w:tcBorders>
              <w:top w:val="single" w:sz="8" w:color="CEFFE7"/>
            </w:tcBorders>
            <w:shd w:val="clear" w:color="auto" w:fill="CEFFE7"/>
          </w:tcPr>
          <w:p>
            <w:pPr>
              <w:spacing w:after="0"/>
              <w:rPr>
                <w:sz w:val="20"/>
                <w:szCs w:val="20"/>
                <w:color w:val="auto"/>
              </w:rPr>
            </w:pPr>
            <w:r>
              <w:rPr>
                <w:rFonts w:ascii="Arial" w:cs="Arial" w:eastAsia="Arial" w:hAnsi="Arial"/>
                <w:sz w:val="16"/>
                <w:szCs w:val="16"/>
                <w:color w:val="auto"/>
              </w:rPr>
              <w:t>erating income</w:t>
            </w:r>
          </w:p>
        </w:tc>
        <w:tc>
          <w:tcPr>
            <w:tcW w:w="2100" w:type="dxa"/>
            <w:vAlign w:val="bottom"/>
            <w:tcBorders>
              <w:top w:val="single" w:sz="8" w:color="CEFFE7"/>
            </w:tcBorders>
            <w:shd w:val="clear" w:color="auto" w:fill="CEFFE7"/>
          </w:tcPr>
          <w:p>
            <w:pPr>
              <w:spacing w:after="0"/>
              <w:rPr>
                <w:sz w:val="18"/>
                <w:szCs w:val="18"/>
                <w:color w:val="auto"/>
              </w:rPr>
            </w:pPr>
          </w:p>
        </w:tc>
        <w:tc>
          <w:tcPr>
            <w:tcW w:w="1120" w:type="dxa"/>
            <w:vAlign w:val="bottom"/>
            <w:tcBorders>
              <w:top w:val="single" w:sz="8" w:color="auto"/>
              <w:bottom w:val="single" w:sz="8" w:color="auto"/>
            </w:tcBorders>
            <w:shd w:val="clear" w:color="auto" w:fill="CEFFE7"/>
          </w:tcPr>
          <w:p>
            <w:pPr>
              <w:spacing w:after="0"/>
              <w:rPr>
                <w:sz w:val="18"/>
                <w:szCs w:val="18"/>
                <w:color w:val="auto"/>
              </w:rPr>
            </w:pPr>
          </w:p>
        </w:tc>
        <w:tc>
          <w:tcPr>
            <w:tcW w:w="1920" w:type="dxa"/>
            <w:vAlign w:val="bottom"/>
            <w:tcBorders>
              <w:top w:val="single" w:sz="8" w:color="auto"/>
              <w:bottom w:val="single" w:sz="8" w:color="auto"/>
            </w:tcBorders>
            <w:shd w:val="clear" w:color="auto" w:fill="CEFFE7"/>
          </w:tcPr>
          <w:p>
            <w:pPr>
              <w:jc w:val="right"/>
              <w:ind w:right="1119"/>
              <w:spacing w:after="0"/>
              <w:rPr>
                <w:sz w:val="20"/>
                <w:szCs w:val="20"/>
                <w:color w:val="auto"/>
              </w:rPr>
            </w:pPr>
            <w:r>
              <w:rPr>
                <w:rFonts w:ascii="Arial" w:cs="Arial" w:eastAsia="Arial" w:hAnsi="Arial"/>
                <w:sz w:val="16"/>
                <w:szCs w:val="16"/>
                <w:color w:val="auto"/>
              </w:rPr>
              <w:t>138,315</w:t>
            </w:r>
          </w:p>
        </w:tc>
        <w:tc>
          <w:tcPr>
            <w:tcW w:w="780" w:type="dxa"/>
            <w:vAlign w:val="bottom"/>
            <w:tcBorders>
              <w:top w:val="single" w:sz="8" w:color="auto"/>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153,185</w:t>
            </w:r>
          </w:p>
        </w:tc>
      </w:tr>
      <w:tr>
        <w:trPr>
          <w:trHeight w:val="460"/>
        </w:trPr>
        <w:tc>
          <w:tcPr>
            <w:tcW w:w="5060" w:type="dxa"/>
            <w:vAlign w:val="bottom"/>
            <w:gridSpan w:val="2"/>
          </w:tcPr>
          <w:p>
            <w:pPr>
              <w:spacing w:after="0"/>
              <w:rPr>
                <w:sz w:val="20"/>
                <w:szCs w:val="20"/>
                <w:color w:val="auto"/>
              </w:rPr>
            </w:pPr>
            <w:r>
              <w:rPr>
                <w:rFonts w:ascii="Arial" w:cs="Arial" w:eastAsia="Arial" w:hAnsi="Arial"/>
                <w:sz w:val="16"/>
                <w:szCs w:val="16"/>
                <w:color w:val="auto"/>
              </w:rPr>
              <w:t>erest expense, net</w:t>
            </w:r>
          </w:p>
        </w:tc>
        <w:tc>
          <w:tcPr>
            <w:tcW w:w="2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920" w:type="dxa"/>
            <w:vAlign w:val="bottom"/>
          </w:tcPr>
          <w:p>
            <w:pPr>
              <w:jc w:val="right"/>
              <w:ind w:right="1079"/>
              <w:spacing w:after="0"/>
              <w:rPr>
                <w:sz w:val="20"/>
                <w:szCs w:val="20"/>
                <w:color w:val="auto"/>
              </w:rPr>
            </w:pPr>
            <w:r>
              <w:rPr>
                <w:rFonts w:ascii="Arial" w:cs="Arial" w:eastAsia="Arial" w:hAnsi="Arial"/>
                <w:sz w:val="16"/>
                <w:szCs w:val="16"/>
                <w:color w:val="auto"/>
              </w:rPr>
              <w:t>(37,600)</w:t>
            </w:r>
          </w:p>
        </w:tc>
        <w:tc>
          <w:tcPr>
            <w:tcW w:w="780" w:type="dxa"/>
            <w:vAlign w:val="bottom"/>
          </w:tcPr>
          <w:p>
            <w:pPr>
              <w:jc w:val="right"/>
              <w:spacing w:after="0"/>
              <w:rPr>
                <w:sz w:val="20"/>
                <w:szCs w:val="20"/>
                <w:color w:val="auto"/>
              </w:rPr>
            </w:pPr>
            <w:r>
              <w:rPr>
                <w:rFonts w:ascii="Arial" w:cs="Arial" w:eastAsia="Arial" w:hAnsi="Arial"/>
                <w:sz w:val="16"/>
                <w:szCs w:val="16"/>
                <w:color w:val="auto"/>
              </w:rPr>
              <w:t>(35,453)</w:t>
            </w:r>
          </w:p>
        </w:tc>
      </w:tr>
      <w:tr>
        <w:trPr>
          <w:trHeight w:val="216"/>
        </w:trPr>
        <w:tc>
          <w:tcPr>
            <w:tcW w:w="5060" w:type="dxa"/>
            <w:vAlign w:val="bottom"/>
            <w:gridSpan w:val="2"/>
          </w:tcPr>
          <w:p>
            <w:pPr>
              <w:spacing w:after="0"/>
              <w:rPr>
                <w:sz w:val="20"/>
                <w:szCs w:val="20"/>
                <w:color w:val="auto"/>
              </w:rPr>
            </w:pPr>
            <w:r>
              <w:rPr>
                <w:rFonts w:ascii="Arial" w:cs="Arial" w:eastAsia="Arial" w:hAnsi="Arial"/>
                <w:sz w:val="16"/>
                <w:szCs w:val="16"/>
                <w:color w:val="auto"/>
              </w:rPr>
              <w:t>pairment of investment</w:t>
            </w:r>
          </w:p>
        </w:tc>
        <w:tc>
          <w:tcPr>
            <w:tcW w:w="2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920" w:type="dxa"/>
            <w:vAlign w:val="bottom"/>
          </w:tcPr>
          <w:p>
            <w:pPr>
              <w:jc w:val="right"/>
              <w:ind w:right="111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(6,859)</w:t>
            </w:r>
          </w:p>
        </w:tc>
      </w:tr>
      <w:tr>
        <w:trPr>
          <w:trHeight w:val="216"/>
        </w:trPr>
        <w:tc>
          <w:tcPr>
            <w:tcW w:w="5060" w:type="dxa"/>
            <w:vAlign w:val="bottom"/>
            <w:gridSpan w:val="2"/>
          </w:tcPr>
          <w:p>
            <w:pPr>
              <w:spacing w:after="0"/>
              <w:rPr>
                <w:sz w:val="20"/>
                <w:szCs w:val="20"/>
                <w:color w:val="auto"/>
              </w:rPr>
            </w:pPr>
            <w:r>
              <w:rPr>
                <w:rFonts w:ascii="Arial" w:cs="Arial" w:eastAsia="Arial" w:hAnsi="Arial"/>
                <w:sz w:val="16"/>
                <w:szCs w:val="16"/>
                <w:color w:val="auto"/>
              </w:rPr>
              <w:t>her income (expense), net</w:t>
            </w:r>
          </w:p>
        </w:tc>
        <w:tc>
          <w:tcPr>
            <w:tcW w:w="2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920" w:type="dxa"/>
            <w:vAlign w:val="bottom"/>
          </w:tcPr>
          <w:p>
            <w:pPr>
              <w:jc w:val="right"/>
              <w:ind w:right="1119"/>
              <w:spacing w:after="0"/>
              <w:rPr>
                <w:sz w:val="20"/>
                <w:szCs w:val="20"/>
                <w:color w:val="auto"/>
              </w:rPr>
            </w:pPr>
            <w:r>
              <w:rPr>
                <w:rFonts w:ascii="Arial" w:cs="Arial" w:eastAsia="Arial" w:hAnsi="Arial"/>
                <w:sz w:val="16"/>
                <w:szCs w:val="16"/>
                <w:color w:val="auto"/>
              </w:rPr>
              <w:t>266</w:t>
            </w:r>
          </w:p>
        </w:tc>
        <w:tc>
          <w:tcPr>
            <w:tcW w:w="780" w:type="dxa"/>
            <w:vAlign w:val="bottom"/>
          </w:tcPr>
          <w:p>
            <w:pPr>
              <w:jc w:val="right"/>
              <w:spacing w:after="0"/>
              <w:rPr>
                <w:sz w:val="20"/>
                <w:szCs w:val="20"/>
                <w:color w:val="auto"/>
              </w:rPr>
            </w:pPr>
            <w:r>
              <w:rPr>
                <w:rFonts w:ascii="Arial" w:cs="Arial" w:eastAsia="Arial" w:hAnsi="Arial"/>
                <w:sz w:val="16"/>
                <w:szCs w:val="16"/>
                <w:color w:val="auto"/>
              </w:rPr>
              <w:t>2,353</w:t>
            </w:r>
          </w:p>
        </w:tc>
      </w:tr>
      <w:tr>
        <w:trPr>
          <w:trHeight w:val="219"/>
        </w:trPr>
        <w:tc>
          <w:tcPr>
            <w:tcW w:w="5060" w:type="dxa"/>
            <w:vAlign w:val="bottom"/>
            <w:gridSpan w:val="2"/>
          </w:tcPr>
          <w:p>
            <w:pPr>
              <w:ind w:left="20"/>
              <w:spacing w:after="0"/>
              <w:rPr>
                <w:sz w:val="20"/>
                <w:szCs w:val="20"/>
                <w:color w:val="auto"/>
              </w:rPr>
            </w:pPr>
            <w:r>
              <w:rPr>
                <w:rFonts w:ascii="Arial" w:cs="Arial" w:eastAsia="Arial" w:hAnsi="Arial"/>
                <w:sz w:val="16"/>
                <w:szCs w:val="16"/>
                <w:color w:val="auto"/>
              </w:rPr>
              <w:t>ome tax (expense)</w:t>
            </w:r>
          </w:p>
        </w:tc>
        <w:tc>
          <w:tcPr>
            <w:tcW w:w="2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920" w:type="dxa"/>
            <w:vAlign w:val="bottom"/>
          </w:tcPr>
          <w:p>
            <w:pPr>
              <w:jc w:val="right"/>
              <w:ind w:right="1079"/>
              <w:spacing w:after="0"/>
              <w:rPr>
                <w:sz w:val="20"/>
                <w:szCs w:val="20"/>
                <w:color w:val="auto"/>
              </w:rPr>
            </w:pPr>
            <w:r>
              <w:rPr>
                <w:rFonts w:ascii="Arial" w:cs="Arial" w:eastAsia="Arial" w:hAnsi="Arial"/>
                <w:sz w:val="16"/>
                <w:szCs w:val="16"/>
                <w:color w:val="auto"/>
              </w:rPr>
              <w:t>(494)</w:t>
            </w:r>
          </w:p>
        </w:tc>
        <w:tc>
          <w:tcPr>
            <w:tcW w:w="780" w:type="dxa"/>
            <w:vAlign w:val="bottom"/>
          </w:tcPr>
          <w:p>
            <w:pPr>
              <w:jc w:val="right"/>
              <w:spacing w:after="0"/>
              <w:rPr>
                <w:sz w:val="20"/>
                <w:szCs w:val="20"/>
                <w:color w:val="auto"/>
              </w:rPr>
            </w:pPr>
            <w:r>
              <w:rPr>
                <w:rFonts w:ascii="Arial" w:cs="Arial" w:eastAsia="Arial" w:hAnsi="Arial"/>
                <w:sz w:val="16"/>
                <w:szCs w:val="16"/>
                <w:color w:val="auto"/>
              </w:rPr>
              <w:t>(16,002)</w:t>
            </w:r>
          </w:p>
        </w:tc>
      </w:tr>
      <w:tr>
        <w:trPr>
          <w:trHeight w:val="212"/>
        </w:trPr>
        <w:tc>
          <w:tcPr>
            <w:tcW w:w="100" w:type="dxa"/>
            <w:vAlign w:val="bottom"/>
          </w:tcPr>
          <w:p>
            <w:pPr>
              <w:spacing w:after="0"/>
              <w:rPr>
                <w:sz w:val="20"/>
                <w:szCs w:val="20"/>
                <w:color w:val="auto"/>
              </w:rPr>
            </w:pPr>
            <w:r>
              <w:rPr>
                <w:rFonts w:ascii="Arial" w:cs="Arial" w:eastAsia="Arial" w:hAnsi="Arial"/>
                <w:sz w:val="16"/>
                <w:szCs w:val="16"/>
                <w:color w:val="auto"/>
              </w:rPr>
              <w:t>t</w:t>
            </w:r>
          </w:p>
        </w:tc>
        <w:tc>
          <w:tcPr>
            <w:tcW w:w="4960" w:type="dxa"/>
            <w:vAlign w:val="bottom"/>
            <w:tcBorders>
              <w:top w:val="single" w:sz="8" w:color="CEFFE7"/>
            </w:tcBorders>
            <w:shd w:val="clear" w:color="auto" w:fill="CEFFE7"/>
          </w:tcPr>
          <w:p>
            <w:pPr>
              <w:spacing w:after="0"/>
              <w:rPr>
                <w:sz w:val="20"/>
                <w:szCs w:val="20"/>
                <w:color w:val="auto"/>
              </w:rPr>
            </w:pPr>
            <w:r>
              <w:rPr>
                <w:rFonts w:ascii="Arial" w:cs="Arial" w:eastAsia="Arial" w:hAnsi="Arial"/>
                <w:sz w:val="16"/>
                <w:szCs w:val="16"/>
                <w:color w:val="auto"/>
              </w:rPr>
              <w:t>income</w:t>
            </w:r>
          </w:p>
        </w:tc>
        <w:tc>
          <w:tcPr>
            <w:tcW w:w="2100" w:type="dxa"/>
            <w:vAlign w:val="bottom"/>
            <w:tcBorders>
              <w:top w:val="single" w:sz="8" w:color="CEFFE7"/>
            </w:tcBorders>
            <w:shd w:val="clear" w:color="auto" w:fill="CEFFE7"/>
          </w:tcPr>
          <w:p>
            <w:pPr>
              <w:spacing w:after="0"/>
              <w:rPr>
                <w:sz w:val="18"/>
                <w:szCs w:val="18"/>
                <w:color w:val="auto"/>
              </w:rPr>
            </w:pPr>
          </w:p>
        </w:tc>
        <w:tc>
          <w:tcPr>
            <w:tcW w:w="1120" w:type="dxa"/>
            <w:vAlign w:val="bottom"/>
            <w:tcBorders>
              <w:top w:val="single" w:sz="8" w:color="auto"/>
            </w:tcBorders>
            <w:shd w:val="clear" w:color="auto" w:fill="CEFFE7"/>
          </w:tcPr>
          <w:p>
            <w:pPr>
              <w:spacing w:after="0"/>
              <w:rPr>
                <w:sz w:val="18"/>
                <w:szCs w:val="18"/>
                <w:color w:val="auto"/>
              </w:rPr>
            </w:pPr>
          </w:p>
        </w:tc>
        <w:tc>
          <w:tcPr>
            <w:tcW w:w="1920" w:type="dxa"/>
            <w:vAlign w:val="bottom"/>
            <w:tcBorders>
              <w:top w:val="single" w:sz="8" w:color="auto"/>
            </w:tcBorders>
            <w:shd w:val="clear" w:color="auto" w:fill="CEFFE7"/>
          </w:tcPr>
          <w:p>
            <w:pPr>
              <w:jc w:val="right"/>
              <w:ind w:right="1119"/>
              <w:spacing w:after="0"/>
              <w:rPr>
                <w:sz w:val="20"/>
                <w:szCs w:val="20"/>
                <w:color w:val="auto"/>
              </w:rPr>
            </w:pPr>
            <w:r>
              <w:rPr>
                <w:rFonts w:ascii="Arial" w:cs="Arial" w:eastAsia="Arial" w:hAnsi="Arial"/>
                <w:sz w:val="16"/>
                <w:szCs w:val="16"/>
                <w:color w:val="auto"/>
              </w:rPr>
              <w:t>100,487</w:t>
            </w:r>
          </w:p>
        </w:tc>
        <w:tc>
          <w:tcPr>
            <w:tcW w:w="780" w:type="dxa"/>
            <w:vAlign w:val="bottom"/>
            <w:tcBorders>
              <w:top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97,224</w:t>
            </w:r>
          </w:p>
        </w:tc>
      </w:tr>
      <w:tr>
        <w:trPr>
          <w:trHeight w:val="213"/>
        </w:trPr>
        <w:tc>
          <w:tcPr>
            <w:tcW w:w="5060" w:type="dxa"/>
            <w:vAlign w:val="bottom"/>
            <w:gridSpan w:val="2"/>
          </w:tcPr>
          <w:p>
            <w:pPr>
              <w:spacing w:after="0"/>
              <w:rPr>
                <w:sz w:val="20"/>
                <w:szCs w:val="20"/>
                <w:color w:val="auto"/>
              </w:rPr>
            </w:pPr>
            <w:r>
              <w:rPr>
                <w:rFonts w:ascii="Arial" w:cs="Arial" w:eastAsia="Arial" w:hAnsi="Arial"/>
                <w:sz w:val="16"/>
                <w:szCs w:val="16"/>
                <w:color w:val="auto"/>
              </w:rPr>
              <w:t>t income attributable to noncontrolling interest</w:t>
            </w:r>
          </w:p>
        </w:tc>
        <w:tc>
          <w:tcPr>
            <w:tcW w:w="2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920" w:type="dxa"/>
            <w:vAlign w:val="bottom"/>
          </w:tcPr>
          <w:p>
            <w:pPr>
              <w:jc w:val="right"/>
              <w:ind w:right="1079"/>
              <w:spacing w:after="0"/>
              <w:rPr>
                <w:sz w:val="20"/>
                <w:szCs w:val="20"/>
                <w:color w:val="auto"/>
              </w:rPr>
            </w:pPr>
            <w:r>
              <w:rPr>
                <w:rFonts w:ascii="Arial" w:cs="Arial" w:eastAsia="Arial" w:hAnsi="Arial"/>
                <w:sz w:val="16"/>
                <w:szCs w:val="16"/>
                <w:color w:val="auto"/>
              </w:rPr>
              <w:t>(4,171)</w:t>
            </w:r>
          </w:p>
        </w:tc>
        <w:tc>
          <w:tcPr>
            <w:tcW w:w="780" w:type="dxa"/>
            <w:vAlign w:val="bottom"/>
          </w:tcPr>
          <w:p>
            <w:pPr>
              <w:jc w:val="right"/>
              <w:spacing w:after="0"/>
              <w:rPr>
                <w:sz w:val="20"/>
                <w:szCs w:val="20"/>
                <w:color w:val="auto"/>
              </w:rPr>
            </w:pPr>
            <w:r>
              <w:rPr>
                <w:rFonts w:ascii="Arial" w:cs="Arial" w:eastAsia="Arial" w:hAnsi="Arial"/>
                <w:sz w:val="16"/>
                <w:szCs w:val="16"/>
                <w:color w:val="auto"/>
              </w:rPr>
              <w:t>(4,050)</w:t>
            </w:r>
          </w:p>
        </w:tc>
      </w:tr>
      <w:tr>
        <w:trPr>
          <w:trHeight w:val="238"/>
        </w:trPr>
        <w:tc>
          <w:tcPr>
            <w:tcW w:w="100" w:type="dxa"/>
            <w:vAlign w:val="bottom"/>
          </w:tcPr>
          <w:p>
            <w:pPr>
              <w:spacing w:after="0"/>
              <w:rPr>
                <w:sz w:val="20"/>
                <w:szCs w:val="20"/>
                <w:color w:val="auto"/>
              </w:rPr>
            </w:pPr>
            <w:r>
              <w:rPr>
                <w:rFonts w:ascii="Arial" w:cs="Arial" w:eastAsia="Arial" w:hAnsi="Arial"/>
                <w:sz w:val="16"/>
                <w:szCs w:val="16"/>
                <w:color w:val="auto"/>
              </w:rPr>
              <w:t>t</w:t>
            </w:r>
          </w:p>
        </w:tc>
        <w:tc>
          <w:tcPr>
            <w:tcW w:w="4960" w:type="dxa"/>
            <w:vAlign w:val="bottom"/>
            <w:tcBorders>
              <w:top w:val="single" w:sz="8" w:color="CEFFE7"/>
              <w:bottom w:val="single" w:sz="8" w:color="CEFFE7"/>
            </w:tcBorders>
            <w:shd w:val="clear" w:color="auto" w:fill="CEFFE7"/>
          </w:tcPr>
          <w:p>
            <w:pPr>
              <w:spacing w:after="0"/>
              <w:rPr>
                <w:sz w:val="20"/>
                <w:szCs w:val="20"/>
                <w:color w:val="auto"/>
              </w:rPr>
            </w:pPr>
            <w:r>
              <w:rPr>
                <w:rFonts w:ascii="Arial" w:cs="Arial" w:eastAsia="Arial" w:hAnsi="Arial"/>
                <w:sz w:val="16"/>
                <w:szCs w:val="16"/>
                <w:color w:val="auto"/>
              </w:rPr>
              <w:t>income available for common stock</w:t>
            </w:r>
          </w:p>
        </w:tc>
        <w:tc>
          <w:tcPr>
            <w:tcW w:w="2100" w:type="dxa"/>
            <w:vAlign w:val="bottom"/>
            <w:tcBorders>
              <w:top w:val="single" w:sz="8" w:color="CEFFE7"/>
              <w:bottom w:val="single" w:sz="8" w:color="CEFFE7"/>
            </w:tcBorders>
            <w:shd w:val="clear" w:color="auto" w:fill="CEFFE7"/>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auto"/>
            </w:tcBorders>
            <w:shd w:val="clear" w:color="auto" w:fill="CEFFE7"/>
          </w:tcPr>
          <w:p>
            <w:pPr>
              <w:spacing w:after="0"/>
              <w:rPr>
                <w:sz w:val="20"/>
                <w:szCs w:val="20"/>
                <w:color w:val="auto"/>
              </w:rPr>
            </w:pPr>
          </w:p>
        </w:tc>
        <w:tc>
          <w:tcPr>
            <w:tcW w:w="1920" w:type="dxa"/>
            <w:vAlign w:val="bottom"/>
            <w:tcBorders>
              <w:top w:val="single" w:sz="8" w:color="auto"/>
              <w:bottom w:val="single" w:sz="8" w:color="auto"/>
            </w:tcBorders>
            <w:shd w:val="clear" w:color="auto" w:fill="CEFFE7"/>
          </w:tcPr>
          <w:p>
            <w:pPr>
              <w:jc w:val="right"/>
              <w:ind w:right="1119"/>
              <w:spacing w:after="0"/>
              <w:rPr>
                <w:sz w:val="20"/>
                <w:szCs w:val="20"/>
                <w:color w:val="auto"/>
              </w:rPr>
            </w:pPr>
            <w:r>
              <w:rPr>
                <w:rFonts w:ascii="Arial" w:cs="Arial" w:eastAsia="Arial" w:hAnsi="Arial"/>
                <w:sz w:val="16"/>
                <w:szCs w:val="16"/>
                <w:color w:val="auto"/>
              </w:rPr>
              <w:t>96,316$</w:t>
            </w:r>
          </w:p>
        </w:tc>
        <w:tc>
          <w:tcPr>
            <w:tcW w:w="780" w:type="dxa"/>
            <w:vAlign w:val="bottom"/>
            <w:tcBorders>
              <w:top w:val="single" w:sz="8" w:color="auto"/>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93,174</w:t>
            </w:r>
          </w:p>
        </w:tc>
      </w:tr>
      <w:tr>
        <w:trPr>
          <w:trHeight w:val="20"/>
        </w:trPr>
        <w:tc>
          <w:tcPr>
            <w:tcW w:w="100" w:type="dxa"/>
            <w:vAlign w:val="bottom"/>
          </w:tcPr>
          <w:p>
            <w:pPr>
              <w:spacing w:after="0" w:line="20" w:lineRule="exact"/>
              <w:rPr>
                <w:sz w:val="1"/>
                <w:szCs w:val="1"/>
                <w:color w:val="auto"/>
              </w:rPr>
            </w:pPr>
          </w:p>
        </w:tc>
        <w:tc>
          <w:tcPr>
            <w:tcW w:w="4960" w:type="dxa"/>
            <w:vAlign w:val="bottom"/>
            <w:tcBorders>
              <w:top w:val="single" w:sz="8" w:color="CEFFE7"/>
            </w:tcBorders>
          </w:tcPr>
          <w:p>
            <w:pPr>
              <w:spacing w:after="0" w:line="20" w:lineRule="exact"/>
              <w:rPr>
                <w:sz w:val="1"/>
                <w:szCs w:val="1"/>
                <w:color w:val="auto"/>
              </w:rPr>
            </w:pPr>
          </w:p>
        </w:tc>
        <w:tc>
          <w:tcPr>
            <w:tcW w:w="2100" w:type="dxa"/>
            <w:vAlign w:val="bottom"/>
            <w:tcBorders>
              <w:top w:val="single" w:sz="8" w:color="CEFFE7"/>
            </w:tcBorders>
          </w:tcPr>
          <w:p>
            <w:pPr>
              <w:spacing w:after="0" w:line="20" w:lineRule="exact"/>
              <w:rPr>
                <w:sz w:val="1"/>
                <w:szCs w:val="1"/>
                <w:color w:val="auto"/>
              </w:rPr>
            </w:pPr>
          </w:p>
        </w:tc>
        <w:tc>
          <w:tcPr>
            <w:tcW w:w="1120" w:type="dxa"/>
            <w:vAlign w:val="bottom"/>
            <w:tcBorders>
              <w:top w:val="single" w:sz="8" w:color="CEFFE7"/>
              <w:bottom w:val="single" w:sz="8" w:color="auto"/>
            </w:tcBorders>
          </w:tcPr>
          <w:p>
            <w:pPr>
              <w:spacing w:after="0" w:line="20" w:lineRule="exact"/>
              <w:rPr>
                <w:sz w:val="1"/>
                <w:szCs w:val="1"/>
                <w:color w:val="auto"/>
              </w:rPr>
            </w:pPr>
          </w:p>
        </w:tc>
        <w:tc>
          <w:tcPr>
            <w:tcW w:w="1920" w:type="dxa"/>
            <w:vAlign w:val="bottom"/>
            <w:tcBorders>
              <w:top w:val="single" w:sz="8" w:color="CEFFE7"/>
              <w:bottom w:val="single" w:sz="8" w:color="auto"/>
            </w:tcBorders>
          </w:tcPr>
          <w:p>
            <w:pPr>
              <w:spacing w:after="0" w:line="20" w:lineRule="exact"/>
              <w:rPr>
                <w:sz w:val="1"/>
                <w:szCs w:val="1"/>
                <w:color w:val="auto"/>
              </w:rPr>
            </w:pPr>
          </w:p>
        </w:tc>
        <w:tc>
          <w:tcPr>
            <w:tcW w:w="780" w:type="dxa"/>
            <w:vAlign w:val="bottom"/>
            <w:tcBorders>
              <w:top w:val="single" w:sz="8" w:color="CEFFE7"/>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-1876425</wp:posOffset>
            </wp:positionV>
            <wp:extent cx="6909435" cy="1371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09435" cy="137160"/>
                    </a:xfrm>
                    <a:prstGeom prst="rect">
                      <a:avLst/>
                    </a:prstGeom>
                    <a:noFill/>
                  </pic:spPr>
                </pic:pic>
              </a:graphicData>
            </a:graphic>
          </wp:anchor>
        </w:drawing>
        <w:drawing>
          <wp:anchor simplePos="0" relativeHeight="251657728" behindDoc="1" locked="0" layoutInCell="0" allowOverlap="1">
            <wp:simplePos x="0" y="0"/>
            <wp:positionH relativeFrom="column">
              <wp:posOffset>68580</wp:posOffset>
            </wp:positionH>
            <wp:positionV relativeFrom="paragraph">
              <wp:posOffset>-1010920</wp:posOffset>
            </wp:positionV>
            <wp:extent cx="6909435" cy="1371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09435" cy="137160"/>
                    </a:xfrm>
                    <a:prstGeom prst="rect">
                      <a:avLst/>
                    </a:prstGeom>
                    <a:noFill/>
                  </pic:spPr>
                </pic:pic>
              </a:graphicData>
            </a:graphic>
          </wp:anchor>
        </w:drawing>
        <w:drawing>
          <wp:anchor simplePos="0" relativeHeight="251657728" behindDoc="1" locked="0" layoutInCell="0" allowOverlap="1">
            <wp:simplePos x="0" y="0"/>
            <wp:positionH relativeFrom="column">
              <wp:posOffset>68580</wp:posOffset>
            </wp:positionH>
            <wp:positionV relativeFrom="paragraph">
              <wp:posOffset>-736600</wp:posOffset>
            </wp:positionV>
            <wp:extent cx="6909435" cy="1371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09435" cy="137160"/>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left="580" w:hanging="472"/>
        <w:spacing w:after="0"/>
        <w:tabs>
          <w:tab w:leader="none" w:pos="580" w:val="left"/>
        </w:tabs>
        <w:numPr>
          <w:ilvl w:val="0"/>
          <w:numId w:val="18"/>
        </w:numPr>
        <w:rPr>
          <w:rFonts w:ascii="Arial" w:cs="Arial" w:eastAsia="Arial" w:hAnsi="Arial"/>
          <w:sz w:val="16"/>
          <w:szCs w:val="16"/>
          <w:b w:val="1"/>
          <w:bCs w:val="1"/>
          <w:color w:val="auto"/>
        </w:rPr>
      </w:pPr>
      <w:r>
        <w:rPr>
          <w:rFonts w:ascii="Arial" w:cs="Arial" w:eastAsia="Arial" w:hAnsi="Arial"/>
          <w:sz w:val="16"/>
          <w:szCs w:val="16"/>
          <w:b w:val="1"/>
          <w:bCs w:val="1"/>
          <w:color w:val="auto"/>
        </w:rPr>
        <w:t>Selected Balance Sheet Information</w:t>
      </w:r>
    </w:p>
    <w:p>
      <w:pPr>
        <w:spacing w:after="0" w:line="268" w:lineRule="exact"/>
        <w:rPr>
          <w:sz w:val="20"/>
          <w:szCs w:val="20"/>
          <w:color w:val="auto"/>
        </w:rPr>
      </w:pPr>
    </w:p>
    <w:p>
      <w:pPr>
        <w:ind w:left="100"/>
        <w:spacing w:after="0"/>
        <w:rPr>
          <w:sz w:val="20"/>
          <w:szCs w:val="20"/>
          <w:color w:val="auto"/>
        </w:rPr>
      </w:pPr>
      <w:r>
        <w:rPr>
          <w:rFonts w:ascii="Arial" w:cs="Arial" w:eastAsia="Arial" w:hAnsi="Arial"/>
          <w:sz w:val="16"/>
          <w:szCs w:val="16"/>
          <w:u w:val="single" w:color="auto"/>
          <w:color w:val="auto"/>
        </w:rPr>
        <w:t>Accounts Receivable and Allowance for Credit Losses</w:t>
      </w:r>
    </w:p>
    <w:p>
      <w:pPr>
        <w:spacing w:after="0" w:line="248" w:lineRule="exact"/>
        <w:rPr>
          <w:sz w:val="20"/>
          <w:szCs w:val="20"/>
          <w:color w:val="auto"/>
        </w:rPr>
      </w:pPr>
    </w:p>
    <w:p>
      <w:pPr>
        <w:ind w:left="100"/>
        <w:spacing w:after="0"/>
        <w:rPr>
          <w:sz w:val="20"/>
          <w:szCs w:val="20"/>
          <w:color w:val="auto"/>
        </w:rPr>
      </w:pPr>
      <w:r>
        <w:rPr>
          <w:rFonts w:ascii="Arial" w:cs="Arial" w:eastAsia="Arial" w:hAnsi="Arial"/>
          <w:sz w:val="16"/>
          <w:szCs w:val="16"/>
          <w:color w:val="auto"/>
        </w:rPr>
        <w:t>Following is a summary of Accounts receivable, net included in the accompanying Condensed Consolidated Balance Sheets (in thousands) as of:</w:t>
      </w:r>
    </w:p>
    <w:p>
      <w:pPr>
        <w:spacing w:after="0" w:line="140" w:lineRule="exact"/>
        <w:rPr>
          <w:sz w:val="20"/>
          <w:szCs w:val="20"/>
          <w:color w:val="auto"/>
        </w:rPr>
      </w:pPr>
    </w:p>
    <w:tbl>
      <w:tblPr>
        <w:tblLayout w:type="fixed"/>
        <w:tblInd w:w="140" w:type="dxa"/>
        <w:tblCellMar>
          <w:top w:w="0" w:type="dxa"/>
          <w:left w:w="0" w:type="dxa"/>
          <w:bottom w:w="0" w:type="dxa"/>
          <w:right w:w="0" w:type="dxa"/>
        </w:tblCellMar>
      </w:tblPr>
      <w:tr>
        <w:trPr>
          <w:trHeight w:val="198"/>
        </w:trPr>
        <w:tc>
          <w:tcPr>
            <w:tcW w:w="7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20" w:type="dxa"/>
            <w:vAlign w:val="bottom"/>
            <w:gridSpan w:val="2"/>
          </w:tcPr>
          <w:p>
            <w:pPr>
              <w:ind w:left="160"/>
              <w:spacing w:after="0"/>
              <w:rPr>
                <w:sz w:val="20"/>
                <w:szCs w:val="20"/>
                <w:color w:val="auto"/>
              </w:rPr>
            </w:pPr>
            <w:r>
              <w:rPr>
                <w:rFonts w:ascii="Arial" w:cs="Arial" w:eastAsia="Arial" w:hAnsi="Arial"/>
                <w:sz w:val="16"/>
                <w:szCs w:val="16"/>
                <w:color w:val="auto"/>
              </w:rPr>
              <w:t>March 31, 2021</w:t>
            </w:r>
          </w:p>
        </w:tc>
        <w:tc>
          <w:tcPr>
            <w:tcW w:w="180" w:type="dxa"/>
            <w:vAlign w:val="bottom"/>
          </w:tcPr>
          <w:p>
            <w:pPr>
              <w:spacing w:after="0"/>
              <w:rPr>
                <w:sz w:val="17"/>
                <w:szCs w:val="17"/>
                <w:color w:val="auto"/>
              </w:rPr>
            </w:pPr>
          </w:p>
        </w:tc>
        <w:tc>
          <w:tcPr>
            <w:tcW w:w="1800" w:type="dxa"/>
            <w:vAlign w:val="bottom"/>
          </w:tcPr>
          <w:p>
            <w:pPr>
              <w:jc w:val="right"/>
              <w:ind w:right="199"/>
              <w:spacing w:after="0"/>
              <w:rPr>
                <w:sz w:val="20"/>
                <w:szCs w:val="20"/>
                <w:color w:val="auto"/>
              </w:rPr>
            </w:pPr>
            <w:r>
              <w:rPr>
                <w:rFonts w:ascii="Arial" w:cs="Arial" w:eastAsia="Arial" w:hAnsi="Arial"/>
                <w:sz w:val="16"/>
                <w:szCs w:val="16"/>
                <w:color w:val="auto"/>
              </w:rPr>
              <w:t>December 31, 2020</w:t>
            </w:r>
          </w:p>
        </w:tc>
      </w:tr>
      <w:tr>
        <w:trPr>
          <w:trHeight w:val="213"/>
        </w:trPr>
        <w:tc>
          <w:tcPr>
            <w:tcW w:w="7100" w:type="dxa"/>
            <w:vAlign w:val="bottom"/>
            <w:tcBorders>
              <w:top w:val="single" w:sz="8" w:color="CEFFE7"/>
            </w:tcBorders>
            <w:shd w:val="clear" w:color="auto" w:fill="CEFFE7"/>
          </w:tcPr>
          <w:p>
            <w:pPr>
              <w:spacing w:after="0"/>
              <w:rPr>
                <w:sz w:val="20"/>
                <w:szCs w:val="20"/>
                <w:color w:val="auto"/>
              </w:rPr>
            </w:pPr>
            <w:r>
              <w:rPr>
                <w:rFonts w:ascii="Arial" w:cs="Arial" w:eastAsia="Arial" w:hAnsi="Arial"/>
                <w:sz w:val="16"/>
                <w:szCs w:val="16"/>
                <w:color w:val="auto"/>
              </w:rPr>
              <w:t>Accounts receivable, trade</w:t>
            </w:r>
          </w:p>
        </w:tc>
        <w:tc>
          <w:tcPr>
            <w:tcW w:w="280" w:type="dxa"/>
            <w:vAlign w:val="bottom"/>
            <w:tcBorders>
              <w:top w:val="single" w:sz="8" w:color="auto"/>
            </w:tcBorders>
            <w:shd w:val="clear" w:color="auto" w:fill="CEFFE7"/>
          </w:tcPr>
          <w:p>
            <w:pPr>
              <w:jc w:val="right"/>
              <w:ind w:right="79"/>
              <w:spacing w:after="0"/>
              <w:rPr>
                <w:sz w:val="20"/>
                <w:szCs w:val="20"/>
                <w:color w:val="auto"/>
              </w:rPr>
            </w:pPr>
            <w:r>
              <w:rPr>
                <w:rFonts w:ascii="Arial" w:cs="Arial" w:eastAsia="Arial" w:hAnsi="Arial"/>
                <w:sz w:val="16"/>
                <w:szCs w:val="16"/>
                <w:color w:val="auto"/>
              </w:rPr>
              <w:t>$</w:t>
            </w:r>
          </w:p>
        </w:tc>
        <w:tc>
          <w:tcPr>
            <w:tcW w:w="1720" w:type="dxa"/>
            <w:vAlign w:val="bottom"/>
            <w:tcBorders>
              <w:top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199,548</w:t>
            </w:r>
          </w:p>
        </w:tc>
        <w:tc>
          <w:tcPr>
            <w:tcW w:w="100" w:type="dxa"/>
            <w:vAlign w:val="bottom"/>
            <w:tcBorders>
              <w:top w:val="single" w:sz="8" w:color="CEFFE7"/>
            </w:tcBorders>
            <w:shd w:val="clear" w:color="auto" w:fill="CEFFE7"/>
          </w:tcPr>
          <w:p>
            <w:pPr>
              <w:spacing w:after="0"/>
              <w:rPr>
                <w:sz w:val="18"/>
                <w:szCs w:val="18"/>
                <w:color w:val="auto"/>
              </w:rPr>
            </w:pPr>
          </w:p>
        </w:tc>
        <w:tc>
          <w:tcPr>
            <w:tcW w:w="180" w:type="dxa"/>
            <w:vAlign w:val="bottom"/>
            <w:tcBorders>
              <w:top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w w:val="89"/>
              </w:rPr>
              <w:t>$</w:t>
            </w:r>
          </w:p>
        </w:tc>
        <w:tc>
          <w:tcPr>
            <w:tcW w:w="1800" w:type="dxa"/>
            <w:vAlign w:val="bottom"/>
            <w:tcBorders>
              <w:top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146,899</w:t>
            </w:r>
          </w:p>
        </w:tc>
      </w:tr>
      <w:tr>
        <w:trPr>
          <w:trHeight w:val="213"/>
        </w:trPr>
        <w:tc>
          <w:tcPr>
            <w:tcW w:w="7100" w:type="dxa"/>
            <w:vAlign w:val="bottom"/>
          </w:tcPr>
          <w:p>
            <w:pPr>
              <w:spacing w:after="0"/>
              <w:rPr>
                <w:sz w:val="20"/>
                <w:szCs w:val="20"/>
                <w:color w:val="auto"/>
              </w:rPr>
            </w:pPr>
            <w:r>
              <w:rPr>
                <w:rFonts w:ascii="Arial" w:cs="Arial" w:eastAsia="Arial" w:hAnsi="Arial"/>
                <w:sz w:val="16"/>
                <w:szCs w:val="16"/>
                <w:color w:val="auto"/>
              </w:rPr>
              <w:t>Unbilled revenue</w:t>
            </w:r>
          </w:p>
        </w:tc>
        <w:tc>
          <w:tcPr>
            <w:tcW w:w="2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91,085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126,065</w:t>
            </w:r>
          </w:p>
        </w:tc>
      </w:tr>
      <w:tr>
        <w:trPr>
          <w:trHeight w:val="216"/>
        </w:trPr>
        <w:tc>
          <w:tcPr>
            <w:tcW w:w="7100" w:type="dxa"/>
            <w:vAlign w:val="bottom"/>
            <w:shd w:val="clear" w:color="auto" w:fill="CEFFE7"/>
          </w:tcPr>
          <w:p>
            <w:pPr>
              <w:spacing w:after="0"/>
              <w:rPr>
                <w:sz w:val="20"/>
                <w:szCs w:val="20"/>
                <w:color w:val="auto"/>
              </w:rPr>
            </w:pPr>
            <w:r>
              <w:rPr>
                <w:rFonts w:ascii="Arial" w:cs="Arial" w:eastAsia="Arial" w:hAnsi="Arial"/>
                <w:sz w:val="16"/>
                <w:szCs w:val="16"/>
                <w:color w:val="auto"/>
              </w:rPr>
              <w:t>Less: Allowance for credit losses</w:t>
            </w:r>
          </w:p>
        </w:tc>
        <w:tc>
          <w:tcPr>
            <w:tcW w:w="280" w:type="dxa"/>
            <w:vAlign w:val="bottom"/>
            <w:tcBorders>
              <w:bottom w:val="single" w:sz="8" w:color="auto"/>
            </w:tcBorders>
            <w:shd w:val="clear" w:color="auto" w:fill="CEFFE7"/>
          </w:tcPr>
          <w:p>
            <w:pPr>
              <w:spacing w:after="0"/>
              <w:rPr>
                <w:sz w:val="18"/>
                <w:szCs w:val="18"/>
                <w:color w:val="auto"/>
              </w:rPr>
            </w:pPr>
          </w:p>
        </w:tc>
        <w:tc>
          <w:tcPr>
            <w:tcW w:w="17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(8,251)</w:t>
            </w:r>
          </w:p>
        </w:tc>
        <w:tc>
          <w:tcPr>
            <w:tcW w:w="100" w:type="dxa"/>
            <w:vAlign w:val="bottom"/>
            <w:shd w:val="clear" w:color="auto" w:fill="CEFFE7"/>
          </w:tcPr>
          <w:p>
            <w:pPr>
              <w:spacing w:after="0"/>
              <w:rPr>
                <w:sz w:val="18"/>
                <w:szCs w:val="18"/>
                <w:color w:val="auto"/>
              </w:rPr>
            </w:pPr>
          </w:p>
        </w:tc>
        <w:tc>
          <w:tcPr>
            <w:tcW w:w="180" w:type="dxa"/>
            <w:vAlign w:val="bottom"/>
            <w:tcBorders>
              <w:bottom w:val="single" w:sz="8" w:color="auto"/>
            </w:tcBorders>
            <w:shd w:val="clear" w:color="auto" w:fill="CEFFE7"/>
          </w:tcPr>
          <w:p>
            <w:pPr>
              <w:spacing w:after="0"/>
              <w:rPr>
                <w:sz w:val="18"/>
                <w:szCs w:val="18"/>
                <w:color w:val="auto"/>
              </w:rPr>
            </w:pPr>
          </w:p>
        </w:tc>
        <w:tc>
          <w:tcPr>
            <w:tcW w:w="18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(7,003)</w:t>
            </w:r>
          </w:p>
        </w:tc>
      </w:tr>
      <w:tr>
        <w:trPr>
          <w:trHeight w:val="213"/>
        </w:trPr>
        <w:tc>
          <w:tcPr>
            <w:tcW w:w="7100" w:type="dxa"/>
            <w:vAlign w:val="bottom"/>
          </w:tcPr>
          <w:p>
            <w:pPr>
              <w:spacing w:after="0"/>
              <w:rPr>
                <w:sz w:val="20"/>
                <w:szCs w:val="20"/>
                <w:color w:val="auto"/>
              </w:rPr>
            </w:pPr>
            <w:r>
              <w:rPr>
                <w:rFonts w:ascii="Arial" w:cs="Arial" w:eastAsia="Arial" w:hAnsi="Arial"/>
                <w:sz w:val="16"/>
                <w:szCs w:val="16"/>
                <w:color w:val="auto"/>
              </w:rPr>
              <w:t>Accounts receivable, net</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282,382</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265,961</w:t>
            </w:r>
          </w:p>
        </w:tc>
      </w:tr>
      <w:tr>
        <w:trPr>
          <w:trHeight w:val="20"/>
        </w:trPr>
        <w:tc>
          <w:tcPr>
            <w:tcW w:w="7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339" w:lineRule="exact"/>
        <w:rPr>
          <w:sz w:val="20"/>
          <w:szCs w:val="20"/>
          <w:color w:val="auto"/>
        </w:rPr>
      </w:pPr>
    </w:p>
    <w:p>
      <w:pPr>
        <w:ind w:left="100"/>
        <w:spacing w:after="0"/>
        <w:rPr>
          <w:sz w:val="20"/>
          <w:szCs w:val="20"/>
          <w:color w:val="auto"/>
        </w:rPr>
      </w:pPr>
      <w:r>
        <w:rPr>
          <w:rFonts w:ascii="Arial" w:cs="Arial" w:eastAsia="Arial" w:hAnsi="Arial"/>
          <w:sz w:val="16"/>
          <w:szCs w:val="16"/>
          <w:color w:val="auto"/>
        </w:rPr>
        <w:t>Changes to allowance for credit losses for the three months ended March 31, 2021 and 2020, respectively, were as follows (in thousands):</w:t>
      </w:r>
    </w:p>
    <w:p>
      <w:pPr>
        <w:spacing w:after="0" w:line="267" w:lineRule="exact"/>
        <w:rPr>
          <w:sz w:val="20"/>
          <w:szCs w:val="20"/>
          <w:color w:val="auto"/>
        </w:rPr>
      </w:pPr>
    </w:p>
    <w:tbl>
      <w:tblPr>
        <w:tblLayout w:type="fixed"/>
        <w:tblInd w:w="100" w:type="dxa"/>
        <w:tblCellMar>
          <w:top w:w="0" w:type="dxa"/>
          <w:left w:w="0" w:type="dxa"/>
          <w:bottom w:w="0" w:type="dxa"/>
          <w:right w:w="0" w:type="dxa"/>
        </w:tblCellMar>
      </w:tblPr>
      <w:tr>
        <w:trPr>
          <w:trHeight w:val="184"/>
        </w:trPr>
        <w:tc>
          <w:tcPr>
            <w:tcW w:w="2100" w:type="dxa"/>
            <w:vAlign w:val="bottom"/>
          </w:tcPr>
          <w:p>
            <w:pPr>
              <w:spacing w:after="0"/>
              <w:rPr>
                <w:sz w:val="16"/>
                <w:szCs w:val="16"/>
                <w:color w:val="auto"/>
              </w:rPr>
            </w:pPr>
          </w:p>
        </w:tc>
        <w:tc>
          <w:tcPr>
            <w:tcW w:w="1860" w:type="dxa"/>
            <w:vAlign w:val="bottom"/>
            <w:gridSpan w:val="3"/>
          </w:tcPr>
          <w:p>
            <w:pPr>
              <w:jc w:val="center"/>
              <w:spacing w:after="0"/>
              <w:rPr>
                <w:sz w:val="20"/>
                <w:szCs w:val="20"/>
                <w:color w:val="auto"/>
              </w:rPr>
            </w:pPr>
            <w:r>
              <w:rPr>
                <w:rFonts w:ascii="Arial" w:cs="Arial" w:eastAsia="Arial" w:hAnsi="Arial"/>
                <w:sz w:val="16"/>
                <w:szCs w:val="16"/>
                <w:color w:val="auto"/>
              </w:rPr>
              <w:t>Balance at Beginning</w:t>
            </w:r>
          </w:p>
        </w:tc>
        <w:tc>
          <w:tcPr>
            <w:tcW w:w="1740" w:type="dxa"/>
            <w:vAlign w:val="bottom"/>
            <w:gridSpan w:val="3"/>
          </w:tcPr>
          <w:p>
            <w:pPr>
              <w:jc w:val="right"/>
              <w:ind w:right="160"/>
              <w:spacing w:after="0"/>
              <w:rPr>
                <w:sz w:val="20"/>
                <w:szCs w:val="20"/>
                <w:color w:val="auto"/>
              </w:rPr>
            </w:pPr>
            <w:r>
              <w:rPr>
                <w:rFonts w:ascii="Arial" w:cs="Arial" w:eastAsia="Arial" w:hAnsi="Arial"/>
                <w:sz w:val="16"/>
                <w:szCs w:val="16"/>
                <w:color w:val="auto"/>
              </w:rPr>
              <w:t>Additions Charged to</w:t>
            </w:r>
          </w:p>
        </w:tc>
        <w:tc>
          <w:tcPr>
            <w:tcW w:w="1760" w:type="dxa"/>
            <w:vAlign w:val="bottom"/>
            <w:gridSpan w:val="3"/>
          </w:tcPr>
          <w:p>
            <w:pPr>
              <w:ind w:left="40"/>
              <w:spacing w:after="0"/>
              <w:rPr>
                <w:sz w:val="20"/>
                <w:szCs w:val="20"/>
                <w:color w:val="auto"/>
              </w:rPr>
            </w:pPr>
            <w:r>
              <w:rPr>
                <w:rFonts w:ascii="Arial" w:cs="Arial" w:eastAsia="Arial" w:hAnsi="Arial"/>
                <w:sz w:val="16"/>
                <w:szCs w:val="16"/>
                <w:color w:val="auto"/>
              </w:rPr>
              <w:t>Recoveries and Other</w:t>
            </w:r>
          </w:p>
        </w:tc>
        <w:tc>
          <w:tcPr>
            <w:tcW w:w="1760" w:type="dxa"/>
            <w:vAlign w:val="bottom"/>
            <w:gridSpan w:val="3"/>
          </w:tcPr>
          <w:p>
            <w:pPr>
              <w:jc w:val="center"/>
              <w:ind w:right="100"/>
              <w:spacing w:after="0"/>
              <w:rPr>
                <w:sz w:val="20"/>
                <w:szCs w:val="20"/>
                <w:color w:val="auto"/>
              </w:rPr>
            </w:pPr>
            <w:r>
              <w:rPr>
                <w:rFonts w:ascii="Arial" w:cs="Arial" w:eastAsia="Arial" w:hAnsi="Arial"/>
                <w:sz w:val="16"/>
                <w:szCs w:val="16"/>
                <w:color w:val="auto"/>
              </w:rPr>
              <w:t>Write-offs and Other</w:t>
            </w:r>
          </w:p>
        </w:tc>
        <w:tc>
          <w:tcPr>
            <w:tcW w:w="180" w:type="dxa"/>
            <w:vAlign w:val="bottom"/>
          </w:tcPr>
          <w:p>
            <w:pPr>
              <w:spacing w:after="0"/>
              <w:rPr>
                <w:sz w:val="16"/>
                <w:szCs w:val="16"/>
                <w:color w:val="auto"/>
              </w:rPr>
            </w:pPr>
          </w:p>
        </w:tc>
        <w:tc>
          <w:tcPr>
            <w:tcW w:w="1840" w:type="dxa"/>
            <w:vAlign w:val="bottom"/>
          </w:tcPr>
          <w:p>
            <w:pPr>
              <w:spacing w:after="0"/>
              <w:rPr>
                <w:sz w:val="16"/>
                <w:szCs w:val="16"/>
                <w:color w:val="auto"/>
              </w:rPr>
            </w:pPr>
          </w:p>
        </w:tc>
      </w:tr>
      <w:tr>
        <w:trPr>
          <w:trHeight w:val="198"/>
        </w:trPr>
        <w:tc>
          <w:tcPr>
            <w:tcW w:w="2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20" w:type="dxa"/>
            <w:vAlign w:val="bottom"/>
            <w:gridSpan w:val="2"/>
          </w:tcPr>
          <w:p>
            <w:pPr>
              <w:jc w:val="center"/>
              <w:ind w:right="440"/>
              <w:spacing w:after="0"/>
              <w:rPr>
                <w:sz w:val="20"/>
                <w:szCs w:val="20"/>
                <w:color w:val="auto"/>
              </w:rPr>
            </w:pPr>
            <w:r>
              <w:rPr>
                <w:rFonts w:ascii="Arial" w:cs="Arial" w:eastAsia="Arial" w:hAnsi="Arial"/>
                <w:sz w:val="16"/>
                <w:szCs w:val="16"/>
                <w:color w:val="auto"/>
                <w:w w:val="96"/>
              </w:rPr>
              <w:t>of Year</w:t>
            </w:r>
          </w:p>
        </w:tc>
        <w:tc>
          <w:tcPr>
            <w:tcW w:w="1740" w:type="dxa"/>
            <w:vAlign w:val="bottom"/>
            <w:gridSpan w:val="3"/>
          </w:tcPr>
          <w:p>
            <w:pPr>
              <w:jc w:val="right"/>
              <w:ind w:right="180"/>
              <w:spacing w:after="0"/>
              <w:rPr>
                <w:sz w:val="20"/>
                <w:szCs w:val="20"/>
                <w:color w:val="auto"/>
              </w:rPr>
            </w:pPr>
            <w:r>
              <w:rPr>
                <w:rFonts w:ascii="Arial" w:cs="Arial" w:eastAsia="Arial" w:hAnsi="Arial"/>
                <w:sz w:val="16"/>
                <w:szCs w:val="16"/>
                <w:color w:val="auto"/>
              </w:rPr>
              <w:t>Costs and Expenses</w:t>
            </w:r>
          </w:p>
        </w:tc>
        <w:tc>
          <w:tcPr>
            <w:tcW w:w="300" w:type="dxa"/>
            <w:vAlign w:val="bottom"/>
          </w:tcPr>
          <w:p>
            <w:pPr>
              <w:spacing w:after="0"/>
              <w:rPr>
                <w:sz w:val="17"/>
                <w:szCs w:val="17"/>
                <w:color w:val="auto"/>
              </w:rPr>
            </w:pPr>
          </w:p>
        </w:tc>
        <w:tc>
          <w:tcPr>
            <w:tcW w:w="1460" w:type="dxa"/>
            <w:vAlign w:val="bottom"/>
            <w:gridSpan w:val="2"/>
          </w:tcPr>
          <w:p>
            <w:pPr>
              <w:ind w:left="200"/>
              <w:spacing w:after="0"/>
              <w:rPr>
                <w:sz w:val="20"/>
                <w:szCs w:val="20"/>
                <w:color w:val="auto"/>
              </w:rPr>
            </w:pPr>
            <w:r>
              <w:rPr>
                <w:rFonts w:ascii="Arial" w:cs="Arial" w:eastAsia="Arial" w:hAnsi="Arial"/>
                <w:sz w:val="16"/>
                <w:szCs w:val="16"/>
                <w:color w:val="auto"/>
              </w:rPr>
              <w:t>Additions</w:t>
            </w:r>
          </w:p>
        </w:tc>
        <w:tc>
          <w:tcPr>
            <w:tcW w:w="260" w:type="dxa"/>
            <w:vAlign w:val="bottom"/>
          </w:tcPr>
          <w:p>
            <w:pPr>
              <w:spacing w:after="0"/>
              <w:rPr>
                <w:sz w:val="17"/>
                <w:szCs w:val="17"/>
                <w:color w:val="auto"/>
              </w:rPr>
            </w:pPr>
          </w:p>
        </w:tc>
        <w:tc>
          <w:tcPr>
            <w:tcW w:w="1500" w:type="dxa"/>
            <w:vAlign w:val="bottom"/>
            <w:gridSpan w:val="2"/>
          </w:tcPr>
          <w:p>
            <w:pPr>
              <w:jc w:val="center"/>
              <w:ind w:right="360"/>
              <w:spacing w:after="0"/>
              <w:rPr>
                <w:sz w:val="20"/>
                <w:szCs w:val="20"/>
                <w:color w:val="auto"/>
              </w:rPr>
            </w:pPr>
            <w:r>
              <w:rPr>
                <w:rFonts w:ascii="Arial" w:cs="Arial" w:eastAsia="Arial" w:hAnsi="Arial"/>
                <w:sz w:val="16"/>
                <w:szCs w:val="16"/>
                <w:color w:val="auto"/>
              </w:rPr>
              <w:t>Deductions</w:t>
            </w:r>
          </w:p>
        </w:tc>
        <w:tc>
          <w:tcPr>
            <w:tcW w:w="180" w:type="dxa"/>
            <w:vAlign w:val="bottom"/>
          </w:tcPr>
          <w:p>
            <w:pPr>
              <w:spacing w:after="0"/>
              <w:rPr>
                <w:sz w:val="17"/>
                <w:szCs w:val="17"/>
                <w:color w:val="auto"/>
              </w:rPr>
            </w:pPr>
          </w:p>
        </w:tc>
        <w:tc>
          <w:tcPr>
            <w:tcW w:w="1840" w:type="dxa"/>
            <w:vAlign w:val="bottom"/>
          </w:tcPr>
          <w:p>
            <w:pPr>
              <w:jc w:val="right"/>
              <w:ind w:right="159"/>
              <w:spacing w:after="0"/>
              <w:rPr>
                <w:sz w:val="20"/>
                <w:szCs w:val="20"/>
                <w:color w:val="auto"/>
              </w:rPr>
            </w:pPr>
            <w:r>
              <w:rPr>
                <w:rFonts w:ascii="Arial" w:cs="Arial" w:eastAsia="Arial" w:hAnsi="Arial"/>
                <w:sz w:val="16"/>
                <w:szCs w:val="16"/>
                <w:color w:val="auto"/>
              </w:rPr>
              <w:t>Balance at March 31,</w:t>
            </w:r>
          </w:p>
        </w:tc>
      </w:tr>
      <w:tr>
        <w:trPr>
          <w:trHeight w:val="212"/>
        </w:trPr>
        <w:tc>
          <w:tcPr>
            <w:tcW w:w="2100" w:type="dxa"/>
            <w:vAlign w:val="bottom"/>
            <w:tcBorders>
              <w:top w:val="single" w:sz="8" w:color="CEFEE7"/>
            </w:tcBorders>
            <w:shd w:val="clear" w:color="auto" w:fill="CEFEE7"/>
          </w:tcPr>
          <w:p>
            <w:pPr>
              <w:jc w:val="right"/>
              <w:ind w:right="1639"/>
              <w:spacing w:after="0"/>
              <w:rPr>
                <w:sz w:val="20"/>
                <w:szCs w:val="20"/>
                <w:color w:val="auto"/>
              </w:rPr>
            </w:pPr>
            <w:r>
              <w:rPr>
                <w:rFonts w:ascii="Arial" w:cs="Arial" w:eastAsia="Arial" w:hAnsi="Arial"/>
                <w:sz w:val="16"/>
                <w:szCs w:val="16"/>
                <w:color w:val="auto"/>
              </w:rPr>
              <w:t>2021</w:t>
            </w:r>
          </w:p>
        </w:tc>
        <w:tc>
          <w:tcPr>
            <w:tcW w:w="440" w:type="dxa"/>
            <w:vAlign w:val="bottom"/>
            <w:tcBorders>
              <w:top w:val="single" w:sz="8" w:color="auto"/>
            </w:tcBorders>
            <w:shd w:val="clear" w:color="auto" w:fill="CEFEE7"/>
          </w:tcPr>
          <w:p>
            <w:pPr>
              <w:jc w:val="right"/>
              <w:ind w:right="139"/>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tcBorders>
            <w:shd w:val="clear" w:color="auto" w:fill="CEFEE7"/>
          </w:tcPr>
          <w:p>
            <w:pPr>
              <w:jc w:val="right"/>
              <w:spacing w:after="0"/>
              <w:rPr>
                <w:sz w:val="20"/>
                <w:szCs w:val="20"/>
                <w:color w:val="auto"/>
              </w:rPr>
            </w:pPr>
            <w:r>
              <w:rPr>
                <w:rFonts w:ascii="Arial" w:cs="Arial" w:eastAsia="Arial" w:hAnsi="Arial"/>
                <w:sz w:val="16"/>
                <w:szCs w:val="16"/>
                <w:color w:val="auto"/>
              </w:rPr>
              <w:t>7,003</w:t>
            </w:r>
          </w:p>
        </w:tc>
        <w:tc>
          <w:tcPr>
            <w:tcW w:w="100" w:type="dxa"/>
            <w:vAlign w:val="bottom"/>
            <w:tcBorders>
              <w:top w:val="single" w:sz="8" w:color="CEFEE7"/>
            </w:tcBorders>
            <w:shd w:val="clear" w:color="auto" w:fill="CEFEE7"/>
          </w:tcPr>
          <w:p>
            <w:pPr>
              <w:spacing w:after="0"/>
              <w:rPr>
                <w:sz w:val="18"/>
                <w:szCs w:val="18"/>
                <w:color w:val="auto"/>
              </w:rPr>
            </w:pPr>
          </w:p>
        </w:tc>
        <w:tc>
          <w:tcPr>
            <w:tcW w:w="640" w:type="dxa"/>
            <w:vAlign w:val="bottom"/>
            <w:tcBorders>
              <w:top w:val="single" w:sz="8" w:color="auto"/>
            </w:tcBorders>
            <w:shd w:val="clear" w:color="auto" w:fill="CEFEE7"/>
          </w:tcPr>
          <w:p>
            <w:pPr>
              <w:jc w:val="right"/>
              <w:ind w:right="43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shd w:val="clear" w:color="auto" w:fill="CEFEE7"/>
          </w:tcPr>
          <w:p>
            <w:pPr>
              <w:jc w:val="right"/>
              <w:spacing w:after="0"/>
              <w:rPr>
                <w:sz w:val="20"/>
                <w:szCs w:val="20"/>
                <w:color w:val="auto"/>
              </w:rPr>
            </w:pPr>
            <w:r>
              <w:rPr>
                <w:rFonts w:ascii="Arial" w:cs="Arial" w:eastAsia="Arial" w:hAnsi="Arial"/>
                <w:sz w:val="16"/>
                <w:szCs w:val="16"/>
                <w:color w:val="auto"/>
              </w:rPr>
              <w:t>1,877</w:t>
            </w:r>
          </w:p>
        </w:tc>
        <w:tc>
          <w:tcPr>
            <w:tcW w:w="80" w:type="dxa"/>
            <w:vAlign w:val="bottom"/>
            <w:tcBorders>
              <w:top w:val="single" w:sz="8" w:color="CEFEE7"/>
            </w:tcBorders>
            <w:shd w:val="clear" w:color="auto" w:fill="CEFEE7"/>
          </w:tcPr>
          <w:p>
            <w:pPr>
              <w:spacing w:after="0"/>
              <w:rPr>
                <w:sz w:val="18"/>
                <w:szCs w:val="18"/>
                <w:color w:val="auto"/>
              </w:rPr>
            </w:pPr>
          </w:p>
        </w:tc>
        <w:tc>
          <w:tcPr>
            <w:tcW w:w="300" w:type="dxa"/>
            <w:vAlign w:val="bottom"/>
            <w:tcBorders>
              <w:top w:val="single" w:sz="8" w:color="auto"/>
            </w:tcBorders>
            <w:shd w:val="clear" w:color="auto" w:fill="CEFEE7"/>
          </w:tcPr>
          <w:p>
            <w:pPr>
              <w:ind w:left="20"/>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tcBorders>
            <w:shd w:val="clear" w:color="auto" w:fill="CEFEE7"/>
          </w:tcPr>
          <w:p>
            <w:pPr>
              <w:jc w:val="right"/>
              <w:spacing w:after="0"/>
              <w:rPr>
                <w:sz w:val="20"/>
                <w:szCs w:val="20"/>
                <w:color w:val="auto"/>
              </w:rPr>
            </w:pPr>
            <w:r>
              <w:rPr>
                <w:rFonts w:ascii="Arial" w:cs="Arial" w:eastAsia="Arial" w:hAnsi="Arial"/>
                <w:sz w:val="16"/>
                <w:szCs w:val="16"/>
                <w:color w:val="auto"/>
              </w:rPr>
              <w:t>1,014</w:t>
            </w:r>
          </w:p>
        </w:tc>
        <w:tc>
          <w:tcPr>
            <w:tcW w:w="100" w:type="dxa"/>
            <w:vAlign w:val="bottom"/>
            <w:tcBorders>
              <w:top w:val="single" w:sz="8" w:color="CEFEE7"/>
            </w:tcBorders>
            <w:shd w:val="clear" w:color="auto" w:fill="CEFEE7"/>
          </w:tcPr>
          <w:p>
            <w:pPr>
              <w:spacing w:after="0"/>
              <w:rPr>
                <w:sz w:val="18"/>
                <w:szCs w:val="18"/>
                <w:color w:val="auto"/>
              </w:rPr>
            </w:pPr>
          </w:p>
        </w:tc>
        <w:tc>
          <w:tcPr>
            <w:tcW w:w="260" w:type="dxa"/>
            <w:vAlign w:val="bottom"/>
            <w:tcBorders>
              <w:top w:val="single" w:sz="8" w:color="auto"/>
            </w:tcBorders>
            <w:shd w:val="clear" w:color="auto" w:fill="CEFEE7"/>
          </w:tcPr>
          <w:p>
            <w:pPr>
              <w:jc w:val="right"/>
              <w:ind w:right="79"/>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tcBorders>
            <w:shd w:val="clear" w:color="auto" w:fill="CEFEE7"/>
          </w:tcPr>
          <w:p>
            <w:pPr>
              <w:jc w:val="right"/>
              <w:spacing w:after="0"/>
              <w:rPr>
                <w:sz w:val="20"/>
                <w:szCs w:val="20"/>
                <w:color w:val="auto"/>
              </w:rPr>
            </w:pPr>
            <w:r>
              <w:rPr>
                <w:rFonts w:ascii="Arial" w:cs="Arial" w:eastAsia="Arial" w:hAnsi="Arial"/>
                <w:sz w:val="16"/>
                <w:szCs w:val="16"/>
                <w:color w:val="auto"/>
              </w:rPr>
              <w:t>(1,643)</w:t>
            </w:r>
          </w:p>
        </w:tc>
        <w:tc>
          <w:tcPr>
            <w:tcW w:w="100" w:type="dxa"/>
            <w:vAlign w:val="bottom"/>
            <w:tcBorders>
              <w:top w:val="single" w:sz="8" w:color="CEFEE7"/>
            </w:tcBorders>
            <w:shd w:val="clear" w:color="auto" w:fill="CEFEE7"/>
          </w:tcPr>
          <w:p>
            <w:pPr>
              <w:spacing w:after="0"/>
              <w:rPr>
                <w:sz w:val="18"/>
                <w:szCs w:val="18"/>
                <w:color w:val="auto"/>
              </w:rPr>
            </w:pPr>
          </w:p>
        </w:tc>
        <w:tc>
          <w:tcPr>
            <w:tcW w:w="180" w:type="dxa"/>
            <w:vAlign w:val="bottom"/>
            <w:tcBorders>
              <w:top w:val="single" w:sz="8" w:color="auto"/>
            </w:tcBorders>
            <w:shd w:val="clear" w:color="auto" w:fill="CEFEE7"/>
          </w:tcPr>
          <w:p>
            <w:pPr>
              <w:jc w:val="right"/>
              <w:spacing w:after="0"/>
              <w:rPr>
                <w:sz w:val="20"/>
                <w:szCs w:val="20"/>
                <w:color w:val="auto"/>
              </w:rPr>
            </w:pPr>
            <w:r>
              <w:rPr>
                <w:rFonts w:ascii="Arial" w:cs="Arial" w:eastAsia="Arial" w:hAnsi="Arial"/>
                <w:sz w:val="16"/>
                <w:szCs w:val="16"/>
                <w:color w:val="auto"/>
              </w:rPr>
              <w:t>$</w:t>
            </w:r>
          </w:p>
        </w:tc>
        <w:tc>
          <w:tcPr>
            <w:tcW w:w="1840" w:type="dxa"/>
            <w:vAlign w:val="bottom"/>
            <w:tcBorders>
              <w:top w:val="single" w:sz="8" w:color="auto"/>
            </w:tcBorders>
            <w:shd w:val="clear" w:color="auto" w:fill="CEFEE7"/>
          </w:tcPr>
          <w:p>
            <w:pPr>
              <w:jc w:val="right"/>
              <w:spacing w:after="0"/>
              <w:rPr>
                <w:sz w:val="20"/>
                <w:szCs w:val="20"/>
                <w:color w:val="auto"/>
              </w:rPr>
            </w:pPr>
            <w:r>
              <w:rPr>
                <w:rFonts w:ascii="Arial" w:cs="Arial" w:eastAsia="Arial" w:hAnsi="Arial"/>
                <w:sz w:val="16"/>
                <w:szCs w:val="16"/>
                <w:color w:val="auto"/>
              </w:rPr>
              <w:t>8,251</w:t>
            </w:r>
          </w:p>
        </w:tc>
      </w:tr>
      <w:tr>
        <w:trPr>
          <w:trHeight w:val="210"/>
        </w:trPr>
        <w:tc>
          <w:tcPr>
            <w:tcW w:w="2100" w:type="dxa"/>
            <w:vAlign w:val="bottom"/>
          </w:tcPr>
          <w:p>
            <w:pPr>
              <w:jc w:val="right"/>
              <w:ind w:right="1639"/>
              <w:spacing w:after="0"/>
              <w:rPr>
                <w:sz w:val="20"/>
                <w:szCs w:val="20"/>
                <w:color w:val="auto"/>
              </w:rPr>
            </w:pPr>
            <w:r>
              <w:rPr>
                <w:rFonts w:ascii="Arial" w:cs="Arial" w:eastAsia="Arial" w:hAnsi="Arial"/>
                <w:sz w:val="16"/>
                <w:szCs w:val="16"/>
                <w:color w:val="auto"/>
              </w:rPr>
              <w:t>2020</w:t>
            </w:r>
          </w:p>
        </w:tc>
        <w:tc>
          <w:tcPr>
            <w:tcW w:w="4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2,444</w:t>
            </w:r>
          </w:p>
        </w:tc>
        <w:tc>
          <w:tcPr>
            <w:tcW w:w="100" w:type="dxa"/>
            <w:vAlign w:val="bottom"/>
          </w:tcPr>
          <w:p>
            <w:pPr>
              <w:spacing w:after="0"/>
              <w:rPr>
                <w:sz w:val="18"/>
                <w:szCs w:val="18"/>
                <w:color w:val="auto"/>
              </w:rPr>
            </w:pPr>
          </w:p>
        </w:tc>
        <w:tc>
          <w:tcPr>
            <w:tcW w:w="640" w:type="dxa"/>
            <w:vAlign w:val="bottom"/>
          </w:tcPr>
          <w:p>
            <w:pPr>
              <w:jc w:val="right"/>
              <w:ind w:right="43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3,519</w:t>
            </w:r>
          </w:p>
        </w:tc>
        <w:tc>
          <w:tcPr>
            <w:tcW w:w="80" w:type="dxa"/>
            <w:vAlign w:val="bottom"/>
          </w:tcPr>
          <w:p>
            <w:pPr>
              <w:spacing w:after="0"/>
              <w:rPr>
                <w:sz w:val="18"/>
                <w:szCs w:val="18"/>
                <w:color w:val="auto"/>
              </w:rPr>
            </w:pPr>
          </w:p>
        </w:tc>
        <w:tc>
          <w:tcPr>
            <w:tcW w:w="300" w:type="dxa"/>
            <w:vAlign w:val="bottom"/>
          </w:tcPr>
          <w:p>
            <w:pPr>
              <w:ind w:left="20"/>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922</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(1,723)</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840" w:type="dxa"/>
            <w:vAlign w:val="bottom"/>
          </w:tcPr>
          <w:p>
            <w:pPr>
              <w:jc w:val="right"/>
              <w:spacing w:after="0"/>
              <w:rPr>
                <w:sz w:val="20"/>
                <w:szCs w:val="20"/>
                <w:color w:val="auto"/>
              </w:rPr>
            </w:pPr>
            <w:r>
              <w:rPr>
                <w:rFonts w:ascii="Arial" w:cs="Arial" w:eastAsia="Arial" w:hAnsi="Arial"/>
                <w:sz w:val="16"/>
                <w:szCs w:val="16"/>
                <w:color w:val="auto"/>
              </w:rPr>
              <w:t>5,162</w:t>
            </w:r>
          </w:p>
        </w:tc>
      </w:tr>
    </w:tbl>
    <w:p>
      <w:pPr>
        <w:spacing w:after="0" w:line="332" w:lineRule="exact"/>
        <w:rPr>
          <w:sz w:val="20"/>
          <w:szCs w:val="20"/>
          <w:color w:val="auto"/>
        </w:rPr>
      </w:pPr>
    </w:p>
    <w:p>
      <w:pPr>
        <w:ind w:left="100"/>
        <w:spacing w:after="0"/>
        <w:rPr>
          <w:sz w:val="20"/>
          <w:szCs w:val="20"/>
          <w:color w:val="auto"/>
        </w:rPr>
      </w:pPr>
      <w:r>
        <w:rPr>
          <w:rFonts w:ascii="Arial" w:cs="Arial" w:eastAsia="Arial" w:hAnsi="Arial"/>
          <w:sz w:val="16"/>
          <w:szCs w:val="16"/>
          <w:u w:val="single" w:color="auto"/>
          <w:color w:val="auto"/>
        </w:rPr>
        <w:t>Materials, Supplies and Fuel</w:t>
      </w:r>
    </w:p>
    <w:p>
      <w:pPr>
        <w:spacing w:after="0" w:line="248" w:lineRule="exact"/>
        <w:rPr>
          <w:sz w:val="20"/>
          <w:szCs w:val="20"/>
          <w:color w:val="auto"/>
        </w:rPr>
      </w:pPr>
    </w:p>
    <w:p>
      <w:pPr>
        <w:jc w:val="both"/>
        <w:ind w:left="100" w:right="20"/>
        <w:spacing w:after="0" w:line="260" w:lineRule="auto"/>
        <w:rPr>
          <w:sz w:val="20"/>
          <w:szCs w:val="20"/>
          <w:color w:val="auto"/>
        </w:rPr>
      </w:pPr>
      <w:r>
        <w:rPr>
          <w:rFonts w:ascii="Arial" w:cs="Arial" w:eastAsia="Arial" w:hAnsi="Arial"/>
          <w:sz w:val="16"/>
          <w:szCs w:val="16"/>
          <w:color w:val="auto"/>
        </w:rPr>
        <w:t>The following amounts by major classification are included in Materials, supplies and fuel on the accompanying Condensed Consolidated Balance Sheets (in thousands) as of:</w:t>
      </w:r>
    </w:p>
    <w:p>
      <w:pPr>
        <w:sectPr>
          <w:pgSz w:w="11900" w:h="16838" w:orient="portrait"/>
          <w:cols w:equalWidth="0" w:num="1">
            <w:col w:w="11340"/>
          </w:cols>
          <w:pgMar w:left="220" w:top="121" w:right="339" w:bottom="1440" w:gutter="0" w:footer="0" w:header="0"/>
        </w:sectPr>
      </w:pPr>
    </w:p>
    <w:p>
      <w:pPr>
        <w:spacing w:after="0" w:line="344" w:lineRule="exact"/>
        <w:rPr>
          <w:sz w:val="20"/>
          <w:szCs w:val="20"/>
          <w:color w:val="auto"/>
        </w:rPr>
      </w:pPr>
    </w:p>
    <w:p>
      <w:pPr>
        <w:ind w:left="140"/>
        <w:spacing w:after="0"/>
        <w:rPr>
          <w:sz w:val="20"/>
          <w:szCs w:val="20"/>
          <w:color w:val="auto"/>
        </w:rPr>
      </w:pPr>
      <w:r>
        <w:rPr>
          <w:rFonts w:ascii="Arial" w:cs="Arial" w:eastAsia="Arial" w:hAnsi="Arial"/>
          <w:sz w:val="16"/>
          <w:szCs w:val="16"/>
          <w:color w:val="auto"/>
        </w:rPr>
        <w:t>Materials and supplies</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Fuel - Electric Utilities</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Natural gas in storage</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Total materials, supplies and fuel</w:t>
      </w:r>
    </w:p>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8"/>
        </w:trPr>
        <w:tc>
          <w:tcPr>
            <w:tcW w:w="28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March 31, 2021</w:t>
            </w:r>
          </w:p>
        </w:tc>
        <w:tc>
          <w:tcPr>
            <w:tcW w:w="26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December 31, 2020</w:t>
            </w:r>
          </w:p>
        </w:tc>
      </w:tr>
      <w:tr>
        <w:trPr>
          <w:trHeight w:val="206"/>
        </w:trPr>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740" w:type="dxa"/>
            <w:vAlign w:val="bottom"/>
          </w:tcPr>
          <w:p>
            <w:pPr>
              <w:jc w:val="right"/>
              <w:ind w:right="19"/>
              <w:spacing w:after="0"/>
              <w:rPr>
                <w:sz w:val="20"/>
                <w:szCs w:val="20"/>
                <w:color w:val="auto"/>
              </w:rPr>
            </w:pPr>
            <w:r>
              <w:rPr>
                <w:rFonts w:ascii="Arial" w:cs="Arial" w:eastAsia="Arial" w:hAnsi="Arial"/>
                <w:sz w:val="16"/>
                <w:szCs w:val="16"/>
                <w:color w:val="auto"/>
              </w:rPr>
              <w:t>88,088</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800" w:type="dxa"/>
            <w:vAlign w:val="bottom"/>
          </w:tcPr>
          <w:p>
            <w:pPr>
              <w:jc w:val="right"/>
              <w:spacing w:after="0"/>
              <w:rPr>
                <w:sz w:val="20"/>
                <w:szCs w:val="20"/>
                <w:color w:val="auto"/>
              </w:rPr>
            </w:pPr>
            <w:r>
              <w:rPr>
                <w:rFonts w:ascii="Arial" w:cs="Arial" w:eastAsia="Arial" w:hAnsi="Arial"/>
                <w:sz w:val="16"/>
                <w:szCs w:val="16"/>
                <w:color w:val="auto"/>
              </w:rPr>
              <w:t>85,250</w:t>
            </w:r>
          </w:p>
        </w:tc>
      </w:tr>
      <w:tr>
        <w:trPr>
          <w:trHeight w:val="216"/>
        </w:trPr>
        <w:tc>
          <w:tcPr>
            <w:tcW w:w="280" w:type="dxa"/>
            <w:vAlign w:val="bottom"/>
          </w:tcPr>
          <w:p>
            <w:pPr>
              <w:spacing w:after="0"/>
              <w:rPr>
                <w:sz w:val="18"/>
                <w:szCs w:val="18"/>
                <w:color w:val="auto"/>
              </w:rPr>
            </w:pPr>
          </w:p>
        </w:tc>
        <w:tc>
          <w:tcPr>
            <w:tcW w:w="1740" w:type="dxa"/>
            <w:vAlign w:val="bottom"/>
          </w:tcPr>
          <w:p>
            <w:pPr>
              <w:jc w:val="right"/>
              <w:ind w:right="19"/>
              <w:spacing w:after="0"/>
              <w:rPr>
                <w:sz w:val="20"/>
                <w:szCs w:val="20"/>
                <w:color w:val="auto"/>
              </w:rPr>
            </w:pPr>
            <w:r>
              <w:rPr>
                <w:rFonts w:ascii="Arial" w:cs="Arial" w:eastAsia="Arial" w:hAnsi="Arial"/>
                <w:sz w:val="16"/>
                <w:szCs w:val="16"/>
                <w:color w:val="auto"/>
              </w:rPr>
              <w:t>1,590</w:t>
            </w:r>
          </w:p>
        </w:tc>
        <w:tc>
          <w:tcPr>
            <w:tcW w:w="26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1,531</w:t>
            </w:r>
          </w:p>
        </w:tc>
      </w:tr>
      <w:tr>
        <w:trPr>
          <w:trHeight w:val="219"/>
        </w:trPr>
        <w:tc>
          <w:tcPr>
            <w:tcW w:w="28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12,925</w:t>
            </w:r>
          </w:p>
        </w:tc>
        <w:tc>
          <w:tcPr>
            <w:tcW w:w="26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30,619</w:t>
            </w:r>
          </w:p>
        </w:tc>
      </w:tr>
      <w:tr>
        <w:trPr>
          <w:trHeight w:val="209"/>
        </w:trPr>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102,603</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117,400</w:t>
            </w:r>
          </w:p>
        </w:tc>
      </w:tr>
      <w:tr>
        <w:trPr>
          <w:trHeight w:val="24"/>
        </w:trPr>
        <w:tc>
          <w:tcPr>
            <w:tcW w:w="2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-4511040</wp:posOffset>
            </wp:positionH>
            <wp:positionV relativeFrom="paragraph">
              <wp:posOffset>-599440</wp:posOffset>
            </wp:positionV>
            <wp:extent cx="7106285" cy="1460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06285" cy="146050"/>
                    </a:xfrm>
                    <a:prstGeom prst="rect">
                      <a:avLst/>
                    </a:prstGeom>
                    <a:noFill/>
                  </pic:spPr>
                </pic:pic>
              </a:graphicData>
            </a:graphic>
          </wp:anchor>
        </w:drawing>
        <w:drawing>
          <wp:anchor simplePos="0" relativeHeight="251657728" behindDoc="1" locked="0" layoutInCell="0" allowOverlap="1">
            <wp:simplePos x="0" y="0"/>
            <wp:positionH relativeFrom="column">
              <wp:posOffset>-4511040</wp:posOffset>
            </wp:positionH>
            <wp:positionV relativeFrom="paragraph">
              <wp:posOffset>-316865</wp:posOffset>
            </wp:positionV>
            <wp:extent cx="7106285" cy="1371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06285"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520" w:space="720"/>
            <w:col w:w="4100"/>
          </w:cols>
          <w:pgMar w:left="220" w:top="121" w:right="339" w:bottom="1440" w:gutter="0" w:footer="0" w:header="0"/>
          <w:type w:val="continuous"/>
        </w:sectPr>
      </w:pPr>
    </w:p>
    <w:p>
      <w:pPr>
        <w:spacing w:after="0" w:line="200" w:lineRule="exact"/>
        <w:rPr>
          <w:sz w:val="20"/>
          <w:szCs w:val="20"/>
          <w:color w:val="auto"/>
        </w:rPr>
      </w:pPr>
    </w:p>
    <w:p>
      <w:pPr>
        <w:spacing w:after="0" w:line="277"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212090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220" w:top="121" w:right="339" w:bottom="1440" w:gutter="0" w:footer="0" w:header="0"/>
          <w:type w:val="continuous"/>
        </w:sectPr>
      </w:pPr>
    </w:p>
    <w:bookmarkStart w:id="29" w:name="page30"/>
    <w:bookmarkEnd w:id="29"/>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Accrued Liabilities</w:t>
      </w:r>
    </w:p>
    <w:p>
      <w:pPr>
        <w:spacing w:after="0" w:line="248" w:lineRule="exact"/>
        <w:rPr>
          <w:sz w:val="20"/>
          <w:szCs w:val="20"/>
          <w:color w:val="auto"/>
        </w:rPr>
      </w:pPr>
    </w:p>
    <w:p>
      <w:pPr>
        <w:ind w:right="740"/>
        <w:spacing w:after="0" w:line="260" w:lineRule="auto"/>
        <w:rPr>
          <w:sz w:val="20"/>
          <w:szCs w:val="20"/>
          <w:color w:val="auto"/>
        </w:rPr>
      </w:pPr>
      <w:r>
        <w:rPr>
          <w:rFonts w:ascii="Arial" w:cs="Arial" w:eastAsia="Arial" w:hAnsi="Arial"/>
          <w:sz w:val="16"/>
          <w:szCs w:val="16"/>
          <w:color w:val="auto"/>
        </w:rPr>
        <w:t>The following amounts by major classification are included in Accrued liabilities on the accompanying Condensed Consolidated Balance Sheets (in thousands) as of:</w:t>
      </w:r>
    </w:p>
    <w:p>
      <w:pPr>
        <w:spacing w:after="0" w:line="114" w:lineRule="exact"/>
        <w:rPr>
          <w:sz w:val="20"/>
          <w:szCs w:val="20"/>
          <w:color w:val="auto"/>
        </w:rPr>
      </w:pPr>
    </w:p>
    <w:tbl>
      <w:tblPr>
        <w:tblLayout w:type="fixed"/>
        <w:tblInd w:w="20" w:type="dxa"/>
        <w:tblCellMar>
          <w:top w:w="0" w:type="dxa"/>
          <w:left w:w="0" w:type="dxa"/>
          <w:bottom w:w="0" w:type="dxa"/>
          <w:right w:w="0" w:type="dxa"/>
        </w:tblCellMar>
      </w:tblPr>
      <w:tr>
        <w:trPr>
          <w:trHeight w:val="198"/>
        </w:trPr>
        <w:tc>
          <w:tcPr>
            <w:tcW w:w="7240" w:type="dxa"/>
            <w:vAlign w:val="bottom"/>
            <w:tcBorders>
              <w:bottom w:val="single" w:sz="8" w:color="CEFFE7"/>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March 31, 2021</w:t>
            </w:r>
          </w:p>
        </w:tc>
        <w:tc>
          <w:tcPr>
            <w:tcW w:w="22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December 31, 2020</w:t>
            </w:r>
          </w:p>
        </w:tc>
      </w:tr>
      <w:tr>
        <w:trPr>
          <w:trHeight w:val="213"/>
        </w:trPr>
        <w:tc>
          <w:tcPr>
            <w:tcW w:w="7240" w:type="dxa"/>
            <w:vAlign w:val="bottom"/>
            <w:shd w:val="clear" w:color="auto" w:fill="CEFFE7"/>
          </w:tcPr>
          <w:p>
            <w:pPr>
              <w:ind w:left="20"/>
              <w:spacing w:after="0"/>
              <w:rPr>
                <w:sz w:val="20"/>
                <w:szCs w:val="20"/>
                <w:color w:val="auto"/>
              </w:rPr>
            </w:pPr>
            <w:r>
              <w:rPr>
                <w:rFonts w:ascii="Arial" w:cs="Arial" w:eastAsia="Arial" w:hAnsi="Arial"/>
                <w:sz w:val="16"/>
                <w:szCs w:val="16"/>
                <w:color w:val="auto"/>
              </w:rPr>
              <w:t>Accrued employee compensation, benefits and withholdings</w:t>
            </w:r>
          </w:p>
        </w:tc>
        <w:tc>
          <w:tcPr>
            <w:tcW w:w="260" w:type="dxa"/>
            <w:vAlign w:val="bottom"/>
            <w:shd w:val="clear" w:color="auto" w:fill="CEFFE7"/>
          </w:tcPr>
          <w:p>
            <w:pPr>
              <w:jc w:val="right"/>
              <w:ind w:right="79"/>
              <w:spacing w:after="0"/>
              <w:rPr>
                <w:sz w:val="20"/>
                <w:szCs w:val="20"/>
                <w:color w:val="auto"/>
              </w:rPr>
            </w:pPr>
            <w:r>
              <w:rPr>
                <w:rFonts w:ascii="Arial" w:cs="Arial" w:eastAsia="Arial" w:hAnsi="Arial"/>
                <w:sz w:val="16"/>
                <w:szCs w:val="16"/>
                <w:color w:val="auto"/>
                <w:w w:val="89"/>
              </w:rPr>
              <w:t>$</w:t>
            </w:r>
          </w:p>
        </w:tc>
        <w:tc>
          <w:tcPr>
            <w:tcW w:w="17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57,347</w:t>
            </w:r>
          </w:p>
        </w:tc>
        <w:tc>
          <w:tcPr>
            <w:tcW w:w="2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7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77,806</w:t>
            </w:r>
          </w:p>
        </w:tc>
      </w:tr>
      <w:tr>
        <w:trPr>
          <w:trHeight w:val="213"/>
        </w:trPr>
        <w:tc>
          <w:tcPr>
            <w:tcW w:w="7240" w:type="dxa"/>
            <w:vAlign w:val="bottom"/>
          </w:tcPr>
          <w:p>
            <w:pPr>
              <w:ind w:left="20"/>
              <w:spacing w:after="0"/>
              <w:rPr>
                <w:sz w:val="20"/>
                <w:szCs w:val="20"/>
                <w:color w:val="auto"/>
              </w:rPr>
            </w:pPr>
            <w:r>
              <w:rPr>
                <w:rFonts w:ascii="Arial" w:cs="Arial" w:eastAsia="Arial" w:hAnsi="Arial"/>
                <w:sz w:val="16"/>
                <w:szCs w:val="16"/>
                <w:color w:val="auto"/>
              </w:rPr>
              <w:t>Accrued property taxes</w:t>
            </w:r>
          </w:p>
        </w:tc>
        <w:tc>
          <w:tcPr>
            <w:tcW w:w="26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49,267</w:t>
            </w:r>
          </w:p>
        </w:tc>
        <w:tc>
          <w:tcPr>
            <w:tcW w:w="22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47,105</w:t>
            </w:r>
          </w:p>
        </w:tc>
      </w:tr>
      <w:tr>
        <w:trPr>
          <w:trHeight w:val="219"/>
        </w:trPr>
        <w:tc>
          <w:tcPr>
            <w:tcW w:w="7240" w:type="dxa"/>
            <w:vAlign w:val="bottom"/>
            <w:shd w:val="clear" w:color="auto" w:fill="CEFFE7"/>
          </w:tcPr>
          <w:p>
            <w:pPr>
              <w:ind w:left="20"/>
              <w:spacing w:after="0"/>
              <w:rPr>
                <w:sz w:val="20"/>
                <w:szCs w:val="20"/>
                <w:color w:val="auto"/>
              </w:rPr>
            </w:pPr>
            <w:r>
              <w:rPr>
                <w:rFonts w:ascii="Arial" w:cs="Arial" w:eastAsia="Arial" w:hAnsi="Arial"/>
                <w:sz w:val="16"/>
                <w:szCs w:val="16"/>
                <w:color w:val="auto"/>
              </w:rPr>
              <w:t>Customer deposits and prepayments</w:t>
            </w:r>
          </w:p>
        </w:tc>
        <w:tc>
          <w:tcPr>
            <w:tcW w:w="260" w:type="dxa"/>
            <w:vAlign w:val="bottom"/>
            <w:shd w:val="clear" w:color="auto" w:fill="CEFFE7"/>
          </w:tcPr>
          <w:p>
            <w:pPr>
              <w:spacing w:after="0"/>
              <w:rPr>
                <w:sz w:val="19"/>
                <w:szCs w:val="19"/>
                <w:color w:val="auto"/>
              </w:rPr>
            </w:pPr>
          </w:p>
        </w:tc>
        <w:tc>
          <w:tcPr>
            <w:tcW w:w="17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50,194</w:t>
            </w:r>
          </w:p>
        </w:tc>
        <w:tc>
          <w:tcPr>
            <w:tcW w:w="220" w:type="dxa"/>
            <w:vAlign w:val="bottom"/>
            <w:shd w:val="clear" w:color="auto" w:fill="CEFFE7"/>
          </w:tcPr>
          <w:p>
            <w:pPr>
              <w:spacing w:after="0"/>
              <w:rPr>
                <w:sz w:val="19"/>
                <w:szCs w:val="19"/>
                <w:color w:val="auto"/>
              </w:rPr>
            </w:pPr>
          </w:p>
        </w:tc>
        <w:tc>
          <w:tcPr>
            <w:tcW w:w="17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52,185</w:t>
            </w:r>
          </w:p>
        </w:tc>
      </w:tr>
      <w:tr>
        <w:trPr>
          <w:trHeight w:val="213"/>
        </w:trPr>
        <w:tc>
          <w:tcPr>
            <w:tcW w:w="7240" w:type="dxa"/>
            <w:vAlign w:val="bottom"/>
          </w:tcPr>
          <w:p>
            <w:pPr>
              <w:ind w:left="20"/>
              <w:spacing w:after="0"/>
              <w:rPr>
                <w:sz w:val="20"/>
                <w:szCs w:val="20"/>
                <w:color w:val="auto"/>
              </w:rPr>
            </w:pPr>
            <w:r>
              <w:rPr>
                <w:rFonts w:ascii="Arial" w:cs="Arial" w:eastAsia="Arial" w:hAnsi="Arial"/>
                <w:sz w:val="16"/>
                <w:szCs w:val="16"/>
                <w:color w:val="auto"/>
              </w:rPr>
              <w:t>Accrued interest</w:t>
            </w:r>
          </w:p>
        </w:tc>
        <w:tc>
          <w:tcPr>
            <w:tcW w:w="26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45,896</w:t>
            </w:r>
          </w:p>
        </w:tc>
        <w:tc>
          <w:tcPr>
            <w:tcW w:w="22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31,520</w:t>
            </w:r>
          </w:p>
        </w:tc>
      </w:tr>
      <w:tr>
        <w:trPr>
          <w:trHeight w:val="216"/>
        </w:trPr>
        <w:tc>
          <w:tcPr>
            <w:tcW w:w="7240" w:type="dxa"/>
            <w:vAlign w:val="bottom"/>
            <w:shd w:val="clear" w:color="auto" w:fill="CEFFE7"/>
          </w:tcPr>
          <w:p>
            <w:pPr>
              <w:ind w:left="20"/>
              <w:spacing w:after="0"/>
              <w:rPr>
                <w:sz w:val="20"/>
                <w:szCs w:val="20"/>
                <w:color w:val="auto"/>
              </w:rPr>
            </w:pPr>
            <w:r>
              <w:rPr>
                <w:rFonts w:ascii="Arial" w:cs="Arial" w:eastAsia="Arial" w:hAnsi="Arial"/>
                <w:sz w:val="16"/>
                <w:szCs w:val="16"/>
                <w:color w:val="auto"/>
              </w:rPr>
              <w:t>Other (none of which is individually significant)</w:t>
            </w:r>
          </w:p>
        </w:tc>
        <w:tc>
          <w:tcPr>
            <w:tcW w:w="260" w:type="dxa"/>
            <w:vAlign w:val="bottom"/>
            <w:tcBorders>
              <w:bottom w:val="single" w:sz="8" w:color="auto"/>
            </w:tcBorders>
            <w:shd w:val="clear" w:color="auto" w:fill="CEFFE7"/>
          </w:tcPr>
          <w:p>
            <w:pPr>
              <w:spacing w:after="0"/>
              <w:rPr>
                <w:sz w:val="18"/>
                <w:szCs w:val="18"/>
                <w:color w:val="auto"/>
              </w:rPr>
            </w:pPr>
          </w:p>
        </w:tc>
        <w:tc>
          <w:tcPr>
            <w:tcW w:w="17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27,740</w:t>
            </w:r>
          </w:p>
        </w:tc>
        <w:tc>
          <w:tcPr>
            <w:tcW w:w="220" w:type="dxa"/>
            <w:vAlign w:val="bottom"/>
            <w:tcBorders>
              <w:bottom w:val="single" w:sz="8" w:color="auto"/>
            </w:tcBorders>
            <w:shd w:val="clear" w:color="auto" w:fill="CEFFE7"/>
          </w:tcPr>
          <w:p>
            <w:pPr>
              <w:spacing w:after="0"/>
              <w:rPr>
                <w:sz w:val="18"/>
                <w:szCs w:val="18"/>
                <w:color w:val="auto"/>
              </w:rPr>
            </w:pPr>
          </w:p>
        </w:tc>
        <w:tc>
          <w:tcPr>
            <w:tcW w:w="17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34,996</w:t>
            </w:r>
          </w:p>
        </w:tc>
      </w:tr>
      <w:tr>
        <w:trPr>
          <w:trHeight w:val="213"/>
        </w:trPr>
        <w:tc>
          <w:tcPr>
            <w:tcW w:w="7240" w:type="dxa"/>
            <w:vAlign w:val="bottom"/>
          </w:tcPr>
          <w:p>
            <w:pPr>
              <w:ind w:left="220"/>
              <w:spacing w:after="0"/>
              <w:rPr>
                <w:sz w:val="20"/>
                <w:szCs w:val="20"/>
                <w:color w:val="auto"/>
              </w:rPr>
            </w:pPr>
            <w:r>
              <w:rPr>
                <w:rFonts w:ascii="Arial" w:cs="Arial" w:eastAsia="Arial" w:hAnsi="Arial"/>
                <w:sz w:val="16"/>
                <w:szCs w:val="16"/>
                <w:color w:val="auto"/>
              </w:rPr>
              <w:t>Total accrued liabilities</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230,444</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243,612</w:t>
            </w:r>
          </w:p>
        </w:tc>
      </w:tr>
      <w:tr>
        <w:trPr>
          <w:trHeight w:val="20"/>
        </w:trPr>
        <w:tc>
          <w:tcPr>
            <w:tcW w:w="7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4"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77" w:lineRule="exact"/>
        <w:rPr>
          <w:sz w:val="20"/>
          <w:szCs w:val="20"/>
          <w:color w:val="auto"/>
        </w:rPr>
      </w:pPr>
    </w:p>
    <w:p>
      <w:pPr>
        <w:ind w:right="120"/>
        <w:spacing w:after="0" w:line="260" w:lineRule="auto"/>
        <w:rPr>
          <w:sz w:val="20"/>
          <w:szCs w:val="20"/>
          <w:color w:val="auto"/>
        </w:rPr>
      </w:pPr>
      <w:r>
        <w:rPr>
          <w:rFonts w:ascii="Arial" w:cs="Arial" w:eastAsia="Arial" w:hAnsi="Arial"/>
          <w:sz w:val="16"/>
          <w:szCs w:val="16"/>
          <w:color w:val="auto"/>
        </w:rPr>
        <w:t>The following discussions should be read in conjunction with the Notes contained herein and Management's Discussion and Analysis of Financial Condition and Results of Operations appearing in the 2020 Form 10-K.</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Executive Summary</w:t>
      </w:r>
    </w:p>
    <w:p>
      <w:pPr>
        <w:spacing w:after="0" w:line="268" w:lineRule="exact"/>
        <w:rPr>
          <w:sz w:val="20"/>
          <w:szCs w:val="20"/>
          <w:color w:val="auto"/>
        </w:rPr>
      </w:pPr>
    </w:p>
    <w:p>
      <w:pPr>
        <w:jc w:val="both"/>
        <w:ind w:right="420"/>
        <w:spacing w:after="0" w:line="253" w:lineRule="auto"/>
        <w:rPr>
          <w:sz w:val="20"/>
          <w:szCs w:val="20"/>
          <w:color w:val="auto"/>
        </w:rPr>
      </w:pPr>
      <w:r>
        <w:rPr>
          <w:rFonts w:ascii="Arial" w:cs="Arial" w:eastAsia="Arial" w:hAnsi="Arial"/>
          <w:sz w:val="16"/>
          <w:szCs w:val="16"/>
          <w:color w:val="auto"/>
        </w:rPr>
        <w:t>We are a customer-focused, growth-oriented electric and natural gas utility company with a mission of Improving Life with Energy and a vision to be the Energy Partner of Choice. The Company provides electric and natural gas utility service to 1.3 million customers over 800 communities in eight states, including Arkansas, Colorado, Iowa, Kansas, Montana, Nebraska, South Dakota and Wyoming.</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Recent Developments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Winter Storm Uri</w:t>
      </w:r>
    </w:p>
    <w:p>
      <w:pPr>
        <w:spacing w:after="0" w:line="268"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auto"/>
        </w:rPr>
        <w:t>In February 2021, a prolonged period of historic cold temperatures across the central United States, which covered all of our Utilities’ service territories, caused a significant increase in heating and energy demand and contributed to unforeseeable and unprecedented market prices for natural gas and electricity. As a result of Winter Storm Uri, our net pre-tax incremental fuel, purchased power and natural gas costs during the three months ended March 31, 2021 were approximately $571 million. This amount does not include potential pipeline transportation charges from certain suppliers who have requested and received approval from the FERC to delay billings. The pre-tax incremental costs for the three months ended March 31, 2021 from Winter Storm Uri were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898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color w:val="auto"/>
              </w:rPr>
              <w:t>(in millions)</w:t>
            </w:r>
          </w:p>
        </w:tc>
      </w:tr>
      <w:tr>
        <w:trPr>
          <w:trHeight w:val="213"/>
        </w:trPr>
        <w:tc>
          <w:tcPr>
            <w:tcW w:w="8980" w:type="dxa"/>
            <w:vAlign w:val="bottom"/>
            <w:shd w:val="clear" w:color="auto" w:fill="CEFFE7"/>
          </w:tcPr>
          <w:p>
            <w:pPr>
              <w:ind w:left="20"/>
              <w:spacing w:after="0"/>
              <w:rPr>
                <w:sz w:val="20"/>
                <w:szCs w:val="20"/>
                <w:color w:val="auto"/>
              </w:rPr>
            </w:pPr>
            <w:r>
              <w:rPr>
                <w:rFonts w:ascii="Arial" w:cs="Arial" w:eastAsia="Arial" w:hAnsi="Arial"/>
                <w:sz w:val="16"/>
                <w:szCs w:val="16"/>
                <w:color w:val="auto"/>
              </w:rPr>
              <w:t>Incremental fuel, purchased power and natural gas costs recorded to regulatory assets</w:t>
            </w:r>
          </w:p>
        </w:tc>
        <w:tc>
          <w:tcPr>
            <w:tcW w:w="420" w:type="dxa"/>
            <w:vAlign w:val="bottom"/>
            <w:shd w:val="clear" w:color="auto" w:fill="CEFFE7"/>
          </w:tcPr>
          <w:p>
            <w:pPr>
              <w:jc w:val="right"/>
              <w:ind w:right="219"/>
              <w:spacing w:after="0"/>
              <w:rPr>
                <w:sz w:val="20"/>
                <w:szCs w:val="20"/>
                <w:color w:val="auto"/>
              </w:rPr>
            </w:pPr>
            <w:r>
              <w:rPr>
                <w:rFonts w:ascii="Arial" w:cs="Arial" w:eastAsia="Arial" w:hAnsi="Arial"/>
                <w:sz w:val="16"/>
                <w:szCs w:val="16"/>
                <w:color w:val="auto"/>
              </w:rPr>
              <w:t>$</w:t>
            </w:r>
          </w:p>
        </w:tc>
        <w:tc>
          <w:tcPr>
            <w:tcW w:w="18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558.8</w:t>
            </w:r>
          </w:p>
        </w:tc>
      </w:tr>
      <w:tr>
        <w:trPr>
          <w:trHeight w:val="270"/>
        </w:trPr>
        <w:tc>
          <w:tcPr>
            <w:tcW w:w="89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840" w:type="dxa"/>
            <w:vAlign w:val="bottom"/>
          </w:tcPr>
          <w:p>
            <w:pPr>
              <w:spacing w:after="0"/>
              <w:rPr>
                <w:sz w:val="23"/>
                <w:szCs w:val="23"/>
                <w:color w:val="auto"/>
              </w:rPr>
            </w:pPr>
          </w:p>
        </w:tc>
      </w:tr>
      <w:tr>
        <w:trPr>
          <w:trHeight w:val="216"/>
        </w:trPr>
        <w:tc>
          <w:tcPr>
            <w:tcW w:w="8980" w:type="dxa"/>
            <w:vAlign w:val="bottom"/>
            <w:shd w:val="clear" w:color="auto" w:fill="CEFFE7"/>
          </w:tcPr>
          <w:p>
            <w:pPr>
              <w:ind w:left="20"/>
              <w:spacing w:after="0"/>
              <w:rPr>
                <w:sz w:val="20"/>
                <w:szCs w:val="20"/>
                <w:color w:val="auto"/>
              </w:rPr>
            </w:pPr>
            <w:r>
              <w:rPr>
                <w:rFonts w:ascii="Arial" w:cs="Arial" w:eastAsia="Arial" w:hAnsi="Arial"/>
                <w:sz w:val="16"/>
                <w:szCs w:val="16"/>
                <w:color w:val="auto"/>
              </w:rPr>
              <w:t>Electric Utilities wholesale power margin sharing</w:t>
            </w:r>
          </w:p>
        </w:tc>
        <w:tc>
          <w:tcPr>
            <w:tcW w:w="420" w:type="dxa"/>
            <w:vAlign w:val="bottom"/>
            <w:shd w:val="clear" w:color="auto" w:fill="CEFFE7"/>
          </w:tcPr>
          <w:p>
            <w:pPr>
              <w:jc w:val="right"/>
              <w:ind w:right="219"/>
              <w:spacing w:after="0"/>
              <w:rPr>
                <w:sz w:val="20"/>
                <w:szCs w:val="20"/>
                <w:color w:val="auto"/>
              </w:rPr>
            </w:pPr>
            <w:r>
              <w:rPr>
                <w:rFonts w:ascii="Arial" w:cs="Arial" w:eastAsia="Arial" w:hAnsi="Arial"/>
                <w:sz w:val="16"/>
                <w:szCs w:val="16"/>
                <w:color w:val="auto"/>
              </w:rPr>
              <w:t>$</w:t>
            </w:r>
          </w:p>
        </w:tc>
        <w:tc>
          <w:tcPr>
            <w:tcW w:w="18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3.2</w:t>
            </w:r>
          </w:p>
        </w:tc>
      </w:tr>
      <w:tr>
        <w:trPr>
          <w:trHeight w:val="213"/>
        </w:trPr>
        <w:tc>
          <w:tcPr>
            <w:tcW w:w="8980" w:type="dxa"/>
            <w:vAlign w:val="bottom"/>
          </w:tcPr>
          <w:p>
            <w:pPr>
              <w:ind w:left="20"/>
              <w:spacing w:after="0"/>
              <w:rPr>
                <w:sz w:val="20"/>
                <w:szCs w:val="20"/>
                <w:color w:val="auto"/>
              </w:rPr>
            </w:pPr>
            <w:r>
              <w:rPr>
                <w:rFonts w:ascii="Arial" w:cs="Arial" w:eastAsia="Arial" w:hAnsi="Arial"/>
                <w:sz w:val="16"/>
                <w:szCs w:val="16"/>
                <w:color w:val="auto"/>
              </w:rPr>
              <w:t>Electric Utilities non-recoverable fuel costs</w:t>
            </w:r>
          </w:p>
        </w:tc>
        <w:tc>
          <w:tcPr>
            <w:tcW w:w="42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219"/>
        </w:trPr>
        <w:tc>
          <w:tcPr>
            <w:tcW w:w="8980" w:type="dxa"/>
            <w:vAlign w:val="bottom"/>
            <w:shd w:val="clear" w:color="auto" w:fill="CEFFE7"/>
          </w:tcPr>
          <w:p>
            <w:pPr>
              <w:ind w:left="20"/>
              <w:spacing w:after="0"/>
              <w:rPr>
                <w:sz w:val="20"/>
                <w:szCs w:val="20"/>
                <w:color w:val="auto"/>
              </w:rPr>
            </w:pPr>
            <w:r>
              <w:rPr>
                <w:rFonts w:ascii="Arial" w:cs="Arial" w:eastAsia="Arial" w:hAnsi="Arial"/>
                <w:sz w:val="16"/>
                <w:szCs w:val="16"/>
                <w:color w:val="auto"/>
              </w:rPr>
              <w:t>Black Hills Energy Services non-recoverable natural gas costs</w:t>
            </w:r>
          </w:p>
        </w:tc>
        <w:tc>
          <w:tcPr>
            <w:tcW w:w="420" w:type="dxa"/>
            <w:vAlign w:val="bottom"/>
            <w:shd w:val="clear" w:color="auto" w:fill="CEFFE7"/>
          </w:tcPr>
          <w:p>
            <w:pPr>
              <w:spacing w:after="0"/>
              <w:rPr>
                <w:sz w:val="19"/>
                <w:szCs w:val="19"/>
                <w:color w:val="auto"/>
              </w:rPr>
            </w:pPr>
          </w:p>
        </w:tc>
        <w:tc>
          <w:tcPr>
            <w:tcW w:w="18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8.2</w:t>
            </w:r>
          </w:p>
        </w:tc>
      </w:tr>
      <w:tr>
        <w:trPr>
          <w:trHeight w:val="213"/>
        </w:trPr>
        <w:tc>
          <w:tcPr>
            <w:tcW w:w="8980" w:type="dxa"/>
            <w:vAlign w:val="bottom"/>
          </w:tcPr>
          <w:p>
            <w:pPr>
              <w:ind w:left="20"/>
              <w:spacing w:after="0"/>
              <w:rPr>
                <w:sz w:val="20"/>
                <w:szCs w:val="20"/>
                <w:color w:val="auto"/>
              </w:rPr>
            </w:pPr>
            <w:r>
              <w:rPr>
                <w:rFonts w:ascii="Arial" w:cs="Arial" w:eastAsia="Arial" w:hAnsi="Arial"/>
                <w:sz w:val="16"/>
                <w:szCs w:val="16"/>
                <w:color w:val="auto"/>
              </w:rPr>
              <w:t>Interest expense from $800 million term loan</w:t>
            </w:r>
          </w:p>
        </w:tc>
        <w:tc>
          <w:tcPr>
            <w:tcW w:w="42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0.7</w:t>
            </w:r>
          </w:p>
        </w:tc>
      </w:tr>
      <w:tr>
        <w:trPr>
          <w:trHeight w:val="216"/>
        </w:trPr>
        <w:tc>
          <w:tcPr>
            <w:tcW w:w="8980" w:type="dxa"/>
            <w:vAlign w:val="bottom"/>
            <w:shd w:val="clear" w:color="auto" w:fill="CEFFE7"/>
          </w:tcPr>
          <w:p>
            <w:pPr>
              <w:ind w:left="20"/>
              <w:spacing w:after="0"/>
              <w:rPr>
                <w:sz w:val="20"/>
                <w:szCs w:val="20"/>
                <w:color w:val="auto"/>
              </w:rPr>
            </w:pPr>
            <w:r>
              <w:rPr>
                <w:rFonts w:ascii="Arial" w:cs="Arial" w:eastAsia="Arial" w:hAnsi="Arial"/>
                <w:sz w:val="16"/>
                <w:szCs w:val="16"/>
                <w:color w:val="auto"/>
              </w:rPr>
              <w:t>Less Power Generation favorable net impact</w:t>
            </w:r>
          </w:p>
        </w:tc>
        <w:tc>
          <w:tcPr>
            <w:tcW w:w="420" w:type="dxa"/>
            <w:vAlign w:val="bottom"/>
            <w:tcBorders>
              <w:bottom w:val="single" w:sz="8" w:color="auto"/>
            </w:tcBorders>
            <w:shd w:val="clear" w:color="auto" w:fill="CEFFE7"/>
          </w:tcPr>
          <w:p>
            <w:pPr>
              <w:spacing w:after="0"/>
              <w:rPr>
                <w:sz w:val="18"/>
                <w:szCs w:val="18"/>
                <w:color w:val="auto"/>
              </w:rPr>
            </w:pPr>
          </w:p>
        </w:tc>
        <w:tc>
          <w:tcPr>
            <w:tcW w:w="18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(1.7)</w:t>
            </w:r>
          </w:p>
        </w:tc>
      </w:tr>
      <w:tr>
        <w:trPr>
          <w:trHeight w:val="210"/>
        </w:trPr>
        <w:tc>
          <w:tcPr>
            <w:tcW w:w="8980" w:type="dxa"/>
            <w:vAlign w:val="bottom"/>
          </w:tcPr>
          <w:p>
            <w:pPr>
              <w:ind w:left="20"/>
              <w:spacing w:after="0"/>
              <w:rPr>
                <w:sz w:val="20"/>
                <w:szCs w:val="20"/>
                <w:color w:val="auto"/>
              </w:rPr>
            </w:pPr>
            <w:r>
              <w:rPr>
                <w:rFonts w:ascii="Arial" w:cs="Arial" w:eastAsia="Arial" w:hAnsi="Arial"/>
                <w:sz w:val="16"/>
                <w:szCs w:val="16"/>
                <w:color w:val="auto"/>
              </w:rPr>
              <w:t>Incremental costs recorded as expenses, net</w:t>
            </w: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840" w:type="dxa"/>
            <w:vAlign w:val="bottom"/>
          </w:tcPr>
          <w:p>
            <w:pPr>
              <w:jc w:val="right"/>
              <w:spacing w:after="0"/>
              <w:rPr>
                <w:sz w:val="20"/>
                <w:szCs w:val="20"/>
                <w:color w:val="auto"/>
              </w:rPr>
            </w:pPr>
            <w:r>
              <w:rPr>
                <w:rFonts w:ascii="Arial" w:cs="Arial" w:eastAsia="Arial" w:hAnsi="Arial"/>
                <w:sz w:val="16"/>
                <w:szCs w:val="16"/>
                <w:color w:val="auto"/>
              </w:rPr>
              <w:t>12.5</w:t>
            </w:r>
          </w:p>
        </w:tc>
      </w:tr>
      <w:tr>
        <w:trPr>
          <w:trHeight w:val="273"/>
        </w:trPr>
        <w:tc>
          <w:tcPr>
            <w:tcW w:w="8980" w:type="dxa"/>
            <w:vAlign w:val="bottom"/>
            <w:shd w:val="clear" w:color="auto" w:fill="CEFFE7"/>
          </w:tcPr>
          <w:p>
            <w:pPr>
              <w:spacing w:after="0"/>
              <w:rPr>
                <w:sz w:val="23"/>
                <w:szCs w:val="23"/>
                <w:color w:val="auto"/>
              </w:rPr>
            </w:pPr>
          </w:p>
        </w:tc>
        <w:tc>
          <w:tcPr>
            <w:tcW w:w="420" w:type="dxa"/>
            <w:vAlign w:val="bottom"/>
            <w:shd w:val="clear" w:color="auto" w:fill="CEFFE7"/>
          </w:tcPr>
          <w:p>
            <w:pPr>
              <w:spacing w:after="0"/>
              <w:rPr>
                <w:sz w:val="23"/>
                <w:szCs w:val="23"/>
                <w:color w:val="auto"/>
              </w:rPr>
            </w:pPr>
          </w:p>
        </w:tc>
        <w:tc>
          <w:tcPr>
            <w:tcW w:w="1840" w:type="dxa"/>
            <w:vAlign w:val="bottom"/>
            <w:shd w:val="clear" w:color="auto" w:fill="CEFFE7"/>
          </w:tcPr>
          <w:p>
            <w:pPr>
              <w:spacing w:after="0"/>
              <w:rPr>
                <w:sz w:val="23"/>
                <w:szCs w:val="23"/>
                <w:color w:val="auto"/>
              </w:rPr>
            </w:pPr>
          </w:p>
        </w:tc>
      </w:tr>
      <w:tr>
        <w:trPr>
          <w:trHeight w:val="210"/>
        </w:trPr>
        <w:tc>
          <w:tcPr>
            <w:tcW w:w="8980" w:type="dxa"/>
            <w:vAlign w:val="bottom"/>
          </w:tcPr>
          <w:p>
            <w:pPr>
              <w:ind w:left="20"/>
              <w:spacing w:after="0"/>
              <w:rPr>
                <w:sz w:val="20"/>
                <w:szCs w:val="20"/>
                <w:color w:val="auto"/>
              </w:rPr>
            </w:pPr>
            <w:r>
              <w:rPr>
                <w:rFonts w:ascii="Arial" w:cs="Arial" w:eastAsia="Arial" w:hAnsi="Arial"/>
                <w:sz w:val="16"/>
                <w:szCs w:val="16"/>
                <w:color w:val="auto"/>
              </w:rPr>
              <w:t>Total incremental costs related to Winter Storm Uri, net</w:t>
            </w: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840" w:type="dxa"/>
            <w:vAlign w:val="bottom"/>
          </w:tcPr>
          <w:p>
            <w:pPr>
              <w:jc w:val="right"/>
              <w:spacing w:after="0"/>
              <w:rPr>
                <w:sz w:val="20"/>
                <w:szCs w:val="20"/>
                <w:color w:val="auto"/>
              </w:rPr>
            </w:pPr>
            <w:r>
              <w:rPr>
                <w:rFonts w:ascii="Arial" w:cs="Arial" w:eastAsia="Arial" w:hAnsi="Arial"/>
                <w:sz w:val="16"/>
                <w:szCs w:val="16"/>
                <w:color w:val="auto"/>
              </w:rPr>
              <w:t>571.3</w:t>
            </w:r>
          </w:p>
        </w:tc>
      </w:tr>
    </w:tbl>
    <w:p>
      <w:pPr>
        <w:spacing w:after="0" w:line="345" w:lineRule="exact"/>
        <w:rPr>
          <w:sz w:val="20"/>
          <w:szCs w:val="20"/>
          <w:color w:val="auto"/>
        </w:rPr>
      </w:pPr>
    </w:p>
    <w:p>
      <w:pPr>
        <w:ind w:right="40"/>
        <w:spacing w:after="0" w:line="251" w:lineRule="auto"/>
        <w:rPr>
          <w:rFonts w:ascii="Arial" w:cs="Arial" w:eastAsia="Arial" w:hAnsi="Arial"/>
          <w:sz w:val="16"/>
          <w:szCs w:val="16"/>
          <w:color w:val="auto"/>
        </w:rPr>
      </w:pPr>
      <w:r>
        <w:rPr>
          <w:rFonts w:ascii="Arial" w:cs="Arial" w:eastAsia="Arial" w:hAnsi="Arial"/>
          <w:sz w:val="16"/>
          <w:szCs w:val="16"/>
          <w:color w:val="auto"/>
        </w:rPr>
        <w:t xml:space="preserve">On February 24, 2021, we entered into a nine-month, $800 million unsecured term loan to provide additional liquidity and meet our cash needs related to the incremental fuel, purchased power and natural gas costs from Winter Storm Uri. The nine-month term loan has no prepayment penalty and is subject to the same covenants as our Revolving Credit Facility. As of March 31, 2021, we have repaid $200 million of this term loan and expect to refinance a portion with longer-term debt later in 2021. See </w:t>
      </w:r>
      <w:hyperlink w:anchor="page18">
        <w:r>
          <w:rPr>
            <w:rFonts w:ascii="Arial" w:cs="Arial" w:eastAsia="Arial" w:hAnsi="Arial"/>
            <w:sz w:val="16"/>
            <w:szCs w:val="16"/>
            <w:u w:val="single" w:color="auto"/>
            <w:color w:val="0000FF"/>
          </w:rPr>
          <w:t>Note 5</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of the Notes to Condensed Consolidated Financial Statements for additional term loan information.</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120"/>
        <w:spacing w:after="0" w:line="249" w:lineRule="auto"/>
        <w:rPr>
          <w:rFonts w:ascii="Arial" w:cs="Arial" w:eastAsia="Arial" w:hAnsi="Arial"/>
          <w:sz w:val="16"/>
          <w:szCs w:val="16"/>
          <w:color w:val="auto"/>
        </w:rPr>
      </w:pPr>
      <w:r>
        <w:rPr>
          <w:rFonts w:ascii="Arial" w:cs="Arial" w:eastAsia="Arial" w:hAnsi="Arial"/>
          <w:sz w:val="16"/>
          <w:szCs w:val="16"/>
          <w:color w:val="auto"/>
        </w:rPr>
        <w:t xml:space="preserve">Our Utilities have regulatory mechanisms to recover approximately $559 million of incremental costs from Winter Storm Uri. However, given the extraordinary impact of these higher costs to our customers, our regulators are performing a heightened review. We are engaged with our regulators to determine appropriate recovery periods for Winter Storm Uri incremental costs with consideration of the impacts to our customers’ bills. Our estimate of the recoverable incremental costs is based on anticipated filings that we expect to complete in the second quarter of 2021 and is subject to adjustments as applications are submitted and final decisions are issued. See </w:t>
      </w:r>
      <w:hyperlink w:anchor="page15">
        <w:r>
          <w:rPr>
            <w:rFonts w:ascii="Arial" w:cs="Arial" w:eastAsia="Arial" w:hAnsi="Arial"/>
            <w:sz w:val="16"/>
            <w:szCs w:val="16"/>
            <w:u w:val="single" w:color="auto"/>
            <w:color w:val="0000FF"/>
          </w:rPr>
          <w:t>Note 2</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of the Notes to Condensed Consolidated Financial Statements for information regarding estimated Winter Storm Uri incremental costs by jurisdiction.</w:t>
      </w:r>
    </w:p>
    <w:p>
      <w:pPr>
        <w:spacing w:after="0" w:line="232"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For the three months ended March 31, 2021, we expensed $12.5 million of Winter Storm Uri net incremental costs as a result of negative impacts to our Utilities and financing costs partially offset by favorable impacts to our Power Generation segment. Our Electric Utilities incurred a $3.2 million negative impact to regulated wholesale power margins due to higher fuel costs and $2.1 million of incremental fuel costs that are not recoverable through our fuel cost recovery mechanisms. Black Hills Energy Services offers fixed contract pricing for non-regulated gas supply services to our regulated natural gas customers and $8.2 million of increased cost of natural gas sold during Winter Storm Uri is not recoverable through the regulatory construct. Additionally, we incurred $0.7 million of interest expense for the three months ended March 31, 2021, related to our $800 million term loan. Our non-regulated Power Generation segment benefited from a $1.7 million favorable impact to operating income from Winter Storm Uri. We expect opportunities in 2021 to mitigate these negative impacts through cost management and regulatory actions.</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COVID-19 Update</w:t>
      </w:r>
    </w:p>
    <w:p>
      <w:pPr>
        <w:spacing w:after="0" w:line="268" w:lineRule="exact"/>
        <w:rPr>
          <w:sz w:val="20"/>
          <w:szCs w:val="20"/>
          <w:color w:val="auto"/>
        </w:rPr>
      </w:pPr>
    </w:p>
    <w:p>
      <w:pPr>
        <w:ind w:right="300"/>
        <w:spacing w:after="0" w:line="251" w:lineRule="auto"/>
        <w:rPr>
          <w:sz w:val="20"/>
          <w:szCs w:val="20"/>
          <w:color w:val="auto"/>
        </w:rPr>
      </w:pPr>
      <w:r>
        <w:rPr>
          <w:rFonts w:ascii="Arial" w:cs="Arial" w:eastAsia="Arial" w:hAnsi="Arial"/>
          <w:sz w:val="16"/>
          <w:szCs w:val="16"/>
          <w:color w:val="auto"/>
        </w:rPr>
        <w:t xml:space="preserve">For the three months ended March 31, 2021, we did not experience significant impacts to our financial results, liquidity or operational activities due to COVID-19. We continue to monitor loads, customers’ ability to pay, the potential for supply chain disruption that may impact our capital and maintenance project plans, the availability of third-party resources to execute our business plans and the capital markets to ensure we have the liquidity necessary to support our financial needs. </w:t>
      </w:r>
      <w:r>
        <w:rPr>
          <w:rFonts w:ascii="Arial" w:cs="Arial" w:eastAsia="Arial" w:hAnsi="Arial"/>
          <w:sz w:val="16"/>
          <w:szCs w:val="16"/>
          <w:color w:val="212529"/>
        </w:rPr>
        <w:t>State orders lifting temporarily suspended disconnections have been issued in all of our jurisdictions.</w:t>
      </w:r>
    </w:p>
    <w:p>
      <w:pPr>
        <w:spacing w:after="0" w:line="229" w:lineRule="exact"/>
        <w:rPr>
          <w:sz w:val="20"/>
          <w:szCs w:val="20"/>
          <w:color w:val="auto"/>
        </w:rPr>
      </w:pPr>
    </w:p>
    <w:p>
      <w:pPr>
        <w:ind w:right="360"/>
        <w:spacing w:after="0" w:line="260" w:lineRule="auto"/>
        <w:rPr>
          <w:sz w:val="20"/>
          <w:szCs w:val="20"/>
          <w:color w:val="auto"/>
        </w:rPr>
      </w:pPr>
      <w:r>
        <w:rPr>
          <w:rFonts w:ascii="Arial" w:cs="Arial" w:eastAsia="Arial" w:hAnsi="Arial"/>
          <w:sz w:val="16"/>
          <w:szCs w:val="16"/>
          <w:color w:val="auto"/>
        </w:rPr>
        <w:t>We continue to provide periodic status updates and maintain ongoing dialogue with the regulatory commissions in our jurisdictions regarding our right to preserve deferred regulatory treatment for certain COVID-19 related costs and to seek recovery of these costs at a later date.</w:t>
      </w:r>
    </w:p>
    <w:p>
      <w:pPr>
        <w:spacing w:after="0" w:line="222" w:lineRule="exact"/>
        <w:rPr>
          <w:sz w:val="20"/>
          <w:szCs w:val="20"/>
          <w:color w:val="auto"/>
        </w:rPr>
      </w:pPr>
    </w:p>
    <w:p>
      <w:pPr>
        <w:ind w:right="140"/>
        <w:spacing w:after="0" w:line="260" w:lineRule="auto"/>
        <w:rPr>
          <w:sz w:val="20"/>
          <w:szCs w:val="20"/>
          <w:color w:val="auto"/>
        </w:rPr>
      </w:pPr>
      <w:r>
        <w:rPr>
          <w:rFonts w:ascii="Arial" w:cs="Arial" w:eastAsia="Arial" w:hAnsi="Arial"/>
          <w:sz w:val="16"/>
          <w:szCs w:val="16"/>
          <w:color w:val="auto"/>
        </w:rPr>
        <w:t>As we look forward, our operating results from COVID-19 could be affected as discussed in the “Risk Factors” section in Part I, Item 1A of our 2020 Annual Report on Form 10-K.</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Business Segment Highlights and Corporate Activity</w:t>
      </w: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Electric Utilities Segment</w:t>
      </w:r>
    </w:p>
    <w:p>
      <w:pPr>
        <w:spacing w:after="0" w:line="248" w:lineRule="exact"/>
        <w:rPr>
          <w:sz w:val="20"/>
          <w:szCs w:val="20"/>
          <w:color w:val="auto"/>
        </w:rPr>
      </w:pPr>
    </w:p>
    <w:p>
      <w:pPr>
        <w:ind w:left="660" w:right="40" w:hanging="328"/>
        <w:spacing w:after="0" w:line="249" w:lineRule="auto"/>
        <w:tabs>
          <w:tab w:leader="none" w:pos="649" w:val="left"/>
        </w:tabs>
        <w:numPr>
          <w:ilvl w:val="0"/>
          <w:numId w:val="19"/>
        </w:numPr>
        <w:rPr>
          <w:rFonts w:ascii="Arial" w:cs="Arial" w:eastAsia="Arial" w:hAnsi="Arial"/>
          <w:sz w:val="16"/>
          <w:szCs w:val="16"/>
          <w:color w:val="auto"/>
        </w:rPr>
      </w:pPr>
      <w:r>
        <w:rPr>
          <w:rFonts w:ascii="Arial" w:cs="Arial" w:eastAsia="Arial" w:hAnsi="Arial"/>
          <w:sz w:val="16"/>
          <w:szCs w:val="16"/>
          <w:color w:val="auto"/>
        </w:rPr>
        <w:t>On February 19, 2021, Colorado Electric entered into a PPA with TC Colorado Solar, LLC to purchase up to 200 MW of renewable energy upon construction of a new solar facility, to be owned by TC Colorado Solar, LLC, which is expected to be completed by the end of 2023. This agreement will expire 15 years after construction completion. The utility-scale solar project represents Colorado Electric’s preferred bid in a competitive solicitation process completed in September 2020 through its Renewable Advantage plan. With the addition of 200 MW of solar energy on its system, more than half of the Colorado Electric’s generation is forecasted to be sourced from renewable energy resources by 2023, leading to a 70% reduction in carbon emissions by 2024 compared to the 2005 base year.</w:t>
      </w:r>
    </w:p>
    <w:p>
      <w:pPr>
        <w:spacing w:after="0" w:line="231" w:lineRule="exact"/>
        <w:rPr>
          <w:rFonts w:ascii="Arial" w:cs="Arial" w:eastAsia="Arial" w:hAnsi="Arial"/>
          <w:sz w:val="16"/>
          <w:szCs w:val="16"/>
          <w:color w:val="auto"/>
        </w:rPr>
      </w:pPr>
    </w:p>
    <w:p>
      <w:pPr>
        <w:ind w:left="660" w:right="620" w:hanging="328"/>
        <w:spacing w:after="0" w:line="260" w:lineRule="auto"/>
        <w:tabs>
          <w:tab w:leader="none" w:pos="649" w:val="left"/>
        </w:tabs>
        <w:numPr>
          <w:ilvl w:val="0"/>
          <w:numId w:val="19"/>
        </w:numPr>
        <w:rPr>
          <w:rFonts w:ascii="Arial" w:cs="Arial" w:eastAsia="Arial" w:hAnsi="Arial"/>
          <w:sz w:val="16"/>
          <w:szCs w:val="16"/>
          <w:color w:val="auto"/>
        </w:rPr>
      </w:pPr>
      <w:r>
        <w:rPr>
          <w:rFonts w:ascii="Arial" w:cs="Arial" w:eastAsia="Arial" w:hAnsi="Arial"/>
          <w:sz w:val="16"/>
          <w:szCs w:val="16"/>
          <w:color w:val="auto"/>
        </w:rPr>
        <w:t>On February 11, 2021, South Dakota Electric set a new winter peak load of 326 MW, surpassing the previous winter peak of 320 MW set in February 2019.</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Gas Utilities Segment</w:t>
      </w:r>
    </w:p>
    <w:p>
      <w:pPr>
        <w:spacing w:after="0" w:line="248" w:lineRule="exact"/>
        <w:rPr>
          <w:sz w:val="20"/>
          <w:szCs w:val="20"/>
          <w:color w:val="auto"/>
        </w:rPr>
      </w:pPr>
    </w:p>
    <w:p>
      <w:pPr>
        <w:ind w:left="660" w:right="180" w:hanging="328"/>
        <w:spacing w:after="0" w:line="251" w:lineRule="auto"/>
        <w:tabs>
          <w:tab w:leader="none" w:pos="649" w:val="left"/>
        </w:tabs>
        <w:numPr>
          <w:ilvl w:val="0"/>
          <w:numId w:val="20"/>
        </w:numPr>
        <w:rPr>
          <w:rFonts w:ascii="Arial" w:cs="Arial" w:eastAsia="Arial" w:hAnsi="Arial"/>
          <w:sz w:val="16"/>
          <w:szCs w:val="16"/>
          <w:color w:val="auto"/>
        </w:rPr>
      </w:pPr>
      <w:r>
        <w:rPr>
          <w:rFonts w:ascii="Arial" w:cs="Arial" w:eastAsia="Arial" w:hAnsi="Arial"/>
          <w:sz w:val="16"/>
          <w:szCs w:val="16"/>
          <w:color w:val="auto"/>
        </w:rPr>
        <w:t>On January 26, 2021, Nebraska Gas received approval from the NPSC to consolidate rate schedules into a new, single statewide structure and recover infrastructure investments in its 13,000-mile natural gas pipeline system. Final rates were enacted on March 1, 2021 and are expected to generate $6.5 million in new annual revenue with a capital structure of 50% equity and 50% debt and an authorized return on equity of 9.5%. The approval also includes an extension of the SSIR for five years and an expansion of this mechanism across the consolidated jurisdictions.</w:t>
      </w:r>
    </w:p>
    <w:p>
      <w:pPr>
        <w:spacing w:after="0" w:line="229" w:lineRule="exact"/>
        <w:rPr>
          <w:rFonts w:ascii="Arial" w:cs="Arial" w:eastAsia="Arial" w:hAnsi="Arial"/>
          <w:sz w:val="16"/>
          <w:szCs w:val="16"/>
          <w:color w:val="auto"/>
        </w:rPr>
      </w:pPr>
    </w:p>
    <w:p>
      <w:pPr>
        <w:ind w:left="660" w:right="220" w:hanging="328"/>
        <w:spacing w:after="0" w:line="253" w:lineRule="auto"/>
        <w:tabs>
          <w:tab w:leader="none" w:pos="649" w:val="left"/>
        </w:tabs>
        <w:numPr>
          <w:ilvl w:val="0"/>
          <w:numId w:val="20"/>
        </w:numPr>
        <w:rPr>
          <w:rFonts w:ascii="Arial" w:cs="Arial" w:eastAsia="Arial" w:hAnsi="Arial"/>
          <w:sz w:val="16"/>
          <w:szCs w:val="16"/>
          <w:color w:val="auto"/>
        </w:rPr>
      </w:pPr>
      <w:r>
        <w:rPr>
          <w:rFonts w:ascii="Arial" w:cs="Arial" w:eastAsia="Arial" w:hAnsi="Arial"/>
          <w:sz w:val="16"/>
          <w:szCs w:val="16"/>
          <w:color w:val="auto"/>
        </w:rPr>
        <w:t>On September 11, 2020, Colorado Gas filed a rate review with the CPUC seeking recovery on infrastructure investments in its 7,000-mile natural gas pipeline system. On January 6, 2021, the CPUC issued an Order dismissing the rate review. Colorado Gas plans to file a rate review in the second quarter of 2021.</w:t>
      </w:r>
    </w:p>
    <w:p>
      <w:pPr>
        <w:spacing w:after="0" w:line="228" w:lineRule="exact"/>
        <w:rPr>
          <w:rFonts w:ascii="Arial" w:cs="Arial" w:eastAsia="Arial" w:hAnsi="Arial"/>
          <w:sz w:val="16"/>
          <w:szCs w:val="16"/>
          <w:color w:val="auto"/>
        </w:rPr>
      </w:pPr>
    </w:p>
    <w:p>
      <w:pPr>
        <w:ind w:left="660" w:right="120"/>
        <w:spacing w:after="0" w:line="253" w:lineRule="auto"/>
        <w:rPr>
          <w:rFonts w:ascii="Arial" w:cs="Arial" w:eastAsia="Arial" w:hAnsi="Arial"/>
          <w:sz w:val="16"/>
          <w:szCs w:val="16"/>
          <w:color w:val="auto"/>
        </w:rPr>
      </w:pPr>
      <w:r>
        <w:rPr>
          <w:rFonts w:ascii="Arial" w:cs="Arial" w:eastAsia="Arial" w:hAnsi="Arial"/>
          <w:sz w:val="16"/>
          <w:szCs w:val="16"/>
          <w:color w:val="auto"/>
        </w:rPr>
        <w:t>On September 11, 2020, in accordance with the final order from the earlier rate review filed February 1, 2019, Colorado Gas filed a SSIR proposal with the CPUC that would recover safety and integrity focused investments in its system for five years. A decision from the CPUC is expected by mid-2021.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1" w:name="page32"/>
    <w:bookmarkEnd w:id="31"/>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Results of Operations</w:t>
      </w:r>
    </w:p>
    <w:p>
      <w:pPr>
        <w:spacing w:after="0" w:line="268" w:lineRule="exact"/>
        <w:rPr>
          <w:sz w:val="20"/>
          <w:szCs w:val="20"/>
          <w:color w:val="auto"/>
        </w:rPr>
      </w:pPr>
    </w:p>
    <w:p>
      <w:pPr>
        <w:ind w:right="120"/>
        <w:spacing w:after="0" w:line="260" w:lineRule="auto"/>
        <w:rPr>
          <w:sz w:val="20"/>
          <w:szCs w:val="20"/>
          <w:color w:val="auto"/>
        </w:rPr>
      </w:pPr>
      <w:r>
        <w:rPr>
          <w:rFonts w:ascii="Arial" w:cs="Arial" w:eastAsia="Arial" w:hAnsi="Arial"/>
          <w:sz w:val="16"/>
          <w:szCs w:val="16"/>
          <w:color w:val="auto"/>
        </w:rPr>
        <w:t>The segment information does not include inter-company eliminations. Minor differences in amounts may result due to rounding. All amounts are presented on a pre-tax basis unless otherwise indicated.</w:t>
      </w:r>
    </w:p>
    <w:p>
      <w:pPr>
        <w:spacing w:after="0" w:line="222" w:lineRule="exact"/>
        <w:rPr>
          <w:sz w:val="20"/>
          <w:szCs w:val="20"/>
          <w:color w:val="auto"/>
        </w:rPr>
      </w:pPr>
    </w:p>
    <w:p>
      <w:pPr>
        <w:ind w:right="160"/>
        <w:spacing w:after="0" w:line="249" w:lineRule="auto"/>
        <w:rPr>
          <w:sz w:val="20"/>
          <w:szCs w:val="20"/>
          <w:color w:val="auto"/>
        </w:rPr>
      </w:pPr>
      <w:r>
        <w:rPr>
          <w:rFonts w:ascii="Arial" w:cs="Arial" w:eastAsia="Arial" w:hAnsi="Arial"/>
          <w:sz w:val="16"/>
          <w:szCs w:val="16"/>
          <w:color w:val="auto"/>
        </w:rPr>
        <w:t>Certain lines of business in which we operate are highly seasonal, and revenue from, and certain expenses for, such operations may fluctuate significantly among quarterly periods. Demand for electricity and natural gas is sensitive to seasonal cooling, heating and industrial load requirements. In particular, the normal peak usage season for our Electric Utilities is June through August while the normal peak usage season for our Gas Utilities is November through March. Significant earnings variances can be expected between the Gas Utilities segment’s peak and off-peak seasons. Due to this seasonal nature, our results of operations for the three months ended March 31, 2021 and 2020, and our financial condition as of March 31, 2021 and December 31, 2020, are not necessarily indicative of the results of operations and financial condition to be expected as of or for any other period or for the entire year.</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300" w:type="dxa"/>
            <w:vAlign w:val="bottom"/>
          </w:tcPr>
          <w:p>
            <w:pPr>
              <w:spacing w:after="0"/>
              <w:rPr>
                <w:sz w:val="20"/>
                <w:szCs w:val="20"/>
                <w:color w:val="auto"/>
              </w:rPr>
            </w:pPr>
            <w:r>
              <w:rPr>
                <w:rFonts w:ascii="Arial" w:cs="Arial" w:eastAsia="Arial" w:hAnsi="Arial"/>
                <w:sz w:val="16"/>
                <w:szCs w:val="16"/>
                <w:b w:val="1"/>
                <w:bCs w:val="1"/>
                <w:color w:val="auto"/>
              </w:rPr>
              <w:t>Consolidated Summary and Overview</w:t>
            </w:r>
          </w:p>
        </w:tc>
        <w:tc>
          <w:tcPr>
            <w:tcW w:w="1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7300" w:type="dxa"/>
            <w:vAlign w:val="bottom"/>
          </w:tcPr>
          <w:p>
            <w:pPr>
              <w:spacing w:after="0"/>
              <w:rPr>
                <w:sz w:val="24"/>
                <w:szCs w:val="24"/>
                <w:color w:val="auto"/>
              </w:rPr>
            </w:pPr>
          </w:p>
        </w:tc>
        <w:tc>
          <w:tcPr>
            <w:tcW w:w="3180" w:type="dxa"/>
            <w:vAlign w:val="bottom"/>
            <w:gridSpan w:val="3"/>
          </w:tcPr>
          <w:p>
            <w:pPr>
              <w:jc w:val="right"/>
              <w:spacing w:after="0"/>
              <w:rPr>
                <w:sz w:val="20"/>
                <w:szCs w:val="20"/>
                <w:color w:val="auto"/>
              </w:rPr>
            </w:pPr>
            <w:r>
              <w:rPr>
                <w:rFonts w:ascii="Arial" w:cs="Arial" w:eastAsia="Arial" w:hAnsi="Arial"/>
                <w:sz w:val="16"/>
                <w:szCs w:val="16"/>
                <w:color w:val="auto"/>
              </w:rPr>
              <w:t>Three Months Ended March 31,</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7300" w:type="dxa"/>
            <w:vAlign w:val="bottom"/>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2021</w:t>
            </w:r>
          </w:p>
        </w:tc>
        <w:tc>
          <w:tcPr>
            <w:tcW w:w="7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2020</w:t>
            </w:r>
          </w:p>
        </w:tc>
        <w:tc>
          <w:tcPr>
            <w:tcW w:w="7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300" w:type="dxa"/>
            <w:vAlign w:val="bottom"/>
          </w:tcPr>
          <w:p>
            <w:pPr>
              <w:spacing w:after="0"/>
              <w:rPr>
                <w:sz w:val="18"/>
                <w:szCs w:val="18"/>
                <w:color w:val="auto"/>
              </w:rPr>
            </w:pPr>
          </w:p>
        </w:tc>
        <w:tc>
          <w:tcPr>
            <w:tcW w:w="3920" w:type="dxa"/>
            <w:vAlign w:val="bottom"/>
            <w:gridSpan w:val="4"/>
          </w:tcPr>
          <w:p>
            <w:pPr>
              <w:jc w:val="right"/>
              <w:ind w:right="419"/>
              <w:spacing w:after="0"/>
              <w:rPr>
                <w:sz w:val="20"/>
                <w:szCs w:val="20"/>
                <w:color w:val="auto"/>
              </w:rPr>
            </w:pPr>
            <w:r>
              <w:rPr>
                <w:rFonts w:ascii="Arial" w:cs="Arial" w:eastAsia="Arial" w:hAnsi="Arial"/>
                <w:sz w:val="16"/>
                <w:szCs w:val="16"/>
                <w:color w:val="auto"/>
              </w:rPr>
              <w:t>(in thousands except per share amounts)</w:t>
            </w:r>
          </w:p>
        </w:tc>
        <w:tc>
          <w:tcPr>
            <w:tcW w:w="0" w:type="dxa"/>
            <w:vAlign w:val="bottom"/>
          </w:tcPr>
          <w:p>
            <w:pPr>
              <w:spacing w:after="0"/>
              <w:rPr>
                <w:sz w:val="1"/>
                <w:szCs w:val="1"/>
                <w:color w:val="auto"/>
              </w:rPr>
            </w:pPr>
          </w:p>
        </w:tc>
      </w:tr>
      <w:tr>
        <w:trPr>
          <w:trHeight w:val="219"/>
        </w:trPr>
        <w:tc>
          <w:tcPr>
            <w:tcW w:w="7300" w:type="dxa"/>
            <w:vAlign w:val="bottom"/>
            <w:shd w:val="clear" w:color="auto" w:fill="CEFFE7"/>
          </w:tcPr>
          <w:p>
            <w:pPr>
              <w:ind w:left="20"/>
              <w:spacing w:after="0" w:line="219" w:lineRule="exact"/>
              <w:rPr>
                <w:sz w:val="20"/>
                <w:szCs w:val="20"/>
                <w:color w:val="auto"/>
              </w:rPr>
            </w:pPr>
            <w:r>
              <w:rPr>
                <w:rFonts w:ascii="Arial" w:cs="Arial" w:eastAsia="Arial" w:hAnsi="Arial"/>
                <w:sz w:val="16"/>
                <w:szCs w:val="16"/>
                <w:color w:val="auto"/>
              </w:rPr>
              <w:t xml:space="preserve">Adjusted operating income </w:t>
            </w:r>
            <w:r>
              <w:rPr>
                <w:rFonts w:ascii="Arial" w:cs="Arial" w:eastAsia="Arial" w:hAnsi="Arial"/>
                <w:sz w:val="21"/>
                <w:szCs w:val="21"/>
                <w:color w:val="auto"/>
                <w:vertAlign w:val="superscript"/>
              </w:rPr>
              <w:t>(a)</w:t>
            </w:r>
          </w:p>
        </w:tc>
        <w:tc>
          <w:tcPr>
            <w:tcW w:w="1220" w:type="dxa"/>
            <w:vAlign w:val="bottom"/>
            <w:shd w:val="clear" w:color="auto" w:fill="CEFFE7"/>
          </w:tcPr>
          <w:p>
            <w:pPr>
              <w:spacing w:after="0"/>
              <w:rPr>
                <w:sz w:val="19"/>
                <w:szCs w:val="19"/>
                <w:color w:val="auto"/>
              </w:rPr>
            </w:pPr>
          </w:p>
        </w:tc>
        <w:tc>
          <w:tcPr>
            <w:tcW w:w="740" w:type="dxa"/>
            <w:vAlign w:val="bottom"/>
            <w:shd w:val="clear" w:color="auto" w:fill="CEFFE7"/>
          </w:tcPr>
          <w:p>
            <w:pPr>
              <w:spacing w:after="0"/>
              <w:rPr>
                <w:sz w:val="19"/>
                <w:szCs w:val="19"/>
                <w:color w:val="auto"/>
              </w:rPr>
            </w:pPr>
          </w:p>
        </w:tc>
        <w:tc>
          <w:tcPr>
            <w:tcW w:w="1220" w:type="dxa"/>
            <w:vAlign w:val="bottom"/>
            <w:shd w:val="clear" w:color="auto" w:fill="CEFFE7"/>
          </w:tcPr>
          <w:p>
            <w:pPr>
              <w:spacing w:after="0"/>
              <w:rPr>
                <w:sz w:val="19"/>
                <w:szCs w:val="19"/>
                <w:color w:val="auto"/>
              </w:rPr>
            </w:pPr>
          </w:p>
        </w:tc>
        <w:tc>
          <w:tcPr>
            <w:tcW w:w="740" w:type="dxa"/>
            <w:vAlign w:val="bottom"/>
            <w:shd w:val="clear" w:color="auto" w:fill="CEFFE7"/>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300" w:type="dxa"/>
            <w:vAlign w:val="bottom"/>
          </w:tcPr>
          <w:p>
            <w:pPr>
              <w:ind w:left="260"/>
              <w:spacing w:after="0"/>
              <w:rPr>
                <w:sz w:val="20"/>
                <w:szCs w:val="20"/>
                <w:color w:val="auto"/>
              </w:rPr>
            </w:pPr>
            <w:r>
              <w:rPr>
                <w:rFonts w:ascii="Arial" w:cs="Arial" w:eastAsia="Arial" w:hAnsi="Arial"/>
                <w:sz w:val="16"/>
                <w:szCs w:val="16"/>
                <w:color w:val="auto"/>
              </w:rPr>
              <w:t>Electric Utilities</w:t>
            </w:r>
          </w:p>
        </w:tc>
        <w:tc>
          <w:tcPr>
            <w:tcW w:w="1220" w:type="dxa"/>
            <w:vAlign w:val="bottom"/>
          </w:tcPr>
          <w:p>
            <w:pPr>
              <w:jc w:val="right"/>
              <w:ind w:right="103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21,813</w:t>
            </w:r>
          </w:p>
        </w:tc>
        <w:tc>
          <w:tcPr>
            <w:tcW w:w="1220" w:type="dxa"/>
            <w:vAlign w:val="bottom"/>
          </w:tcPr>
          <w:p>
            <w:pPr>
              <w:jc w:val="right"/>
              <w:ind w:right="103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35,650</w:t>
            </w:r>
          </w:p>
        </w:tc>
        <w:tc>
          <w:tcPr>
            <w:tcW w:w="0" w:type="dxa"/>
            <w:vAlign w:val="bottom"/>
          </w:tcPr>
          <w:p>
            <w:pPr>
              <w:spacing w:after="0"/>
              <w:rPr>
                <w:sz w:val="1"/>
                <w:szCs w:val="1"/>
                <w:color w:val="auto"/>
              </w:rPr>
            </w:pPr>
          </w:p>
        </w:tc>
      </w:tr>
      <w:tr>
        <w:trPr>
          <w:trHeight w:val="219"/>
        </w:trPr>
        <w:tc>
          <w:tcPr>
            <w:tcW w:w="7300" w:type="dxa"/>
            <w:vAlign w:val="bottom"/>
            <w:shd w:val="clear" w:color="auto" w:fill="CEFFE7"/>
          </w:tcPr>
          <w:p>
            <w:pPr>
              <w:ind w:left="260"/>
              <w:spacing w:after="0"/>
              <w:rPr>
                <w:sz w:val="20"/>
                <w:szCs w:val="20"/>
                <w:color w:val="auto"/>
              </w:rPr>
            </w:pPr>
            <w:r>
              <w:rPr>
                <w:rFonts w:ascii="Arial" w:cs="Arial" w:eastAsia="Arial" w:hAnsi="Arial"/>
                <w:sz w:val="16"/>
                <w:szCs w:val="16"/>
                <w:color w:val="auto"/>
              </w:rPr>
              <w:t>Gas Utilities</w:t>
            </w:r>
          </w:p>
        </w:tc>
        <w:tc>
          <w:tcPr>
            <w:tcW w:w="1220" w:type="dxa"/>
            <w:vAlign w:val="bottom"/>
            <w:shd w:val="clear" w:color="auto" w:fill="CEFFE7"/>
          </w:tcPr>
          <w:p>
            <w:pPr>
              <w:spacing w:after="0"/>
              <w:rPr>
                <w:sz w:val="19"/>
                <w:szCs w:val="19"/>
                <w:color w:val="auto"/>
              </w:rPr>
            </w:pPr>
          </w:p>
        </w:tc>
        <w:tc>
          <w:tcPr>
            <w:tcW w:w="7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102,094</w:t>
            </w:r>
          </w:p>
        </w:tc>
        <w:tc>
          <w:tcPr>
            <w:tcW w:w="1220" w:type="dxa"/>
            <w:vAlign w:val="bottom"/>
            <w:shd w:val="clear" w:color="auto" w:fill="CEFFE7"/>
          </w:tcPr>
          <w:p>
            <w:pPr>
              <w:spacing w:after="0"/>
              <w:rPr>
                <w:sz w:val="19"/>
                <w:szCs w:val="19"/>
                <w:color w:val="auto"/>
              </w:rPr>
            </w:pPr>
          </w:p>
        </w:tc>
        <w:tc>
          <w:tcPr>
            <w:tcW w:w="7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102,897</w:t>
            </w:r>
          </w:p>
        </w:tc>
        <w:tc>
          <w:tcPr>
            <w:tcW w:w="0" w:type="dxa"/>
            <w:vAlign w:val="bottom"/>
          </w:tcPr>
          <w:p>
            <w:pPr>
              <w:spacing w:after="0"/>
              <w:rPr>
                <w:sz w:val="1"/>
                <w:szCs w:val="1"/>
                <w:color w:val="auto"/>
              </w:rPr>
            </w:pPr>
          </w:p>
        </w:tc>
      </w:tr>
      <w:tr>
        <w:trPr>
          <w:trHeight w:val="213"/>
        </w:trPr>
        <w:tc>
          <w:tcPr>
            <w:tcW w:w="7300" w:type="dxa"/>
            <w:vAlign w:val="bottom"/>
          </w:tcPr>
          <w:p>
            <w:pPr>
              <w:ind w:left="260"/>
              <w:spacing w:after="0"/>
              <w:rPr>
                <w:sz w:val="20"/>
                <w:szCs w:val="20"/>
                <w:color w:val="auto"/>
              </w:rPr>
            </w:pPr>
            <w:r>
              <w:rPr>
                <w:rFonts w:ascii="Arial" w:cs="Arial" w:eastAsia="Arial" w:hAnsi="Arial"/>
                <w:sz w:val="16"/>
                <w:szCs w:val="16"/>
                <w:color w:val="auto"/>
              </w:rPr>
              <w:t>Power Generation</w:t>
            </w:r>
          </w:p>
        </w:tc>
        <w:tc>
          <w:tcPr>
            <w:tcW w:w="1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14,269</w:t>
            </w:r>
          </w:p>
        </w:tc>
        <w:tc>
          <w:tcPr>
            <w:tcW w:w="1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11,349</w:t>
            </w:r>
          </w:p>
        </w:tc>
        <w:tc>
          <w:tcPr>
            <w:tcW w:w="0" w:type="dxa"/>
            <w:vAlign w:val="bottom"/>
          </w:tcPr>
          <w:p>
            <w:pPr>
              <w:spacing w:after="0"/>
              <w:rPr>
                <w:sz w:val="1"/>
                <w:szCs w:val="1"/>
                <w:color w:val="auto"/>
              </w:rPr>
            </w:pPr>
          </w:p>
        </w:tc>
      </w:tr>
      <w:tr>
        <w:trPr>
          <w:trHeight w:val="219"/>
        </w:trPr>
        <w:tc>
          <w:tcPr>
            <w:tcW w:w="7300" w:type="dxa"/>
            <w:vAlign w:val="bottom"/>
            <w:shd w:val="clear" w:color="auto" w:fill="CEFFE7"/>
          </w:tcPr>
          <w:p>
            <w:pPr>
              <w:ind w:left="260"/>
              <w:spacing w:after="0"/>
              <w:rPr>
                <w:sz w:val="20"/>
                <w:szCs w:val="20"/>
                <w:color w:val="auto"/>
              </w:rPr>
            </w:pPr>
            <w:r>
              <w:rPr>
                <w:rFonts w:ascii="Arial" w:cs="Arial" w:eastAsia="Arial" w:hAnsi="Arial"/>
                <w:sz w:val="16"/>
                <w:szCs w:val="16"/>
                <w:color w:val="auto"/>
              </w:rPr>
              <w:t>Mining</w:t>
            </w:r>
          </w:p>
        </w:tc>
        <w:tc>
          <w:tcPr>
            <w:tcW w:w="1220" w:type="dxa"/>
            <w:vAlign w:val="bottom"/>
            <w:shd w:val="clear" w:color="auto" w:fill="CEFFE7"/>
          </w:tcPr>
          <w:p>
            <w:pPr>
              <w:spacing w:after="0"/>
              <w:rPr>
                <w:sz w:val="19"/>
                <w:szCs w:val="19"/>
                <w:color w:val="auto"/>
              </w:rPr>
            </w:pPr>
          </w:p>
        </w:tc>
        <w:tc>
          <w:tcPr>
            <w:tcW w:w="7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3,261</w:t>
            </w:r>
          </w:p>
        </w:tc>
        <w:tc>
          <w:tcPr>
            <w:tcW w:w="1220" w:type="dxa"/>
            <w:vAlign w:val="bottom"/>
            <w:shd w:val="clear" w:color="auto" w:fill="CEFFE7"/>
          </w:tcPr>
          <w:p>
            <w:pPr>
              <w:spacing w:after="0"/>
              <w:rPr>
                <w:sz w:val="19"/>
                <w:szCs w:val="19"/>
                <w:color w:val="auto"/>
              </w:rPr>
            </w:pPr>
          </w:p>
        </w:tc>
        <w:tc>
          <w:tcPr>
            <w:tcW w:w="7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3,129</w:t>
            </w:r>
          </w:p>
        </w:tc>
        <w:tc>
          <w:tcPr>
            <w:tcW w:w="0" w:type="dxa"/>
            <w:vAlign w:val="bottom"/>
          </w:tcPr>
          <w:p>
            <w:pPr>
              <w:spacing w:after="0"/>
              <w:rPr>
                <w:sz w:val="1"/>
                <w:szCs w:val="1"/>
                <w:color w:val="auto"/>
              </w:rPr>
            </w:pPr>
          </w:p>
        </w:tc>
      </w:tr>
      <w:tr>
        <w:trPr>
          <w:trHeight w:val="213"/>
        </w:trPr>
        <w:tc>
          <w:tcPr>
            <w:tcW w:w="7300" w:type="dxa"/>
            <w:vAlign w:val="bottom"/>
            <w:tcBorders>
              <w:bottom w:val="single" w:sz="8" w:color="CEFFE7"/>
            </w:tcBorders>
          </w:tcPr>
          <w:p>
            <w:pPr>
              <w:ind w:left="260"/>
              <w:spacing w:after="0"/>
              <w:rPr>
                <w:sz w:val="20"/>
                <w:szCs w:val="20"/>
                <w:color w:val="auto"/>
              </w:rPr>
            </w:pPr>
            <w:r>
              <w:rPr>
                <w:rFonts w:ascii="Arial" w:cs="Arial" w:eastAsia="Arial" w:hAnsi="Arial"/>
                <w:sz w:val="16"/>
                <w:szCs w:val="16"/>
                <w:color w:val="auto"/>
              </w:rPr>
              <w:t>Corporate and Other</w:t>
            </w:r>
          </w:p>
        </w:tc>
        <w:tc>
          <w:tcPr>
            <w:tcW w:w="1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(3,122)</w:t>
            </w:r>
          </w:p>
        </w:tc>
        <w:tc>
          <w:tcPr>
            <w:tcW w:w="1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w:t>
            </w:r>
          </w:p>
        </w:tc>
        <w:tc>
          <w:tcPr>
            <w:tcW w:w="0" w:type="dxa"/>
            <w:vAlign w:val="bottom"/>
          </w:tcPr>
          <w:p>
            <w:pPr>
              <w:spacing w:after="0"/>
              <w:rPr>
                <w:sz w:val="1"/>
                <w:szCs w:val="1"/>
                <w:color w:val="auto"/>
              </w:rPr>
            </w:pPr>
          </w:p>
        </w:tc>
      </w:tr>
      <w:tr>
        <w:trPr>
          <w:trHeight w:val="209"/>
        </w:trPr>
        <w:tc>
          <w:tcPr>
            <w:tcW w:w="7300" w:type="dxa"/>
            <w:vAlign w:val="bottom"/>
            <w:shd w:val="clear" w:color="auto" w:fill="CEFFE7"/>
          </w:tcPr>
          <w:p>
            <w:pPr>
              <w:ind w:left="20"/>
              <w:spacing w:after="0"/>
              <w:rPr>
                <w:sz w:val="20"/>
                <w:szCs w:val="20"/>
                <w:color w:val="auto"/>
              </w:rPr>
            </w:pPr>
            <w:r>
              <w:rPr>
                <w:rFonts w:ascii="Arial" w:cs="Arial" w:eastAsia="Arial" w:hAnsi="Arial"/>
                <w:sz w:val="16"/>
                <w:szCs w:val="16"/>
                <w:color w:val="auto"/>
              </w:rPr>
              <w:t>Operating income</w:t>
            </w:r>
          </w:p>
        </w:tc>
        <w:tc>
          <w:tcPr>
            <w:tcW w:w="1220" w:type="dxa"/>
            <w:vAlign w:val="bottom"/>
            <w:tcBorders>
              <w:bottom w:val="single" w:sz="8" w:color="auto"/>
            </w:tcBorders>
            <w:shd w:val="clear" w:color="auto" w:fill="CEFFE7"/>
          </w:tcPr>
          <w:p>
            <w:pPr>
              <w:spacing w:after="0"/>
              <w:rPr>
                <w:sz w:val="18"/>
                <w:szCs w:val="18"/>
                <w:color w:val="auto"/>
              </w:rPr>
            </w:pPr>
          </w:p>
        </w:tc>
        <w:tc>
          <w:tcPr>
            <w:tcW w:w="7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138,315</w:t>
            </w:r>
          </w:p>
        </w:tc>
        <w:tc>
          <w:tcPr>
            <w:tcW w:w="1220" w:type="dxa"/>
            <w:vAlign w:val="bottom"/>
            <w:tcBorders>
              <w:bottom w:val="single" w:sz="8" w:color="auto"/>
            </w:tcBorders>
            <w:shd w:val="clear" w:color="auto" w:fill="CEFFE7"/>
          </w:tcPr>
          <w:p>
            <w:pPr>
              <w:spacing w:after="0"/>
              <w:rPr>
                <w:sz w:val="18"/>
                <w:szCs w:val="18"/>
                <w:color w:val="auto"/>
              </w:rPr>
            </w:pPr>
          </w:p>
        </w:tc>
        <w:tc>
          <w:tcPr>
            <w:tcW w:w="7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153,185</w:t>
            </w:r>
          </w:p>
        </w:tc>
        <w:tc>
          <w:tcPr>
            <w:tcW w:w="0" w:type="dxa"/>
            <w:vAlign w:val="bottom"/>
          </w:tcPr>
          <w:p>
            <w:pPr>
              <w:spacing w:after="0"/>
              <w:rPr>
                <w:sz w:val="1"/>
                <w:szCs w:val="1"/>
                <w:color w:val="auto"/>
              </w:rPr>
            </w:pPr>
          </w:p>
        </w:tc>
      </w:tr>
      <w:tr>
        <w:trPr>
          <w:trHeight w:val="253"/>
        </w:trPr>
        <w:tc>
          <w:tcPr>
            <w:tcW w:w="73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7300" w:type="dxa"/>
            <w:vAlign w:val="bottom"/>
            <w:shd w:val="clear" w:color="auto" w:fill="CEFFE7"/>
          </w:tcPr>
          <w:p>
            <w:pPr>
              <w:ind w:left="20"/>
              <w:spacing w:after="0"/>
              <w:rPr>
                <w:sz w:val="20"/>
                <w:szCs w:val="20"/>
                <w:color w:val="auto"/>
              </w:rPr>
            </w:pPr>
            <w:r>
              <w:rPr>
                <w:rFonts w:ascii="Arial" w:cs="Arial" w:eastAsia="Arial" w:hAnsi="Arial"/>
                <w:sz w:val="16"/>
                <w:szCs w:val="16"/>
                <w:color w:val="auto"/>
              </w:rPr>
              <w:t>Interest expense, net</w:t>
            </w:r>
          </w:p>
        </w:tc>
        <w:tc>
          <w:tcPr>
            <w:tcW w:w="1220" w:type="dxa"/>
            <w:vAlign w:val="bottom"/>
            <w:shd w:val="clear" w:color="auto" w:fill="CEFFE7"/>
          </w:tcPr>
          <w:p>
            <w:pPr>
              <w:spacing w:after="0"/>
              <w:rPr>
                <w:sz w:val="18"/>
                <w:szCs w:val="18"/>
                <w:color w:val="auto"/>
              </w:rPr>
            </w:pPr>
          </w:p>
        </w:tc>
        <w:tc>
          <w:tcPr>
            <w:tcW w:w="7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(37,600)</w:t>
            </w:r>
          </w:p>
        </w:tc>
        <w:tc>
          <w:tcPr>
            <w:tcW w:w="1220" w:type="dxa"/>
            <w:vAlign w:val="bottom"/>
            <w:shd w:val="clear" w:color="auto" w:fill="CEFFE7"/>
          </w:tcPr>
          <w:p>
            <w:pPr>
              <w:spacing w:after="0"/>
              <w:rPr>
                <w:sz w:val="18"/>
                <w:szCs w:val="18"/>
                <w:color w:val="auto"/>
              </w:rPr>
            </w:pPr>
          </w:p>
        </w:tc>
        <w:tc>
          <w:tcPr>
            <w:tcW w:w="7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(35,453)</w:t>
            </w:r>
          </w:p>
        </w:tc>
        <w:tc>
          <w:tcPr>
            <w:tcW w:w="0" w:type="dxa"/>
            <w:vAlign w:val="bottom"/>
          </w:tcPr>
          <w:p>
            <w:pPr>
              <w:spacing w:after="0"/>
              <w:rPr>
                <w:sz w:val="1"/>
                <w:szCs w:val="1"/>
                <w:color w:val="auto"/>
              </w:rPr>
            </w:pPr>
          </w:p>
        </w:tc>
      </w:tr>
      <w:tr>
        <w:trPr>
          <w:trHeight w:val="213"/>
        </w:trPr>
        <w:tc>
          <w:tcPr>
            <w:tcW w:w="7300" w:type="dxa"/>
            <w:vAlign w:val="bottom"/>
          </w:tcPr>
          <w:p>
            <w:pPr>
              <w:ind w:left="20"/>
              <w:spacing w:after="0"/>
              <w:rPr>
                <w:sz w:val="20"/>
                <w:szCs w:val="20"/>
                <w:color w:val="auto"/>
              </w:rPr>
            </w:pPr>
            <w:r>
              <w:rPr>
                <w:rFonts w:ascii="Arial" w:cs="Arial" w:eastAsia="Arial" w:hAnsi="Arial"/>
                <w:sz w:val="16"/>
                <w:szCs w:val="16"/>
                <w:color w:val="auto"/>
              </w:rPr>
              <w:t>Impairment of investment</w:t>
            </w:r>
          </w:p>
        </w:tc>
        <w:tc>
          <w:tcPr>
            <w:tcW w:w="1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(6,859)</w:t>
            </w:r>
          </w:p>
        </w:tc>
        <w:tc>
          <w:tcPr>
            <w:tcW w:w="0" w:type="dxa"/>
            <w:vAlign w:val="bottom"/>
          </w:tcPr>
          <w:p>
            <w:pPr>
              <w:spacing w:after="0"/>
              <w:rPr>
                <w:sz w:val="1"/>
                <w:szCs w:val="1"/>
                <w:color w:val="auto"/>
              </w:rPr>
            </w:pPr>
          </w:p>
        </w:tc>
      </w:tr>
      <w:tr>
        <w:trPr>
          <w:trHeight w:val="219"/>
        </w:trPr>
        <w:tc>
          <w:tcPr>
            <w:tcW w:w="7300" w:type="dxa"/>
            <w:vAlign w:val="bottom"/>
            <w:shd w:val="clear" w:color="auto" w:fill="CEFFE7"/>
          </w:tcPr>
          <w:p>
            <w:pPr>
              <w:ind w:left="20"/>
              <w:spacing w:after="0"/>
              <w:rPr>
                <w:sz w:val="20"/>
                <w:szCs w:val="20"/>
                <w:color w:val="auto"/>
              </w:rPr>
            </w:pPr>
            <w:r>
              <w:rPr>
                <w:rFonts w:ascii="Arial" w:cs="Arial" w:eastAsia="Arial" w:hAnsi="Arial"/>
                <w:sz w:val="16"/>
                <w:szCs w:val="16"/>
                <w:color w:val="auto"/>
              </w:rPr>
              <w:t>Other income (expense), net</w:t>
            </w:r>
          </w:p>
        </w:tc>
        <w:tc>
          <w:tcPr>
            <w:tcW w:w="1220" w:type="dxa"/>
            <w:vAlign w:val="bottom"/>
            <w:shd w:val="clear" w:color="auto" w:fill="CEFFE7"/>
          </w:tcPr>
          <w:p>
            <w:pPr>
              <w:spacing w:after="0"/>
              <w:rPr>
                <w:sz w:val="19"/>
                <w:szCs w:val="19"/>
                <w:color w:val="auto"/>
              </w:rPr>
            </w:pPr>
          </w:p>
        </w:tc>
        <w:tc>
          <w:tcPr>
            <w:tcW w:w="7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266</w:t>
            </w:r>
          </w:p>
        </w:tc>
        <w:tc>
          <w:tcPr>
            <w:tcW w:w="1220" w:type="dxa"/>
            <w:vAlign w:val="bottom"/>
            <w:shd w:val="clear" w:color="auto" w:fill="CEFFE7"/>
          </w:tcPr>
          <w:p>
            <w:pPr>
              <w:spacing w:after="0"/>
              <w:rPr>
                <w:sz w:val="19"/>
                <w:szCs w:val="19"/>
                <w:color w:val="auto"/>
              </w:rPr>
            </w:pPr>
          </w:p>
        </w:tc>
        <w:tc>
          <w:tcPr>
            <w:tcW w:w="7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2,353</w:t>
            </w:r>
          </w:p>
        </w:tc>
        <w:tc>
          <w:tcPr>
            <w:tcW w:w="0" w:type="dxa"/>
            <w:vAlign w:val="bottom"/>
          </w:tcPr>
          <w:p>
            <w:pPr>
              <w:spacing w:after="0"/>
              <w:rPr>
                <w:sz w:val="1"/>
                <w:szCs w:val="1"/>
                <w:color w:val="auto"/>
              </w:rPr>
            </w:pPr>
          </w:p>
        </w:tc>
      </w:tr>
      <w:tr>
        <w:trPr>
          <w:trHeight w:val="213"/>
        </w:trPr>
        <w:tc>
          <w:tcPr>
            <w:tcW w:w="7300" w:type="dxa"/>
            <w:vAlign w:val="bottom"/>
            <w:tcBorders>
              <w:bottom w:val="single" w:sz="8" w:color="CEFFE7"/>
            </w:tcBorders>
          </w:tcPr>
          <w:p>
            <w:pPr>
              <w:ind w:left="20"/>
              <w:spacing w:after="0"/>
              <w:rPr>
                <w:sz w:val="20"/>
                <w:szCs w:val="20"/>
                <w:color w:val="auto"/>
              </w:rPr>
            </w:pPr>
            <w:r>
              <w:rPr>
                <w:rFonts w:ascii="Arial" w:cs="Arial" w:eastAsia="Arial" w:hAnsi="Arial"/>
                <w:sz w:val="16"/>
                <w:szCs w:val="16"/>
                <w:color w:val="auto"/>
              </w:rPr>
              <w:t>Income tax (expense)</w:t>
            </w:r>
          </w:p>
        </w:tc>
        <w:tc>
          <w:tcPr>
            <w:tcW w:w="1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(494)</w:t>
            </w:r>
          </w:p>
        </w:tc>
        <w:tc>
          <w:tcPr>
            <w:tcW w:w="1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(16,002)</w:t>
            </w:r>
          </w:p>
        </w:tc>
        <w:tc>
          <w:tcPr>
            <w:tcW w:w="0" w:type="dxa"/>
            <w:vAlign w:val="bottom"/>
          </w:tcPr>
          <w:p>
            <w:pPr>
              <w:spacing w:after="0"/>
              <w:rPr>
                <w:sz w:val="1"/>
                <w:szCs w:val="1"/>
                <w:color w:val="auto"/>
              </w:rPr>
            </w:pPr>
          </w:p>
        </w:tc>
      </w:tr>
      <w:tr>
        <w:trPr>
          <w:trHeight w:val="209"/>
        </w:trPr>
        <w:tc>
          <w:tcPr>
            <w:tcW w:w="7300" w:type="dxa"/>
            <w:vAlign w:val="bottom"/>
            <w:shd w:val="clear" w:color="auto" w:fill="CEFFE7"/>
          </w:tcPr>
          <w:p>
            <w:pPr>
              <w:ind w:left="20"/>
              <w:spacing w:after="0"/>
              <w:rPr>
                <w:sz w:val="20"/>
                <w:szCs w:val="20"/>
                <w:color w:val="auto"/>
              </w:rPr>
            </w:pPr>
            <w:r>
              <w:rPr>
                <w:rFonts w:ascii="Arial" w:cs="Arial" w:eastAsia="Arial" w:hAnsi="Arial"/>
                <w:sz w:val="16"/>
                <w:szCs w:val="16"/>
                <w:color w:val="auto"/>
              </w:rPr>
              <w:t>Net income</w:t>
            </w:r>
          </w:p>
        </w:tc>
        <w:tc>
          <w:tcPr>
            <w:tcW w:w="1220" w:type="dxa"/>
            <w:vAlign w:val="bottom"/>
            <w:tcBorders>
              <w:bottom w:val="single" w:sz="8" w:color="auto"/>
            </w:tcBorders>
            <w:shd w:val="clear" w:color="auto" w:fill="CEFFE7"/>
          </w:tcPr>
          <w:p>
            <w:pPr>
              <w:spacing w:after="0"/>
              <w:rPr>
                <w:sz w:val="18"/>
                <w:szCs w:val="18"/>
                <w:color w:val="auto"/>
              </w:rPr>
            </w:pPr>
          </w:p>
        </w:tc>
        <w:tc>
          <w:tcPr>
            <w:tcW w:w="7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100,487</w:t>
            </w:r>
          </w:p>
        </w:tc>
        <w:tc>
          <w:tcPr>
            <w:tcW w:w="1220" w:type="dxa"/>
            <w:vAlign w:val="bottom"/>
            <w:tcBorders>
              <w:bottom w:val="single" w:sz="8" w:color="auto"/>
            </w:tcBorders>
            <w:shd w:val="clear" w:color="auto" w:fill="CEFFE7"/>
          </w:tcPr>
          <w:p>
            <w:pPr>
              <w:spacing w:after="0"/>
              <w:rPr>
                <w:sz w:val="18"/>
                <w:szCs w:val="18"/>
                <w:color w:val="auto"/>
              </w:rPr>
            </w:pPr>
          </w:p>
        </w:tc>
        <w:tc>
          <w:tcPr>
            <w:tcW w:w="7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97,224</w:t>
            </w:r>
          </w:p>
        </w:tc>
        <w:tc>
          <w:tcPr>
            <w:tcW w:w="0" w:type="dxa"/>
            <w:vAlign w:val="bottom"/>
          </w:tcPr>
          <w:p>
            <w:pPr>
              <w:spacing w:after="0"/>
              <w:rPr>
                <w:sz w:val="1"/>
                <w:szCs w:val="1"/>
                <w:color w:val="auto"/>
              </w:rPr>
            </w:pPr>
          </w:p>
        </w:tc>
      </w:tr>
      <w:tr>
        <w:trPr>
          <w:trHeight w:val="210"/>
        </w:trPr>
        <w:tc>
          <w:tcPr>
            <w:tcW w:w="7300" w:type="dxa"/>
            <w:vAlign w:val="bottom"/>
            <w:tcBorders>
              <w:bottom w:val="single" w:sz="8" w:color="CEFFE7"/>
            </w:tcBorders>
          </w:tcPr>
          <w:p>
            <w:pPr>
              <w:ind w:left="20"/>
              <w:spacing w:after="0"/>
              <w:rPr>
                <w:sz w:val="20"/>
                <w:szCs w:val="20"/>
                <w:color w:val="auto"/>
              </w:rPr>
            </w:pPr>
            <w:r>
              <w:rPr>
                <w:rFonts w:ascii="Arial" w:cs="Arial" w:eastAsia="Arial" w:hAnsi="Arial"/>
                <w:sz w:val="16"/>
                <w:szCs w:val="16"/>
                <w:color w:val="auto"/>
              </w:rPr>
              <w:t>Net income attributable to noncontrolling interest</w:t>
            </w:r>
          </w:p>
        </w:tc>
        <w:tc>
          <w:tcPr>
            <w:tcW w:w="1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(4,171)</w:t>
            </w:r>
          </w:p>
        </w:tc>
        <w:tc>
          <w:tcPr>
            <w:tcW w:w="1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(4,050)</w:t>
            </w:r>
          </w:p>
        </w:tc>
        <w:tc>
          <w:tcPr>
            <w:tcW w:w="0" w:type="dxa"/>
            <w:vAlign w:val="bottom"/>
          </w:tcPr>
          <w:p>
            <w:pPr>
              <w:spacing w:after="0"/>
              <w:rPr>
                <w:sz w:val="1"/>
                <w:szCs w:val="1"/>
                <w:color w:val="auto"/>
              </w:rPr>
            </w:pPr>
          </w:p>
        </w:tc>
      </w:tr>
      <w:tr>
        <w:trPr>
          <w:trHeight w:val="238"/>
        </w:trPr>
        <w:tc>
          <w:tcPr>
            <w:tcW w:w="730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Net income available for common stock</w:t>
            </w:r>
          </w:p>
        </w:tc>
        <w:tc>
          <w:tcPr>
            <w:tcW w:w="1220" w:type="dxa"/>
            <w:vAlign w:val="bottom"/>
            <w:tcBorders>
              <w:bottom w:val="single" w:sz="8" w:color="auto"/>
            </w:tcBorders>
            <w:shd w:val="clear" w:color="auto" w:fill="CEFFE7"/>
          </w:tcPr>
          <w:p>
            <w:pPr>
              <w:spacing w:after="0"/>
              <w:rPr>
                <w:sz w:val="20"/>
                <w:szCs w:val="20"/>
                <w:color w:val="auto"/>
              </w:rPr>
            </w:pPr>
          </w:p>
        </w:tc>
        <w:tc>
          <w:tcPr>
            <w:tcW w:w="7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96,316</w:t>
            </w:r>
          </w:p>
        </w:tc>
        <w:tc>
          <w:tcPr>
            <w:tcW w:w="1220" w:type="dxa"/>
            <w:vAlign w:val="bottom"/>
            <w:tcBorders>
              <w:bottom w:val="single" w:sz="8" w:color="auto"/>
            </w:tcBorders>
            <w:shd w:val="clear" w:color="auto" w:fill="CEFFE7"/>
          </w:tcPr>
          <w:p>
            <w:pPr>
              <w:spacing w:after="0"/>
              <w:rPr>
                <w:sz w:val="20"/>
                <w:szCs w:val="20"/>
                <w:color w:val="auto"/>
              </w:rPr>
            </w:pPr>
          </w:p>
        </w:tc>
        <w:tc>
          <w:tcPr>
            <w:tcW w:w="7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93,174</w:t>
            </w:r>
          </w:p>
        </w:tc>
        <w:tc>
          <w:tcPr>
            <w:tcW w:w="0" w:type="dxa"/>
            <w:vAlign w:val="bottom"/>
          </w:tcPr>
          <w:p>
            <w:pPr>
              <w:spacing w:after="0"/>
              <w:rPr>
                <w:sz w:val="1"/>
                <w:szCs w:val="1"/>
                <w:color w:val="auto"/>
              </w:rPr>
            </w:pPr>
          </w:p>
        </w:tc>
      </w:tr>
      <w:tr>
        <w:trPr>
          <w:trHeight w:val="20"/>
        </w:trPr>
        <w:tc>
          <w:tcPr>
            <w:tcW w:w="7300" w:type="dxa"/>
            <w:vAlign w:val="bottom"/>
            <w:tcBorders>
              <w:top w:val="single" w:sz="8" w:color="CEFFE7"/>
            </w:tcBorders>
          </w:tcPr>
          <w:p>
            <w:pPr>
              <w:spacing w:after="0" w:line="20" w:lineRule="exact"/>
              <w:rPr>
                <w:sz w:val="1"/>
                <w:szCs w:val="1"/>
                <w:color w:val="auto"/>
              </w:rPr>
            </w:pPr>
          </w:p>
        </w:tc>
        <w:tc>
          <w:tcPr>
            <w:tcW w:w="1220" w:type="dxa"/>
            <w:vAlign w:val="bottom"/>
            <w:tcBorders>
              <w:top w:val="single" w:sz="8" w:color="CEFFE7"/>
              <w:bottom w:val="single" w:sz="8" w:color="auto"/>
            </w:tcBorders>
          </w:tcPr>
          <w:p>
            <w:pPr>
              <w:spacing w:after="0" w:line="20" w:lineRule="exact"/>
              <w:rPr>
                <w:sz w:val="1"/>
                <w:szCs w:val="1"/>
                <w:color w:val="auto"/>
              </w:rPr>
            </w:pPr>
          </w:p>
        </w:tc>
        <w:tc>
          <w:tcPr>
            <w:tcW w:w="740" w:type="dxa"/>
            <w:vAlign w:val="bottom"/>
            <w:tcBorders>
              <w:top w:val="single" w:sz="8" w:color="CEFFE7"/>
              <w:bottom w:val="single" w:sz="8" w:color="auto"/>
            </w:tcBorders>
          </w:tcPr>
          <w:p>
            <w:pPr>
              <w:spacing w:after="0" w:line="20" w:lineRule="exact"/>
              <w:rPr>
                <w:sz w:val="1"/>
                <w:szCs w:val="1"/>
                <w:color w:val="auto"/>
              </w:rPr>
            </w:pPr>
          </w:p>
        </w:tc>
        <w:tc>
          <w:tcPr>
            <w:tcW w:w="1220" w:type="dxa"/>
            <w:vAlign w:val="bottom"/>
            <w:tcBorders>
              <w:top w:val="single" w:sz="8" w:color="CEFFE7"/>
              <w:bottom w:val="single" w:sz="8" w:color="auto"/>
            </w:tcBorders>
          </w:tcPr>
          <w:p>
            <w:pPr>
              <w:spacing w:after="0" w:line="20" w:lineRule="exact"/>
              <w:rPr>
                <w:sz w:val="1"/>
                <w:szCs w:val="1"/>
                <w:color w:val="auto"/>
              </w:rPr>
            </w:pPr>
          </w:p>
        </w:tc>
        <w:tc>
          <w:tcPr>
            <w:tcW w:w="740" w:type="dxa"/>
            <w:vAlign w:val="bottom"/>
            <w:tcBorders>
              <w:top w:val="single" w:sz="8" w:color="CEFFE7"/>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730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Total earnings per share of common stock, Diluted</w:t>
            </w:r>
          </w:p>
        </w:tc>
        <w:tc>
          <w:tcPr>
            <w:tcW w:w="1220" w:type="dxa"/>
            <w:vAlign w:val="bottom"/>
            <w:tcBorders>
              <w:bottom w:val="single" w:sz="8" w:color="auto"/>
            </w:tcBorders>
            <w:shd w:val="clear" w:color="auto" w:fill="CEFFE7"/>
          </w:tcPr>
          <w:p>
            <w:pPr>
              <w:jc w:val="right"/>
              <w:ind w:right="103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1.54</w:t>
            </w:r>
          </w:p>
        </w:tc>
        <w:tc>
          <w:tcPr>
            <w:tcW w:w="1220" w:type="dxa"/>
            <w:vAlign w:val="bottom"/>
            <w:tcBorders>
              <w:bottom w:val="single" w:sz="8" w:color="auto"/>
            </w:tcBorders>
            <w:shd w:val="clear" w:color="auto" w:fill="CEFFE7"/>
          </w:tcPr>
          <w:p>
            <w:pPr>
              <w:jc w:val="right"/>
              <w:ind w:right="103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1.51</w:t>
            </w:r>
          </w:p>
        </w:tc>
        <w:tc>
          <w:tcPr>
            <w:tcW w:w="0" w:type="dxa"/>
            <w:vAlign w:val="bottom"/>
          </w:tcPr>
          <w:p>
            <w:pPr>
              <w:spacing w:after="0"/>
              <w:rPr>
                <w:sz w:val="1"/>
                <w:szCs w:val="1"/>
                <w:color w:val="auto"/>
              </w:rPr>
            </w:pPr>
          </w:p>
        </w:tc>
      </w:tr>
      <w:tr>
        <w:trPr>
          <w:trHeight w:val="20"/>
        </w:trPr>
        <w:tc>
          <w:tcPr>
            <w:tcW w:w="7300" w:type="dxa"/>
            <w:vAlign w:val="bottom"/>
            <w:tcBorders>
              <w:top w:val="single" w:sz="8" w:color="CEFFE7"/>
              <w:bottom w:val="single" w:sz="8" w:color="CEFFE7"/>
            </w:tcBorders>
            <w:vMerge w:val="restart"/>
          </w:tcPr>
          <w:p>
            <w:pPr>
              <w:spacing w:after="0"/>
              <w:rPr>
                <w:sz w:val="20"/>
                <w:szCs w:val="20"/>
                <w:color w:val="auto"/>
              </w:rPr>
            </w:pPr>
            <w:r>
              <w:rPr>
                <w:rFonts w:ascii="Arial" w:cs="Arial" w:eastAsia="Arial" w:hAnsi="Arial"/>
                <w:sz w:val="16"/>
                <w:szCs w:val="16"/>
                <w:color w:val="auto"/>
              </w:rPr>
              <w:t>__________</w:t>
            </w:r>
          </w:p>
        </w:tc>
        <w:tc>
          <w:tcPr>
            <w:tcW w:w="1220" w:type="dxa"/>
            <w:vAlign w:val="bottom"/>
            <w:tcBorders>
              <w:top w:val="single" w:sz="8" w:color="CEFFE7"/>
              <w:bottom w:val="single" w:sz="8" w:color="auto"/>
            </w:tcBorders>
          </w:tcPr>
          <w:p>
            <w:pPr>
              <w:spacing w:after="0" w:line="20" w:lineRule="exact"/>
              <w:rPr>
                <w:sz w:val="1"/>
                <w:szCs w:val="1"/>
                <w:color w:val="auto"/>
              </w:rPr>
            </w:pPr>
          </w:p>
        </w:tc>
        <w:tc>
          <w:tcPr>
            <w:tcW w:w="740" w:type="dxa"/>
            <w:vAlign w:val="bottom"/>
            <w:tcBorders>
              <w:top w:val="single" w:sz="8" w:color="CEFFE7"/>
              <w:bottom w:val="single" w:sz="8" w:color="auto"/>
            </w:tcBorders>
          </w:tcPr>
          <w:p>
            <w:pPr>
              <w:spacing w:after="0" w:line="20" w:lineRule="exact"/>
              <w:rPr>
                <w:sz w:val="1"/>
                <w:szCs w:val="1"/>
                <w:color w:val="auto"/>
              </w:rPr>
            </w:pPr>
          </w:p>
        </w:tc>
        <w:tc>
          <w:tcPr>
            <w:tcW w:w="1220" w:type="dxa"/>
            <w:vAlign w:val="bottom"/>
            <w:tcBorders>
              <w:top w:val="single" w:sz="8" w:color="CEFFE7"/>
              <w:bottom w:val="single" w:sz="8" w:color="auto"/>
            </w:tcBorders>
          </w:tcPr>
          <w:p>
            <w:pPr>
              <w:spacing w:after="0" w:line="20" w:lineRule="exact"/>
              <w:rPr>
                <w:sz w:val="1"/>
                <w:szCs w:val="1"/>
                <w:color w:val="auto"/>
              </w:rPr>
            </w:pPr>
          </w:p>
        </w:tc>
        <w:tc>
          <w:tcPr>
            <w:tcW w:w="740" w:type="dxa"/>
            <w:vAlign w:val="bottom"/>
            <w:tcBorders>
              <w:top w:val="single" w:sz="8" w:color="CEFFE7"/>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7300" w:type="dxa"/>
            <w:vAlign w:val="bottom"/>
            <w:vMerge w:val="continue"/>
          </w:tcPr>
          <w:p>
            <w:pPr>
              <w:spacing w:after="0"/>
              <w:rPr>
                <w:sz w:val="21"/>
                <w:szCs w:val="21"/>
                <w:color w:val="auto"/>
              </w:rPr>
            </w:pPr>
          </w:p>
        </w:tc>
        <w:tc>
          <w:tcPr>
            <w:tcW w:w="1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ind w:left="340" w:right="300" w:hanging="332"/>
        <w:spacing w:after="0" w:line="258" w:lineRule="auto"/>
        <w:tabs>
          <w:tab w:leader="none" w:pos="344" w:val="left"/>
        </w:tabs>
        <w:numPr>
          <w:ilvl w:val="0"/>
          <w:numId w:val="21"/>
        </w:numPr>
        <w:rPr>
          <w:rFonts w:ascii="Arial" w:cs="Arial" w:eastAsia="Arial" w:hAnsi="Arial"/>
          <w:sz w:val="14"/>
          <w:szCs w:val="14"/>
          <w:color w:val="auto"/>
        </w:rPr>
      </w:pPr>
      <w:r>
        <w:rPr>
          <w:rFonts w:ascii="Arial" w:cs="Arial" w:eastAsia="Arial" w:hAnsi="Arial"/>
          <w:sz w:val="14"/>
          <w:szCs w:val="14"/>
          <w:color w:val="auto"/>
        </w:rPr>
        <w:t>Adjusted operating income recognizes intersegment revenues and costs for Colorado Electric’s PPA with Black Hills Colorado IPP on an accrual basis rather than as a finance lease. This presentation of segment information does not impact consolidated financial results.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Three Months Ended March 31, 2021 Compared to Three Months Ended March 31, 2020</w:t>
      </w: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The variance to the prior year included the following:</w:t>
      </w:r>
    </w:p>
    <w:p>
      <w:pPr>
        <w:spacing w:after="0" w:line="248" w:lineRule="exact"/>
        <w:rPr>
          <w:sz w:val="20"/>
          <w:szCs w:val="20"/>
          <w:color w:val="auto"/>
        </w:rPr>
      </w:pPr>
    </w:p>
    <w:p>
      <w:pPr>
        <w:jc w:val="both"/>
        <w:ind w:left="660" w:right="520" w:hanging="328"/>
        <w:spacing w:after="0" w:line="246" w:lineRule="auto"/>
        <w:tabs>
          <w:tab w:leader="none" w:pos="649" w:val="left"/>
        </w:tabs>
        <w:numPr>
          <w:ilvl w:val="0"/>
          <w:numId w:val="22"/>
        </w:numPr>
        <w:rPr>
          <w:rFonts w:ascii="Arial" w:cs="Arial" w:eastAsia="Arial" w:hAnsi="Arial"/>
          <w:sz w:val="16"/>
          <w:szCs w:val="16"/>
          <w:color w:val="auto"/>
        </w:rPr>
      </w:pPr>
      <w:r>
        <w:rPr>
          <w:rFonts w:ascii="Arial" w:cs="Arial" w:eastAsia="Arial" w:hAnsi="Arial"/>
          <w:sz w:val="16"/>
          <w:szCs w:val="16"/>
          <w:color w:val="auto"/>
        </w:rPr>
        <w:t>Electric Utilities’ adjusted operating income decreased $14 million primarily due to Colorado Electric’s TCJA-related bill credits to customers, impacts from Winter Storm Uri and unfavorable mark-to-market adjustments on wholesale energy contracts partially offset by increased rider revenues and lower operating expenses;</w:t>
      </w:r>
    </w:p>
    <w:p>
      <w:pPr>
        <w:spacing w:after="0" w:line="1" w:lineRule="exact"/>
        <w:rPr>
          <w:rFonts w:ascii="Arial" w:cs="Arial" w:eastAsia="Arial" w:hAnsi="Arial"/>
          <w:sz w:val="16"/>
          <w:szCs w:val="16"/>
          <w:color w:val="auto"/>
        </w:rPr>
      </w:pPr>
    </w:p>
    <w:p>
      <w:pPr>
        <w:ind w:left="660" w:right="60" w:hanging="328"/>
        <w:spacing w:after="0" w:line="246" w:lineRule="auto"/>
        <w:tabs>
          <w:tab w:leader="none" w:pos="649" w:val="left"/>
        </w:tabs>
        <w:numPr>
          <w:ilvl w:val="0"/>
          <w:numId w:val="22"/>
        </w:numPr>
        <w:rPr>
          <w:rFonts w:ascii="Arial" w:cs="Arial" w:eastAsia="Arial" w:hAnsi="Arial"/>
          <w:sz w:val="16"/>
          <w:szCs w:val="16"/>
          <w:color w:val="auto"/>
        </w:rPr>
      </w:pPr>
      <w:r>
        <w:rPr>
          <w:rFonts w:ascii="Arial" w:cs="Arial" w:eastAsia="Arial" w:hAnsi="Arial"/>
          <w:sz w:val="16"/>
          <w:szCs w:val="16"/>
          <w:color w:val="auto"/>
        </w:rPr>
        <w:t>Gas Utilities’ adjusted operating income decreased $0.8 million primarily due to Winter Storm Uri costs incurred by Black Hills Energy Services and higher operating expenses mostly offset by new rates and higher heating demand from colder winter weather;</w:t>
      </w:r>
    </w:p>
    <w:p>
      <w:pPr>
        <w:ind w:left="640" w:hanging="308"/>
        <w:spacing w:after="0"/>
        <w:tabs>
          <w:tab w:leader="none" w:pos="6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Power Generation’s adjusted operating income increased $2.9 million primarily due to favorable impacts from Winter Storm Uri;</w:t>
      </w:r>
    </w:p>
    <w:p>
      <w:pPr>
        <w:spacing w:after="0" w:line="5" w:lineRule="exact"/>
        <w:rPr>
          <w:rFonts w:ascii="Arial" w:cs="Arial" w:eastAsia="Arial" w:hAnsi="Arial"/>
          <w:sz w:val="16"/>
          <w:szCs w:val="16"/>
          <w:color w:val="auto"/>
        </w:rPr>
      </w:pPr>
    </w:p>
    <w:p>
      <w:pPr>
        <w:ind w:left="660" w:right="40" w:hanging="328"/>
        <w:spacing w:after="0" w:line="246" w:lineRule="auto"/>
        <w:tabs>
          <w:tab w:leader="none" w:pos="649" w:val="left"/>
        </w:tabs>
        <w:numPr>
          <w:ilvl w:val="0"/>
          <w:numId w:val="22"/>
        </w:numPr>
        <w:rPr>
          <w:rFonts w:ascii="Arial" w:cs="Arial" w:eastAsia="Arial" w:hAnsi="Arial"/>
          <w:sz w:val="16"/>
          <w:szCs w:val="16"/>
          <w:color w:val="auto"/>
        </w:rPr>
      </w:pPr>
      <w:r>
        <w:rPr>
          <w:rFonts w:ascii="Arial" w:cs="Arial" w:eastAsia="Arial" w:hAnsi="Arial"/>
          <w:sz w:val="16"/>
          <w:szCs w:val="16"/>
          <w:color w:val="auto"/>
        </w:rPr>
        <w:t>Corporate and Other expenses increased $3.3 million primarily due to a prior year favorable true-up of employee costs allocated to our subsidiaries in the current year, which is offset in our reportable segments;</w:t>
      </w:r>
    </w:p>
    <w:p>
      <w:pPr>
        <w:ind w:left="640" w:hanging="308"/>
        <w:spacing w:after="0"/>
        <w:tabs>
          <w:tab w:leader="none" w:pos="6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 $2.1 million increase in interest expense due to higher debt balances partially offset by lower rates;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 prior year $6.9 million pre-tax non-cash impairment of our investment in equity securities of a privately held oil and gas company;</w:t>
      </w: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2" w:name="page33"/>
    <w:bookmarkEnd w:id="32"/>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660" w:right="220" w:hanging="328"/>
        <w:spacing w:after="0" w:line="246" w:lineRule="auto"/>
        <w:tabs>
          <w:tab w:leader="none" w:pos="649" w:val="left"/>
        </w:tabs>
        <w:numPr>
          <w:ilvl w:val="0"/>
          <w:numId w:val="23"/>
        </w:numPr>
        <w:rPr>
          <w:rFonts w:ascii="Arial" w:cs="Arial" w:eastAsia="Arial" w:hAnsi="Arial"/>
          <w:sz w:val="16"/>
          <w:szCs w:val="16"/>
          <w:color w:val="auto"/>
        </w:rPr>
      </w:pPr>
      <w:r>
        <w:rPr>
          <w:rFonts w:ascii="Arial" w:cs="Arial" w:eastAsia="Arial" w:hAnsi="Arial"/>
          <w:sz w:val="16"/>
          <w:szCs w:val="16"/>
          <w:color w:val="auto"/>
        </w:rPr>
        <w:t>A $2.1 million decrease in other income primarily due to prior year credits for our non-qualified benefit plan driven by market performance on plan assets; and</w:t>
      </w:r>
    </w:p>
    <w:p>
      <w:pPr>
        <w:ind w:left="660" w:right="180" w:hanging="328"/>
        <w:spacing w:after="0" w:line="253" w:lineRule="auto"/>
        <w:tabs>
          <w:tab w:leader="none" w:pos="649" w:val="left"/>
        </w:tabs>
        <w:numPr>
          <w:ilvl w:val="0"/>
          <w:numId w:val="23"/>
        </w:numPr>
        <w:rPr>
          <w:rFonts w:ascii="Arial" w:cs="Arial" w:eastAsia="Arial" w:hAnsi="Arial"/>
          <w:sz w:val="16"/>
          <w:szCs w:val="16"/>
          <w:color w:val="auto"/>
        </w:rPr>
      </w:pPr>
      <w:r>
        <w:rPr>
          <w:rFonts w:ascii="Arial" w:cs="Arial" w:eastAsia="Arial" w:hAnsi="Arial"/>
          <w:sz w:val="16"/>
          <w:szCs w:val="16"/>
          <w:color w:val="auto"/>
        </w:rPr>
        <w:t>A $15.5 million decrease in income tax expense due to lower pre-tax income and a lower effective tax rate driven primarily by tax benefits from Colorado Electric’s TCJA-related bill credits, amortization of excess deferred income taxes and federal production tax credits associated with new wind assets.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Segment Operating Results</w:t>
      </w: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A discussion of operating results from our business segments follows.</w:t>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Non-GAAP Financial Measure</w:t>
      </w:r>
    </w:p>
    <w:p>
      <w:pPr>
        <w:spacing w:after="0" w:line="268" w:lineRule="exact"/>
        <w:rPr>
          <w:sz w:val="20"/>
          <w:szCs w:val="20"/>
          <w:color w:val="auto"/>
        </w:rPr>
      </w:pPr>
    </w:p>
    <w:p>
      <w:pPr>
        <w:ind w:right="100"/>
        <w:spacing w:after="0" w:line="250" w:lineRule="auto"/>
        <w:rPr>
          <w:sz w:val="20"/>
          <w:szCs w:val="20"/>
          <w:color w:val="auto"/>
        </w:rPr>
      </w:pPr>
      <w:r>
        <w:rPr>
          <w:rFonts w:ascii="Arial" w:cs="Arial" w:eastAsia="Arial" w:hAnsi="Arial"/>
          <w:sz w:val="16"/>
          <w:szCs w:val="16"/>
          <w:color w:val="auto"/>
        </w:rPr>
        <w:t>The following discussion includes financial information prepared in accordance with GAAP, as well as another financial measure, gross margin, that is considered a “non-GAAP financial measure.” Generally, a non-GAAP financial measure is a numerical measure of a company’s financial performance, financial position or cash flows that excludes (or includes) amounts that are included in (or excluded from) the most directly comparable measure calculated and presented in accordance with GAAP. Gross margin (revenue less cost of sales) is a non-GAAP financial measure due to the exclusion of depreciation and amortization from the measure. The presentation of gross margin is intended to supplement investors’ understanding of our operating performance.</w:t>
      </w:r>
    </w:p>
    <w:p>
      <w:pPr>
        <w:spacing w:after="0" w:line="230" w:lineRule="exact"/>
        <w:rPr>
          <w:sz w:val="20"/>
          <w:szCs w:val="20"/>
          <w:color w:val="auto"/>
        </w:rPr>
      </w:pPr>
    </w:p>
    <w:p>
      <w:pPr>
        <w:ind w:right="280"/>
        <w:spacing w:after="0" w:line="251" w:lineRule="auto"/>
        <w:rPr>
          <w:sz w:val="20"/>
          <w:szCs w:val="20"/>
          <w:color w:val="auto"/>
        </w:rPr>
      </w:pPr>
      <w:r>
        <w:rPr>
          <w:rFonts w:ascii="Arial" w:cs="Arial" w:eastAsia="Arial" w:hAnsi="Arial"/>
          <w:sz w:val="16"/>
          <w:szCs w:val="16"/>
          <w:color w:val="auto"/>
        </w:rPr>
        <w:t>Gross margin for our Electric Utilities is calculated as operating revenue less cost of fuel and purchased power. Gross margin for our Gas Utilities is calculated as operating revenue less cost of natural gas sold. Our gross margin is impacted by the fluctuations in power and natural gas purchases and other fuel supply costs. However, while these fluctuating costs impact gross margin as a percentage of revenue, they only impact total gross margin if the costs cannot be passed through to our customers.</w:t>
      </w:r>
    </w:p>
    <w:p>
      <w:pPr>
        <w:spacing w:after="0" w:line="229" w:lineRule="exact"/>
        <w:rPr>
          <w:sz w:val="20"/>
          <w:szCs w:val="20"/>
          <w:color w:val="auto"/>
        </w:rPr>
      </w:pPr>
    </w:p>
    <w:p>
      <w:pPr>
        <w:ind w:right="600"/>
        <w:spacing w:after="0" w:line="260" w:lineRule="auto"/>
        <w:rPr>
          <w:sz w:val="20"/>
          <w:szCs w:val="20"/>
          <w:color w:val="auto"/>
        </w:rPr>
      </w:pPr>
      <w:r>
        <w:rPr>
          <w:rFonts w:ascii="Arial" w:cs="Arial" w:eastAsia="Arial" w:hAnsi="Arial"/>
          <w:sz w:val="16"/>
          <w:szCs w:val="16"/>
          <w:color w:val="auto"/>
        </w:rPr>
        <w:t>Our gross margin measure may not be comparable to other companies’ gross margin measure. Furthermore, this measure is not intended to replace operating income, as determined in accordance with GAAP, as an indicator of operating performance.</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340" w:type="dxa"/>
            <w:vAlign w:val="bottom"/>
          </w:tcPr>
          <w:p>
            <w:pPr>
              <w:spacing w:after="0"/>
              <w:rPr>
                <w:sz w:val="20"/>
                <w:szCs w:val="20"/>
                <w:color w:val="auto"/>
              </w:rPr>
            </w:pPr>
            <w:r>
              <w:rPr>
                <w:rFonts w:ascii="Arial" w:cs="Arial" w:eastAsia="Arial" w:hAnsi="Arial"/>
                <w:sz w:val="16"/>
                <w:szCs w:val="16"/>
                <w:b w:val="1"/>
                <w:bCs w:val="1"/>
                <w:color w:val="auto"/>
              </w:rPr>
              <w:t>Electric Utilities</w:t>
            </w:r>
          </w:p>
        </w:tc>
        <w:tc>
          <w:tcPr>
            <w:tcW w:w="1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5340" w:type="dxa"/>
            <w:vAlign w:val="bottom"/>
          </w:tcPr>
          <w:p>
            <w:pPr>
              <w:spacing w:after="0"/>
              <w:rPr>
                <w:sz w:val="20"/>
                <w:szCs w:val="20"/>
                <w:color w:val="auto"/>
              </w:rPr>
            </w:pPr>
            <w:r>
              <w:rPr>
                <w:rFonts w:ascii="Arial" w:cs="Arial" w:eastAsia="Arial" w:hAnsi="Arial"/>
                <w:sz w:val="16"/>
                <w:szCs w:val="16"/>
                <w:color w:val="auto"/>
              </w:rPr>
              <w:t>Operating results for the Electric Utilities were as follows (in thousands):</w:t>
            </w:r>
          </w:p>
        </w:tc>
        <w:tc>
          <w:tcPr>
            <w:tcW w:w="1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3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720" w:type="dxa"/>
            <w:vAlign w:val="bottom"/>
            <w:gridSpan w:val="5"/>
          </w:tcPr>
          <w:p>
            <w:pPr>
              <w:jc w:val="right"/>
              <w:ind w:right="779"/>
              <w:spacing w:after="0"/>
              <w:rPr>
                <w:sz w:val="20"/>
                <w:szCs w:val="20"/>
                <w:color w:val="auto"/>
              </w:rPr>
            </w:pPr>
            <w:r>
              <w:rPr>
                <w:rFonts w:ascii="Arial" w:cs="Arial" w:eastAsia="Arial" w:hAnsi="Arial"/>
                <w:sz w:val="16"/>
                <w:szCs w:val="16"/>
                <w:color w:val="auto"/>
              </w:rPr>
              <w:t>Three Months Ended March 31,</w:t>
            </w:r>
          </w:p>
        </w:tc>
        <w:tc>
          <w:tcPr>
            <w:tcW w:w="0" w:type="dxa"/>
            <w:vAlign w:val="bottom"/>
          </w:tcPr>
          <w:p>
            <w:pPr>
              <w:spacing w:after="0"/>
              <w:rPr>
                <w:sz w:val="1"/>
                <w:szCs w:val="1"/>
                <w:color w:val="auto"/>
              </w:rPr>
            </w:pPr>
          </w:p>
        </w:tc>
      </w:tr>
      <w:tr>
        <w:trPr>
          <w:trHeight w:val="219"/>
        </w:trPr>
        <w:tc>
          <w:tcPr>
            <w:tcW w:w="534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2021</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2020</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Variance</w:t>
            </w:r>
          </w:p>
        </w:tc>
        <w:tc>
          <w:tcPr>
            <w:tcW w:w="0" w:type="dxa"/>
            <w:vAlign w:val="bottom"/>
          </w:tcPr>
          <w:p>
            <w:pPr>
              <w:spacing w:after="0"/>
              <w:rPr>
                <w:sz w:val="1"/>
                <w:szCs w:val="1"/>
                <w:color w:val="auto"/>
              </w:rPr>
            </w:pPr>
          </w:p>
        </w:tc>
      </w:tr>
      <w:tr>
        <w:trPr>
          <w:trHeight w:val="253"/>
        </w:trPr>
        <w:tc>
          <w:tcPr>
            <w:tcW w:w="534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5340" w:type="dxa"/>
            <w:vAlign w:val="bottom"/>
            <w:shd w:val="clear" w:color="auto" w:fill="CEFFE7"/>
          </w:tcPr>
          <w:p>
            <w:pPr>
              <w:ind w:left="20"/>
              <w:spacing w:after="0"/>
              <w:rPr>
                <w:sz w:val="20"/>
                <w:szCs w:val="20"/>
                <w:color w:val="auto"/>
              </w:rPr>
            </w:pPr>
            <w:r>
              <w:rPr>
                <w:rFonts w:ascii="Arial" w:cs="Arial" w:eastAsia="Arial" w:hAnsi="Arial"/>
                <w:sz w:val="16"/>
                <w:szCs w:val="16"/>
                <w:color w:val="auto"/>
              </w:rPr>
              <w:t>Revenue</w:t>
            </w:r>
          </w:p>
        </w:tc>
        <w:tc>
          <w:tcPr>
            <w:tcW w:w="2180" w:type="dxa"/>
            <w:vAlign w:val="bottom"/>
            <w:gridSpan w:val="2"/>
            <w:shd w:val="clear" w:color="auto" w:fill="CEFFE7"/>
          </w:tcPr>
          <w:p>
            <w:pPr>
              <w:jc w:val="right"/>
              <w:ind w:right="18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227,408</w:t>
            </w:r>
          </w:p>
        </w:tc>
        <w:tc>
          <w:tcPr>
            <w:tcW w:w="320" w:type="dxa"/>
            <w:vAlign w:val="bottom"/>
            <w:shd w:val="clear" w:color="auto" w:fill="CEFFE7"/>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174,139</w:t>
            </w:r>
          </w:p>
        </w:tc>
        <w:tc>
          <w:tcPr>
            <w:tcW w:w="260" w:type="dxa"/>
            <w:vAlign w:val="bottom"/>
            <w:shd w:val="clear" w:color="auto" w:fill="CEFFE7"/>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53,269</w:t>
            </w:r>
          </w:p>
        </w:tc>
        <w:tc>
          <w:tcPr>
            <w:tcW w:w="0" w:type="dxa"/>
            <w:vAlign w:val="bottom"/>
          </w:tcPr>
          <w:p>
            <w:pPr>
              <w:spacing w:after="0"/>
              <w:rPr>
                <w:sz w:val="1"/>
                <w:szCs w:val="1"/>
                <w:color w:val="auto"/>
              </w:rPr>
            </w:pPr>
          </w:p>
        </w:tc>
      </w:tr>
      <w:tr>
        <w:trPr>
          <w:trHeight w:val="253"/>
        </w:trPr>
        <w:tc>
          <w:tcPr>
            <w:tcW w:w="534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5340" w:type="dxa"/>
            <w:vAlign w:val="bottom"/>
            <w:shd w:val="clear" w:color="auto" w:fill="CEFFE7"/>
          </w:tcPr>
          <w:p>
            <w:pPr>
              <w:ind w:left="20"/>
              <w:spacing w:after="0"/>
              <w:rPr>
                <w:sz w:val="20"/>
                <w:szCs w:val="20"/>
                <w:color w:val="auto"/>
              </w:rPr>
            </w:pPr>
            <w:r>
              <w:rPr>
                <w:rFonts w:ascii="Arial" w:cs="Arial" w:eastAsia="Arial" w:hAnsi="Arial"/>
                <w:sz w:val="16"/>
                <w:szCs w:val="16"/>
                <w:color w:val="auto"/>
              </w:rPr>
              <w:t>Total fuel and purchased power</w:t>
            </w:r>
          </w:p>
        </w:tc>
        <w:tc>
          <w:tcPr>
            <w:tcW w:w="1900" w:type="dxa"/>
            <w:vAlign w:val="bottom"/>
            <w:shd w:val="clear" w:color="auto" w:fill="CEFFE7"/>
          </w:tcPr>
          <w:p>
            <w:pPr>
              <w:spacing w:after="0"/>
              <w:rPr>
                <w:sz w:val="18"/>
                <w:szCs w:val="18"/>
                <w:color w:val="auto"/>
              </w:rPr>
            </w:pPr>
          </w:p>
        </w:tc>
        <w:tc>
          <w:tcPr>
            <w:tcW w:w="280" w:type="dxa"/>
            <w:vAlign w:val="bottom"/>
            <w:tcBorders>
              <w:bottom w:val="single" w:sz="8" w:color="auto"/>
            </w:tcBorders>
            <w:shd w:val="clear" w:color="auto" w:fill="CEFFE7"/>
          </w:tcPr>
          <w:p>
            <w:pPr>
              <w:spacing w:after="0"/>
              <w:rPr>
                <w:sz w:val="18"/>
                <w:szCs w:val="18"/>
                <w:color w:val="auto"/>
              </w:rPr>
            </w:pPr>
          </w:p>
        </w:tc>
        <w:tc>
          <w:tcPr>
            <w:tcW w:w="10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132,069</w:t>
            </w:r>
          </w:p>
        </w:tc>
        <w:tc>
          <w:tcPr>
            <w:tcW w:w="320" w:type="dxa"/>
            <w:vAlign w:val="bottom"/>
            <w:tcBorders>
              <w:bottom w:val="single" w:sz="8" w:color="auto"/>
            </w:tcBorders>
            <w:shd w:val="clear" w:color="auto" w:fill="CEFFE7"/>
          </w:tcPr>
          <w:p>
            <w:pPr>
              <w:spacing w:after="0"/>
              <w:rPr>
                <w:sz w:val="18"/>
                <w:szCs w:val="18"/>
                <w:color w:val="auto"/>
              </w:rPr>
            </w:pPr>
          </w:p>
        </w:tc>
        <w:tc>
          <w:tcPr>
            <w:tcW w:w="10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64,460</w:t>
            </w:r>
          </w:p>
        </w:tc>
        <w:tc>
          <w:tcPr>
            <w:tcW w:w="260" w:type="dxa"/>
            <w:vAlign w:val="bottom"/>
            <w:tcBorders>
              <w:bottom w:val="single" w:sz="8" w:color="auto"/>
            </w:tcBorders>
            <w:shd w:val="clear" w:color="auto" w:fill="CEFFE7"/>
          </w:tcPr>
          <w:p>
            <w:pPr>
              <w:spacing w:after="0"/>
              <w:rPr>
                <w:sz w:val="18"/>
                <w:szCs w:val="18"/>
                <w:color w:val="auto"/>
              </w:rPr>
            </w:pPr>
          </w:p>
        </w:tc>
        <w:tc>
          <w:tcPr>
            <w:tcW w:w="11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67,609</w:t>
            </w:r>
          </w:p>
        </w:tc>
        <w:tc>
          <w:tcPr>
            <w:tcW w:w="0" w:type="dxa"/>
            <w:vAlign w:val="bottom"/>
          </w:tcPr>
          <w:p>
            <w:pPr>
              <w:spacing w:after="0"/>
              <w:rPr>
                <w:sz w:val="1"/>
                <w:szCs w:val="1"/>
                <w:color w:val="auto"/>
              </w:rPr>
            </w:pPr>
          </w:p>
        </w:tc>
      </w:tr>
      <w:tr>
        <w:trPr>
          <w:trHeight w:val="253"/>
        </w:trPr>
        <w:tc>
          <w:tcPr>
            <w:tcW w:w="5340" w:type="dxa"/>
            <w:vAlign w:val="bottom"/>
            <w:tcBorders>
              <w:bottom w:val="single" w:sz="8" w:color="CEFFE7"/>
            </w:tcBorders>
          </w:tcPr>
          <w:p>
            <w:pPr>
              <w:spacing w:after="0"/>
              <w:rPr>
                <w:sz w:val="22"/>
                <w:szCs w:val="22"/>
                <w:color w:val="auto"/>
              </w:rPr>
            </w:pPr>
          </w:p>
        </w:tc>
        <w:tc>
          <w:tcPr>
            <w:tcW w:w="1900" w:type="dxa"/>
            <w:vAlign w:val="bottom"/>
            <w:tcBorders>
              <w:bottom w:val="single" w:sz="8" w:color="CEFFE7"/>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7"/>
        </w:trPr>
        <w:tc>
          <w:tcPr>
            <w:tcW w:w="5340" w:type="dxa"/>
            <w:vAlign w:val="bottom"/>
            <w:shd w:val="clear" w:color="auto" w:fill="CEFFE7"/>
          </w:tcPr>
          <w:p>
            <w:pPr>
              <w:ind w:left="20"/>
              <w:spacing w:after="0"/>
              <w:rPr>
                <w:sz w:val="20"/>
                <w:szCs w:val="20"/>
                <w:color w:val="auto"/>
              </w:rPr>
            </w:pPr>
            <w:r>
              <w:rPr>
                <w:rFonts w:ascii="Arial" w:cs="Arial" w:eastAsia="Arial" w:hAnsi="Arial"/>
                <w:sz w:val="16"/>
                <w:szCs w:val="16"/>
                <w:color w:val="auto"/>
              </w:rPr>
              <w:t>Gross margin (non-GAAP)</w:t>
            </w:r>
          </w:p>
        </w:tc>
        <w:tc>
          <w:tcPr>
            <w:tcW w:w="1900" w:type="dxa"/>
            <w:vAlign w:val="bottom"/>
            <w:shd w:val="clear" w:color="auto" w:fill="CEFFE7"/>
          </w:tcPr>
          <w:p>
            <w:pPr>
              <w:spacing w:after="0"/>
              <w:rPr>
                <w:sz w:val="17"/>
                <w:szCs w:val="17"/>
                <w:color w:val="auto"/>
              </w:rPr>
            </w:pPr>
          </w:p>
        </w:tc>
        <w:tc>
          <w:tcPr>
            <w:tcW w:w="280" w:type="dxa"/>
            <w:vAlign w:val="bottom"/>
            <w:tcBorders>
              <w:bottom w:val="single" w:sz="8" w:color="auto"/>
            </w:tcBorders>
            <w:shd w:val="clear" w:color="auto" w:fill="CEFFE7"/>
          </w:tcPr>
          <w:p>
            <w:pPr>
              <w:spacing w:after="0"/>
              <w:rPr>
                <w:sz w:val="17"/>
                <w:szCs w:val="17"/>
                <w:color w:val="auto"/>
              </w:rPr>
            </w:pPr>
          </w:p>
        </w:tc>
        <w:tc>
          <w:tcPr>
            <w:tcW w:w="10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95,339</w:t>
            </w:r>
          </w:p>
        </w:tc>
        <w:tc>
          <w:tcPr>
            <w:tcW w:w="320" w:type="dxa"/>
            <w:vAlign w:val="bottom"/>
            <w:tcBorders>
              <w:bottom w:val="single" w:sz="8" w:color="auto"/>
            </w:tcBorders>
            <w:shd w:val="clear" w:color="auto" w:fill="CEFFE7"/>
          </w:tcPr>
          <w:p>
            <w:pPr>
              <w:spacing w:after="0"/>
              <w:rPr>
                <w:sz w:val="17"/>
                <w:szCs w:val="17"/>
                <w:color w:val="auto"/>
              </w:rPr>
            </w:pPr>
          </w:p>
        </w:tc>
        <w:tc>
          <w:tcPr>
            <w:tcW w:w="10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109,679</w:t>
            </w:r>
          </w:p>
        </w:tc>
        <w:tc>
          <w:tcPr>
            <w:tcW w:w="260" w:type="dxa"/>
            <w:vAlign w:val="bottom"/>
            <w:tcBorders>
              <w:bottom w:val="single" w:sz="8" w:color="auto"/>
            </w:tcBorders>
            <w:shd w:val="clear" w:color="auto" w:fill="CEFFE7"/>
          </w:tcPr>
          <w:p>
            <w:pPr>
              <w:spacing w:after="0"/>
              <w:rPr>
                <w:sz w:val="17"/>
                <w:szCs w:val="17"/>
                <w:color w:val="auto"/>
              </w:rPr>
            </w:pPr>
          </w:p>
        </w:tc>
        <w:tc>
          <w:tcPr>
            <w:tcW w:w="11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(14,340)</w:t>
            </w:r>
          </w:p>
        </w:tc>
        <w:tc>
          <w:tcPr>
            <w:tcW w:w="0" w:type="dxa"/>
            <w:vAlign w:val="bottom"/>
          </w:tcPr>
          <w:p>
            <w:pPr>
              <w:spacing w:after="0"/>
              <w:rPr>
                <w:sz w:val="1"/>
                <w:szCs w:val="1"/>
                <w:color w:val="auto"/>
              </w:rPr>
            </w:pPr>
          </w:p>
        </w:tc>
      </w:tr>
      <w:tr>
        <w:trPr>
          <w:trHeight w:val="253"/>
        </w:trPr>
        <w:tc>
          <w:tcPr>
            <w:tcW w:w="534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5340" w:type="dxa"/>
            <w:vAlign w:val="bottom"/>
            <w:shd w:val="clear" w:color="auto" w:fill="CEFFE7"/>
          </w:tcPr>
          <w:p>
            <w:pPr>
              <w:ind w:left="20"/>
              <w:spacing w:after="0"/>
              <w:rPr>
                <w:sz w:val="20"/>
                <w:szCs w:val="20"/>
                <w:color w:val="auto"/>
              </w:rPr>
            </w:pPr>
            <w:r>
              <w:rPr>
                <w:rFonts w:ascii="Arial" w:cs="Arial" w:eastAsia="Arial" w:hAnsi="Arial"/>
                <w:sz w:val="16"/>
                <w:szCs w:val="16"/>
                <w:color w:val="auto"/>
              </w:rPr>
              <w:t>Operations and maintenance</w:t>
            </w:r>
          </w:p>
        </w:tc>
        <w:tc>
          <w:tcPr>
            <w:tcW w:w="1900" w:type="dxa"/>
            <w:vAlign w:val="bottom"/>
            <w:shd w:val="clear" w:color="auto" w:fill="CEFFE7"/>
          </w:tcPr>
          <w:p>
            <w:pPr>
              <w:spacing w:after="0"/>
              <w:rPr>
                <w:sz w:val="18"/>
                <w:szCs w:val="18"/>
                <w:color w:val="auto"/>
              </w:rPr>
            </w:pPr>
          </w:p>
        </w:tc>
        <w:tc>
          <w:tcPr>
            <w:tcW w:w="280" w:type="dxa"/>
            <w:vAlign w:val="bottom"/>
            <w:shd w:val="clear" w:color="auto" w:fill="CEFFE7"/>
          </w:tcPr>
          <w:p>
            <w:pPr>
              <w:spacing w:after="0"/>
              <w:rPr>
                <w:sz w:val="18"/>
                <w:szCs w:val="18"/>
                <w:color w:val="auto"/>
              </w:rPr>
            </w:pPr>
          </w:p>
        </w:tc>
        <w:tc>
          <w:tcPr>
            <w:tcW w:w="10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48,577</w:t>
            </w:r>
          </w:p>
        </w:tc>
        <w:tc>
          <w:tcPr>
            <w:tcW w:w="320" w:type="dxa"/>
            <w:vAlign w:val="bottom"/>
            <w:shd w:val="clear" w:color="auto" w:fill="CEFFE7"/>
          </w:tcPr>
          <w:p>
            <w:pPr>
              <w:spacing w:after="0"/>
              <w:rPr>
                <w:sz w:val="18"/>
                <w:szCs w:val="18"/>
                <w:color w:val="auto"/>
              </w:rPr>
            </w:pPr>
          </w:p>
        </w:tc>
        <w:tc>
          <w:tcPr>
            <w:tcW w:w="10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50,499</w:t>
            </w:r>
          </w:p>
        </w:tc>
        <w:tc>
          <w:tcPr>
            <w:tcW w:w="260" w:type="dxa"/>
            <w:vAlign w:val="bottom"/>
            <w:shd w:val="clear" w:color="auto" w:fill="CEFFE7"/>
          </w:tcPr>
          <w:p>
            <w:pPr>
              <w:spacing w:after="0"/>
              <w:rPr>
                <w:sz w:val="18"/>
                <w:szCs w:val="18"/>
                <w:color w:val="auto"/>
              </w:rPr>
            </w:pPr>
          </w:p>
        </w:tc>
        <w:tc>
          <w:tcPr>
            <w:tcW w:w="11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(1,922)</w:t>
            </w:r>
          </w:p>
        </w:tc>
        <w:tc>
          <w:tcPr>
            <w:tcW w:w="0" w:type="dxa"/>
            <w:vAlign w:val="bottom"/>
          </w:tcPr>
          <w:p>
            <w:pPr>
              <w:spacing w:after="0"/>
              <w:rPr>
                <w:sz w:val="1"/>
                <w:szCs w:val="1"/>
                <w:color w:val="auto"/>
              </w:rPr>
            </w:pPr>
          </w:p>
        </w:tc>
      </w:tr>
      <w:tr>
        <w:trPr>
          <w:trHeight w:val="213"/>
        </w:trPr>
        <w:tc>
          <w:tcPr>
            <w:tcW w:w="5340" w:type="dxa"/>
            <w:vAlign w:val="bottom"/>
            <w:tcBorders>
              <w:bottom w:val="single" w:sz="8" w:color="CEFFE7"/>
            </w:tcBorders>
          </w:tcPr>
          <w:p>
            <w:pPr>
              <w:ind w:left="20"/>
              <w:spacing w:after="0"/>
              <w:rPr>
                <w:sz w:val="20"/>
                <w:szCs w:val="20"/>
                <w:color w:val="auto"/>
              </w:rPr>
            </w:pPr>
            <w:r>
              <w:rPr>
                <w:rFonts w:ascii="Arial" w:cs="Arial" w:eastAsia="Arial" w:hAnsi="Arial"/>
                <w:sz w:val="16"/>
                <w:szCs w:val="16"/>
                <w:color w:val="auto"/>
              </w:rPr>
              <w:t>Depreciation and amortization</w:t>
            </w:r>
          </w:p>
        </w:tc>
        <w:tc>
          <w:tcPr>
            <w:tcW w:w="1900" w:type="dxa"/>
            <w:vAlign w:val="bottom"/>
            <w:tcBorders>
              <w:bottom w:val="single" w:sz="8" w:color="CEFFE7"/>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24,949</w:t>
            </w: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23,530</w:t>
            </w: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1,419</w:t>
            </w:r>
          </w:p>
        </w:tc>
        <w:tc>
          <w:tcPr>
            <w:tcW w:w="0" w:type="dxa"/>
            <w:vAlign w:val="bottom"/>
          </w:tcPr>
          <w:p>
            <w:pPr>
              <w:spacing w:after="0"/>
              <w:rPr>
                <w:sz w:val="1"/>
                <w:szCs w:val="1"/>
                <w:color w:val="auto"/>
              </w:rPr>
            </w:pPr>
          </w:p>
        </w:tc>
      </w:tr>
      <w:tr>
        <w:trPr>
          <w:trHeight w:val="210"/>
        </w:trPr>
        <w:tc>
          <w:tcPr>
            <w:tcW w:w="5340" w:type="dxa"/>
            <w:vAlign w:val="bottom"/>
            <w:shd w:val="clear" w:color="auto" w:fill="CEFFE7"/>
          </w:tcPr>
          <w:p>
            <w:pPr>
              <w:ind w:left="220"/>
              <w:spacing w:after="0"/>
              <w:rPr>
                <w:sz w:val="20"/>
                <w:szCs w:val="20"/>
                <w:color w:val="auto"/>
              </w:rPr>
            </w:pPr>
            <w:r>
              <w:rPr>
                <w:rFonts w:ascii="Arial" w:cs="Arial" w:eastAsia="Arial" w:hAnsi="Arial"/>
                <w:sz w:val="16"/>
                <w:szCs w:val="16"/>
                <w:color w:val="auto"/>
              </w:rPr>
              <w:t>Total operating expenses</w:t>
            </w:r>
          </w:p>
        </w:tc>
        <w:tc>
          <w:tcPr>
            <w:tcW w:w="1900" w:type="dxa"/>
            <w:vAlign w:val="bottom"/>
            <w:shd w:val="clear" w:color="auto" w:fill="CEFFE7"/>
          </w:tcPr>
          <w:p>
            <w:pPr>
              <w:spacing w:after="0"/>
              <w:rPr>
                <w:sz w:val="18"/>
                <w:szCs w:val="18"/>
                <w:color w:val="auto"/>
              </w:rPr>
            </w:pPr>
          </w:p>
        </w:tc>
        <w:tc>
          <w:tcPr>
            <w:tcW w:w="280" w:type="dxa"/>
            <w:vAlign w:val="bottom"/>
            <w:tcBorders>
              <w:bottom w:val="single" w:sz="8" w:color="auto"/>
            </w:tcBorders>
            <w:shd w:val="clear" w:color="auto" w:fill="CEFFE7"/>
          </w:tcPr>
          <w:p>
            <w:pPr>
              <w:spacing w:after="0"/>
              <w:rPr>
                <w:sz w:val="18"/>
                <w:szCs w:val="18"/>
                <w:color w:val="auto"/>
              </w:rPr>
            </w:pPr>
          </w:p>
        </w:tc>
        <w:tc>
          <w:tcPr>
            <w:tcW w:w="10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73,526</w:t>
            </w:r>
          </w:p>
        </w:tc>
        <w:tc>
          <w:tcPr>
            <w:tcW w:w="320" w:type="dxa"/>
            <w:vAlign w:val="bottom"/>
            <w:tcBorders>
              <w:bottom w:val="single" w:sz="8" w:color="auto"/>
            </w:tcBorders>
            <w:shd w:val="clear" w:color="auto" w:fill="CEFFE7"/>
          </w:tcPr>
          <w:p>
            <w:pPr>
              <w:spacing w:after="0"/>
              <w:rPr>
                <w:sz w:val="18"/>
                <w:szCs w:val="18"/>
                <w:color w:val="auto"/>
              </w:rPr>
            </w:pPr>
          </w:p>
        </w:tc>
        <w:tc>
          <w:tcPr>
            <w:tcW w:w="10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74,029</w:t>
            </w:r>
          </w:p>
        </w:tc>
        <w:tc>
          <w:tcPr>
            <w:tcW w:w="260" w:type="dxa"/>
            <w:vAlign w:val="bottom"/>
            <w:tcBorders>
              <w:bottom w:val="single" w:sz="8" w:color="auto"/>
            </w:tcBorders>
            <w:shd w:val="clear" w:color="auto" w:fill="CEFFE7"/>
          </w:tcPr>
          <w:p>
            <w:pPr>
              <w:spacing w:after="0"/>
              <w:rPr>
                <w:sz w:val="18"/>
                <w:szCs w:val="18"/>
                <w:color w:val="auto"/>
              </w:rPr>
            </w:pPr>
          </w:p>
        </w:tc>
        <w:tc>
          <w:tcPr>
            <w:tcW w:w="11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(503)</w:t>
            </w:r>
          </w:p>
        </w:tc>
        <w:tc>
          <w:tcPr>
            <w:tcW w:w="0" w:type="dxa"/>
            <w:vAlign w:val="bottom"/>
          </w:tcPr>
          <w:p>
            <w:pPr>
              <w:spacing w:after="0"/>
              <w:rPr>
                <w:sz w:val="1"/>
                <w:szCs w:val="1"/>
                <w:color w:val="auto"/>
              </w:rPr>
            </w:pPr>
          </w:p>
        </w:tc>
      </w:tr>
      <w:tr>
        <w:trPr>
          <w:trHeight w:val="253"/>
        </w:trPr>
        <w:tc>
          <w:tcPr>
            <w:tcW w:w="5340" w:type="dxa"/>
            <w:vAlign w:val="bottom"/>
            <w:tcBorders>
              <w:bottom w:val="single" w:sz="8" w:color="CEFFE7"/>
            </w:tcBorders>
          </w:tcPr>
          <w:p>
            <w:pPr>
              <w:spacing w:after="0"/>
              <w:rPr>
                <w:sz w:val="22"/>
                <w:szCs w:val="22"/>
                <w:color w:val="auto"/>
              </w:rPr>
            </w:pPr>
          </w:p>
        </w:tc>
        <w:tc>
          <w:tcPr>
            <w:tcW w:w="1900" w:type="dxa"/>
            <w:vAlign w:val="bottom"/>
            <w:tcBorders>
              <w:bottom w:val="single" w:sz="8" w:color="CEFFE7"/>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340" w:type="dxa"/>
            <w:vAlign w:val="bottom"/>
            <w:shd w:val="clear" w:color="auto" w:fill="CEFFE7"/>
          </w:tcPr>
          <w:p>
            <w:pPr>
              <w:ind w:left="20"/>
              <w:spacing w:after="0"/>
              <w:rPr>
                <w:sz w:val="20"/>
                <w:szCs w:val="20"/>
                <w:color w:val="auto"/>
              </w:rPr>
            </w:pPr>
            <w:r>
              <w:rPr>
                <w:rFonts w:ascii="Arial" w:cs="Arial" w:eastAsia="Arial" w:hAnsi="Arial"/>
                <w:sz w:val="16"/>
                <w:szCs w:val="16"/>
                <w:color w:val="auto"/>
              </w:rPr>
              <w:t>Adjusted operating income</w:t>
            </w:r>
          </w:p>
        </w:tc>
        <w:tc>
          <w:tcPr>
            <w:tcW w:w="2180" w:type="dxa"/>
            <w:vAlign w:val="bottom"/>
            <w:gridSpan w:val="2"/>
            <w:shd w:val="clear" w:color="auto" w:fill="CEFFE7"/>
          </w:tcPr>
          <w:p>
            <w:pPr>
              <w:jc w:val="right"/>
              <w:ind w:right="18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21,813</w:t>
            </w:r>
          </w:p>
        </w:tc>
        <w:tc>
          <w:tcPr>
            <w:tcW w:w="320" w:type="dxa"/>
            <w:vAlign w:val="bottom"/>
            <w:shd w:val="clear" w:color="auto" w:fill="CEFFE7"/>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35,650</w:t>
            </w:r>
          </w:p>
        </w:tc>
        <w:tc>
          <w:tcPr>
            <w:tcW w:w="260" w:type="dxa"/>
            <w:vAlign w:val="bottom"/>
            <w:shd w:val="clear" w:color="auto" w:fill="CEFFE7"/>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(13,837)</w:t>
            </w:r>
          </w:p>
        </w:tc>
        <w:tc>
          <w:tcPr>
            <w:tcW w:w="0" w:type="dxa"/>
            <w:vAlign w:val="bottom"/>
          </w:tcPr>
          <w:p>
            <w:pPr>
              <w:spacing w:after="0"/>
              <w:rPr>
                <w:sz w:val="1"/>
                <w:szCs w:val="1"/>
                <w:color w:val="auto"/>
              </w:rPr>
            </w:pPr>
          </w:p>
        </w:tc>
      </w:tr>
      <w:tr>
        <w:trPr>
          <w:trHeight w:val="20"/>
        </w:trPr>
        <w:tc>
          <w:tcPr>
            <w:tcW w:w="5340" w:type="dxa"/>
            <w:vAlign w:val="bottom"/>
            <w:tcBorders>
              <w:top w:val="single" w:sz="8" w:color="CEFFE7"/>
            </w:tcBorders>
          </w:tcPr>
          <w:p>
            <w:pPr>
              <w:spacing w:after="0" w:line="20" w:lineRule="exact"/>
              <w:rPr>
                <w:sz w:val="1"/>
                <w:szCs w:val="1"/>
                <w:color w:val="auto"/>
              </w:rPr>
            </w:pPr>
          </w:p>
        </w:tc>
        <w:tc>
          <w:tcPr>
            <w:tcW w:w="1900" w:type="dxa"/>
            <w:vAlign w:val="bottom"/>
            <w:tcBorders>
              <w:top w:val="single" w:sz="8" w:color="CEFFE7"/>
              <w:bottom w:val="single" w:sz="8" w:color="CEFFE7"/>
            </w:tcBorders>
            <w:vMerge w:val="restart"/>
          </w:tcPr>
          <w:p>
            <w:pPr>
              <w:jc w:val="right"/>
              <w:ind w:right="1439"/>
              <w:spacing w:after="0"/>
              <w:rPr>
                <w:sz w:val="20"/>
                <w:szCs w:val="20"/>
                <w:color w:val="auto"/>
              </w:rPr>
            </w:pPr>
            <w:r>
              <w:rPr>
                <w:rFonts w:ascii="Arial" w:cs="Arial" w:eastAsia="Arial" w:hAnsi="Arial"/>
                <w:sz w:val="16"/>
                <w:szCs w:val="16"/>
                <w:color w:val="auto"/>
              </w:rPr>
              <w:t>33</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2"/>
        </w:trPr>
        <w:tc>
          <w:tcPr>
            <w:tcW w:w="5340" w:type="dxa"/>
            <w:vAlign w:val="bottom"/>
          </w:tcPr>
          <w:p>
            <w:pPr>
              <w:spacing w:after="0"/>
              <w:rPr>
                <w:sz w:val="24"/>
                <w:szCs w:val="24"/>
                <w:color w:val="auto"/>
              </w:rPr>
            </w:pPr>
          </w:p>
        </w:tc>
        <w:tc>
          <w:tcPr>
            <w:tcW w:w="19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534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ind w:left="100"/>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00"/>
        <w:spacing w:after="0"/>
        <w:rPr>
          <w:sz w:val="20"/>
          <w:szCs w:val="20"/>
          <w:color w:val="auto"/>
        </w:rPr>
      </w:pPr>
      <w:r>
        <w:rPr>
          <w:rFonts w:ascii="Arial" w:cs="Arial" w:eastAsia="Arial" w:hAnsi="Arial"/>
          <w:sz w:val="16"/>
          <w:szCs w:val="16"/>
          <w:u w:val="single" w:color="auto"/>
          <w:color w:val="auto"/>
        </w:rPr>
        <w:t>Three Months Ended March 31, 2021 Compared to the Three Months Ended March 31, 2020:</w:t>
      </w:r>
    </w:p>
    <w:p>
      <w:pPr>
        <w:spacing w:after="0" w:line="248" w:lineRule="exact"/>
        <w:rPr>
          <w:sz w:val="20"/>
          <w:szCs w:val="20"/>
          <w:color w:val="auto"/>
        </w:rPr>
      </w:pPr>
    </w:p>
    <w:p>
      <w:pPr>
        <w:ind w:left="100"/>
        <w:spacing w:after="0"/>
        <w:rPr>
          <w:sz w:val="20"/>
          <w:szCs w:val="20"/>
          <w:color w:val="auto"/>
        </w:rPr>
      </w:pPr>
      <w:r>
        <w:rPr>
          <w:rFonts w:ascii="Arial" w:cs="Arial" w:eastAsia="Arial" w:hAnsi="Arial"/>
          <w:sz w:val="16"/>
          <w:szCs w:val="16"/>
          <w:u w:val="single" w:color="auto"/>
          <w:color w:val="auto"/>
        </w:rPr>
        <w:t>Gross margin</w:t>
      </w:r>
      <w:r>
        <w:rPr>
          <w:rFonts w:ascii="Arial" w:cs="Arial" w:eastAsia="Arial" w:hAnsi="Arial"/>
          <w:sz w:val="16"/>
          <w:szCs w:val="16"/>
          <w:color w:val="auto"/>
        </w:rPr>
        <w:t xml:space="preserve"> for the three months ended March 31, 2021 decreased as a result of the following:</w:t>
      </w:r>
    </w:p>
    <w:p>
      <w:pPr>
        <w:spacing w:after="0" w:line="140" w:lineRule="exact"/>
        <w:rPr>
          <w:sz w:val="20"/>
          <w:szCs w:val="20"/>
          <w:color w:val="auto"/>
        </w:rPr>
      </w:pPr>
    </w:p>
    <w:tbl>
      <w:tblPr>
        <w:tblLayout w:type="fixed"/>
        <w:tblInd w:w="140" w:type="dxa"/>
        <w:tblCellMar>
          <w:top w:w="0" w:type="dxa"/>
          <w:left w:w="0" w:type="dxa"/>
          <w:bottom w:w="0" w:type="dxa"/>
          <w:right w:w="0" w:type="dxa"/>
        </w:tblCellMar>
      </w:tblPr>
      <w:tr>
        <w:trPr>
          <w:trHeight w:val="198"/>
        </w:trPr>
        <w:tc>
          <w:tcPr>
            <w:tcW w:w="89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color w:val="auto"/>
              </w:rPr>
              <w:t>(in millions)</w:t>
            </w:r>
          </w:p>
        </w:tc>
      </w:tr>
      <w:tr>
        <w:trPr>
          <w:trHeight w:val="213"/>
        </w:trPr>
        <w:tc>
          <w:tcPr>
            <w:tcW w:w="8980" w:type="dxa"/>
            <w:vAlign w:val="bottom"/>
            <w:shd w:val="clear" w:color="auto" w:fill="CEFFE7"/>
          </w:tcPr>
          <w:p>
            <w:pPr>
              <w:spacing w:after="0" w:line="213" w:lineRule="exact"/>
              <w:rPr>
                <w:sz w:val="20"/>
                <w:szCs w:val="20"/>
                <w:color w:val="auto"/>
              </w:rPr>
            </w:pPr>
            <w:r>
              <w:rPr>
                <w:rFonts w:ascii="Arial" w:cs="Arial" w:eastAsia="Arial" w:hAnsi="Arial"/>
                <w:sz w:val="16"/>
                <w:szCs w:val="16"/>
                <w:color w:val="auto"/>
              </w:rPr>
              <w:t xml:space="preserve">TCJA-related bill credits </w:t>
            </w:r>
            <w:r>
              <w:rPr>
                <w:rFonts w:ascii="Arial" w:cs="Arial" w:eastAsia="Arial" w:hAnsi="Arial"/>
                <w:sz w:val="21"/>
                <w:szCs w:val="21"/>
                <w:color w:val="auto"/>
                <w:vertAlign w:val="superscript"/>
              </w:rPr>
              <w:t>(a)</w:t>
            </w:r>
          </w:p>
        </w:tc>
        <w:tc>
          <w:tcPr>
            <w:tcW w:w="400" w:type="dxa"/>
            <w:vAlign w:val="bottom"/>
            <w:shd w:val="clear" w:color="auto" w:fill="CEFFE7"/>
          </w:tcPr>
          <w:p>
            <w:pPr>
              <w:jc w:val="right"/>
              <w:ind w:right="219"/>
              <w:spacing w:after="0"/>
              <w:rPr>
                <w:sz w:val="20"/>
                <w:szCs w:val="20"/>
                <w:color w:val="auto"/>
              </w:rPr>
            </w:pPr>
            <w:r>
              <w:rPr>
                <w:rFonts w:ascii="Arial" w:cs="Arial" w:eastAsia="Arial" w:hAnsi="Arial"/>
                <w:sz w:val="16"/>
                <w:szCs w:val="16"/>
                <w:color w:val="auto"/>
                <w:w w:val="89"/>
              </w:rPr>
              <w:t>$</w:t>
            </w:r>
          </w:p>
        </w:tc>
        <w:tc>
          <w:tcPr>
            <w:tcW w:w="18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(9.3)</w:t>
            </w:r>
          </w:p>
        </w:tc>
      </w:tr>
      <w:tr>
        <w:trPr>
          <w:trHeight w:val="216"/>
        </w:trPr>
        <w:tc>
          <w:tcPr>
            <w:tcW w:w="8980" w:type="dxa"/>
            <w:vAlign w:val="bottom"/>
          </w:tcPr>
          <w:p>
            <w:pPr>
              <w:spacing w:after="0" w:line="216" w:lineRule="exact"/>
              <w:rPr>
                <w:sz w:val="20"/>
                <w:szCs w:val="20"/>
                <w:color w:val="auto"/>
              </w:rPr>
            </w:pPr>
            <w:r>
              <w:rPr>
                <w:rFonts w:ascii="Arial" w:cs="Arial" w:eastAsia="Arial" w:hAnsi="Arial"/>
                <w:sz w:val="16"/>
                <w:szCs w:val="16"/>
                <w:color w:val="auto"/>
              </w:rPr>
              <w:t xml:space="preserve">Winter Storm Uri impacts </w:t>
            </w:r>
            <w:r>
              <w:rPr>
                <w:rFonts w:ascii="Arial" w:cs="Arial" w:eastAsia="Arial" w:hAnsi="Arial"/>
                <w:sz w:val="21"/>
                <w:szCs w:val="21"/>
                <w:color w:val="auto"/>
                <w:vertAlign w:val="superscript"/>
              </w:rPr>
              <w:t>(b)</w:t>
            </w:r>
          </w:p>
        </w:tc>
        <w:tc>
          <w:tcPr>
            <w:tcW w:w="40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(5.3)</w:t>
            </w:r>
          </w:p>
        </w:tc>
      </w:tr>
      <w:tr>
        <w:trPr>
          <w:trHeight w:val="216"/>
        </w:trPr>
        <w:tc>
          <w:tcPr>
            <w:tcW w:w="8980" w:type="dxa"/>
            <w:vAlign w:val="bottom"/>
            <w:shd w:val="clear" w:color="auto" w:fill="CEFFE7"/>
          </w:tcPr>
          <w:p>
            <w:pPr>
              <w:spacing w:after="0"/>
              <w:rPr>
                <w:sz w:val="20"/>
                <w:szCs w:val="20"/>
                <w:color w:val="auto"/>
              </w:rPr>
            </w:pPr>
            <w:r>
              <w:rPr>
                <w:rFonts w:ascii="Arial" w:cs="Arial" w:eastAsia="Arial" w:hAnsi="Arial"/>
                <w:sz w:val="16"/>
                <w:szCs w:val="16"/>
                <w:color w:val="auto"/>
              </w:rPr>
              <w:t>Mark-to-market on wholesale energy contracts</w:t>
            </w:r>
          </w:p>
        </w:tc>
        <w:tc>
          <w:tcPr>
            <w:tcW w:w="400" w:type="dxa"/>
            <w:vAlign w:val="bottom"/>
            <w:shd w:val="clear" w:color="auto" w:fill="CEFFE7"/>
          </w:tcPr>
          <w:p>
            <w:pPr>
              <w:spacing w:after="0"/>
              <w:rPr>
                <w:sz w:val="18"/>
                <w:szCs w:val="18"/>
                <w:color w:val="auto"/>
              </w:rPr>
            </w:pPr>
          </w:p>
        </w:tc>
        <w:tc>
          <w:tcPr>
            <w:tcW w:w="18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(2.9)</w:t>
            </w:r>
          </w:p>
        </w:tc>
      </w:tr>
      <w:tr>
        <w:trPr>
          <w:trHeight w:val="213"/>
        </w:trPr>
        <w:tc>
          <w:tcPr>
            <w:tcW w:w="8980" w:type="dxa"/>
            <w:vAlign w:val="bottom"/>
          </w:tcPr>
          <w:p>
            <w:pPr>
              <w:spacing w:after="0"/>
              <w:rPr>
                <w:sz w:val="20"/>
                <w:szCs w:val="20"/>
                <w:color w:val="auto"/>
              </w:rPr>
            </w:pPr>
            <w:r>
              <w:rPr>
                <w:rFonts w:ascii="Arial" w:cs="Arial" w:eastAsia="Arial" w:hAnsi="Arial"/>
                <w:sz w:val="16"/>
                <w:szCs w:val="16"/>
                <w:color w:val="auto"/>
              </w:rPr>
              <w:t>Rider recovery</w:t>
            </w:r>
          </w:p>
        </w:tc>
        <w:tc>
          <w:tcPr>
            <w:tcW w:w="40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219"/>
        </w:trPr>
        <w:tc>
          <w:tcPr>
            <w:tcW w:w="8980" w:type="dxa"/>
            <w:vAlign w:val="bottom"/>
            <w:shd w:val="clear" w:color="auto" w:fill="CEFFE7"/>
          </w:tcPr>
          <w:p>
            <w:pPr>
              <w:spacing w:after="0"/>
              <w:rPr>
                <w:sz w:val="20"/>
                <w:szCs w:val="20"/>
                <w:color w:val="auto"/>
              </w:rPr>
            </w:pPr>
            <w:r>
              <w:rPr>
                <w:rFonts w:ascii="Arial" w:cs="Arial" w:eastAsia="Arial" w:hAnsi="Arial"/>
                <w:sz w:val="16"/>
                <w:szCs w:val="16"/>
                <w:color w:val="auto"/>
              </w:rPr>
              <w:t>Weather</w:t>
            </w:r>
          </w:p>
        </w:tc>
        <w:tc>
          <w:tcPr>
            <w:tcW w:w="400" w:type="dxa"/>
            <w:vAlign w:val="bottom"/>
            <w:shd w:val="clear" w:color="auto" w:fill="CEFFE7"/>
          </w:tcPr>
          <w:p>
            <w:pPr>
              <w:spacing w:after="0"/>
              <w:rPr>
                <w:sz w:val="19"/>
                <w:szCs w:val="19"/>
                <w:color w:val="auto"/>
              </w:rPr>
            </w:pPr>
          </w:p>
        </w:tc>
        <w:tc>
          <w:tcPr>
            <w:tcW w:w="18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1.1</w:t>
            </w:r>
          </w:p>
        </w:tc>
      </w:tr>
      <w:tr>
        <w:trPr>
          <w:trHeight w:val="213"/>
        </w:trPr>
        <w:tc>
          <w:tcPr>
            <w:tcW w:w="8980" w:type="dxa"/>
            <w:vAlign w:val="bottom"/>
          </w:tcPr>
          <w:p>
            <w:pPr>
              <w:spacing w:after="0"/>
              <w:rPr>
                <w:sz w:val="20"/>
                <w:szCs w:val="20"/>
                <w:color w:val="auto"/>
              </w:rPr>
            </w:pPr>
            <w:r>
              <w:rPr>
                <w:rFonts w:ascii="Arial" w:cs="Arial" w:eastAsia="Arial" w:hAnsi="Arial"/>
                <w:sz w:val="16"/>
                <w:szCs w:val="16"/>
                <w:color w:val="auto"/>
              </w:rPr>
              <w:t>Residential customer growth</w:t>
            </w:r>
          </w:p>
        </w:tc>
        <w:tc>
          <w:tcPr>
            <w:tcW w:w="40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0.3</w:t>
            </w:r>
          </w:p>
        </w:tc>
      </w:tr>
      <w:tr>
        <w:trPr>
          <w:trHeight w:val="216"/>
        </w:trPr>
        <w:tc>
          <w:tcPr>
            <w:tcW w:w="8980" w:type="dxa"/>
            <w:vAlign w:val="bottom"/>
            <w:shd w:val="clear" w:color="auto" w:fill="CEFFE7"/>
          </w:tcPr>
          <w:p>
            <w:pPr>
              <w:spacing w:after="0"/>
              <w:rPr>
                <w:sz w:val="20"/>
                <w:szCs w:val="20"/>
                <w:color w:val="auto"/>
              </w:rPr>
            </w:pPr>
            <w:r>
              <w:rPr>
                <w:rFonts w:ascii="Arial" w:cs="Arial" w:eastAsia="Arial" w:hAnsi="Arial"/>
                <w:sz w:val="16"/>
                <w:szCs w:val="16"/>
                <w:color w:val="auto"/>
              </w:rPr>
              <w:t>Other</w:t>
            </w:r>
          </w:p>
        </w:tc>
        <w:tc>
          <w:tcPr>
            <w:tcW w:w="400" w:type="dxa"/>
            <w:vAlign w:val="bottom"/>
            <w:tcBorders>
              <w:bottom w:val="single" w:sz="8" w:color="auto"/>
            </w:tcBorders>
            <w:shd w:val="clear" w:color="auto" w:fill="CEFFE7"/>
          </w:tcPr>
          <w:p>
            <w:pPr>
              <w:spacing w:after="0"/>
              <w:rPr>
                <w:sz w:val="18"/>
                <w:szCs w:val="18"/>
                <w:color w:val="auto"/>
              </w:rPr>
            </w:pPr>
          </w:p>
        </w:tc>
        <w:tc>
          <w:tcPr>
            <w:tcW w:w="18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0.5</w:t>
            </w:r>
          </w:p>
        </w:tc>
      </w:tr>
      <w:tr>
        <w:trPr>
          <w:trHeight w:val="212"/>
        </w:trPr>
        <w:tc>
          <w:tcPr>
            <w:tcW w:w="8980" w:type="dxa"/>
            <w:vAlign w:val="bottom"/>
          </w:tcPr>
          <w:p>
            <w:pPr>
              <w:spacing w:after="0"/>
              <w:rPr>
                <w:sz w:val="20"/>
                <w:szCs w:val="20"/>
                <w:color w:val="auto"/>
              </w:rPr>
            </w:pPr>
            <w:r>
              <w:rPr>
                <w:rFonts w:ascii="Arial" w:cs="Arial" w:eastAsia="Arial" w:hAnsi="Arial"/>
                <w:sz w:val="16"/>
                <w:szCs w:val="16"/>
                <w:color w:val="auto"/>
              </w:rPr>
              <w:t>Total change in Gross margin (non-GAAP)</w:t>
            </w: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w:t>
            </w:r>
          </w:p>
        </w:tc>
      </w:tr>
      <w:tr>
        <w:trPr>
          <w:trHeight w:val="21"/>
        </w:trPr>
        <w:tc>
          <w:tcPr>
            <w:tcW w:w="89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83" w:lineRule="exact"/>
        <w:rPr>
          <w:sz w:val="20"/>
          <w:szCs w:val="20"/>
          <w:color w:val="auto"/>
        </w:rPr>
      </w:pPr>
    </w:p>
    <w:p>
      <w:pPr>
        <w:ind w:left="100"/>
        <w:spacing w:after="0"/>
        <w:rPr>
          <w:sz w:val="20"/>
          <w:szCs w:val="20"/>
          <w:color w:val="auto"/>
        </w:rPr>
      </w:pPr>
      <w:r>
        <w:rPr>
          <w:rFonts w:ascii="Arial" w:cs="Arial" w:eastAsia="Arial" w:hAnsi="Arial"/>
          <w:sz w:val="16"/>
          <w:szCs w:val="16"/>
          <w:color w:val="auto"/>
        </w:rPr>
        <w:t>________________</w:t>
      </w:r>
    </w:p>
    <w:p>
      <w:pPr>
        <w:spacing w:after="0" w:line="8" w:lineRule="exact"/>
        <w:rPr>
          <w:sz w:val="20"/>
          <w:szCs w:val="20"/>
          <w:color w:val="auto"/>
        </w:rPr>
      </w:pPr>
    </w:p>
    <w:p>
      <w:pPr>
        <w:ind w:left="440" w:right="80" w:hanging="332"/>
        <w:spacing w:after="0" w:line="241" w:lineRule="auto"/>
        <w:tabs>
          <w:tab w:leader="none" w:pos="452" w:val="left"/>
        </w:tabs>
        <w:numPr>
          <w:ilvl w:val="0"/>
          <w:numId w:val="24"/>
        </w:numPr>
        <w:rPr>
          <w:rFonts w:ascii="Arial" w:cs="Arial" w:eastAsia="Arial" w:hAnsi="Arial"/>
          <w:sz w:val="14"/>
          <w:szCs w:val="14"/>
          <w:color w:val="auto"/>
        </w:rPr>
      </w:pPr>
      <w:r>
        <w:rPr>
          <w:rFonts w:ascii="Arial" w:cs="Arial" w:eastAsia="Arial" w:hAnsi="Arial"/>
          <w:sz w:val="14"/>
          <w:szCs w:val="14"/>
          <w:color w:val="auto"/>
        </w:rPr>
        <w:t>In February 2021, Colorado Electric delivered TCJA-related bill credits to its customers. These bill credits were offset by a reduction in income tax expense and resulted in a minimal impact to Net Income.</w:t>
      </w:r>
    </w:p>
    <w:p>
      <w:pPr>
        <w:ind w:left="440" w:right="320" w:hanging="332"/>
        <w:spacing w:after="0" w:line="258" w:lineRule="auto"/>
        <w:tabs>
          <w:tab w:leader="none" w:pos="444" w:val="left"/>
        </w:tabs>
        <w:numPr>
          <w:ilvl w:val="0"/>
          <w:numId w:val="24"/>
        </w:numPr>
        <w:rPr>
          <w:rFonts w:ascii="Arial" w:cs="Arial" w:eastAsia="Arial" w:hAnsi="Arial"/>
          <w:sz w:val="14"/>
          <w:szCs w:val="14"/>
          <w:color w:val="auto"/>
        </w:rPr>
      </w:pPr>
      <w:r>
        <w:rPr>
          <w:rFonts w:ascii="Arial" w:cs="Arial" w:eastAsia="Arial" w:hAnsi="Arial"/>
          <w:sz w:val="14"/>
          <w:szCs w:val="14"/>
          <w:color w:val="auto"/>
        </w:rPr>
        <w:t>As a result of Winter Storm Uri, our Electric Utilities incurred a $3.2 million negative impact to our regulated wholesale power margins due to higher fuel costs and $2.1 million of incremental fuel costs that are not recoverable through our fuel cost recovery mechanisms.</w:t>
      </w:r>
    </w:p>
    <w:p>
      <w:pPr>
        <w:spacing w:after="0" w:line="218" w:lineRule="exact"/>
        <w:rPr>
          <w:sz w:val="20"/>
          <w:szCs w:val="20"/>
          <w:color w:val="auto"/>
        </w:rPr>
      </w:pPr>
    </w:p>
    <w:p>
      <w:pPr>
        <w:ind w:left="100"/>
        <w:spacing w:after="0"/>
        <w:rPr>
          <w:sz w:val="20"/>
          <w:szCs w:val="20"/>
          <w:color w:val="auto"/>
        </w:rPr>
      </w:pPr>
      <w:r>
        <w:rPr>
          <w:rFonts w:ascii="Arial" w:cs="Arial" w:eastAsia="Arial" w:hAnsi="Arial"/>
          <w:sz w:val="16"/>
          <w:szCs w:val="16"/>
          <w:u w:val="single" w:color="auto"/>
          <w:color w:val="auto"/>
        </w:rPr>
        <w:t>Operations and maintenance expense</w:t>
      </w:r>
      <w:r>
        <w:rPr>
          <w:rFonts w:ascii="Arial" w:cs="Arial" w:eastAsia="Arial" w:hAnsi="Arial"/>
          <w:sz w:val="16"/>
          <w:szCs w:val="16"/>
          <w:color w:val="auto"/>
        </w:rPr>
        <w:t xml:space="preserve"> decreased primarily due to prior year expenses related to the municipalization efforts in Pueblo, Colorado.</w:t>
      </w:r>
    </w:p>
    <w:p>
      <w:pPr>
        <w:spacing w:after="0" w:line="248" w:lineRule="exact"/>
        <w:rPr>
          <w:sz w:val="20"/>
          <w:szCs w:val="20"/>
          <w:color w:val="auto"/>
        </w:rPr>
      </w:pPr>
    </w:p>
    <w:p>
      <w:pPr>
        <w:ind w:left="100"/>
        <w:spacing w:after="0"/>
        <w:rPr>
          <w:sz w:val="20"/>
          <w:szCs w:val="20"/>
          <w:color w:val="auto"/>
        </w:rPr>
      </w:pPr>
      <w:r>
        <w:rPr>
          <w:rFonts w:ascii="Arial" w:cs="Arial" w:eastAsia="Arial" w:hAnsi="Arial"/>
          <w:sz w:val="16"/>
          <w:szCs w:val="16"/>
          <w:u w:val="single" w:color="auto"/>
          <w:color w:val="auto"/>
        </w:rPr>
        <w:t>Depreciation and amortization</w:t>
      </w:r>
      <w:r>
        <w:rPr>
          <w:rFonts w:ascii="Arial" w:cs="Arial" w:eastAsia="Arial" w:hAnsi="Arial"/>
          <w:sz w:val="16"/>
          <w:szCs w:val="16"/>
          <w:color w:val="auto"/>
        </w:rPr>
        <w:t xml:space="preserve"> increased primarily due to a higher asset base driven by prior year capital expenditures.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10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6"/>
                <w:szCs w:val="16"/>
                <w:i w:val="1"/>
                <w:iCs w:val="1"/>
                <w:color w:val="auto"/>
              </w:rPr>
              <w:t>Operating Statistics</w:t>
            </w:r>
          </w:p>
        </w:tc>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10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60" w:type="dxa"/>
            <w:vAlign w:val="bottom"/>
            <w:gridSpan w:val="2"/>
          </w:tcPr>
          <w:p>
            <w:pPr>
              <w:jc w:val="right"/>
              <w:ind w:right="499"/>
              <w:spacing w:after="0"/>
              <w:rPr>
                <w:sz w:val="20"/>
                <w:szCs w:val="20"/>
                <w:color w:val="auto"/>
              </w:rPr>
            </w:pPr>
            <w:r>
              <w:rPr>
                <w:rFonts w:ascii="Arial" w:cs="Arial" w:eastAsia="Arial" w:hAnsi="Arial"/>
                <w:sz w:val="16"/>
                <w:szCs w:val="16"/>
                <w:color w:val="auto"/>
              </w:rPr>
              <w:t>Revenue (in thousands)</w:t>
            </w:r>
          </w:p>
        </w:tc>
        <w:tc>
          <w:tcPr>
            <w:tcW w:w="120" w:type="dxa"/>
            <w:vAlign w:val="bottom"/>
          </w:tcPr>
          <w:p>
            <w:pPr>
              <w:spacing w:after="0"/>
              <w:rPr>
                <w:sz w:val="24"/>
                <w:szCs w:val="24"/>
                <w:color w:val="auto"/>
              </w:rPr>
            </w:pPr>
          </w:p>
        </w:tc>
        <w:tc>
          <w:tcPr>
            <w:tcW w:w="2880" w:type="dxa"/>
            <w:vAlign w:val="bottom"/>
            <w:gridSpan w:val="3"/>
          </w:tcPr>
          <w:p>
            <w:pPr>
              <w:ind w:left="300"/>
              <w:spacing w:after="0"/>
              <w:rPr>
                <w:sz w:val="20"/>
                <w:szCs w:val="20"/>
                <w:color w:val="auto"/>
              </w:rPr>
            </w:pPr>
            <w:r>
              <w:rPr>
                <w:rFonts w:ascii="Arial" w:cs="Arial" w:eastAsia="Arial" w:hAnsi="Arial"/>
                <w:sz w:val="16"/>
                <w:szCs w:val="16"/>
                <w:color w:val="auto"/>
              </w:rPr>
              <w:t>Quantities Sold (MWh)</w:t>
            </w:r>
          </w:p>
        </w:tc>
        <w:tc>
          <w:tcPr>
            <w:tcW w:w="0" w:type="dxa"/>
            <w:vAlign w:val="bottom"/>
          </w:tcPr>
          <w:p>
            <w:pPr>
              <w:spacing w:after="0"/>
              <w:rPr>
                <w:sz w:val="1"/>
                <w:szCs w:val="1"/>
                <w:color w:val="auto"/>
              </w:rPr>
            </w:pPr>
          </w:p>
        </w:tc>
      </w:tr>
      <w:tr>
        <w:trPr>
          <w:trHeight w:val="183"/>
        </w:trPr>
        <w:tc>
          <w:tcPr>
            <w:tcW w:w="10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560" w:type="dxa"/>
            <w:vAlign w:val="bottom"/>
            <w:gridSpan w:val="2"/>
          </w:tcPr>
          <w:p>
            <w:pPr>
              <w:jc w:val="right"/>
              <w:ind w:right="599"/>
              <w:spacing w:after="0"/>
              <w:rPr>
                <w:sz w:val="20"/>
                <w:szCs w:val="20"/>
                <w:color w:val="auto"/>
              </w:rPr>
            </w:pPr>
            <w:r>
              <w:rPr>
                <w:rFonts w:ascii="Arial" w:cs="Arial" w:eastAsia="Arial" w:hAnsi="Arial"/>
                <w:sz w:val="16"/>
                <w:szCs w:val="16"/>
                <w:color w:val="auto"/>
              </w:rPr>
              <w:t>Three Months Ended</w:t>
            </w:r>
          </w:p>
        </w:tc>
        <w:tc>
          <w:tcPr>
            <w:tcW w:w="120" w:type="dxa"/>
            <w:vAlign w:val="bottom"/>
          </w:tcPr>
          <w:p>
            <w:pPr>
              <w:spacing w:after="0"/>
              <w:rPr>
                <w:sz w:val="15"/>
                <w:szCs w:val="15"/>
                <w:color w:val="auto"/>
              </w:rPr>
            </w:pPr>
          </w:p>
        </w:tc>
        <w:tc>
          <w:tcPr>
            <w:tcW w:w="2880" w:type="dxa"/>
            <w:vAlign w:val="bottom"/>
            <w:gridSpan w:val="3"/>
          </w:tcPr>
          <w:p>
            <w:pPr>
              <w:ind w:left="360"/>
              <w:spacing w:after="0"/>
              <w:rPr>
                <w:sz w:val="20"/>
                <w:szCs w:val="20"/>
                <w:color w:val="auto"/>
              </w:rPr>
            </w:pPr>
            <w:r>
              <w:rPr>
                <w:rFonts w:ascii="Arial" w:cs="Arial" w:eastAsia="Arial" w:hAnsi="Arial"/>
                <w:sz w:val="16"/>
                <w:szCs w:val="16"/>
                <w:color w:val="auto"/>
              </w:rPr>
              <w:t>Three Months Ended</w:t>
            </w:r>
          </w:p>
        </w:tc>
        <w:tc>
          <w:tcPr>
            <w:tcW w:w="0" w:type="dxa"/>
            <w:vAlign w:val="bottom"/>
          </w:tcPr>
          <w:p>
            <w:pPr>
              <w:spacing w:after="0"/>
              <w:rPr>
                <w:sz w:val="1"/>
                <w:szCs w:val="1"/>
                <w:color w:val="auto"/>
              </w:rPr>
            </w:pPr>
          </w:p>
        </w:tc>
      </w:tr>
      <w:tr>
        <w:trPr>
          <w:trHeight w:val="195"/>
        </w:trPr>
        <w:tc>
          <w:tcPr>
            <w:tcW w:w="100" w:type="dxa"/>
            <w:vAlign w:val="bottom"/>
          </w:tcPr>
          <w:p>
            <w:pPr>
              <w:spacing w:after="0"/>
              <w:rPr>
                <w:sz w:val="16"/>
                <w:szCs w:val="16"/>
                <w:color w:val="auto"/>
              </w:rPr>
            </w:pPr>
          </w:p>
        </w:tc>
        <w:tc>
          <w:tcPr>
            <w:tcW w:w="39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60" w:type="dxa"/>
            <w:vAlign w:val="bottom"/>
            <w:gridSpan w:val="2"/>
          </w:tcPr>
          <w:p>
            <w:pPr>
              <w:jc w:val="right"/>
              <w:ind w:right="839"/>
              <w:spacing w:after="0"/>
              <w:rPr>
                <w:sz w:val="20"/>
                <w:szCs w:val="20"/>
                <w:color w:val="auto"/>
              </w:rPr>
            </w:pPr>
            <w:r>
              <w:rPr>
                <w:rFonts w:ascii="Arial" w:cs="Arial" w:eastAsia="Arial" w:hAnsi="Arial"/>
                <w:sz w:val="16"/>
                <w:szCs w:val="16"/>
                <w:color w:val="auto"/>
              </w:rPr>
              <w:t>March 31,</w:t>
            </w:r>
          </w:p>
        </w:tc>
        <w:tc>
          <w:tcPr>
            <w:tcW w:w="120" w:type="dxa"/>
            <w:vAlign w:val="bottom"/>
          </w:tcPr>
          <w:p>
            <w:pPr>
              <w:spacing w:after="0"/>
              <w:rPr>
                <w:sz w:val="16"/>
                <w:szCs w:val="16"/>
                <w:color w:val="auto"/>
              </w:rPr>
            </w:pPr>
          </w:p>
        </w:tc>
        <w:tc>
          <w:tcPr>
            <w:tcW w:w="2880" w:type="dxa"/>
            <w:vAlign w:val="bottom"/>
            <w:gridSpan w:val="3"/>
          </w:tcPr>
          <w:p>
            <w:pPr>
              <w:ind w:left="920"/>
              <w:spacing w:after="0"/>
              <w:rPr>
                <w:sz w:val="20"/>
                <w:szCs w:val="20"/>
                <w:color w:val="auto"/>
              </w:rPr>
            </w:pPr>
            <w:r>
              <w:rPr>
                <w:rFonts w:ascii="Arial" w:cs="Arial" w:eastAsia="Arial" w:hAnsi="Arial"/>
                <w:sz w:val="16"/>
                <w:szCs w:val="16"/>
                <w:color w:val="auto"/>
              </w:rPr>
              <w:t>March 31,</w:t>
            </w:r>
          </w:p>
        </w:tc>
        <w:tc>
          <w:tcPr>
            <w:tcW w:w="0" w:type="dxa"/>
            <w:vAlign w:val="bottom"/>
          </w:tcPr>
          <w:p>
            <w:pPr>
              <w:spacing w:after="0"/>
              <w:rPr>
                <w:sz w:val="1"/>
                <w:szCs w:val="1"/>
                <w:color w:val="auto"/>
              </w:rPr>
            </w:pPr>
          </w:p>
        </w:tc>
      </w:tr>
      <w:tr>
        <w:trPr>
          <w:trHeight w:val="219"/>
        </w:trPr>
        <w:tc>
          <w:tcPr>
            <w:tcW w:w="100" w:type="dxa"/>
            <w:vAlign w:val="bottom"/>
          </w:tcPr>
          <w:p>
            <w:pPr>
              <w:spacing w:after="0"/>
              <w:rPr>
                <w:sz w:val="19"/>
                <w:szCs w:val="19"/>
                <w:color w:val="auto"/>
              </w:rPr>
            </w:pPr>
          </w:p>
        </w:tc>
        <w:tc>
          <w:tcPr>
            <w:tcW w:w="39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2"/>
          </w:tcPr>
          <w:p>
            <w:pPr>
              <w:jc w:val="right"/>
              <w:ind w:right="659"/>
              <w:spacing w:after="0"/>
              <w:rPr>
                <w:sz w:val="20"/>
                <w:szCs w:val="20"/>
                <w:color w:val="auto"/>
              </w:rPr>
            </w:pPr>
            <w:r>
              <w:rPr>
                <w:rFonts w:ascii="Arial" w:cs="Arial" w:eastAsia="Arial" w:hAnsi="Arial"/>
                <w:sz w:val="16"/>
                <w:szCs w:val="16"/>
                <w:color w:val="auto"/>
              </w:rPr>
              <w:t>2021</w:t>
            </w:r>
          </w:p>
        </w:tc>
        <w:tc>
          <w:tcPr>
            <w:tcW w:w="116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color w:val="auto"/>
              </w:rPr>
              <w:t>2020</w:t>
            </w:r>
          </w:p>
        </w:tc>
        <w:tc>
          <w:tcPr>
            <w:tcW w:w="120" w:type="dxa"/>
            <w:vAlign w:val="bottom"/>
            <w:tcBorders>
              <w:bottom w:val="single" w:sz="8" w:color="CEFFE7"/>
            </w:tcBorders>
          </w:tcPr>
          <w:p>
            <w:pPr>
              <w:spacing w:after="0"/>
              <w:rPr>
                <w:sz w:val="19"/>
                <w:szCs w:val="19"/>
                <w:color w:val="auto"/>
              </w:rPr>
            </w:pPr>
          </w:p>
        </w:tc>
        <w:tc>
          <w:tcPr>
            <w:tcW w:w="1380" w:type="dxa"/>
            <w:vAlign w:val="bottom"/>
            <w:tcBorders>
              <w:bottom w:val="single" w:sz="8" w:color="auto"/>
            </w:tcBorders>
          </w:tcPr>
          <w:p>
            <w:pPr>
              <w:ind w:left="300"/>
              <w:spacing w:after="0"/>
              <w:rPr>
                <w:sz w:val="20"/>
                <w:szCs w:val="20"/>
                <w:color w:val="auto"/>
              </w:rPr>
            </w:pPr>
            <w:r>
              <w:rPr>
                <w:rFonts w:ascii="Arial" w:cs="Arial" w:eastAsia="Arial" w:hAnsi="Arial"/>
                <w:sz w:val="16"/>
                <w:szCs w:val="16"/>
                <w:color w:val="auto"/>
              </w:rPr>
              <w:t>2021</w:t>
            </w:r>
          </w:p>
        </w:tc>
        <w:tc>
          <w:tcPr>
            <w:tcW w:w="118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color w:val="auto"/>
              </w:rPr>
              <w:t>2020</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100" w:type="dxa"/>
            <w:vAlign w:val="bottom"/>
          </w:tcPr>
          <w:p>
            <w:pPr>
              <w:spacing w:after="0"/>
              <w:rPr>
                <w:sz w:val="18"/>
                <w:szCs w:val="18"/>
                <w:color w:val="auto"/>
              </w:rPr>
            </w:pPr>
          </w:p>
        </w:tc>
        <w:tc>
          <w:tcPr>
            <w:tcW w:w="3960" w:type="dxa"/>
            <w:vAlign w:val="bottom"/>
            <w:shd w:val="clear" w:color="auto" w:fill="CEFFE7"/>
          </w:tcPr>
          <w:p>
            <w:pPr>
              <w:spacing w:after="0"/>
              <w:rPr>
                <w:sz w:val="20"/>
                <w:szCs w:val="20"/>
                <w:color w:val="auto"/>
              </w:rPr>
            </w:pPr>
            <w:r>
              <w:rPr>
                <w:rFonts w:ascii="Arial" w:cs="Arial" w:eastAsia="Arial" w:hAnsi="Arial"/>
                <w:sz w:val="16"/>
                <w:szCs w:val="16"/>
                <w:color w:val="auto"/>
              </w:rPr>
              <w:t>sidential</w:t>
            </w:r>
          </w:p>
        </w:tc>
        <w:tc>
          <w:tcPr>
            <w:tcW w:w="15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580" w:type="dxa"/>
            <w:vAlign w:val="bottom"/>
            <w:gridSpan w:val="2"/>
            <w:shd w:val="clear" w:color="auto" w:fill="CEFFE7"/>
          </w:tcPr>
          <w:p>
            <w:pPr>
              <w:jc w:val="right"/>
              <w:ind w:right="119"/>
              <w:spacing w:after="0"/>
              <w:rPr>
                <w:sz w:val="20"/>
                <w:szCs w:val="20"/>
                <w:color w:val="auto"/>
              </w:rPr>
            </w:pPr>
            <w:r>
              <w:rPr>
                <w:rFonts w:ascii="Arial" w:cs="Arial" w:eastAsia="Arial" w:hAnsi="Arial"/>
                <w:sz w:val="16"/>
                <w:szCs w:val="16"/>
                <w:color w:val="auto"/>
              </w:rPr>
              <w:t>72,760$</w:t>
            </w:r>
          </w:p>
        </w:tc>
        <w:tc>
          <w:tcPr>
            <w:tcW w:w="11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54,505</w:t>
            </w:r>
          </w:p>
        </w:tc>
        <w:tc>
          <w:tcPr>
            <w:tcW w:w="1500" w:type="dxa"/>
            <w:vAlign w:val="bottom"/>
            <w:gridSpan w:val="2"/>
            <w:shd w:val="clear" w:color="auto" w:fill="CEFFE7"/>
          </w:tcPr>
          <w:p>
            <w:pPr>
              <w:jc w:val="right"/>
              <w:ind w:right="99"/>
              <w:spacing w:after="0"/>
              <w:rPr>
                <w:sz w:val="20"/>
                <w:szCs w:val="20"/>
                <w:color w:val="auto"/>
              </w:rPr>
            </w:pPr>
            <w:r>
              <w:rPr>
                <w:rFonts w:ascii="Arial" w:cs="Arial" w:eastAsia="Arial" w:hAnsi="Arial"/>
                <w:sz w:val="16"/>
                <w:szCs w:val="16"/>
                <w:color w:val="auto"/>
              </w:rPr>
              <w:t>396,086</w:t>
            </w:r>
          </w:p>
        </w:tc>
        <w:tc>
          <w:tcPr>
            <w:tcW w:w="11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373,150</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060" w:type="dxa"/>
            <w:vAlign w:val="bottom"/>
            <w:gridSpan w:val="2"/>
          </w:tcPr>
          <w:p>
            <w:pPr>
              <w:spacing w:after="0"/>
              <w:rPr>
                <w:sz w:val="20"/>
                <w:szCs w:val="20"/>
                <w:color w:val="auto"/>
              </w:rPr>
            </w:pPr>
            <w:r>
              <w:rPr>
                <w:rFonts w:ascii="Arial" w:cs="Arial" w:eastAsia="Arial" w:hAnsi="Arial"/>
                <w:sz w:val="16"/>
                <w:szCs w:val="16"/>
                <w:color w:val="auto"/>
              </w:rPr>
              <w:t>mmercial</w:t>
            </w:r>
          </w:p>
        </w:tc>
        <w:tc>
          <w:tcPr>
            <w:tcW w:w="1540" w:type="dxa"/>
            <w:vAlign w:val="bottom"/>
          </w:tcPr>
          <w:p>
            <w:pPr>
              <w:spacing w:after="0"/>
              <w:rPr>
                <w:sz w:val="18"/>
                <w:szCs w:val="18"/>
                <w:color w:val="auto"/>
              </w:rPr>
            </w:pPr>
          </w:p>
        </w:tc>
        <w:tc>
          <w:tcPr>
            <w:tcW w:w="1580" w:type="dxa"/>
            <w:vAlign w:val="bottom"/>
            <w:gridSpan w:val="2"/>
          </w:tcPr>
          <w:p>
            <w:pPr>
              <w:jc w:val="right"/>
              <w:ind w:right="119"/>
              <w:spacing w:after="0"/>
              <w:rPr>
                <w:sz w:val="20"/>
                <w:szCs w:val="20"/>
                <w:color w:val="auto"/>
              </w:rPr>
            </w:pPr>
            <w:r>
              <w:rPr>
                <w:rFonts w:ascii="Arial" w:cs="Arial" w:eastAsia="Arial" w:hAnsi="Arial"/>
                <w:sz w:val="16"/>
                <w:szCs w:val="16"/>
                <w:color w:val="auto"/>
              </w:rPr>
              <w:t>77,007</w:t>
            </w:r>
          </w:p>
        </w:tc>
        <w:tc>
          <w:tcPr>
            <w:tcW w:w="1160" w:type="dxa"/>
            <w:vAlign w:val="bottom"/>
          </w:tcPr>
          <w:p>
            <w:pPr>
              <w:jc w:val="right"/>
              <w:spacing w:after="0"/>
              <w:rPr>
                <w:sz w:val="20"/>
                <w:szCs w:val="20"/>
                <w:color w:val="auto"/>
              </w:rPr>
            </w:pPr>
            <w:r>
              <w:rPr>
                <w:rFonts w:ascii="Arial" w:cs="Arial" w:eastAsia="Arial" w:hAnsi="Arial"/>
                <w:sz w:val="16"/>
                <w:szCs w:val="16"/>
                <w:color w:val="auto"/>
              </w:rPr>
              <w:t>57,823</w:t>
            </w:r>
          </w:p>
        </w:tc>
        <w:tc>
          <w:tcPr>
            <w:tcW w:w="1500" w:type="dxa"/>
            <w:vAlign w:val="bottom"/>
            <w:gridSpan w:val="2"/>
          </w:tcPr>
          <w:p>
            <w:pPr>
              <w:jc w:val="right"/>
              <w:ind w:right="99"/>
              <w:spacing w:after="0"/>
              <w:rPr>
                <w:sz w:val="20"/>
                <w:szCs w:val="20"/>
                <w:color w:val="auto"/>
              </w:rPr>
            </w:pPr>
            <w:r>
              <w:rPr>
                <w:rFonts w:ascii="Arial" w:cs="Arial" w:eastAsia="Arial" w:hAnsi="Arial"/>
                <w:sz w:val="16"/>
                <w:szCs w:val="16"/>
                <w:color w:val="auto"/>
              </w:rPr>
              <w:t>492,955</w:t>
            </w:r>
          </w:p>
        </w:tc>
        <w:tc>
          <w:tcPr>
            <w:tcW w:w="1180" w:type="dxa"/>
            <w:vAlign w:val="bottom"/>
          </w:tcPr>
          <w:p>
            <w:pPr>
              <w:jc w:val="right"/>
              <w:spacing w:after="0"/>
              <w:rPr>
                <w:sz w:val="20"/>
                <w:szCs w:val="20"/>
                <w:color w:val="auto"/>
              </w:rPr>
            </w:pPr>
            <w:r>
              <w:rPr>
                <w:rFonts w:ascii="Arial" w:cs="Arial" w:eastAsia="Arial" w:hAnsi="Arial"/>
                <w:sz w:val="16"/>
                <w:szCs w:val="16"/>
                <w:color w:val="auto"/>
              </w:rPr>
              <w:t>494,308</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00" w:type="dxa"/>
            <w:vAlign w:val="bottom"/>
          </w:tcPr>
          <w:p>
            <w:pPr>
              <w:spacing w:after="0"/>
              <w:rPr>
                <w:sz w:val="19"/>
                <w:szCs w:val="19"/>
                <w:color w:val="auto"/>
              </w:rPr>
            </w:pPr>
          </w:p>
        </w:tc>
        <w:tc>
          <w:tcPr>
            <w:tcW w:w="3960" w:type="dxa"/>
            <w:vAlign w:val="bottom"/>
            <w:shd w:val="clear" w:color="auto" w:fill="CEFFE7"/>
          </w:tcPr>
          <w:p>
            <w:pPr>
              <w:spacing w:after="0"/>
              <w:rPr>
                <w:sz w:val="20"/>
                <w:szCs w:val="20"/>
                <w:color w:val="auto"/>
              </w:rPr>
            </w:pPr>
            <w:r>
              <w:rPr>
                <w:rFonts w:ascii="Arial" w:cs="Arial" w:eastAsia="Arial" w:hAnsi="Arial"/>
                <w:sz w:val="16"/>
                <w:szCs w:val="16"/>
                <w:color w:val="auto"/>
              </w:rPr>
              <w:t>ustrial</w:t>
            </w:r>
          </w:p>
        </w:tc>
        <w:tc>
          <w:tcPr>
            <w:tcW w:w="1540" w:type="dxa"/>
            <w:vAlign w:val="bottom"/>
            <w:shd w:val="clear" w:color="auto" w:fill="CEFFE7"/>
          </w:tcPr>
          <w:p>
            <w:pPr>
              <w:spacing w:after="0"/>
              <w:rPr>
                <w:sz w:val="19"/>
                <w:szCs w:val="19"/>
                <w:color w:val="auto"/>
              </w:rPr>
            </w:pPr>
          </w:p>
        </w:tc>
        <w:tc>
          <w:tcPr>
            <w:tcW w:w="1580" w:type="dxa"/>
            <w:vAlign w:val="bottom"/>
            <w:gridSpan w:val="2"/>
            <w:shd w:val="clear" w:color="auto" w:fill="CEFFE7"/>
          </w:tcPr>
          <w:p>
            <w:pPr>
              <w:jc w:val="right"/>
              <w:ind w:right="119"/>
              <w:spacing w:after="0"/>
              <w:rPr>
                <w:sz w:val="20"/>
                <w:szCs w:val="20"/>
                <w:color w:val="auto"/>
              </w:rPr>
            </w:pPr>
            <w:r>
              <w:rPr>
                <w:rFonts w:ascii="Arial" w:cs="Arial" w:eastAsia="Arial" w:hAnsi="Arial"/>
                <w:sz w:val="16"/>
                <w:szCs w:val="16"/>
                <w:color w:val="auto"/>
              </w:rPr>
              <w:t>43,009</w:t>
            </w:r>
          </w:p>
        </w:tc>
        <w:tc>
          <w:tcPr>
            <w:tcW w:w="11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32,169</w:t>
            </w:r>
          </w:p>
        </w:tc>
        <w:tc>
          <w:tcPr>
            <w:tcW w:w="1500" w:type="dxa"/>
            <w:vAlign w:val="bottom"/>
            <w:gridSpan w:val="2"/>
            <w:shd w:val="clear" w:color="auto" w:fill="CEFFE7"/>
          </w:tcPr>
          <w:p>
            <w:pPr>
              <w:jc w:val="right"/>
              <w:ind w:right="99"/>
              <w:spacing w:after="0"/>
              <w:rPr>
                <w:sz w:val="20"/>
                <w:szCs w:val="20"/>
                <w:color w:val="auto"/>
              </w:rPr>
            </w:pPr>
            <w:r>
              <w:rPr>
                <w:rFonts w:ascii="Arial" w:cs="Arial" w:eastAsia="Arial" w:hAnsi="Arial"/>
                <w:sz w:val="16"/>
                <w:szCs w:val="16"/>
                <w:color w:val="auto"/>
              </w:rPr>
              <w:t>415,191</w:t>
            </w:r>
          </w:p>
        </w:tc>
        <w:tc>
          <w:tcPr>
            <w:tcW w:w="11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460,632</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60" w:type="dxa"/>
            <w:vAlign w:val="bottom"/>
            <w:gridSpan w:val="2"/>
          </w:tcPr>
          <w:p>
            <w:pPr>
              <w:ind w:left="20"/>
              <w:spacing w:after="0"/>
              <w:rPr>
                <w:sz w:val="20"/>
                <w:szCs w:val="20"/>
                <w:color w:val="auto"/>
              </w:rPr>
            </w:pPr>
            <w:r>
              <w:rPr>
                <w:rFonts w:ascii="Arial" w:cs="Arial" w:eastAsia="Arial" w:hAnsi="Arial"/>
                <w:sz w:val="16"/>
                <w:szCs w:val="16"/>
                <w:color w:val="auto"/>
              </w:rPr>
              <w:t>nicipal</w:t>
            </w:r>
          </w:p>
        </w:tc>
        <w:tc>
          <w:tcPr>
            <w:tcW w:w="1540" w:type="dxa"/>
            <w:vAlign w:val="bottom"/>
          </w:tcPr>
          <w:p>
            <w:pPr>
              <w:spacing w:after="0"/>
              <w:rPr>
                <w:sz w:val="18"/>
                <w:szCs w:val="18"/>
                <w:color w:val="auto"/>
              </w:rPr>
            </w:pPr>
          </w:p>
        </w:tc>
        <w:tc>
          <w:tcPr>
            <w:tcW w:w="1580" w:type="dxa"/>
            <w:vAlign w:val="bottom"/>
            <w:gridSpan w:val="2"/>
          </w:tcPr>
          <w:p>
            <w:pPr>
              <w:jc w:val="right"/>
              <w:ind w:right="119"/>
              <w:spacing w:after="0"/>
              <w:rPr>
                <w:sz w:val="20"/>
                <w:szCs w:val="20"/>
                <w:color w:val="auto"/>
              </w:rPr>
            </w:pPr>
            <w:r>
              <w:rPr>
                <w:rFonts w:ascii="Arial" w:cs="Arial" w:eastAsia="Arial" w:hAnsi="Arial"/>
                <w:sz w:val="16"/>
                <w:szCs w:val="16"/>
                <w:color w:val="auto"/>
              </w:rPr>
              <w:t>5,020</w:t>
            </w:r>
          </w:p>
        </w:tc>
        <w:tc>
          <w:tcPr>
            <w:tcW w:w="1160" w:type="dxa"/>
            <w:vAlign w:val="bottom"/>
          </w:tcPr>
          <w:p>
            <w:pPr>
              <w:jc w:val="right"/>
              <w:spacing w:after="0"/>
              <w:rPr>
                <w:sz w:val="20"/>
                <w:szCs w:val="20"/>
                <w:color w:val="auto"/>
              </w:rPr>
            </w:pPr>
            <w:r>
              <w:rPr>
                <w:rFonts w:ascii="Arial" w:cs="Arial" w:eastAsia="Arial" w:hAnsi="Arial"/>
                <w:sz w:val="16"/>
                <w:szCs w:val="16"/>
                <w:color w:val="auto"/>
              </w:rPr>
              <w:t>3,878</w:t>
            </w:r>
          </w:p>
        </w:tc>
        <w:tc>
          <w:tcPr>
            <w:tcW w:w="1500" w:type="dxa"/>
            <w:vAlign w:val="bottom"/>
            <w:gridSpan w:val="2"/>
          </w:tcPr>
          <w:p>
            <w:pPr>
              <w:jc w:val="right"/>
              <w:ind w:right="99"/>
              <w:spacing w:after="0"/>
              <w:rPr>
                <w:sz w:val="20"/>
                <w:szCs w:val="20"/>
                <w:color w:val="auto"/>
              </w:rPr>
            </w:pPr>
            <w:r>
              <w:rPr>
                <w:rFonts w:ascii="Arial" w:cs="Arial" w:eastAsia="Arial" w:hAnsi="Arial"/>
                <w:sz w:val="16"/>
                <w:szCs w:val="16"/>
                <w:color w:val="auto"/>
              </w:rPr>
              <w:t>36,242</w:t>
            </w:r>
          </w:p>
        </w:tc>
        <w:tc>
          <w:tcPr>
            <w:tcW w:w="1180" w:type="dxa"/>
            <w:vAlign w:val="bottom"/>
          </w:tcPr>
          <w:p>
            <w:pPr>
              <w:jc w:val="right"/>
              <w:spacing w:after="0"/>
              <w:rPr>
                <w:sz w:val="20"/>
                <w:szCs w:val="20"/>
                <w:color w:val="auto"/>
              </w:rPr>
            </w:pPr>
            <w:r>
              <w:rPr>
                <w:rFonts w:ascii="Arial" w:cs="Arial" w:eastAsia="Arial" w:hAnsi="Arial"/>
                <w:sz w:val="16"/>
                <w:szCs w:val="16"/>
                <w:color w:val="auto"/>
              </w:rPr>
              <w:t>36,399</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00" w:type="dxa"/>
            <w:vAlign w:val="bottom"/>
          </w:tcPr>
          <w:p>
            <w:pPr>
              <w:spacing w:after="0"/>
              <w:rPr>
                <w:sz w:val="18"/>
                <w:szCs w:val="18"/>
                <w:color w:val="auto"/>
              </w:rPr>
            </w:pPr>
          </w:p>
        </w:tc>
        <w:tc>
          <w:tcPr>
            <w:tcW w:w="3960" w:type="dxa"/>
            <w:vAlign w:val="bottom"/>
            <w:tcBorders>
              <w:top w:val="single" w:sz="8" w:color="CEFFE7"/>
            </w:tcBorders>
            <w:shd w:val="clear" w:color="auto" w:fill="CEFFE7"/>
          </w:tcPr>
          <w:p>
            <w:pPr>
              <w:spacing w:after="0"/>
              <w:rPr>
                <w:sz w:val="20"/>
                <w:szCs w:val="20"/>
                <w:color w:val="auto"/>
              </w:rPr>
            </w:pPr>
            <w:r>
              <w:rPr>
                <w:rFonts w:ascii="Arial" w:cs="Arial" w:eastAsia="Arial" w:hAnsi="Arial"/>
                <w:sz w:val="16"/>
                <w:szCs w:val="16"/>
                <w:color w:val="auto"/>
              </w:rPr>
              <w:t>Subtotal Retail Revenue - Electric</w:t>
            </w:r>
          </w:p>
        </w:tc>
        <w:tc>
          <w:tcPr>
            <w:tcW w:w="1540" w:type="dxa"/>
            <w:vAlign w:val="bottom"/>
            <w:tcBorders>
              <w:top w:val="single" w:sz="8" w:color="CEFFE7"/>
            </w:tcBorders>
            <w:shd w:val="clear" w:color="auto" w:fill="CEFFE7"/>
          </w:tcPr>
          <w:p>
            <w:pPr>
              <w:spacing w:after="0"/>
              <w:rPr>
                <w:sz w:val="18"/>
                <w:szCs w:val="18"/>
                <w:color w:val="auto"/>
              </w:rPr>
            </w:pPr>
          </w:p>
        </w:tc>
        <w:tc>
          <w:tcPr>
            <w:tcW w:w="180" w:type="dxa"/>
            <w:vAlign w:val="bottom"/>
            <w:tcBorders>
              <w:top w:val="single" w:sz="8" w:color="CEFFE7"/>
            </w:tcBorders>
            <w:shd w:val="clear" w:color="auto" w:fill="CEFFE7"/>
          </w:tcPr>
          <w:p>
            <w:pPr>
              <w:spacing w:after="0"/>
              <w:rPr>
                <w:sz w:val="18"/>
                <w:szCs w:val="18"/>
                <w:color w:val="auto"/>
              </w:rPr>
            </w:pPr>
          </w:p>
        </w:tc>
        <w:tc>
          <w:tcPr>
            <w:tcW w:w="1400" w:type="dxa"/>
            <w:vAlign w:val="bottom"/>
            <w:tcBorders>
              <w:top w:val="single" w:sz="8" w:color="auto"/>
              <w:bottom w:val="single" w:sz="8" w:color="auto"/>
            </w:tcBorders>
            <w:shd w:val="clear" w:color="auto" w:fill="CEFFE7"/>
          </w:tcPr>
          <w:p>
            <w:pPr>
              <w:jc w:val="right"/>
              <w:ind w:right="119"/>
              <w:spacing w:after="0"/>
              <w:rPr>
                <w:sz w:val="20"/>
                <w:szCs w:val="20"/>
                <w:color w:val="auto"/>
              </w:rPr>
            </w:pPr>
            <w:r>
              <w:rPr>
                <w:rFonts w:ascii="Arial" w:cs="Arial" w:eastAsia="Arial" w:hAnsi="Arial"/>
                <w:sz w:val="16"/>
                <w:szCs w:val="16"/>
                <w:color w:val="auto"/>
              </w:rPr>
              <w:t>197,796</w:t>
            </w:r>
          </w:p>
        </w:tc>
        <w:tc>
          <w:tcPr>
            <w:tcW w:w="1160" w:type="dxa"/>
            <w:vAlign w:val="bottom"/>
            <w:tcBorders>
              <w:top w:val="single" w:sz="8" w:color="auto"/>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148,375</w:t>
            </w:r>
          </w:p>
        </w:tc>
        <w:tc>
          <w:tcPr>
            <w:tcW w:w="120" w:type="dxa"/>
            <w:vAlign w:val="bottom"/>
            <w:tcBorders>
              <w:top w:val="single" w:sz="8" w:color="CEFFE7"/>
            </w:tcBorders>
            <w:shd w:val="clear" w:color="auto" w:fill="CEFFE7"/>
          </w:tcPr>
          <w:p>
            <w:pPr>
              <w:spacing w:after="0"/>
              <w:rPr>
                <w:sz w:val="18"/>
                <w:szCs w:val="18"/>
                <w:color w:val="auto"/>
              </w:rPr>
            </w:pPr>
          </w:p>
        </w:tc>
        <w:tc>
          <w:tcPr>
            <w:tcW w:w="1380" w:type="dxa"/>
            <w:vAlign w:val="bottom"/>
            <w:tcBorders>
              <w:top w:val="single" w:sz="8" w:color="auto"/>
              <w:bottom w:val="single" w:sz="8" w:color="auto"/>
            </w:tcBorders>
            <w:shd w:val="clear" w:color="auto" w:fill="CEFFE7"/>
          </w:tcPr>
          <w:p>
            <w:pPr>
              <w:jc w:val="right"/>
              <w:ind w:right="99"/>
              <w:spacing w:after="0"/>
              <w:rPr>
                <w:sz w:val="20"/>
                <w:szCs w:val="20"/>
                <w:color w:val="auto"/>
              </w:rPr>
            </w:pPr>
            <w:r>
              <w:rPr>
                <w:rFonts w:ascii="Arial" w:cs="Arial" w:eastAsia="Arial" w:hAnsi="Arial"/>
                <w:sz w:val="16"/>
                <w:szCs w:val="16"/>
                <w:color w:val="auto"/>
              </w:rPr>
              <w:t>1,340,474</w:t>
            </w:r>
          </w:p>
        </w:tc>
        <w:tc>
          <w:tcPr>
            <w:tcW w:w="1180" w:type="dxa"/>
            <w:vAlign w:val="bottom"/>
            <w:tcBorders>
              <w:top w:val="single" w:sz="8" w:color="auto"/>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1,364,489</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60" w:type="dxa"/>
            <w:vAlign w:val="bottom"/>
            <w:gridSpan w:val="2"/>
          </w:tcPr>
          <w:p>
            <w:pPr>
              <w:spacing w:after="0" w:line="210" w:lineRule="exact"/>
              <w:rPr>
                <w:sz w:val="20"/>
                <w:szCs w:val="20"/>
                <w:color w:val="auto"/>
              </w:rPr>
            </w:pPr>
            <w:r>
              <w:rPr>
                <w:rFonts w:ascii="Arial" w:cs="Arial" w:eastAsia="Arial" w:hAnsi="Arial"/>
                <w:sz w:val="16"/>
                <w:szCs w:val="16"/>
                <w:color w:val="auto"/>
              </w:rPr>
              <w:t xml:space="preserve">ntract Wholesale </w:t>
            </w:r>
            <w:r>
              <w:rPr>
                <w:rFonts w:ascii="Arial" w:cs="Arial" w:eastAsia="Arial" w:hAnsi="Arial"/>
                <w:sz w:val="21"/>
                <w:szCs w:val="21"/>
                <w:color w:val="auto"/>
                <w:vertAlign w:val="superscript"/>
              </w:rPr>
              <w:t>(a)</w:t>
            </w:r>
          </w:p>
        </w:tc>
        <w:tc>
          <w:tcPr>
            <w:tcW w:w="1540" w:type="dxa"/>
            <w:vAlign w:val="bottom"/>
          </w:tcPr>
          <w:p>
            <w:pPr>
              <w:spacing w:after="0"/>
              <w:rPr>
                <w:sz w:val="18"/>
                <w:szCs w:val="18"/>
                <w:color w:val="auto"/>
              </w:rPr>
            </w:pPr>
          </w:p>
        </w:tc>
        <w:tc>
          <w:tcPr>
            <w:tcW w:w="1580" w:type="dxa"/>
            <w:vAlign w:val="bottom"/>
            <w:gridSpan w:val="2"/>
          </w:tcPr>
          <w:p>
            <w:pPr>
              <w:jc w:val="right"/>
              <w:ind w:right="119"/>
              <w:spacing w:after="0"/>
              <w:rPr>
                <w:sz w:val="20"/>
                <w:szCs w:val="20"/>
                <w:color w:val="auto"/>
              </w:rPr>
            </w:pPr>
            <w:r>
              <w:rPr>
                <w:rFonts w:ascii="Arial" w:cs="Arial" w:eastAsia="Arial" w:hAnsi="Arial"/>
                <w:sz w:val="16"/>
                <w:szCs w:val="16"/>
                <w:color w:val="auto"/>
              </w:rPr>
              <w:t>8,465</w:t>
            </w:r>
          </w:p>
        </w:tc>
        <w:tc>
          <w:tcPr>
            <w:tcW w:w="1160" w:type="dxa"/>
            <w:vAlign w:val="bottom"/>
          </w:tcPr>
          <w:p>
            <w:pPr>
              <w:jc w:val="right"/>
              <w:spacing w:after="0"/>
              <w:rPr>
                <w:sz w:val="20"/>
                <w:szCs w:val="20"/>
                <w:color w:val="auto"/>
              </w:rPr>
            </w:pPr>
            <w:r>
              <w:rPr>
                <w:rFonts w:ascii="Arial" w:cs="Arial" w:eastAsia="Arial" w:hAnsi="Arial"/>
                <w:sz w:val="16"/>
                <w:szCs w:val="16"/>
                <w:color w:val="auto"/>
              </w:rPr>
              <w:t>5,553</w:t>
            </w:r>
          </w:p>
        </w:tc>
        <w:tc>
          <w:tcPr>
            <w:tcW w:w="1500" w:type="dxa"/>
            <w:vAlign w:val="bottom"/>
            <w:gridSpan w:val="2"/>
          </w:tcPr>
          <w:p>
            <w:pPr>
              <w:jc w:val="right"/>
              <w:ind w:right="99"/>
              <w:spacing w:after="0"/>
              <w:rPr>
                <w:sz w:val="20"/>
                <w:szCs w:val="20"/>
                <w:color w:val="auto"/>
              </w:rPr>
            </w:pPr>
            <w:r>
              <w:rPr>
                <w:rFonts w:ascii="Arial" w:cs="Arial" w:eastAsia="Arial" w:hAnsi="Arial"/>
                <w:sz w:val="16"/>
                <w:szCs w:val="16"/>
                <w:color w:val="auto"/>
              </w:rPr>
              <w:t>156,995</w:t>
            </w:r>
          </w:p>
        </w:tc>
        <w:tc>
          <w:tcPr>
            <w:tcW w:w="1180" w:type="dxa"/>
            <w:vAlign w:val="bottom"/>
          </w:tcPr>
          <w:p>
            <w:pPr>
              <w:jc w:val="right"/>
              <w:spacing w:after="0"/>
              <w:rPr>
                <w:sz w:val="20"/>
                <w:szCs w:val="20"/>
                <w:color w:val="auto"/>
              </w:rPr>
            </w:pPr>
            <w:r>
              <w:rPr>
                <w:rFonts w:ascii="Arial" w:cs="Arial" w:eastAsia="Arial" w:hAnsi="Arial"/>
                <w:sz w:val="16"/>
                <w:szCs w:val="16"/>
                <w:color w:val="auto"/>
              </w:rPr>
              <w:t>131,778</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ind w:left="20"/>
              <w:spacing w:after="0"/>
              <w:rPr>
                <w:sz w:val="20"/>
                <w:szCs w:val="20"/>
                <w:color w:val="auto"/>
              </w:rPr>
            </w:pPr>
            <w:r>
              <w:rPr>
                <w:rFonts w:ascii="Arial" w:cs="Arial" w:eastAsia="Arial" w:hAnsi="Arial"/>
                <w:sz w:val="16"/>
                <w:szCs w:val="16"/>
                <w:color w:val="auto"/>
              </w:rPr>
              <w:t>-</w:t>
            </w:r>
          </w:p>
        </w:tc>
        <w:tc>
          <w:tcPr>
            <w:tcW w:w="3960" w:type="dxa"/>
            <w:vAlign w:val="bottom"/>
            <w:shd w:val="clear" w:color="auto" w:fill="CEFFE7"/>
          </w:tcPr>
          <w:p>
            <w:pPr>
              <w:spacing w:after="0"/>
              <w:rPr>
                <w:sz w:val="20"/>
                <w:szCs w:val="20"/>
                <w:color w:val="auto"/>
              </w:rPr>
            </w:pPr>
            <w:r>
              <w:rPr>
                <w:rFonts w:ascii="Arial" w:cs="Arial" w:eastAsia="Arial" w:hAnsi="Arial"/>
                <w:sz w:val="16"/>
                <w:szCs w:val="16"/>
                <w:color w:val="auto"/>
              </w:rPr>
              <w:t>system/Power Marketing Wholesale</w:t>
            </w:r>
          </w:p>
        </w:tc>
        <w:tc>
          <w:tcPr>
            <w:tcW w:w="1540" w:type="dxa"/>
            <w:vAlign w:val="bottom"/>
            <w:shd w:val="clear" w:color="auto" w:fill="CEFFE7"/>
          </w:tcPr>
          <w:p>
            <w:pPr>
              <w:spacing w:after="0"/>
              <w:rPr>
                <w:sz w:val="18"/>
                <w:szCs w:val="18"/>
                <w:color w:val="auto"/>
              </w:rPr>
            </w:pPr>
          </w:p>
        </w:tc>
        <w:tc>
          <w:tcPr>
            <w:tcW w:w="1580" w:type="dxa"/>
            <w:vAlign w:val="bottom"/>
            <w:gridSpan w:val="2"/>
            <w:shd w:val="clear" w:color="auto" w:fill="CEFFE7"/>
          </w:tcPr>
          <w:p>
            <w:pPr>
              <w:jc w:val="right"/>
              <w:ind w:right="119"/>
              <w:spacing w:after="0"/>
              <w:rPr>
                <w:sz w:val="20"/>
                <w:szCs w:val="20"/>
                <w:color w:val="auto"/>
              </w:rPr>
            </w:pPr>
            <w:r>
              <w:rPr>
                <w:rFonts w:ascii="Arial" w:cs="Arial" w:eastAsia="Arial" w:hAnsi="Arial"/>
                <w:sz w:val="16"/>
                <w:szCs w:val="16"/>
                <w:color w:val="auto"/>
              </w:rPr>
              <w:t>5,113</w:t>
            </w:r>
          </w:p>
        </w:tc>
        <w:tc>
          <w:tcPr>
            <w:tcW w:w="11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4,867</w:t>
            </w:r>
          </w:p>
        </w:tc>
        <w:tc>
          <w:tcPr>
            <w:tcW w:w="1500" w:type="dxa"/>
            <w:vAlign w:val="bottom"/>
            <w:gridSpan w:val="2"/>
            <w:shd w:val="clear" w:color="auto" w:fill="CEFFE7"/>
          </w:tcPr>
          <w:p>
            <w:pPr>
              <w:jc w:val="right"/>
              <w:ind w:right="99"/>
              <w:spacing w:after="0"/>
              <w:rPr>
                <w:sz w:val="20"/>
                <w:szCs w:val="20"/>
                <w:color w:val="auto"/>
              </w:rPr>
            </w:pPr>
            <w:r>
              <w:rPr>
                <w:rFonts w:ascii="Arial" w:cs="Arial" w:eastAsia="Arial" w:hAnsi="Arial"/>
                <w:sz w:val="16"/>
                <w:szCs w:val="16"/>
                <w:color w:val="auto"/>
              </w:rPr>
              <w:t>127,583</w:t>
            </w:r>
          </w:p>
        </w:tc>
        <w:tc>
          <w:tcPr>
            <w:tcW w:w="11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165,785</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060" w:type="dxa"/>
            <w:vAlign w:val="bottom"/>
            <w:gridSpan w:val="2"/>
          </w:tcPr>
          <w:p>
            <w:pPr>
              <w:spacing w:after="0"/>
              <w:rPr>
                <w:sz w:val="20"/>
                <w:szCs w:val="20"/>
                <w:color w:val="auto"/>
              </w:rPr>
            </w:pPr>
            <w:r>
              <w:rPr>
                <w:rFonts w:ascii="Arial" w:cs="Arial" w:eastAsia="Arial" w:hAnsi="Arial"/>
                <w:sz w:val="16"/>
                <w:szCs w:val="16"/>
                <w:color w:val="auto"/>
              </w:rPr>
              <w:t>her</w:t>
            </w:r>
          </w:p>
        </w:tc>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16,034</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15,344</w:t>
            </w:r>
          </w:p>
        </w:tc>
        <w:tc>
          <w:tcPr>
            <w:tcW w:w="120" w:type="dxa"/>
            <w:vAlign w:val="bottom"/>
          </w:tcPr>
          <w:p>
            <w:pPr>
              <w:spacing w:after="0"/>
              <w:rPr>
                <w:sz w:val="18"/>
                <w:szCs w:val="18"/>
                <w:color w:val="auto"/>
              </w:rPr>
            </w:pPr>
          </w:p>
        </w:tc>
        <w:tc>
          <w:tcPr>
            <w:tcW w:w="13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060" w:type="dxa"/>
            <w:vAlign w:val="bottom"/>
            <w:gridSpan w:val="2"/>
          </w:tcPr>
          <w:p>
            <w:pPr>
              <w:spacing w:after="0"/>
              <w:rPr>
                <w:sz w:val="20"/>
                <w:szCs w:val="20"/>
                <w:color w:val="auto"/>
              </w:rPr>
            </w:pPr>
            <w:r>
              <w:rPr>
                <w:rFonts w:ascii="Arial" w:cs="Arial" w:eastAsia="Arial" w:hAnsi="Arial"/>
                <w:sz w:val="16"/>
                <w:szCs w:val="16"/>
                <w:color w:val="auto"/>
              </w:rPr>
              <w:t>Total Revenue and Energy Sold</w:t>
            </w:r>
          </w:p>
        </w:tc>
        <w:tc>
          <w:tcPr>
            <w:tcW w:w="1540" w:type="dxa"/>
            <w:vAlign w:val="bottom"/>
          </w:tcPr>
          <w:p>
            <w:pPr>
              <w:spacing w:after="0"/>
              <w:rPr>
                <w:sz w:val="17"/>
                <w:szCs w:val="17"/>
                <w:color w:val="auto"/>
              </w:rPr>
            </w:pPr>
          </w:p>
        </w:tc>
        <w:tc>
          <w:tcPr>
            <w:tcW w:w="1580" w:type="dxa"/>
            <w:vAlign w:val="bottom"/>
            <w:gridSpan w:val="2"/>
          </w:tcPr>
          <w:p>
            <w:pPr>
              <w:jc w:val="right"/>
              <w:ind w:right="119"/>
              <w:spacing w:after="0"/>
              <w:rPr>
                <w:sz w:val="20"/>
                <w:szCs w:val="20"/>
                <w:color w:val="auto"/>
              </w:rPr>
            </w:pPr>
            <w:r>
              <w:rPr>
                <w:rFonts w:ascii="Arial" w:cs="Arial" w:eastAsia="Arial" w:hAnsi="Arial"/>
                <w:sz w:val="16"/>
                <w:szCs w:val="16"/>
                <w:color w:val="auto"/>
              </w:rPr>
              <w:t>227,408</w:t>
            </w:r>
          </w:p>
        </w:tc>
        <w:tc>
          <w:tcPr>
            <w:tcW w:w="1160" w:type="dxa"/>
            <w:vAlign w:val="bottom"/>
          </w:tcPr>
          <w:p>
            <w:pPr>
              <w:jc w:val="right"/>
              <w:spacing w:after="0"/>
              <w:rPr>
                <w:sz w:val="20"/>
                <w:szCs w:val="20"/>
                <w:color w:val="auto"/>
              </w:rPr>
            </w:pPr>
            <w:r>
              <w:rPr>
                <w:rFonts w:ascii="Arial" w:cs="Arial" w:eastAsia="Arial" w:hAnsi="Arial"/>
                <w:sz w:val="16"/>
                <w:szCs w:val="16"/>
                <w:color w:val="auto"/>
              </w:rPr>
              <w:t>174,139</w:t>
            </w:r>
          </w:p>
        </w:tc>
        <w:tc>
          <w:tcPr>
            <w:tcW w:w="1500" w:type="dxa"/>
            <w:vAlign w:val="bottom"/>
            <w:gridSpan w:val="2"/>
          </w:tcPr>
          <w:p>
            <w:pPr>
              <w:jc w:val="right"/>
              <w:ind w:right="99"/>
              <w:spacing w:after="0"/>
              <w:rPr>
                <w:sz w:val="20"/>
                <w:szCs w:val="20"/>
                <w:color w:val="auto"/>
              </w:rPr>
            </w:pPr>
            <w:r>
              <w:rPr>
                <w:rFonts w:ascii="Arial" w:cs="Arial" w:eastAsia="Arial" w:hAnsi="Arial"/>
                <w:sz w:val="16"/>
                <w:szCs w:val="16"/>
                <w:color w:val="auto"/>
              </w:rPr>
              <w:t>1,625,052</w:t>
            </w:r>
          </w:p>
        </w:tc>
        <w:tc>
          <w:tcPr>
            <w:tcW w:w="1180" w:type="dxa"/>
            <w:vAlign w:val="bottom"/>
          </w:tcPr>
          <w:p>
            <w:pPr>
              <w:jc w:val="right"/>
              <w:spacing w:after="0"/>
              <w:rPr>
                <w:sz w:val="20"/>
                <w:szCs w:val="20"/>
                <w:color w:val="auto"/>
              </w:rPr>
            </w:pPr>
            <w:r>
              <w:rPr>
                <w:rFonts w:ascii="Arial" w:cs="Arial" w:eastAsia="Arial" w:hAnsi="Arial"/>
                <w:sz w:val="16"/>
                <w:szCs w:val="16"/>
                <w:color w:val="auto"/>
              </w:rPr>
              <w:t>1,662,052</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060" w:type="dxa"/>
            <w:vAlign w:val="bottom"/>
            <w:gridSpan w:val="2"/>
          </w:tcPr>
          <w:p>
            <w:pPr>
              <w:spacing w:after="0"/>
              <w:rPr>
                <w:sz w:val="20"/>
                <w:szCs w:val="20"/>
                <w:color w:val="auto"/>
              </w:rPr>
            </w:pPr>
            <w:r>
              <w:rPr>
                <w:rFonts w:ascii="Arial" w:cs="Arial" w:eastAsia="Arial" w:hAnsi="Arial"/>
                <w:sz w:val="16"/>
                <w:szCs w:val="16"/>
                <w:color w:val="auto"/>
              </w:rPr>
              <w:t>her Uses, Losses or Generation, net</w:t>
            </w:r>
          </w:p>
        </w:tc>
        <w:tc>
          <w:tcPr>
            <w:tcW w:w="1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3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130,975</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90,871</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60" w:type="dxa"/>
            <w:vAlign w:val="bottom"/>
            <w:gridSpan w:val="2"/>
          </w:tcPr>
          <w:p>
            <w:pPr>
              <w:spacing w:after="0"/>
              <w:rPr>
                <w:sz w:val="20"/>
                <w:szCs w:val="20"/>
                <w:color w:val="auto"/>
              </w:rPr>
            </w:pPr>
            <w:r>
              <w:rPr>
                <w:rFonts w:ascii="Arial" w:cs="Arial" w:eastAsia="Arial" w:hAnsi="Arial"/>
                <w:sz w:val="16"/>
                <w:szCs w:val="16"/>
                <w:color w:val="auto"/>
              </w:rPr>
              <w:t>Total Revenue and Energy</w:t>
            </w:r>
          </w:p>
        </w:tc>
        <w:tc>
          <w:tcPr>
            <w:tcW w:w="1540" w:type="dxa"/>
            <w:vAlign w:val="bottom"/>
          </w:tcPr>
          <w:p>
            <w:pPr>
              <w:spacing w:after="0"/>
              <w:rPr>
                <w:sz w:val="18"/>
                <w:szCs w:val="18"/>
                <w:color w:val="auto"/>
              </w:rPr>
            </w:pPr>
          </w:p>
        </w:tc>
        <w:tc>
          <w:tcPr>
            <w:tcW w:w="1580" w:type="dxa"/>
            <w:vAlign w:val="bottom"/>
            <w:gridSpan w:val="2"/>
          </w:tcPr>
          <w:p>
            <w:pPr>
              <w:jc w:val="right"/>
              <w:ind w:right="119"/>
              <w:spacing w:after="0"/>
              <w:rPr>
                <w:sz w:val="20"/>
                <w:szCs w:val="20"/>
                <w:color w:val="auto"/>
              </w:rPr>
            </w:pPr>
            <w:r>
              <w:rPr>
                <w:rFonts w:ascii="Arial" w:cs="Arial" w:eastAsia="Arial" w:hAnsi="Arial"/>
                <w:sz w:val="16"/>
                <w:szCs w:val="16"/>
                <w:color w:val="auto"/>
              </w:rPr>
              <w:t>227,408</w:t>
            </w:r>
          </w:p>
        </w:tc>
        <w:tc>
          <w:tcPr>
            <w:tcW w:w="1160" w:type="dxa"/>
            <w:vAlign w:val="bottom"/>
          </w:tcPr>
          <w:p>
            <w:pPr>
              <w:jc w:val="right"/>
              <w:spacing w:after="0"/>
              <w:rPr>
                <w:sz w:val="20"/>
                <w:szCs w:val="20"/>
                <w:color w:val="auto"/>
              </w:rPr>
            </w:pPr>
            <w:r>
              <w:rPr>
                <w:rFonts w:ascii="Arial" w:cs="Arial" w:eastAsia="Arial" w:hAnsi="Arial"/>
                <w:sz w:val="16"/>
                <w:szCs w:val="16"/>
                <w:color w:val="auto"/>
              </w:rPr>
              <w:t>174,139</w:t>
            </w:r>
          </w:p>
        </w:tc>
        <w:tc>
          <w:tcPr>
            <w:tcW w:w="1500" w:type="dxa"/>
            <w:vAlign w:val="bottom"/>
            <w:gridSpan w:val="2"/>
          </w:tcPr>
          <w:p>
            <w:pPr>
              <w:jc w:val="right"/>
              <w:ind w:right="99"/>
              <w:spacing w:after="0"/>
              <w:rPr>
                <w:sz w:val="20"/>
                <w:szCs w:val="20"/>
                <w:color w:val="auto"/>
              </w:rPr>
            </w:pPr>
            <w:r>
              <w:rPr>
                <w:rFonts w:ascii="Arial" w:cs="Arial" w:eastAsia="Arial" w:hAnsi="Arial"/>
                <w:sz w:val="16"/>
                <w:szCs w:val="16"/>
                <w:color w:val="auto"/>
              </w:rPr>
              <w:t>1,756,027</w:t>
            </w:r>
          </w:p>
        </w:tc>
        <w:tc>
          <w:tcPr>
            <w:tcW w:w="1180" w:type="dxa"/>
            <w:vAlign w:val="bottom"/>
          </w:tcPr>
          <w:p>
            <w:pPr>
              <w:jc w:val="right"/>
              <w:spacing w:after="0"/>
              <w:rPr>
                <w:sz w:val="20"/>
                <w:szCs w:val="20"/>
                <w:color w:val="auto"/>
              </w:rPr>
            </w:pPr>
            <w:r>
              <w:rPr>
                <w:rFonts w:ascii="Arial" w:cs="Arial" w:eastAsia="Arial" w:hAnsi="Arial"/>
                <w:sz w:val="16"/>
                <w:szCs w:val="16"/>
                <w:color w:val="auto"/>
              </w:rPr>
              <w:t>1,752,923</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60" w:type="dxa"/>
            <w:vAlign w:val="bottom"/>
            <w:gridSpan w:val="2"/>
            <w:vMerge w:val="restart"/>
          </w:tcPr>
          <w:p>
            <w:pPr>
              <w:spacing w:after="0"/>
              <w:rPr>
                <w:sz w:val="20"/>
                <w:szCs w:val="20"/>
                <w:color w:val="auto"/>
              </w:rPr>
            </w:pPr>
            <w:r>
              <w:rPr>
                <w:rFonts w:ascii="Arial" w:cs="Arial" w:eastAsia="Arial" w:hAnsi="Arial"/>
                <w:sz w:val="16"/>
                <w:szCs w:val="16"/>
                <w:color w:val="auto"/>
              </w:rPr>
              <w:t>ss cost of fuel and purchased power</w:t>
            </w:r>
          </w:p>
        </w:tc>
        <w:tc>
          <w:tcPr>
            <w:tcW w:w="1540" w:type="dxa"/>
            <w:vAlign w:val="bottom"/>
          </w:tcPr>
          <w:p>
            <w:pPr>
              <w:spacing w:after="0" w:line="20" w:lineRule="exact"/>
              <w:rPr>
                <w:sz w:val="1"/>
                <w:szCs w:val="1"/>
                <w:color w:val="auto"/>
              </w:rPr>
            </w:pPr>
          </w:p>
        </w:tc>
        <w:tc>
          <w:tcPr>
            <w:tcW w:w="1580" w:type="dxa"/>
            <w:vAlign w:val="bottom"/>
            <w:gridSpan w:val="2"/>
            <w:vMerge w:val="restart"/>
          </w:tcPr>
          <w:p>
            <w:pPr>
              <w:jc w:val="right"/>
              <w:ind w:right="119"/>
              <w:spacing w:after="0"/>
              <w:rPr>
                <w:sz w:val="20"/>
                <w:szCs w:val="20"/>
                <w:color w:val="auto"/>
              </w:rPr>
            </w:pPr>
            <w:r>
              <w:rPr>
                <w:rFonts w:ascii="Arial" w:cs="Arial" w:eastAsia="Arial" w:hAnsi="Arial"/>
                <w:sz w:val="16"/>
                <w:szCs w:val="16"/>
                <w:color w:val="auto"/>
              </w:rPr>
              <w:t>132,069</w:t>
            </w: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64,460</w:t>
            </w:r>
          </w:p>
        </w:tc>
        <w:tc>
          <w:tcPr>
            <w:tcW w:w="12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4060" w:type="dxa"/>
            <w:vAlign w:val="bottom"/>
            <w:gridSpan w:val="2"/>
            <w:vMerge w:val="continue"/>
          </w:tcPr>
          <w:p>
            <w:pPr>
              <w:spacing w:after="0"/>
              <w:rPr>
                <w:sz w:val="15"/>
                <w:szCs w:val="15"/>
                <w:color w:val="auto"/>
              </w:rPr>
            </w:pPr>
          </w:p>
        </w:tc>
        <w:tc>
          <w:tcPr>
            <w:tcW w:w="1540" w:type="dxa"/>
            <w:vAlign w:val="bottom"/>
          </w:tcPr>
          <w:p>
            <w:pPr>
              <w:spacing w:after="0"/>
              <w:rPr>
                <w:sz w:val="15"/>
                <w:szCs w:val="15"/>
                <w:color w:val="auto"/>
              </w:rPr>
            </w:pPr>
          </w:p>
        </w:tc>
        <w:tc>
          <w:tcPr>
            <w:tcW w:w="1580" w:type="dxa"/>
            <w:vAlign w:val="bottom"/>
            <w:gridSpan w:val="2"/>
            <w:vMerge w:val="continue"/>
          </w:tcPr>
          <w:p>
            <w:pPr>
              <w:spacing w:after="0"/>
              <w:rPr>
                <w:sz w:val="15"/>
                <w:szCs w:val="15"/>
                <w:color w:val="auto"/>
              </w:rPr>
            </w:pPr>
          </w:p>
        </w:tc>
        <w:tc>
          <w:tcPr>
            <w:tcW w:w="11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100" w:type="dxa"/>
            <w:vAlign w:val="bottom"/>
          </w:tcPr>
          <w:p>
            <w:pPr>
              <w:spacing w:after="0"/>
              <w:rPr>
                <w:sz w:val="20"/>
                <w:szCs w:val="20"/>
                <w:color w:val="auto"/>
              </w:rPr>
            </w:pPr>
          </w:p>
        </w:tc>
        <w:tc>
          <w:tcPr>
            <w:tcW w:w="3960" w:type="dxa"/>
            <w:vAlign w:val="bottom"/>
            <w:tcBorders>
              <w:top w:val="single" w:sz="8" w:color="CEFFE7"/>
              <w:bottom w:val="single" w:sz="8" w:color="CEFFE7"/>
            </w:tcBorders>
            <w:shd w:val="clear" w:color="auto" w:fill="CEFFE7"/>
          </w:tcPr>
          <w:p>
            <w:pPr>
              <w:spacing w:after="0"/>
              <w:rPr>
                <w:sz w:val="20"/>
                <w:szCs w:val="20"/>
                <w:color w:val="auto"/>
              </w:rPr>
            </w:pPr>
            <w:r>
              <w:rPr>
                <w:rFonts w:ascii="Arial" w:cs="Arial" w:eastAsia="Arial" w:hAnsi="Arial"/>
                <w:sz w:val="16"/>
                <w:szCs w:val="16"/>
                <w:color w:val="auto"/>
              </w:rPr>
              <w:t>Gross Margin (non-GAAP)</w:t>
            </w:r>
          </w:p>
        </w:tc>
        <w:tc>
          <w:tcPr>
            <w:tcW w:w="1540" w:type="dxa"/>
            <w:vAlign w:val="bottom"/>
            <w:tcBorders>
              <w:top w:val="single" w:sz="8" w:color="CEFFE7"/>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top w:val="single" w:sz="8" w:color="CEFFE7"/>
              <w:bottom w:val="single" w:sz="8" w:color="CEFFE7"/>
            </w:tcBorders>
            <w:shd w:val="clear" w:color="auto" w:fill="CEFFE7"/>
          </w:tcPr>
          <w:p>
            <w:pPr>
              <w:spacing w:after="0"/>
              <w:rPr>
                <w:sz w:val="20"/>
                <w:szCs w:val="20"/>
                <w:color w:val="auto"/>
              </w:rPr>
            </w:pPr>
          </w:p>
        </w:tc>
        <w:tc>
          <w:tcPr>
            <w:tcW w:w="1400" w:type="dxa"/>
            <w:vAlign w:val="bottom"/>
            <w:tcBorders>
              <w:top w:val="single" w:sz="8" w:color="auto"/>
              <w:bottom w:val="single" w:sz="8" w:color="auto"/>
            </w:tcBorders>
            <w:shd w:val="clear" w:color="auto" w:fill="CEFFE7"/>
          </w:tcPr>
          <w:p>
            <w:pPr>
              <w:jc w:val="right"/>
              <w:ind w:right="119"/>
              <w:spacing w:after="0"/>
              <w:rPr>
                <w:sz w:val="20"/>
                <w:szCs w:val="20"/>
                <w:color w:val="auto"/>
              </w:rPr>
            </w:pPr>
            <w:r>
              <w:rPr>
                <w:rFonts w:ascii="Arial" w:cs="Arial" w:eastAsia="Arial" w:hAnsi="Arial"/>
                <w:sz w:val="16"/>
                <w:szCs w:val="16"/>
                <w:color w:val="auto"/>
              </w:rPr>
              <w:t>95,339$</w:t>
            </w:r>
          </w:p>
        </w:tc>
        <w:tc>
          <w:tcPr>
            <w:tcW w:w="1160" w:type="dxa"/>
            <w:vAlign w:val="bottom"/>
            <w:tcBorders>
              <w:top w:val="single" w:sz="8" w:color="auto"/>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109,679</w:t>
            </w:r>
          </w:p>
        </w:tc>
        <w:tc>
          <w:tcPr>
            <w:tcW w:w="120" w:type="dxa"/>
            <w:vAlign w:val="bottom"/>
            <w:tcBorders>
              <w:top w:val="single" w:sz="8" w:color="CEFFE7"/>
              <w:bottom w:val="single" w:sz="8" w:color="CEFFE7"/>
            </w:tcBorders>
            <w:shd w:val="clear" w:color="auto" w:fill="CEFFE7"/>
          </w:tcPr>
          <w:p>
            <w:pPr>
              <w:spacing w:after="0"/>
              <w:rPr>
                <w:sz w:val="20"/>
                <w:szCs w:val="20"/>
                <w:color w:val="auto"/>
              </w:rPr>
            </w:pPr>
          </w:p>
        </w:tc>
        <w:tc>
          <w:tcPr>
            <w:tcW w:w="1380" w:type="dxa"/>
            <w:vAlign w:val="bottom"/>
            <w:tcBorders>
              <w:top w:val="single" w:sz="8" w:color="CEFFE7"/>
              <w:bottom w:val="single" w:sz="8" w:color="CEFFE7"/>
            </w:tcBorders>
            <w:shd w:val="clear" w:color="auto" w:fill="CEFFE7"/>
          </w:tcPr>
          <w:p>
            <w:pPr>
              <w:spacing w:after="0"/>
              <w:rPr>
                <w:sz w:val="20"/>
                <w:szCs w:val="20"/>
                <w:color w:val="auto"/>
              </w:rPr>
            </w:pPr>
          </w:p>
        </w:tc>
        <w:tc>
          <w:tcPr>
            <w:tcW w:w="1180" w:type="dxa"/>
            <w:vAlign w:val="bottom"/>
            <w:tcBorders>
              <w:top w:val="single" w:sz="8" w:color="CEFFE7"/>
              <w:bottom w:val="single" w:sz="8" w:color="CEFFE7"/>
            </w:tcBorders>
            <w:shd w:val="clear" w:color="auto" w:fill="CEFFE7"/>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3960" w:type="dxa"/>
            <w:vAlign w:val="bottom"/>
            <w:tcBorders>
              <w:top w:val="single" w:sz="8" w:color="CEFFE7"/>
            </w:tcBorders>
          </w:tcPr>
          <w:p>
            <w:pPr>
              <w:spacing w:after="0" w:line="20" w:lineRule="exact"/>
              <w:rPr>
                <w:sz w:val="1"/>
                <w:szCs w:val="1"/>
                <w:color w:val="auto"/>
              </w:rPr>
            </w:pPr>
          </w:p>
        </w:tc>
        <w:tc>
          <w:tcPr>
            <w:tcW w:w="1540" w:type="dxa"/>
            <w:vAlign w:val="bottom"/>
            <w:tcBorders>
              <w:top w:val="single" w:sz="8" w:color="CEFFE7"/>
            </w:tcBorders>
          </w:tcPr>
          <w:p>
            <w:pPr>
              <w:spacing w:after="0" w:line="20" w:lineRule="exact"/>
              <w:rPr>
                <w:sz w:val="1"/>
                <w:szCs w:val="1"/>
                <w:color w:val="auto"/>
              </w:rPr>
            </w:pPr>
          </w:p>
        </w:tc>
        <w:tc>
          <w:tcPr>
            <w:tcW w:w="180" w:type="dxa"/>
            <w:vAlign w:val="bottom"/>
            <w:tcBorders>
              <w:top w:val="single" w:sz="8" w:color="CEFFE7"/>
            </w:tcBorders>
          </w:tcPr>
          <w:p>
            <w:pPr>
              <w:spacing w:after="0" w:line="20" w:lineRule="exact"/>
              <w:rPr>
                <w:sz w:val="1"/>
                <w:szCs w:val="1"/>
                <w:color w:val="auto"/>
              </w:rPr>
            </w:pPr>
          </w:p>
        </w:tc>
        <w:tc>
          <w:tcPr>
            <w:tcW w:w="1400" w:type="dxa"/>
            <w:vAlign w:val="bottom"/>
            <w:tcBorders>
              <w:top w:val="single" w:sz="8" w:color="CEFFE7"/>
              <w:bottom w:val="single" w:sz="8" w:color="auto"/>
            </w:tcBorders>
          </w:tcPr>
          <w:p>
            <w:pPr>
              <w:spacing w:after="0" w:line="20" w:lineRule="exact"/>
              <w:rPr>
                <w:sz w:val="1"/>
                <w:szCs w:val="1"/>
                <w:color w:val="auto"/>
              </w:rPr>
            </w:pPr>
          </w:p>
        </w:tc>
        <w:tc>
          <w:tcPr>
            <w:tcW w:w="1160" w:type="dxa"/>
            <w:vAlign w:val="bottom"/>
            <w:tcBorders>
              <w:top w:val="single" w:sz="8" w:color="CEFFE7"/>
              <w:bottom w:val="single" w:sz="8" w:color="auto"/>
            </w:tcBorders>
          </w:tcPr>
          <w:p>
            <w:pPr>
              <w:spacing w:after="0" w:line="20" w:lineRule="exact"/>
              <w:rPr>
                <w:sz w:val="1"/>
                <w:szCs w:val="1"/>
                <w:color w:val="auto"/>
              </w:rPr>
            </w:pPr>
          </w:p>
        </w:tc>
        <w:tc>
          <w:tcPr>
            <w:tcW w:w="120" w:type="dxa"/>
            <w:vAlign w:val="bottom"/>
            <w:tcBorders>
              <w:top w:val="single" w:sz="8" w:color="CEFFE7"/>
            </w:tcBorders>
          </w:tcPr>
          <w:p>
            <w:pPr>
              <w:spacing w:after="0" w:line="20" w:lineRule="exact"/>
              <w:rPr>
                <w:sz w:val="1"/>
                <w:szCs w:val="1"/>
                <w:color w:val="auto"/>
              </w:rPr>
            </w:pPr>
          </w:p>
        </w:tc>
        <w:tc>
          <w:tcPr>
            <w:tcW w:w="1380" w:type="dxa"/>
            <w:vAlign w:val="bottom"/>
            <w:tcBorders>
              <w:top w:val="single" w:sz="8" w:color="CEFFE7"/>
            </w:tcBorders>
          </w:tcPr>
          <w:p>
            <w:pPr>
              <w:spacing w:after="0" w:line="20" w:lineRule="exact"/>
              <w:rPr>
                <w:sz w:val="1"/>
                <w:szCs w:val="1"/>
                <w:color w:val="auto"/>
              </w:rPr>
            </w:pPr>
          </w:p>
        </w:tc>
        <w:tc>
          <w:tcPr>
            <w:tcW w:w="1180" w:type="dxa"/>
            <w:vAlign w:val="bottom"/>
            <w:tcBorders>
              <w:top w:val="single" w:sz="8" w:color="CEFFE7"/>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8"/>
        </w:trPr>
        <w:tc>
          <w:tcPr>
            <w:tcW w:w="10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580" w:type="dxa"/>
            <w:vAlign w:val="bottom"/>
            <w:gridSpan w:val="2"/>
          </w:tcPr>
          <w:p>
            <w:pPr>
              <w:jc w:val="right"/>
              <w:ind w:right="1279"/>
              <w:spacing w:after="0"/>
              <w:rPr>
                <w:sz w:val="20"/>
                <w:szCs w:val="20"/>
                <w:color w:val="auto"/>
              </w:rPr>
            </w:pPr>
            <w:r>
              <w:rPr>
                <w:rFonts w:ascii="Arial" w:cs="Arial" w:eastAsia="Arial" w:hAnsi="Arial"/>
                <w:sz w:val="16"/>
                <w:szCs w:val="16"/>
                <w:color w:val="auto"/>
              </w:rPr>
              <w:t>34</w:t>
            </w: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100" w:type="dxa"/>
            <w:vAlign w:val="bottom"/>
          </w:tcPr>
          <w:p>
            <w:pPr>
              <w:spacing w:after="0"/>
              <w:rPr>
                <w:sz w:val="24"/>
                <w:szCs w:val="24"/>
                <w:color w:val="auto"/>
              </w:rPr>
            </w:pPr>
          </w:p>
        </w:tc>
        <w:tc>
          <w:tcPr>
            <w:tcW w:w="396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7179310</wp:posOffset>
            </wp:positionH>
            <wp:positionV relativeFrom="paragraph">
              <wp:posOffset>-29210</wp:posOffset>
            </wp:positionV>
            <wp:extent cx="3365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55880</wp:posOffset>
            </wp:positionH>
            <wp:positionV relativeFrom="paragraph">
              <wp:posOffset>-29210</wp:posOffset>
            </wp:positionV>
            <wp:extent cx="3429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68580</wp:posOffset>
            </wp:positionH>
            <wp:positionV relativeFrom="paragraph">
              <wp:posOffset>-1508125</wp:posOffset>
            </wp:positionV>
            <wp:extent cx="6926580" cy="1454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26580" cy="145415"/>
                    </a:xfrm>
                    <a:prstGeom prst="rect">
                      <a:avLst/>
                    </a:prstGeom>
                    <a:noFill/>
                  </pic:spPr>
                </pic:pic>
              </a:graphicData>
            </a:graphic>
          </wp:anchor>
        </w:drawing>
        <w:drawing>
          <wp:anchor simplePos="0" relativeHeight="251657728" behindDoc="1" locked="0" layoutInCell="0" allowOverlap="1">
            <wp:simplePos x="0" y="0"/>
            <wp:positionH relativeFrom="column">
              <wp:posOffset>68580</wp:posOffset>
            </wp:positionH>
            <wp:positionV relativeFrom="paragraph">
              <wp:posOffset>-1224915</wp:posOffset>
            </wp:positionV>
            <wp:extent cx="6926580" cy="1625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26580" cy="162560"/>
                    </a:xfrm>
                    <a:prstGeom prst="rect">
                      <a:avLst/>
                    </a:prstGeom>
                    <a:noFill/>
                  </pic:spPr>
                </pic:pic>
              </a:graphicData>
            </a:graphic>
          </wp:anchor>
        </w:drawing>
      </w:r>
    </w:p>
    <w:p>
      <w:pPr>
        <w:sectPr>
          <w:pgSz w:w="11900" w:h="16838" w:orient="portrait"/>
          <w:cols w:equalWidth="0" w:num="1">
            <w:col w:w="11340"/>
          </w:cols>
          <w:pgMar w:left="220" w:top="121" w:right="339" w:bottom="1440" w:gutter="0" w:footer="0" w:header="0"/>
        </w:sectPr>
      </w:pPr>
    </w:p>
    <w:bookmarkStart w:id="34" w:name="page35"/>
    <w:bookmarkEnd w:id="34"/>
    <w:p>
      <w:pPr>
        <w:ind w:left="100"/>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ind w:left="640"/>
              <w:spacing w:after="0"/>
              <w:rPr>
                <w:sz w:val="20"/>
                <w:szCs w:val="20"/>
                <w:color w:val="auto"/>
              </w:rPr>
            </w:pPr>
            <w:r>
              <w:rPr>
                <w:rFonts w:ascii="Arial" w:cs="Arial" w:eastAsia="Arial" w:hAnsi="Arial"/>
                <w:sz w:val="16"/>
                <w:szCs w:val="16"/>
                <w:color w:val="auto"/>
              </w:rPr>
              <w:t>Revenue</w:t>
            </w:r>
          </w:p>
        </w:tc>
        <w:tc>
          <w:tcPr>
            <w:tcW w:w="980" w:type="dxa"/>
            <w:vAlign w:val="bottom"/>
          </w:tcPr>
          <w:p>
            <w:pPr>
              <w:spacing w:after="0"/>
              <w:rPr>
                <w:sz w:val="16"/>
                <w:szCs w:val="16"/>
                <w:color w:val="auto"/>
              </w:rPr>
            </w:pPr>
          </w:p>
        </w:tc>
        <w:tc>
          <w:tcPr>
            <w:tcW w:w="2460" w:type="dxa"/>
            <w:vAlign w:val="bottom"/>
            <w:gridSpan w:val="4"/>
          </w:tcPr>
          <w:p>
            <w:pPr>
              <w:spacing w:after="0"/>
              <w:rPr>
                <w:sz w:val="20"/>
                <w:szCs w:val="20"/>
                <w:color w:val="auto"/>
              </w:rPr>
            </w:pPr>
            <w:r>
              <w:rPr>
                <w:rFonts w:ascii="Arial" w:cs="Arial" w:eastAsia="Arial" w:hAnsi="Arial"/>
                <w:sz w:val="16"/>
                <w:szCs w:val="16"/>
                <w:color w:val="auto"/>
              </w:rPr>
              <w:t>Gross Margin (non-GAAP) (in</w:t>
            </w:r>
          </w:p>
        </w:tc>
        <w:tc>
          <w:tcPr>
            <w:tcW w:w="2180" w:type="dxa"/>
            <w:vAlign w:val="bottom"/>
            <w:gridSpan w:val="2"/>
            <w:vMerge w:val="restart"/>
          </w:tcPr>
          <w:p>
            <w:pPr>
              <w:jc w:val="right"/>
              <w:ind w:right="299"/>
              <w:spacing w:after="0"/>
              <w:rPr>
                <w:sz w:val="20"/>
                <w:szCs w:val="20"/>
                <w:color w:val="auto"/>
              </w:rPr>
            </w:pPr>
            <w:r>
              <w:rPr>
                <w:rFonts w:ascii="Arial" w:cs="Arial" w:eastAsia="Arial" w:hAnsi="Arial"/>
                <w:sz w:val="16"/>
                <w:szCs w:val="16"/>
                <w:color w:val="auto"/>
                <w:w w:val="99"/>
              </w:rPr>
              <w:t>Quantities Sold (MWh)</w:t>
            </w:r>
            <w:r>
              <w:rPr>
                <w:rFonts w:ascii="Arial" w:cs="Arial" w:eastAsia="Arial" w:hAnsi="Arial"/>
                <w:sz w:val="21"/>
                <w:szCs w:val="21"/>
                <w:color w:val="auto"/>
                <w:w w:val="99"/>
                <w:vertAlign w:val="superscript"/>
              </w:rPr>
              <w:t>(a)</w:t>
            </w:r>
          </w:p>
        </w:tc>
        <w:tc>
          <w:tcPr>
            <w:tcW w:w="0" w:type="dxa"/>
            <w:vAlign w:val="bottom"/>
          </w:tcPr>
          <w:p>
            <w:pPr>
              <w:spacing w:after="0"/>
              <w:rPr>
                <w:sz w:val="1"/>
                <w:szCs w:val="1"/>
                <w:color w:val="auto"/>
              </w:rPr>
            </w:pPr>
          </w:p>
        </w:tc>
      </w:tr>
      <w:tr>
        <w:trPr>
          <w:trHeight w:val="201"/>
        </w:trPr>
        <w:tc>
          <w:tcPr>
            <w:tcW w:w="3700" w:type="dxa"/>
            <w:vAlign w:val="bottom"/>
          </w:tcPr>
          <w:p>
            <w:pPr>
              <w:spacing w:after="0"/>
              <w:rPr>
                <w:sz w:val="20"/>
                <w:szCs w:val="20"/>
                <w:color w:val="auto"/>
              </w:rPr>
            </w:pPr>
            <w:r>
              <w:rPr>
                <w:rFonts w:ascii="Arial" w:cs="Arial" w:eastAsia="Arial" w:hAnsi="Arial"/>
                <w:sz w:val="16"/>
                <w:szCs w:val="16"/>
                <w:color w:val="auto"/>
              </w:rPr>
              <w:t>ree Months Ended March 31,</w:t>
            </w:r>
          </w:p>
        </w:tc>
        <w:tc>
          <w:tcPr>
            <w:tcW w:w="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320" w:type="dxa"/>
            <w:vAlign w:val="bottom"/>
            <w:tcBorders>
              <w:bottom w:val="single" w:sz="8" w:color="auto"/>
            </w:tcBorders>
            <w:gridSpan w:val="2"/>
          </w:tcPr>
          <w:p>
            <w:pPr>
              <w:ind w:left="640"/>
              <w:spacing w:after="0"/>
              <w:rPr>
                <w:sz w:val="20"/>
                <w:szCs w:val="20"/>
                <w:color w:val="auto"/>
              </w:rPr>
            </w:pPr>
            <w:r>
              <w:rPr>
                <w:rFonts w:ascii="Arial" w:cs="Arial" w:eastAsia="Arial" w:hAnsi="Arial"/>
                <w:sz w:val="16"/>
                <w:szCs w:val="16"/>
                <w:color w:val="auto"/>
              </w:rPr>
              <w:t>(in thousands)</w:t>
            </w:r>
          </w:p>
        </w:tc>
        <w:tc>
          <w:tcPr>
            <w:tcW w:w="100" w:type="dxa"/>
            <w:vAlign w:val="bottom"/>
            <w:tcBorders>
              <w:bottom w:val="single" w:sz="8" w:color="auto"/>
            </w:tcBorders>
          </w:tcPr>
          <w:p>
            <w:pPr>
              <w:spacing w:after="0"/>
              <w:rPr>
                <w:sz w:val="17"/>
                <w:szCs w:val="17"/>
                <w:color w:val="auto"/>
              </w:rPr>
            </w:pPr>
          </w:p>
        </w:tc>
        <w:tc>
          <w:tcPr>
            <w:tcW w:w="2360" w:type="dxa"/>
            <w:vAlign w:val="bottom"/>
            <w:tcBorders>
              <w:bottom w:val="single" w:sz="8" w:color="auto"/>
            </w:tcBorders>
            <w:gridSpan w:val="3"/>
          </w:tcPr>
          <w:p>
            <w:pPr>
              <w:ind w:left="720"/>
              <w:spacing w:after="0"/>
              <w:rPr>
                <w:sz w:val="20"/>
                <w:szCs w:val="20"/>
                <w:color w:val="auto"/>
              </w:rPr>
            </w:pPr>
            <w:r>
              <w:rPr>
                <w:rFonts w:ascii="Arial" w:cs="Arial" w:eastAsia="Arial" w:hAnsi="Arial"/>
                <w:sz w:val="16"/>
                <w:szCs w:val="16"/>
                <w:color w:val="auto"/>
              </w:rPr>
              <w:t>thousands)</w:t>
            </w:r>
          </w:p>
        </w:tc>
        <w:tc>
          <w:tcPr>
            <w:tcW w:w="2180" w:type="dxa"/>
            <w:vAlign w:val="bottom"/>
            <w:tcBorders>
              <w:bottom w:val="single" w:sz="8" w:color="auto"/>
            </w:tcBorders>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color w:val="auto"/>
              </w:rPr>
              <w:t>2021</w:t>
            </w:r>
          </w:p>
        </w:tc>
        <w:tc>
          <w:tcPr>
            <w:tcW w:w="98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color w:val="auto"/>
              </w:rPr>
              <w:t>2020</w:t>
            </w:r>
          </w:p>
        </w:tc>
        <w:tc>
          <w:tcPr>
            <w:tcW w:w="1300" w:type="dxa"/>
            <w:vAlign w:val="bottom"/>
            <w:tcBorders>
              <w:bottom w:val="single" w:sz="8" w:color="auto"/>
            </w:tcBorders>
            <w:gridSpan w:val="2"/>
          </w:tcPr>
          <w:p>
            <w:pPr>
              <w:jc w:val="right"/>
              <w:ind w:right="539"/>
              <w:spacing w:after="0"/>
              <w:rPr>
                <w:sz w:val="20"/>
                <w:szCs w:val="20"/>
                <w:color w:val="auto"/>
              </w:rPr>
            </w:pPr>
            <w:r>
              <w:rPr>
                <w:rFonts w:ascii="Arial" w:cs="Arial" w:eastAsia="Arial" w:hAnsi="Arial"/>
                <w:sz w:val="16"/>
                <w:szCs w:val="16"/>
                <w:color w:val="auto"/>
              </w:rPr>
              <w:t>2021</w:t>
            </w:r>
          </w:p>
        </w:tc>
        <w:tc>
          <w:tcPr>
            <w:tcW w:w="10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2020</w:t>
            </w:r>
          </w:p>
        </w:tc>
        <w:tc>
          <w:tcPr>
            <w:tcW w:w="1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color w:val="auto"/>
              </w:rPr>
              <w:t>2021</w:t>
            </w:r>
          </w:p>
        </w:tc>
        <w:tc>
          <w:tcPr>
            <w:tcW w:w="102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rPr>
              <w:t>2020</w:t>
            </w:r>
          </w:p>
        </w:tc>
        <w:tc>
          <w:tcPr>
            <w:tcW w:w="0" w:type="dxa"/>
            <w:vAlign w:val="bottom"/>
          </w:tcPr>
          <w:p>
            <w:pPr>
              <w:spacing w:after="0"/>
              <w:rPr>
                <w:sz w:val="1"/>
                <w:szCs w:val="1"/>
                <w:color w:val="auto"/>
              </w:rPr>
            </w:pPr>
          </w:p>
        </w:tc>
      </w:tr>
      <w:tr>
        <w:trPr>
          <w:trHeight w:val="207"/>
        </w:trPr>
        <w:tc>
          <w:tcPr>
            <w:tcW w:w="3700" w:type="dxa"/>
            <w:vAlign w:val="bottom"/>
          </w:tcPr>
          <w:p>
            <w:pPr>
              <w:ind w:left="20"/>
              <w:spacing w:after="0"/>
              <w:rPr>
                <w:sz w:val="20"/>
                <w:szCs w:val="20"/>
                <w:color w:val="auto"/>
              </w:rPr>
            </w:pPr>
            <w:r>
              <w:rPr>
                <w:rFonts w:ascii="Arial" w:cs="Arial" w:eastAsia="Arial" w:hAnsi="Arial"/>
                <w:sz w:val="16"/>
                <w:szCs w:val="16"/>
                <w:color w:val="auto"/>
              </w:rPr>
              <w:t>lorado Electric</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340" w:type="dxa"/>
            <w:vAlign w:val="bottom"/>
          </w:tcPr>
          <w:p>
            <w:pPr>
              <w:jc w:val="right"/>
              <w:ind w:right="179"/>
              <w:spacing w:after="0"/>
              <w:rPr>
                <w:sz w:val="20"/>
                <w:szCs w:val="20"/>
                <w:color w:val="auto"/>
              </w:rPr>
            </w:pPr>
            <w:r>
              <w:rPr>
                <w:rFonts w:ascii="Arial" w:cs="Arial" w:eastAsia="Arial" w:hAnsi="Arial"/>
                <w:sz w:val="16"/>
                <w:szCs w:val="16"/>
                <w:color w:val="auto"/>
              </w:rPr>
              <w:t>79,741$</w:t>
            </w:r>
          </w:p>
        </w:tc>
        <w:tc>
          <w:tcPr>
            <w:tcW w:w="980" w:type="dxa"/>
            <w:vAlign w:val="bottom"/>
          </w:tcPr>
          <w:p>
            <w:pPr>
              <w:jc w:val="right"/>
              <w:spacing w:after="0"/>
              <w:rPr>
                <w:sz w:val="20"/>
                <w:szCs w:val="20"/>
                <w:color w:val="auto"/>
              </w:rPr>
            </w:pPr>
            <w:r>
              <w:rPr>
                <w:rFonts w:ascii="Arial" w:cs="Arial" w:eastAsia="Arial" w:hAnsi="Arial"/>
                <w:sz w:val="16"/>
                <w:szCs w:val="16"/>
                <w:color w:val="auto"/>
              </w:rPr>
              <w:t>58,558$</w:t>
            </w:r>
          </w:p>
        </w:tc>
        <w:tc>
          <w:tcPr>
            <w:tcW w:w="1300" w:type="dxa"/>
            <w:vAlign w:val="bottom"/>
            <w:gridSpan w:val="2"/>
          </w:tcPr>
          <w:p>
            <w:pPr>
              <w:jc w:val="right"/>
              <w:ind w:right="59"/>
              <w:spacing w:after="0"/>
              <w:rPr>
                <w:sz w:val="20"/>
                <w:szCs w:val="20"/>
                <w:color w:val="auto"/>
              </w:rPr>
            </w:pPr>
            <w:r>
              <w:rPr>
                <w:rFonts w:ascii="Arial" w:cs="Arial" w:eastAsia="Arial" w:hAnsi="Arial"/>
                <w:sz w:val="16"/>
                <w:szCs w:val="16"/>
                <w:color w:val="auto"/>
              </w:rPr>
              <w:t>24,091$</w:t>
            </w:r>
          </w:p>
        </w:tc>
        <w:tc>
          <w:tcPr>
            <w:tcW w:w="1040" w:type="dxa"/>
            <w:vAlign w:val="bottom"/>
          </w:tcPr>
          <w:p>
            <w:pPr>
              <w:jc w:val="right"/>
              <w:spacing w:after="0"/>
              <w:rPr>
                <w:sz w:val="20"/>
                <w:szCs w:val="20"/>
                <w:color w:val="auto"/>
              </w:rPr>
            </w:pPr>
            <w:r>
              <w:rPr>
                <w:rFonts w:ascii="Arial" w:cs="Arial" w:eastAsia="Arial" w:hAnsi="Arial"/>
                <w:sz w:val="16"/>
                <w:szCs w:val="16"/>
                <w:color w:val="auto"/>
              </w:rPr>
              <w:t>32,270</w:t>
            </w:r>
          </w:p>
        </w:tc>
        <w:tc>
          <w:tcPr>
            <w:tcW w:w="120" w:type="dxa"/>
            <w:vAlign w:val="bottom"/>
          </w:tcPr>
          <w:p>
            <w:pPr>
              <w:spacing w:after="0"/>
              <w:rPr>
                <w:sz w:val="17"/>
                <w:szCs w:val="17"/>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606,343</w:t>
            </w:r>
          </w:p>
        </w:tc>
        <w:tc>
          <w:tcPr>
            <w:tcW w:w="1020" w:type="dxa"/>
            <w:vAlign w:val="bottom"/>
          </w:tcPr>
          <w:p>
            <w:pPr>
              <w:jc w:val="right"/>
              <w:spacing w:after="0"/>
              <w:rPr>
                <w:sz w:val="20"/>
                <w:szCs w:val="20"/>
                <w:color w:val="auto"/>
              </w:rPr>
            </w:pPr>
            <w:r>
              <w:rPr>
                <w:rFonts w:ascii="Arial" w:cs="Arial" w:eastAsia="Arial" w:hAnsi="Arial"/>
                <w:sz w:val="16"/>
                <w:szCs w:val="16"/>
                <w:color w:val="auto"/>
              </w:rPr>
              <w:t>550,771</w:t>
            </w:r>
          </w:p>
        </w:tc>
        <w:tc>
          <w:tcPr>
            <w:tcW w:w="0" w:type="dxa"/>
            <w:vAlign w:val="bottom"/>
          </w:tcPr>
          <w:p>
            <w:pPr>
              <w:spacing w:after="0"/>
              <w:rPr>
                <w:sz w:val="1"/>
                <w:szCs w:val="1"/>
                <w:color w:val="auto"/>
              </w:rPr>
            </w:pPr>
          </w:p>
        </w:tc>
      </w:tr>
      <w:tr>
        <w:trPr>
          <w:trHeight w:val="216"/>
        </w:trPr>
        <w:tc>
          <w:tcPr>
            <w:tcW w:w="3700" w:type="dxa"/>
            <w:vAlign w:val="bottom"/>
          </w:tcPr>
          <w:p>
            <w:pPr>
              <w:ind w:left="20"/>
              <w:spacing w:after="0"/>
              <w:rPr>
                <w:sz w:val="20"/>
                <w:szCs w:val="20"/>
                <w:color w:val="auto"/>
              </w:rPr>
            </w:pPr>
            <w:r>
              <w:rPr>
                <w:rFonts w:ascii="Arial" w:cs="Arial" w:eastAsia="Arial" w:hAnsi="Arial"/>
                <w:sz w:val="16"/>
                <w:szCs w:val="16"/>
                <w:color w:val="auto"/>
              </w:rPr>
              <w:t>uth Dakota Electric</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ind w:right="179"/>
              <w:spacing w:after="0"/>
              <w:rPr>
                <w:sz w:val="20"/>
                <w:szCs w:val="20"/>
                <w:color w:val="auto"/>
              </w:rPr>
            </w:pPr>
            <w:r>
              <w:rPr>
                <w:rFonts w:ascii="Arial" w:cs="Arial" w:eastAsia="Arial" w:hAnsi="Arial"/>
                <w:sz w:val="16"/>
                <w:szCs w:val="16"/>
                <w:color w:val="auto"/>
              </w:rPr>
              <w:t>95,336</w:t>
            </w:r>
          </w:p>
        </w:tc>
        <w:tc>
          <w:tcPr>
            <w:tcW w:w="980" w:type="dxa"/>
            <w:vAlign w:val="bottom"/>
          </w:tcPr>
          <w:p>
            <w:pPr>
              <w:jc w:val="right"/>
              <w:spacing w:after="0"/>
              <w:rPr>
                <w:sz w:val="20"/>
                <w:szCs w:val="20"/>
                <w:color w:val="auto"/>
              </w:rPr>
            </w:pPr>
            <w:r>
              <w:rPr>
                <w:rFonts w:ascii="Arial" w:cs="Arial" w:eastAsia="Arial" w:hAnsi="Arial"/>
                <w:sz w:val="16"/>
                <w:szCs w:val="16"/>
                <w:color w:val="auto"/>
              </w:rPr>
              <w:t>71,611</w:t>
            </w:r>
          </w:p>
        </w:tc>
        <w:tc>
          <w:tcPr>
            <w:tcW w:w="1300" w:type="dxa"/>
            <w:vAlign w:val="bottom"/>
            <w:gridSpan w:val="2"/>
          </w:tcPr>
          <w:p>
            <w:pPr>
              <w:jc w:val="right"/>
              <w:ind w:right="59"/>
              <w:spacing w:after="0"/>
              <w:rPr>
                <w:sz w:val="20"/>
                <w:szCs w:val="20"/>
                <w:color w:val="auto"/>
              </w:rPr>
            </w:pPr>
            <w:r>
              <w:rPr>
                <w:rFonts w:ascii="Arial" w:cs="Arial" w:eastAsia="Arial" w:hAnsi="Arial"/>
                <w:sz w:val="16"/>
                <w:szCs w:val="16"/>
                <w:color w:val="auto"/>
              </w:rPr>
              <w:t>49,550</w:t>
            </w:r>
          </w:p>
        </w:tc>
        <w:tc>
          <w:tcPr>
            <w:tcW w:w="1040" w:type="dxa"/>
            <w:vAlign w:val="bottom"/>
          </w:tcPr>
          <w:p>
            <w:pPr>
              <w:jc w:val="right"/>
              <w:spacing w:after="0"/>
              <w:rPr>
                <w:sz w:val="20"/>
                <w:szCs w:val="20"/>
                <w:color w:val="auto"/>
              </w:rPr>
            </w:pPr>
            <w:r>
              <w:rPr>
                <w:rFonts w:ascii="Arial" w:cs="Arial" w:eastAsia="Arial" w:hAnsi="Arial"/>
                <w:sz w:val="16"/>
                <w:szCs w:val="16"/>
                <w:color w:val="auto"/>
              </w:rPr>
              <w:t>55,624</w:t>
            </w:r>
          </w:p>
        </w:tc>
        <w:tc>
          <w:tcPr>
            <w:tcW w:w="120" w:type="dxa"/>
            <w:vAlign w:val="bottom"/>
          </w:tcPr>
          <w:p>
            <w:pPr>
              <w:spacing w:after="0"/>
              <w:rPr>
                <w:sz w:val="18"/>
                <w:szCs w:val="18"/>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657,779</w:t>
            </w:r>
          </w:p>
        </w:tc>
        <w:tc>
          <w:tcPr>
            <w:tcW w:w="1020" w:type="dxa"/>
            <w:vAlign w:val="bottom"/>
          </w:tcPr>
          <w:p>
            <w:pPr>
              <w:jc w:val="right"/>
              <w:spacing w:after="0"/>
              <w:rPr>
                <w:sz w:val="20"/>
                <w:szCs w:val="20"/>
                <w:color w:val="auto"/>
              </w:rPr>
            </w:pPr>
            <w:r>
              <w:rPr>
                <w:rFonts w:ascii="Arial" w:cs="Arial" w:eastAsia="Arial" w:hAnsi="Arial"/>
                <w:sz w:val="16"/>
                <w:szCs w:val="16"/>
                <w:color w:val="auto"/>
              </w:rPr>
              <w:t>685,224</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6"/>
                <w:szCs w:val="16"/>
                <w:color w:val="auto"/>
              </w:rPr>
              <w:t>yoming Electric</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52,331</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43,970</w:t>
            </w:r>
          </w:p>
        </w:tc>
        <w:tc>
          <w:tcPr>
            <w:tcW w:w="100" w:type="dxa"/>
            <w:vAlign w:val="bottom"/>
          </w:tcPr>
          <w:p>
            <w:pPr>
              <w:spacing w:after="0"/>
              <w:rPr>
                <w:sz w:val="18"/>
                <w:szCs w:val="18"/>
                <w:color w:val="auto"/>
              </w:rPr>
            </w:pPr>
          </w:p>
        </w:tc>
        <w:tc>
          <w:tcPr>
            <w:tcW w:w="12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21,698</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21,785</w:t>
            </w:r>
          </w:p>
        </w:tc>
        <w:tc>
          <w:tcPr>
            <w:tcW w:w="120" w:type="dxa"/>
            <w:vAlign w:val="bottom"/>
          </w:tcPr>
          <w:p>
            <w:pPr>
              <w:spacing w:after="0"/>
              <w:rPr>
                <w:sz w:val="18"/>
                <w:szCs w:val="18"/>
                <w:color w:val="auto"/>
              </w:rPr>
            </w:pPr>
          </w:p>
        </w:tc>
        <w:tc>
          <w:tcPr>
            <w:tcW w:w="11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491,905</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516,928</w:t>
            </w:r>
          </w:p>
        </w:tc>
        <w:tc>
          <w:tcPr>
            <w:tcW w:w="0" w:type="dxa"/>
            <w:vAlign w:val="bottom"/>
          </w:tcPr>
          <w:p>
            <w:pPr>
              <w:spacing w:after="0"/>
              <w:rPr>
                <w:sz w:val="1"/>
                <w:szCs w:val="1"/>
                <w:color w:val="auto"/>
              </w:rPr>
            </w:pPr>
          </w:p>
        </w:tc>
      </w:tr>
      <w:tr>
        <w:trPr>
          <w:trHeight w:val="163"/>
        </w:trPr>
        <w:tc>
          <w:tcPr>
            <w:tcW w:w="3700" w:type="dxa"/>
            <w:vAlign w:val="bottom"/>
          </w:tcPr>
          <w:p>
            <w:pPr>
              <w:ind w:left="20"/>
              <w:spacing w:after="0" w:line="164" w:lineRule="exact"/>
              <w:rPr>
                <w:sz w:val="20"/>
                <w:szCs w:val="20"/>
                <w:color w:val="auto"/>
              </w:rPr>
            </w:pPr>
            <w:r>
              <w:rPr>
                <w:rFonts w:ascii="Arial" w:cs="Arial" w:eastAsia="Arial" w:hAnsi="Arial"/>
                <w:sz w:val="16"/>
                <w:szCs w:val="16"/>
                <w:color w:val="auto"/>
              </w:rPr>
              <w:t>Total Electric Revenue, Gross Margin (non-GAAP),</w:t>
            </w:r>
          </w:p>
        </w:tc>
        <w:tc>
          <w:tcPr>
            <w:tcW w:w="220" w:type="dxa"/>
            <w:vAlign w:val="bottom"/>
            <w:vMerge w:val="restart"/>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340" w:type="dxa"/>
            <w:vAlign w:val="bottom"/>
            <w:vMerge w:val="restart"/>
          </w:tcPr>
          <w:p>
            <w:pPr>
              <w:jc w:val="right"/>
              <w:ind w:right="179"/>
              <w:spacing w:after="0"/>
              <w:rPr>
                <w:sz w:val="20"/>
                <w:szCs w:val="20"/>
                <w:color w:val="auto"/>
              </w:rPr>
            </w:pPr>
            <w:r>
              <w:rPr>
                <w:rFonts w:ascii="Arial" w:cs="Arial" w:eastAsia="Arial" w:hAnsi="Arial"/>
                <w:sz w:val="16"/>
                <w:szCs w:val="16"/>
                <w:color w:val="auto"/>
              </w:rPr>
              <w:t>227,408$</w:t>
            </w: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174,139$</w:t>
            </w:r>
          </w:p>
        </w:tc>
        <w:tc>
          <w:tcPr>
            <w:tcW w:w="1300" w:type="dxa"/>
            <w:vAlign w:val="bottom"/>
            <w:gridSpan w:val="2"/>
            <w:vMerge w:val="restart"/>
          </w:tcPr>
          <w:p>
            <w:pPr>
              <w:jc w:val="right"/>
              <w:ind w:right="59"/>
              <w:spacing w:after="0"/>
              <w:rPr>
                <w:sz w:val="20"/>
                <w:szCs w:val="20"/>
                <w:color w:val="auto"/>
              </w:rPr>
            </w:pPr>
            <w:r>
              <w:rPr>
                <w:rFonts w:ascii="Arial" w:cs="Arial" w:eastAsia="Arial" w:hAnsi="Arial"/>
                <w:sz w:val="16"/>
                <w:szCs w:val="16"/>
                <w:color w:val="auto"/>
              </w:rPr>
              <w:t>95,339$</w:t>
            </w: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109,679</w:t>
            </w:r>
          </w:p>
        </w:tc>
        <w:tc>
          <w:tcPr>
            <w:tcW w:w="120" w:type="dxa"/>
            <w:vAlign w:val="bottom"/>
          </w:tcPr>
          <w:p>
            <w:pPr>
              <w:spacing w:after="0"/>
              <w:rPr>
                <w:sz w:val="14"/>
                <w:szCs w:val="14"/>
                <w:color w:val="auto"/>
              </w:rPr>
            </w:pPr>
          </w:p>
        </w:tc>
        <w:tc>
          <w:tcPr>
            <w:tcW w:w="1160" w:type="dxa"/>
            <w:vAlign w:val="bottom"/>
            <w:vMerge w:val="restart"/>
          </w:tcPr>
          <w:p>
            <w:pPr>
              <w:jc w:val="right"/>
              <w:ind w:right="59"/>
              <w:spacing w:after="0"/>
              <w:rPr>
                <w:sz w:val="20"/>
                <w:szCs w:val="20"/>
                <w:color w:val="auto"/>
              </w:rPr>
            </w:pPr>
            <w:r>
              <w:rPr>
                <w:rFonts w:ascii="Arial" w:cs="Arial" w:eastAsia="Arial" w:hAnsi="Arial"/>
                <w:sz w:val="16"/>
                <w:szCs w:val="16"/>
                <w:color w:val="auto"/>
              </w:rPr>
              <w:t>1,756,027</w:t>
            </w: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1,752,923</w:t>
            </w:r>
          </w:p>
        </w:tc>
        <w:tc>
          <w:tcPr>
            <w:tcW w:w="0" w:type="dxa"/>
            <w:vAlign w:val="bottom"/>
          </w:tcPr>
          <w:p>
            <w:pPr>
              <w:spacing w:after="0"/>
              <w:rPr>
                <w:sz w:val="1"/>
                <w:szCs w:val="1"/>
                <w:color w:val="auto"/>
              </w:rPr>
            </w:pPr>
          </w:p>
        </w:tc>
      </w:tr>
      <w:tr>
        <w:trPr>
          <w:trHeight w:val="174"/>
        </w:trPr>
        <w:tc>
          <w:tcPr>
            <w:tcW w:w="3700" w:type="dxa"/>
            <w:vAlign w:val="bottom"/>
          </w:tcPr>
          <w:p>
            <w:pPr>
              <w:ind w:left="340"/>
              <w:spacing w:after="0" w:line="174" w:lineRule="exact"/>
              <w:rPr>
                <w:sz w:val="20"/>
                <w:szCs w:val="20"/>
                <w:color w:val="auto"/>
              </w:rPr>
            </w:pPr>
            <w:r>
              <w:rPr>
                <w:rFonts w:ascii="Arial" w:cs="Arial" w:eastAsia="Arial" w:hAnsi="Arial"/>
                <w:sz w:val="16"/>
                <w:szCs w:val="16"/>
                <w:color w:val="auto"/>
              </w:rPr>
              <w:t>and Quantities Sold</w:t>
            </w:r>
          </w:p>
        </w:tc>
        <w:tc>
          <w:tcPr>
            <w:tcW w:w="2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1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3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76835</wp:posOffset>
            </wp:positionH>
            <wp:positionV relativeFrom="paragraph">
              <wp:posOffset>-530860</wp:posOffset>
            </wp:positionV>
            <wp:extent cx="6909435" cy="1371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09435" cy="137160"/>
                    </a:xfrm>
                    <a:prstGeom prst="rect">
                      <a:avLst/>
                    </a:prstGeom>
                    <a:noFill/>
                  </pic:spPr>
                </pic:pic>
              </a:graphicData>
            </a:graphic>
          </wp:anchor>
        </w:drawing>
        <w:drawing>
          <wp:anchor simplePos="0" relativeHeight="251657728" behindDoc="1" locked="0" layoutInCell="0" allowOverlap="1">
            <wp:simplePos x="0" y="0"/>
            <wp:positionH relativeFrom="column">
              <wp:posOffset>76835</wp:posOffset>
            </wp:positionH>
            <wp:positionV relativeFrom="paragraph">
              <wp:posOffset>-256540</wp:posOffset>
            </wp:positionV>
            <wp:extent cx="6909435" cy="24003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909435" cy="240030"/>
                    </a:xfrm>
                    <a:prstGeom prst="rect">
                      <a:avLst/>
                    </a:prstGeom>
                    <a:noFill/>
                  </pic:spPr>
                </pic:pic>
              </a:graphicData>
            </a:graphic>
          </wp:anchor>
        </w:drawing>
      </w:r>
    </w:p>
    <w:p>
      <w:pPr>
        <w:spacing w:after="0" w:line="36" w:lineRule="exact"/>
        <w:rPr>
          <w:sz w:val="20"/>
          <w:szCs w:val="20"/>
          <w:color w:val="auto"/>
        </w:rPr>
      </w:pPr>
    </w:p>
    <w:p>
      <w:pPr>
        <w:ind w:left="100"/>
        <w:spacing w:after="0"/>
        <w:rPr>
          <w:sz w:val="20"/>
          <w:szCs w:val="20"/>
          <w:color w:val="auto"/>
        </w:rPr>
      </w:pPr>
      <w:r>
        <w:rPr>
          <w:rFonts w:ascii="Arial" w:cs="Arial" w:eastAsia="Arial" w:hAnsi="Arial"/>
          <w:sz w:val="16"/>
          <w:szCs w:val="16"/>
          <w:color w:val="auto"/>
        </w:rPr>
        <w:t>________________</w:t>
      </w:r>
    </w:p>
    <w:p>
      <w:pPr>
        <w:spacing w:after="0" w:line="8" w:lineRule="exact"/>
        <w:rPr>
          <w:sz w:val="20"/>
          <w:szCs w:val="20"/>
          <w:color w:val="auto"/>
        </w:rPr>
      </w:pPr>
    </w:p>
    <w:p>
      <w:pPr>
        <w:ind w:left="440" w:hanging="332"/>
        <w:spacing w:after="0"/>
        <w:tabs>
          <w:tab w:leader="none" w:pos="4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Includes company uses, line losses, and excess exchange production.</w:t>
      </w:r>
    </w:p>
    <w:p>
      <w:pPr>
        <w:spacing w:after="0" w:line="111" w:lineRule="exact"/>
        <w:rPr>
          <w:sz w:val="20"/>
          <w:szCs w:val="20"/>
          <w:color w:val="auto"/>
        </w:rPr>
      </w:pPr>
    </w:p>
    <w:p>
      <w:pPr>
        <w:ind w:left="8380"/>
        <w:spacing w:after="0"/>
        <w:rPr>
          <w:sz w:val="20"/>
          <w:szCs w:val="20"/>
          <w:color w:val="auto"/>
        </w:rPr>
      </w:pPr>
      <w:r>
        <w:rPr>
          <w:rFonts w:ascii="Arial" w:cs="Arial" w:eastAsia="Arial" w:hAnsi="Arial"/>
          <w:sz w:val="16"/>
          <w:szCs w:val="16"/>
          <w:color w:val="auto"/>
        </w:rPr>
        <w:t>Three Months Ended</w:t>
      </w:r>
    </w:p>
    <w:tbl>
      <w:tblPr>
        <w:tblLayout w:type="fixed"/>
        <w:tblInd w:w="0" w:type="dxa"/>
        <w:tblCellMar>
          <w:top w:w="0" w:type="dxa"/>
          <w:left w:w="0" w:type="dxa"/>
          <w:bottom w:w="0" w:type="dxa"/>
          <w:right w:w="0" w:type="dxa"/>
        </w:tblCellMar>
      </w:tblPr>
      <w:tr>
        <w:trPr>
          <w:trHeight w:val="195"/>
        </w:trPr>
        <w:tc>
          <w:tcPr>
            <w:tcW w:w="14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60" w:type="dxa"/>
            <w:vAlign w:val="bottom"/>
          </w:tcPr>
          <w:p>
            <w:pPr>
              <w:jc w:val="right"/>
              <w:spacing w:after="0"/>
              <w:rPr>
                <w:sz w:val="20"/>
                <w:szCs w:val="20"/>
                <w:color w:val="auto"/>
              </w:rPr>
            </w:pPr>
            <w:r>
              <w:rPr>
                <w:rFonts w:ascii="Arial" w:cs="Arial" w:eastAsia="Arial" w:hAnsi="Arial"/>
                <w:sz w:val="16"/>
                <w:szCs w:val="16"/>
                <w:color w:val="auto"/>
              </w:rPr>
              <w:t>March 31,</w:t>
            </w:r>
          </w:p>
        </w:tc>
        <w:tc>
          <w:tcPr>
            <w:tcW w:w="124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19"/>
        </w:trPr>
        <w:tc>
          <w:tcPr>
            <w:tcW w:w="4280" w:type="dxa"/>
            <w:vAlign w:val="bottom"/>
            <w:gridSpan w:val="2"/>
          </w:tcPr>
          <w:p>
            <w:pPr>
              <w:ind w:left="20"/>
              <w:spacing w:after="0"/>
              <w:rPr>
                <w:sz w:val="20"/>
                <w:szCs w:val="20"/>
                <w:color w:val="auto"/>
              </w:rPr>
            </w:pPr>
            <w:r>
              <w:rPr>
                <w:rFonts w:ascii="Arial" w:cs="Arial" w:eastAsia="Arial" w:hAnsi="Arial"/>
                <w:sz w:val="16"/>
                <w:szCs w:val="16"/>
                <w:color w:val="auto"/>
              </w:rPr>
              <w:t>antities Generated and Purchased (MWh)</w:t>
            </w:r>
          </w:p>
        </w:tc>
        <w:tc>
          <w:tcPr>
            <w:tcW w:w="9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160" w:type="dxa"/>
            <w:vAlign w:val="bottom"/>
            <w:gridSpan w:val="2"/>
          </w:tcPr>
          <w:p>
            <w:pPr>
              <w:jc w:val="right"/>
              <w:ind w:right="1199"/>
              <w:spacing w:after="0"/>
              <w:rPr>
                <w:sz w:val="20"/>
                <w:szCs w:val="20"/>
                <w:color w:val="auto"/>
              </w:rPr>
            </w:pPr>
            <w:r>
              <w:rPr>
                <w:rFonts w:ascii="Arial" w:cs="Arial" w:eastAsia="Arial" w:hAnsi="Arial"/>
                <w:sz w:val="16"/>
                <w:szCs w:val="16"/>
                <w:color w:val="auto"/>
              </w:rPr>
              <w:t>2021</w:t>
            </w:r>
          </w:p>
        </w:tc>
        <w:tc>
          <w:tcPr>
            <w:tcW w:w="1240" w:type="dxa"/>
            <w:vAlign w:val="bottom"/>
          </w:tcPr>
          <w:p>
            <w:pPr>
              <w:jc w:val="right"/>
              <w:ind w:right="719"/>
              <w:spacing w:after="0"/>
              <w:rPr>
                <w:sz w:val="20"/>
                <w:szCs w:val="20"/>
                <w:color w:val="auto"/>
              </w:rPr>
            </w:pPr>
            <w:r>
              <w:rPr>
                <w:rFonts w:ascii="Arial" w:cs="Arial" w:eastAsia="Arial" w:hAnsi="Arial"/>
                <w:sz w:val="16"/>
                <w:szCs w:val="16"/>
                <w:color w:val="auto"/>
              </w:rPr>
              <w:t>2020</w:t>
            </w:r>
          </w:p>
        </w:tc>
        <w:tc>
          <w:tcPr>
            <w:tcW w:w="40" w:type="dxa"/>
            <w:vAlign w:val="bottom"/>
          </w:tcPr>
          <w:p>
            <w:pPr>
              <w:spacing w:after="0"/>
              <w:rPr>
                <w:sz w:val="19"/>
                <w:szCs w:val="19"/>
                <w:color w:val="auto"/>
              </w:rPr>
            </w:pPr>
          </w:p>
        </w:tc>
      </w:tr>
      <w:tr>
        <w:trPr>
          <w:trHeight w:val="145"/>
        </w:trPr>
        <w:tc>
          <w:tcPr>
            <w:tcW w:w="140" w:type="dxa"/>
            <w:vAlign w:val="bottom"/>
          </w:tcPr>
          <w:p>
            <w:pPr>
              <w:spacing w:after="0"/>
              <w:rPr>
                <w:sz w:val="12"/>
                <w:szCs w:val="12"/>
                <w:color w:val="auto"/>
              </w:rPr>
            </w:pPr>
          </w:p>
        </w:tc>
        <w:tc>
          <w:tcPr>
            <w:tcW w:w="414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20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06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r>
      <w:tr>
        <w:trPr>
          <w:trHeight w:val="216"/>
        </w:trPr>
        <w:tc>
          <w:tcPr>
            <w:tcW w:w="140" w:type="dxa"/>
            <w:vAlign w:val="bottom"/>
            <w:tcBorders>
              <w:right w:val="single" w:sz="8" w:color="CEFFE7"/>
            </w:tcBorders>
          </w:tcPr>
          <w:p>
            <w:pPr>
              <w:spacing w:after="0"/>
              <w:rPr>
                <w:sz w:val="18"/>
                <w:szCs w:val="18"/>
                <w:color w:val="auto"/>
              </w:rPr>
            </w:pPr>
          </w:p>
        </w:tc>
        <w:tc>
          <w:tcPr>
            <w:tcW w:w="4140" w:type="dxa"/>
            <w:vAlign w:val="bottom"/>
            <w:shd w:val="clear" w:color="auto" w:fill="CEFFE7"/>
          </w:tcPr>
          <w:p>
            <w:pPr>
              <w:spacing w:after="0"/>
              <w:rPr>
                <w:sz w:val="20"/>
                <w:szCs w:val="20"/>
                <w:color w:val="auto"/>
              </w:rPr>
            </w:pPr>
            <w:r>
              <w:rPr>
                <w:rFonts w:ascii="Arial" w:cs="Arial" w:eastAsia="Arial" w:hAnsi="Arial"/>
                <w:sz w:val="16"/>
                <w:szCs w:val="16"/>
                <w:color w:val="auto"/>
              </w:rPr>
              <w:t>nerated:</w:t>
            </w:r>
          </w:p>
        </w:tc>
        <w:tc>
          <w:tcPr>
            <w:tcW w:w="980" w:type="dxa"/>
            <w:vAlign w:val="bottom"/>
            <w:shd w:val="clear" w:color="auto" w:fill="CEFFE7"/>
          </w:tcPr>
          <w:p>
            <w:pPr>
              <w:spacing w:after="0"/>
              <w:rPr>
                <w:sz w:val="18"/>
                <w:szCs w:val="18"/>
                <w:color w:val="auto"/>
              </w:rPr>
            </w:pPr>
          </w:p>
        </w:tc>
        <w:tc>
          <w:tcPr>
            <w:tcW w:w="2000" w:type="dxa"/>
            <w:vAlign w:val="bottom"/>
            <w:shd w:val="clear" w:color="auto" w:fill="CEFFE7"/>
          </w:tcPr>
          <w:p>
            <w:pPr>
              <w:spacing w:after="0"/>
              <w:rPr>
                <w:sz w:val="18"/>
                <w:szCs w:val="18"/>
                <w:color w:val="auto"/>
              </w:rPr>
            </w:pPr>
          </w:p>
        </w:tc>
        <w:tc>
          <w:tcPr>
            <w:tcW w:w="320" w:type="dxa"/>
            <w:vAlign w:val="bottom"/>
            <w:shd w:val="clear" w:color="auto" w:fill="CEFFE7"/>
          </w:tcPr>
          <w:p>
            <w:pPr>
              <w:spacing w:after="0"/>
              <w:rPr>
                <w:sz w:val="18"/>
                <w:szCs w:val="18"/>
                <w:color w:val="auto"/>
              </w:rPr>
            </w:pPr>
          </w:p>
        </w:tc>
        <w:tc>
          <w:tcPr>
            <w:tcW w:w="100" w:type="dxa"/>
            <w:vAlign w:val="bottom"/>
            <w:shd w:val="clear" w:color="auto" w:fill="CEFFE7"/>
          </w:tcPr>
          <w:p>
            <w:pPr>
              <w:spacing w:after="0"/>
              <w:rPr>
                <w:sz w:val="18"/>
                <w:szCs w:val="18"/>
                <w:color w:val="auto"/>
              </w:rPr>
            </w:pPr>
          </w:p>
        </w:tc>
        <w:tc>
          <w:tcPr>
            <w:tcW w:w="2060" w:type="dxa"/>
            <w:vAlign w:val="bottom"/>
            <w:shd w:val="clear" w:color="auto" w:fill="CEFFE7"/>
          </w:tcPr>
          <w:p>
            <w:pPr>
              <w:spacing w:after="0"/>
              <w:rPr>
                <w:sz w:val="18"/>
                <w:szCs w:val="18"/>
                <w:color w:val="auto"/>
              </w:rPr>
            </w:pPr>
          </w:p>
        </w:tc>
        <w:tc>
          <w:tcPr>
            <w:tcW w:w="1240" w:type="dxa"/>
            <w:vAlign w:val="bottom"/>
            <w:shd w:val="clear" w:color="auto" w:fill="CEFFE7"/>
          </w:tcPr>
          <w:p>
            <w:pPr>
              <w:spacing w:after="0"/>
              <w:rPr>
                <w:sz w:val="18"/>
                <w:szCs w:val="18"/>
                <w:color w:val="auto"/>
              </w:rPr>
            </w:pPr>
          </w:p>
        </w:tc>
        <w:tc>
          <w:tcPr>
            <w:tcW w:w="40" w:type="dxa"/>
            <w:vAlign w:val="bottom"/>
            <w:shd w:val="clear" w:color="auto" w:fill="CEFFE7"/>
          </w:tcPr>
          <w:p>
            <w:pPr>
              <w:spacing w:after="0"/>
              <w:rPr>
                <w:sz w:val="18"/>
                <w:szCs w:val="18"/>
                <w:color w:val="auto"/>
              </w:rPr>
            </w:pPr>
          </w:p>
        </w:tc>
      </w:tr>
      <w:tr>
        <w:trPr>
          <w:trHeight w:val="213"/>
        </w:trPr>
        <w:tc>
          <w:tcPr>
            <w:tcW w:w="4280" w:type="dxa"/>
            <w:vAlign w:val="bottom"/>
            <w:gridSpan w:val="2"/>
          </w:tcPr>
          <w:p>
            <w:pPr>
              <w:ind w:left="20"/>
              <w:spacing w:after="0"/>
              <w:rPr>
                <w:sz w:val="20"/>
                <w:szCs w:val="20"/>
                <w:color w:val="auto"/>
              </w:rPr>
            </w:pPr>
            <w:r>
              <w:rPr>
                <w:rFonts w:ascii="Arial" w:cs="Arial" w:eastAsia="Arial" w:hAnsi="Arial"/>
                <w:sz w:val="16"/>
                <w:szCs w:val="16"/>
                <w:color w:val="auto"/>
              </w:rPr>
              <w:t>Coal</w:t>
            </w:r>
          </w:p>
        </w:tc>
        <w:tc>
          <w:tcPr>
            <w:tcW w:w="9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60" w:type="dxa"/>
            <w:vAlign w:val="bottom"/>
            <w:gridSpan w:val="2"/>
          </w:tcPr>
          <w:p>
            <w:pPr>
              <w:jc w:val="right"/>
              <w:ind w:right="439"/>
              <w:spacing w:after="0"/>
              <w:rPr>
                <w:sz w:val="20"/>
                <w:szCs w:val="20"/>
                <w:color w:val="auto"/>
              </w:rPr>
            </w:pPr>
            <w:r>
              <w:rPr>
                <w:rFonts w:ascii="Arial" w:cs="Arial" w:eastAsia="Arial" w:hAnsi="Arial"/>
                <w:sz w:val="16"/>
                <w:szCs w:val="16"/>
                <w:color w:val="auto"/>
              </w:rPr>
              <w:t>482,978</w:t>
            </w:r>
          </w:p>
        </w:tc>
        <w:tc>
          <w:tcPr>
            <w:tcW w:w="1240" w:type="dxa"/>
            <w:vAlign w:val="bottom"/>
          </w:tcPr>
          <w:p>
            <w:pPr>
              <w:jc w:val="right"/>
              <w:spacing w:after="0"/>
              <w:rPr>
                <w:sz w:val="20"/>
                <w:szCs w:val="20"/>
                <w:color w:val="auto"/>
              </w:rPr>
            </w:pPr>
            <w:r>
              <w:rPr>
                <w:rFonts w:ascii="Arial" w:cs="Arial" w:eastAsia="Arial" w:hAnsi="Arial"/>
                <w:sz w:val="16"/>
                <w:szCs w:val="16"/>
                <w:color w:val="auto"/>
              </w:rPr>
              <w:t>547,829</w:t>
            </w:r>
          </w:p>
        </w:tc>
        <w:tc>
          <w:tcPr>
            <w:tcW w:w="40" w:type="dxa"/>
            <w:vAlign w:val="bottom"/>
          </w:tcPr>
          <w:p>
            <w:pPr>
              <w:spacing w:after="0"/>
              <w:rPr>
                <w:sz w:val="18"/>
                <w:szCs w:val="18"/>
                <w:color w:val="auto"/>
              </w:rPr>
            </w:pPr>
          </w:p>
        </w:tc>
      </w:tr>
      <w:tr>
        <w:trPr>
          <w:trHeight w:val="219"/>
        </w:trPr>
        <w:tc>
          <w:tcPr>
            <w:tcW w:w="140" w:type="dxa"/>
            <w:vAlign w:val="bottom"/>
            <w:tcBorders>
              <w:right w:val="single" w:sz="8" w:color="CEFFE7"/>
            </w:tcBorders>
          </w:tcPr>
          <w:p>
            <w:pPr>
              <w:spacing w:after="0"/>
              <w:rPr>
                <w:sz w:val="19"/>
                <w:szCs w:val="19"/>
                <w:color w:val="auto"/>
              </w:rPr>
            </w:pPr>
          </w:p>
        </w:tc>
        <w:tc>
          <w:tcPr>
            <w:tcW w:w="4140" w:type="dxa"/>
            <w:vAlign w:val="bottom"/>
            <w:shd w:val="clear" w:color="auto" w:fill="CEFFE7"/>
          </w:tcPr>
          <w:p>
            <w:pPr>
              <w:spacing w:after="0"/>
              <w:rPr>
                <w:sz w:val="20"/>
                <w:szCs w:val="20"/>
                <w:color w:val="auto"/>
              </w:rPr>
            </w:pPr>
            <w:r>
              <w:rPr>
                <w:rFonts w:ascii="Arial" w:cs="Arial" w:eastAsia="Arial" w:hAnsi="Arial"/>
                <w:sz w:val="16"/>
                <w:szCs w:val="16"/>
                <w:color w:val="auto"/>
              </w:rPr>
              <w:t>Natural Gas and Oil</w:t>
            </w:r>
          </w:p>
        </w:tc>
        <w:tc>
          <w:tcPr>
            <w:tcW w:w="980" w:type="dxa"/>
            <w:vAlign w:val="bottom"/>
            <w:shd w:val="clear" w:color="auto" w:fill="CEFFE7"/>
          </w:tcPr>
          <w:p>
            <w:pPr>
              <w:spacing w:after="0"/>
              <w:rPr>
                <w:sz w:val="19"/>
                <w:szCs w:val="19"/>
                <w:color w:val="auto"/>
              </w:rPr>
            </w:pPr>
          </w:p>
        </w:tc>
        <w:tc>
          <w:tcPr>
            <w:tcW w:w="2000" w:type="dxa"/>
            <w:vAlign w:val="bottom"/>
            <w:shd w:val="clear" w:color="auto" w:fill="CEFFE7"/>
          </w:tcPr>
          <w:p>
            <w:pPr>
              <w:spacing w:after="0"/>
              <w:rPr>
                <w:sz w:val="19"/>
                <w:szCs w:val="19"/>
                <w:color w:val="auto"/>
              </w:rPr>
            </w:pPr>
          </w:p>
        </w:tc>
        <w:tc>
          <w:tcPr>
            <w:tcW w:w="320" w:type="dxa"/>
            <w:vAlign w:val="bottom"/>
            <w:shd w:val="clear" w:color="auto" w:fill="CEFFE7"/>
          </w:tcPr>
          <w:p>
            <w:pPr>
              <w:spacing w:after="0"/>
              <w:rPr>
                <w:sz w:val="19"/>
                <w:szCs w:val="19"/>
                <w:color w:val="auto"/>
              </w:rPr>
            </w:pPr>
          </w:p>
        </w:tc>
        <w:tc>
          <w:tcPr>
            <w:tcW w:w="2160" w:type="dxa"/>
            <w:vAlign w:val="bottom"/>
            <w:gridSpan w:val="2"/>
            <w:shd w:val="clear" w:color="auto" w:fill="CEFFE7"/>
          </w:tcPr>
          <w:p>
            <w:pPr>
              <w:jc w:val="right"/>
              <w:ind w:right="439"/>
              <w:spacing w:after="0"/>
              <w:rPr>
                <w:sz w:val="20"/>
                <w:szCs w:val="20"/>
                <w:color w:val="auto"/>
              </w:rPr>
            </w:pPr>
            <w:r>
              <w:rPr>
                <w:rFonts w:ascii="Arial" w:cs="Arial" w:eastAsia="Arial" w:hAnsi="Arial"/>
                <w:sz w:val="16"/>
                <w:szCs w:val="16"/>
                <w:color w:val="auto"/>
              </w:rPr>
              <w:t>132,105</w:t>
            </w:r>
          </w:p>
        </w:tc>
        <w:tc>
          <w:tcPr>
            <w:tcW w:w="12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167,744</w:t>
            </w:r>
          </w:p>
        </w:tc>
        <w:tc>
          <w:tcPr>
            <w:tcW w:w="40" w:type="dxa"/>
            <w:vAlign w:val="bottom"/>
            <w:shd w:val="clear" w:color="auto" w:fill="CEFFE7"/>
          </w:tcPr>
          <w:p>
            <w:pPr>
              <w:spacing w:after="0"/>
              <w:rPr>
                <w:sz w:val="19"/>
                <w:szCs w:val="19"/>
                <w:color w:val="auto"/>
              </w:rPr>
            </w:pPr>
          </w:p>
        </w:tc>
      </w:tr>
      <w:tr>
        <w:trPr>
          <w:trHeight w:val="213"/>
        </w:trPr>
        <w:tc>
          <w:tcPr>
            <w:tcW w:w="4280" w:type="dxa"/>
            <w:vAlign w:val="bottom"/>
            <w:gridSpan w:val="2"/>
          </w:tcPr>
          <w:p>
            <w:pPr>
              <w:ind w:left="20"/>
              <w:spacing w:after="0"/>
              <w:rPr>
                <w:sz w:val="20"/>
                <w:szCs w:val="20"/>
                <w:color w:val="auto"/>
              </w:rPr>
            </w:pPr>
            <w:r>
              <w:rPr>
                <w:rFonts w:ascii="Arial" w:cs="Arial" w:eastAsia="Arial" w:hAnsi="Arial"/>
                <w:sz w:val="16"/>
                <w:szCs w:val="16"/>
                <w:color w:val="auto"/>
              </w:rPr>
              <w:t>Wind</w:t>
            </w:r>
          </w:p>
        </w:tc>
        <w:tc>
          <w:tcPr>
            <w:tcW w:w="9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60" w:type="dxa"/>
            <w:vAlign w:val="bottom"/>
            <w:gridSpan w:val="2"/>
          </w:tcPr>
          <w:p>
            <w:pPr>
              <w:jc w:val="right"/>
              <w:ind w:right="439"/>
              <w:spacing w:after="0"/>
              <w:rPr>
                <w:sz w:val="20"/>
                <w:szCs w:val="20"/>
                <w:color w:val="auto"/>
              </w:rPr>
            </w:pPr>
            <w:r>
              <w:rPr>
                <w:rFonts w:ascii="Arial" w:cs="Arial" w:eastAsia="Arial" w:hAnsi="Arial"/>
                <w:sz w:val="16"/>
                <w:szCs w:val="16"/>
                <w:color w:val="auto"/>
              </w:rPr>
              <w:t>62,295</w:t>
            </w:r>
          </w:p>
        </w:tc>
        <w:tc>
          <w:tcPr>
            <w:tcW w:w="1240" w:type="dxa"/>
            <w:vAlign w:val="bottom"/>
          </w:tcPr>
          <w:p>
            <w:pPr>
              <w:jc w:val="right"/>
              <w:spacing w:after="0"/>
              <w:rPr>
                <w:sz w:val="20"/>
                <w:szCs w:val="20"/>
                <w:color w:val="auto"/>
              </w:rPr>
            </w:pPr>
            <w:r>
              <w:rPr>
                <w:rFonts w:ascii="Arial" w:cs="Arial" w:eastAsia="Arial" w:hAnsi="Arial"/>
                <w:sz w:val="16"/>
                <w:szCs w:val="16"/>
                <w:color w:val="auto"/>
              </w:rPr>
              <w:t>73,550</w:t>
            </w:r>
          </w:p>
        </w:tc>
        <w:tc>
          <w:tcPr>
            <w:tcW w:w="40" w:type="dxa"/>
            <w:vAlign w:val="bottom"/>
          </w:tcPr>
          <w:p>
            <w:pPr>
              <w:spacing w:after="0"/>
              <w:rPr>
                <w:sz w:val="18"/>
                <w:szCs w:val="18"/>
                <w:color w:val="auto"/>
              </w:rPr>
            </w:pPr>
          </w:p>
        </w:tc>
      </w:tr>
      <w:tr>
        <w:trPr>
          <w:trHeight w:val="210"/>
        </w:trPr>
        <w:tc>
          <w:tcPr>
            <w:tcW w:w="140" w:type="dxa"/>
            <w:vAlign w:val="bottom"/>
            <w:tcBorders>
              <w:right w:val="single" w:sz="8" w:color="CEFFE7"/>
            </w:tcBorders>
          </w:tcPr>
          <w:p>
            <w:pPr>
              <w:spacing w:after="0"/>
              <w:rPr>
                <w:sz w:val="18"/>
                <w:szCs w:val="18"/>
                <w:color w:val="auto"/>
              </w:rPr>
            </w:pPr>
          </w:p>
        </w:tc>
        <w:tc>
          <w:tcPr>
            <w:tcW w:w="4140" w:type="dxa"/>
            <w:vAlign w:val="bottom"/>
            <w:tcBorders>
              <w:top w:val="single" w:sz="8" w:color="CEFFE7"/>
            </w:tcBorders>
            <w:shd w:val="clear" w:color="auto" w:fill="CEFFE7"/>
          </w:tcPr>
          <w:p>
            <w:pPr>
              <w:ind w:left="80"/>
              <w:spacing w:after="0"/>
              <w:rPr>
                <w:sz w:val="20"/>
                <w:szCs w:val="20"/>
                <w:color w:val="auto"/>
              </w:rPr>
            </w:pPr>
            <w:r>
              <w:rPr>
                <w:rFonts w:ascii="Arial" w:cs="Arial" w:eastAsia="Arial" w:hAnsi="Arial"/>
                <w:sz w:val="16"/>
                <w:szCs w:val="16"/>
                <w:color w:val="auto"/>
              </w:rPr>
              <w:t>Total Generated</w:t>
            </w:r>
          </w:p>
        </w:tc>
        <w:tc>
          <w:tcPr>
            <w:tcW w:w="980" w:type="dxa"/>
            <w:vAlign w:val="bottom"/>
            <w:tcBorders>
              <w:top w:val="single" w:sz="8" w:color="CEFFE7"/>
            </w:tcBorders>
            <w:shd w:val="clear" w:color="auto" w:fill="CEFFE7"/>
          </w:tcPr>
          <w:p>
            <w:pPr>
              <w:spacing w:after="0"/>
              <w:rPr>
                <w:sz w:val="18"/>
                <w:szCs w:val="18"/>
                <w:color w:val="auto"/>
              </w:rPr>
            </w:pPr>
          </w:p>
        </w:tc>
        <w:tc>
          <w:tcPr>
            <w:tcW w:w="2000" w:type="dxa"/>
            <w:vAlign w:val="bottom"/>
            <w:tcBorders>
              <w:top w:val="single" w:sz="8" w:color="CEFFE7"/>
            </w:tcBorders>
            <w:shd w:val="clear" w:color="auto" w:fill="CEFFE7"/>
          </w:tcPr>
          <w:p>
            <w:pPr>
              <w:spacing w:after="0"/>
              <w:rPr>
                <w:sz w:val="18"/>
                <w:szCs w:val="18"/>
                <w:color w:val="auto"/>
              </w:rPr>
            </w:pPr>
          </w:p>
        </w:tc>
        <w:tc>
          <w:tcPr>
            <w:tcW w:w="320" w:type="dxa"/>
            <w:vAlign w:val="bottom"/>
            <w:tcBorders>
              <w:top w:val="single" w:sz="8" w:color="CEFFE7"/>
            </w:tcBorders>
            <w:shd w:val="clear" w:color="auto" w:fill="CEFFE7"/>
          </w:tcPr>
          <w:p>
            <w:pPr>
              <w:spacing w:after="0"/>
              <w:rPr>
                <w:sz w:val="18"/>
                <w:szCs w:val="18"/>
                <w:color w:val="auto"/>
              </w:rPr>
            </w:pPr>
          </w:p>
        </w:tc>
        <w:tc>
          <w:tcPr>
            <w:tcW w:w="2160" w:type="dxa"/>
            <w:vAlign w:val="bottom"/>
            <w:tcBorders>
              <w:top w:val="single" w:sz="8" w:color="auto"/>
              <w:bottom w:val="single" w:sz="8" w:color="auto"/>
            </w:tcBorders>
            <w:gridSpan w:val="2"/>
            <w:shd w:val="clear" w:color="auto" w:fill="CEFFE7"/>
          </w:tcPr>
          <w:p>
            <w:pPr>
              <w:jc w:val="right"/>
              <w:ind w:right="439"/>
              <w:spacing w:after="0"/>
              <w:rPr>
                <w:sz w:val="20"/>
                <w:szCs w:val="20"/>
                <w:color w:val="auto"/>
              </w:rPr>
            </w:pPr>
            <w:r>
              <w:rPr>
                <w:rFonts w:ascii="Arial" w:cs="Arial" w:eastAsia="Arial" w:hAnsi="Arial"/>
                <w:sz w:val="16"/>
                <w:szCs w:val="16"/>
                <w:color w:val="auto"/>
              </w:rPr>
              <w:t>677,378</w:t>
            </w:r>
          </w:p>
        </w:tc>
        <w:tc>
          <w:tcPr>
            <w:tcW w:w="1240" w:type="dxa"/>
            <w:vAlign w:val="bottom"/>
            <w:tcBorders>
              <w:top w:val="single" w:sz="8" w:color="auto"/>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789,123</w:t>
            </w:r>
          </w:p>
        </w:tc>
        <w:tc>
          <w:tcPr>
            <w:tcW w:w="40" w:type="dxa"/>
            <w:vAlign w:val="bottom"/>
            <w:tcBorders>
              <w:top w:val="single" w:sz="8" w:color="auto"/>
              <w:bottom w:val="single" w:sz="8" w:color="auto"/>
            </w:tcBorders>
            <w:shd w:val="clear" w:color="auto" w:fill="CEFFE7"/>
          </w:tcPr>
          <w:p>
            <w:pPr>
              <w:spacing w:after="0"/>
              <w:rPr>
                <w:sz w:val="18"/>
                <w:szCs w:val="18"/>
                <w:color w:val="auto"/>
              </w:rPr>
            </w:pPr>
          </w:p>
        </w:tc>
      </w:tr>
      <w:tr>
        <w:trPr>
          <w:trHeight w:val="209"/>
        </w:trPr>
        <w:tc>
          <w:tcPr>
            <w:tcW w:w="4280" w:type="dxa"/>
            <w:vAlign w:val="bottom"/>
            <w:gridSpan w:val="2"/>
          </w:tcPr>
          <w:p>
            <w:pPr>
              <w:spacing w:after="0"/>
              <w:rPr>
                <w:sz w:val="20"/>
                <w:szCs w:val="20"/>
                <w:color w:val="auto"/>
              </w:rPr>
            </w:pPr>
            <w:r>
              <w:rPr>
                <w:rFonts w:ascii="Arial" w:cs="Arial" w:eastAsia="Arial" w:hAnsi="Arial"/>
                <w:sz w:val="16"/>
                <w:szCs w:val="16"/>
                <w:color w:val="auto"/>
              </w:rPr>
              <w:t>rchased</w:t>
            </w:r>
          </w:p>
        </w:tc>
        <w:tc>
          <w:tcPr>
            <w:tcW w:w="9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60" w:type="dxa"/>
            <w:vAlign w:val="bottom"/>
            <w:tcBorders>
              <w:bottom w:val="single" w:sz="8" w:color="auto"/>
            </w:tcBorders>
            <w:gridSpan w:val="2"/>
          </w:tcPr>
          <w:p>
            <w:pPr>
              <w:jc w:val="right"/>
              <w:ind w:right="439"/>
              <w:spacing w:after="0"/>
              <w:rPr>
                <w:sz w:val="20"/>
                <w:szCs w:val="20"/>
                <w:color w:val="auto"/>
              </w:rPr>
            </w:pPr>
            <w:r>
              <w:rPr>
                <w:rFonts w:ascii="Arial" w:cs="Arial" w:eastAsia="Arial" w:hAnsi="Arial"/>
                <w:sz w:val="16"/>
                <w:szCs w:val="16"/>
                <w:color w:val="auto"/>
              </w:rPr>
              <w:t>1,078,649</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963,800</w:t>
            </w:r>
          </w:p>
        </w:tc>
        <w:tc>
          <w:tcPr>
            <w:tcW w:w="40" w:type="dxa"/>
            <w:vAlign w:val="bottom"/>
            <w:tcBorders>
              <w:bottom w:val="single" w:sz="8" w:color="auto"/>
            </w:tcBorders>
          </w:tcPr>
          <w:p>
            <w:pPr>
              <w:spacing w:after="0"/>
              <w:rPr>
                <w:sz w:val="18"/>
                <w:szCs w:val="18"/>
                <w:color w:val="auto"/>
              </w:rPr>
            </w:pPr>
          </w:p>
        </w:tc>
      </w:tr>
      <w:tr>
        <w:trPr>
          <w:trHeight w:val="212"/>
        </w:trPr>
        <w:tc>
          <w:tcPr>
            <w:tcW w:w="4280" w:type="dxa"/>
            <w:vAlign w:val="bottom"/>
            <w:gridSpan w:val="2"/>
          </w:tcPr>
          <w:p>
            <w:pPr>
              <w:ind w:left="20"/>
              <w:spacing w:after="0"/>
              <w:rPr>
                <w:sz w:val="20"/>
                <w:szCs w:val="20"/>
                <w:color w:val="auto"/>
              </w:rPr>
            </w:pPr>
            <w:r>
              <w:rPr>
                <w:rFonts w:ascii="Arial" w:cs="Arial" w:eastAsia="Arial" w:hAnsi="Arial"/>
                <w:sz w:val="16"/>
                <w:szCs w:val="16"/>
                <w:color w:val="auto"/>
              </w:rPr>
              <w:t>al Generated and Purchased</w:t>
            </w:r>
          </w:p>
        </w:tc>
        <w:tc>
          <w:tcPr>
            <w:tcW w:w="9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60" w:type="dxa"/>
            <w:vAlign w:val="bottom"/>
            <w:tcBorders>
              <w:bottom w:val="single" w:sz="8" w:color="auto"/>
            </w:tcBorders>
            <w:gridSpan w:val="2"/>
          </w:tcPr>
          <w:p>
            <w:pPr>
              <w:jc w:val="right"/>
              <w:ind w:right="439"/>
              <w:spacing w:after="0"/>
              <w:rPr>
                <w:sz w:val="20"/>
                <w:szCs w:val="20"/>
                <w:color w:val="auto"/>
              </w:rPr>
            </w:pPr>
            <w:r>
              <w:rPr>
                <w:rFonts w:ascii="Arial" w:cs="Arial" w:eastAsia="Arial" w:hAnsi="Arial"/>
                <w:sz w:val="16"/>
                <w:szCs w:val="16"/>
                <w:color w:val="auto"/>
              </w:rPr>
              <w:t>1,756,027</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1,752,923</w:t>
            </w:r>
          </w:p>
        </w:tc>
        <w:tc>
          <w:tcPr>
            <w:tcW w:w="40" w:type="dxa"/>
            <w:vAlign w:val="bottom"/>
            <w:tcBorders>
              <w:bottom w:val="single" w:sz="8" w:color="auto"/>
            </w:tcBorders>
          </w:tcPr>
          <w:p>
            <w:pPr>
              <w:spacing w:after="0"/>
              <w:rPr>
                <w:sz w:val="18"/>
                <w:szCs w:val="18"/>
                <w:color w:val="auto"/>
              </w:rPr>
            </w:pPr>
          </w:p>
        </w:tc>
      </w:tr>
      <w:tr>
        <w:trPr>
          <w:trHeight w:val="21"/>
        </w:trPr>
        <w:tc>
          <w:tcPr>
            <w:tcW w:w="14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30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r>
      <w:tr>
        <w:trPr>
          <w:trHeight w:val="616"/>
        </w:trPr>
        <w:tc>
          <w:tcPr>
            <w:tcW w:w="14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340" w:type="dxa"/>
            <w:vAlign w:val="bottom"/>
            <w:gridSpan w:val="3"/>
          </w:tcPr>
          <w:p>
            <w:pPr>
              <w:ind w:left="700"/>
              <w:spacing w:after="0"/>
              <w:rPr>
                <w:sz w:val="20"/>
                <w:szCs w:val="20"/>
                <w:color w:val="auto"/>
              </w:rPr>
            </w:pPr>
            <w:r>
              <w:rPr>
                <w:rFonts w:ascii="Arial" w:cs="Arial" w:eastAsia="Arial" w:hAnsi="Arial"/>
                <w:sz w:val="16"/>
                <w:szCs w:val="16"/>
                <w:color w:val="auto"/>
              </w:rPr>
              <w:t>Three Months Ended</w:t>
            </w:r>
          </w:p>
        </w:tc>
      </w:tr>
      <w:tr>
        <w:trPr>
          <w:trHeight w:val="195"/>
        </w:trPr>
        <w:tc>
          <w:tcPr>
            <w:tcW w:w="14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60" w:type="dxa"/>
            <w:vAlign w:val="bottom"/>
          </w:tcPr>
          <w:p>
            <w:pPr>
              <w:jc w:val="right"/>
              <w:spacing w:after="0"/>
              <w:rPr>
                <w:sz w:val="20"/>
                <w:szCs w:val="20"/>
                <w:color w:val="auto"/>
              </w:rPr>
            </w:pPr>
            <w:r>
              <w:rPr>
                <w:rFonts w:ascii="Arial" w:cs="Arial" w:eastAsia="Arial" w:hAnsi="Arial"/>
                <w:sz w:val="16"/>
                <w:szCs w:val="16"/>
                <w:color w:val="auto"/>
              </w:rPr>
              <w:t>March 31,</w:t>
            </w:r>
          </w:p>
        </w:tc>
        <w:tc>
          <w:tcPr>
            <w:tcW w:w="124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19"/>
        </w:trPr>
        <w:tc>
          <w:tcPr>
            <w:tcW w:w="4280" w:type="dxa"/>
            <w:vAlign w:val="bottom"/>
            <w:gridSpan w:val="2"/>
          </w:tcPr>
          <w:p>
            <w:pPr>
              <w:ind w:left="20"/>
              <w:spacing w:after="0"/>
              <w:rPr>
                <w:sz w:val="20"/>
                <w:szCs w:val="20"/>
                <w:color w:val="auto"/>
              </w:rPr>
            </w:pPr>
            <w:r>
              <w:rPr>
                <w:rFonts w:ascii="Arial" w:cs="Arial" w:eastAsia="Arial" w:hAnsi="Arial"/>
                <w:sz w:val="16"/>
                <w:szCs w:val="16"/>
                <w:color w:val="auto"/>
              </w:rPr>
              <w:t>antities Generated and Purchased (MWh)</w:t>
            </w:r>
          </w:p>
        </w:tc>
        <w:tc>
          <w:tcPr>
            <w:tcW w:w="9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160" w:type="dxa"/>
            <w:vAlign w:val="bottom"/>
            <w:gridSpan w:val="2"/>
          </w:tcPr>
          <w:p>
            <w:pPr>
              <w:jc w:val="right"/>
              <w:ind w:right="1199"/>
              <w:spacing w:after="0"/>
              <w:rPr>
                <w:sz w:val="20"/>
                <w:szCs w:val="20"/>
                <w:color w:val="auto"/>
              </w:rPr>
            </w:pPr>
            <w:r>
              <w:rPr>
                <w:rFonts w:ascii="Arial" w:cs="Arial" w:eastAsia="Arial" w:hAnsi="Arial"/>
                <w:sz w:val="16"/>
                <w:szCs w:val="16"/>
                <w:color w:val="auto"/>
              </w:rPr>
              <w:t>2021</w:t>
            </w:r>
          </w:p>
        </w:tc>
        <w:tc>
          <w:tcPr>
            <w:tcW w:w="1240" w:type="dxa"/>
            <w:vAlign w:val="bottom"/>
          </w:tcPr>
          <w:p>
            <w:pPr>
              <w:jc w:val="right"/>
              <w:ind w:right="719"/>
              <w:spacing w:after="0"/>
              <w:rPr>
                <w:sz w:val="20"/>
                <w:szCs w:val="20"/>
                <w:color w:val="auto"/>
              </w:rPr>
            </w:pPr>
            <w:r>
              <w:rPr>
                <w:rFonts w:ascii="Arial" w:cs="Arial" w:eastAsia="Arial" w:hAnsi="Arial"/>
                <w:sz w:val="16"/>
                <w:szCs w:val="16"/>
                <w:color w:val="auto"/>
              </w:rPr>
              <w:t>2020</w:t>
            </w:r>
          </w:p>
        </w:tc>
        <w:tc>
          <w:tcPr>
            <w:tcW w:w="40" w:type="dxa"/>
            <w:vAlign w:val="bottom"/>
          </w:tcPr>
          <w:p>
            <w:pPr>
              <w:spacing w:after="0"/>
              <w:rPr>
                <w:sz w:val="19"/>
                <w:szCs w:val="19"/>
                <w:color w:val="auto"/>
              </w:rPr>
            </w:pPr>
          </w:p>
        </w:tc>
      </w:tr>
      <w:tr>
        <w:trPr>
          <w:trHeight w:val="20"/>
        </w:trPr>
        <w:tc>
          <w:tcPr>
            <w:tcW w:w="140" w:type="dxa"/>
            <w:vAlign w:val="bottom"/>
            <w:tcBorders>
              <w:right w:val="single" w:sz="8" w:color="auto"/>
            </w:tcBorders>
          </w:tcPr>
          <w:p>
            <w:pPr>
              <w:spacing w:after="0" w:line="20" w:lineRule="exact"/>
              <w:rPr>
                <w:sz w:val="1"/>
                <w:szCs w:val="1"/>
                <w:color w:val="auto"/>
              </w:rPr>
            </w:pPr>
          </w:p>
        </w:tc>
        <w:tc>
          <w:tcPr>
            <w:tcW w:w="4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r>
      <w:tr>
        <w:trPr>
          <w:trHeight w:val="209"/>
        </w:trPr>
        <w:tc>
          <w:tcPr>
            <w:tcW w:w="4280" w:type="dxa"/>
            <w:vAlign w:val="bottom"/>
            <w:gridSpan w:val="2"/>
          </w:tcPr>
          <w:p>
            <w:pPr>
              <w:ind w:left="20"/>
              <w:spacing w:after="0"/>
              <w:rPr>
                <w:sz w:val="20"/>
                <w:szCs w:val="20"/>
                <w:color w:val="auto"/>
              </w:rPr>
            </w:pPr>
            <w:r>
              <w:rPr>
                <w:rFonts w:ascii="Arial" w:cs="Arial" w:eastAsia="Arial" w:hAnsi="Arial"/>
                <w:sz w:val="16"/>
                <w:szCs w:val="16"/>
                <w:color w:val="auto"/>
              </w:rPr>
              <w:t>nerated:</w:t>
            </w:r>
          </w:p>
        </w:tc>
        <w:tc>
          <w:tcPr>
            <w:tcW w:w="9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9"/>
        </w:trPr>
        <w:tc>
          <w:tcPr>
            <w:tcW w:w="140" w:type="dxa"/>
            <w:vAlign w:val="bottom"/>
            <w:tcBorders>
              <w:right w:val="single" w:sz="8" w:color="CEFFE7"/>
            </w:tcBorders>
          </w:tcPr>
          <w:p>
            <w:pPr>
              <w:spacing w:after="0"/>
              <w:rPr>
                <w:sz w:val="19"/>
                <w:szCs w:val="19"/>
                <w:color w:val="auto"/>
              </w:rPr>
            </w:pPr>
          </w:p>
        </w:tc>
        <w:tc>
          <w:tcPr>
            <w:tcW w:w="4140" w:type="dxa"/>
            <w:vAlign w:val="bottom"/>
            <w:shd w:val="clear" w:color="auto" w:fill="CEFFE7"/>
          </w:tcPr>
          <w:p>
            <w:pPr>
              <w:spacing w:after="0"/>
              <w:rPr>
                <w:sz w:val="20"/>
                <w:szCs w:val="20"/>
                <w:color w:val="auto"/>
              </w:rPr>
            </w:pPr>
            <w:r>
              <w:rPr>
                <w:rFonts w:ascii="Arial" w:cs="Arial" w:eastAsia="Arial" w:hAnsi="Arial"/>
                <w:sz w:val="16"/>
                <w:szCs w:val="16"/>
                <w:color w:val="auto"/>
              </w:rPr>
              <w:t>Colorado Electric</w:t>
            </w:r>
          </w:p>
        </w:tc>
        <w:tc>
          <w:tcPr>
            <w:tcW w:w="980" w:type="dxa"/>
            <w:vAlign w:val="bottom"/>
            <w:shd w:val="clear" w:color="auto" w:fill="CEFFE7"/>
          </w:tcPr>
          <w:p>
            <w:pPr>
              <w:spacing w:after="0"/>
              <w:rPr>
                <w:sz w:val="19"/>
                <w:szCs w:val="19"/>
                <w:color w:val="auto"/>
              </w:rPr>
            </w:pPr>
          </w:p>
        </w:tc>
        <w:tc>
          <w:tcPr>
            <w:tcW w:w="2000" w:type="dxa"/>
            <w:vAlign w:val="bottom"/>
            <w:shd w:val="clear" w:color="auto" w:fill="CEFFE7"/>
          </w:tcPr>
          <w:p>
            <w:pPr>
              <w:spacing w:after="0"/>
              <w:rPr>
                <w:sz w:val="19"/>
                <w:szCs w:val="19"/>
                <w:color w:val="auto"/>
              </w:rPr>
            </w:pPr>
          </w:p>
        </w:tc>
        <w:tc>
          <w:tcPr>
            <w:tcW w:w="320" w:type="dxa"/>
            <w:vAlign w:val="bottom"/>
            <w:shd w:val="clear" w:color="auto" w:fill="CEFFE7"/>
          </w:tcPr>
          <w:p>
            <w:pPr>
              <w:spacing w:after="0"/>
              <w:rPr>
                <w:sz w:val="19"/>
                <w:szCs w:val="19"/>
                <w:color w:val="auto"/>
              </w:rPr>
            </w:pPr>
          </w:p>
        </w:tc>
        <w:tc>
          <w:tcPr>
            <w:tcW w:w="2160" w:type="dxa"/>
            <w:vAlign w:val="bottom"/>
            <w:gridSpan w:val="2"/>
            <w:shd w:val="clear" w:color="auto" w:fill="CEFFE7"/>
          </w:tcPr>
          <w:p>
            <w:pPr>
              <w:jc w:val="right"/>
              <w:ind w:right="439"/>
              <w:spacing w:after="0"/>
              <w:rPr>
                <w:sz w:val="20"/>
                <w:szCs w:val="20"/>
                <w:color w:val="auto"/>
              </w:rPr>
            </w:pPr>
            <w:r>
              <w:rPr>
                <w:rFonts w:ascii="Arial" w:cs="Arial" w:eastAsia="Arial" w:hAnsi="Arial"/>
                <w:sz w:val="16"/>
                <w:szCs w:val="16"/>
                <w:color w:val="auto"/>
              </w:rPr>
              <w:t>90,256</w:t>
            </w:r>
          </w:p>
        </w:tc>
        <w:tc>
          <w:tcPr>
            <w:tcW w:w="12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94,051</w:t>
            </w:r>
          </w:p>
        </w:tc>
        <w:tc>
          <w:tcPr>
            <w:tcW w:w="40" w:type="dxa"/>
            <w:vAlign w:val="bottom"/>
            <w:shd w:val="clear" w:color="auto" w:fill="CEFFE7"/>
          </w:tcPr>
          <w:p>
            <w:pPr>
              <w:spacing w:after="0"/>
              <w:rPr>
                <w:sz w:val="19"/>
                <w:szCs w:val="19"/>
                <w:color w:val="auto"/>
              </w:rPr>
            </w:pPr>
          </w:p>
        </w:tc>
      </w:tr>
      <w:tr>
        <w:trPr>
          <w:trHeight w:val="213"/>
        </w:trPr>
        <w:tc>
          <w:tcPr>
            <w:tcW w:w="4280" w:type="dxa"/>
            <w:vAlign w:val="bottom"/>
            <w:gridSpan w:val="2"/>
          </w:tcPr>
          <w:p>
            <w:pPr>
              <w:spacing w:after="0"/>
              <w:rPr>
                <w:sz w:val="20"/>
                <w:szCs w:val="20"/>
                <w:color w:val="auto"/>
              </w:rPr>
            </w:pPr>
            <w:r>
              <w:rPr>
                <w:rFonts w:ascii="Arial" w:cs="Arial" w:eastAsia="Arial" w:hAnsi="Arial"/>
                <w:sz w:val="16"/>
                <w:szCs w:val="16"/>
                <w:color w:val="auto"/>
              </w:rPr>
              <w:t>South Dakota Electric</w:t>
            </w:r>
          </w:p>
        </w:tc>
        <w:tc>
          <w:tcPr>
            <w:tcW w:w="9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60" w:type="dxa"/>
            <w:vAlign w:val="bottom"/>
            <w:gridSpan w:val="2"/>
          </w:tcPr>
          <w:p>
            <w:pPr>
              <w:jc w:val="right"/>
              <w:ind w:right="439"/>
              <w:spacing w:after="0"/>
              <w:rPr>
                <w:sz w:val="20"/>
                <w:szCs w:val="20"/>
                <w:color w:val="auto"/>
              </w:rPr>
            </w:pPr>
            <w:r>
              <w:rPr>
                <w:rFonts w:ascii="Arial" w:cs="Arial" w:eastAsia="Arial" w:hAnsi="Arial"/>
                <w:sz w:val="16"/>
                <w:szCs w:val="16"/>
                <w:color w:val="auto"/>
              </w:rPr>
              <w:t>434,322</w:t>
            </w:r>
          </w:p>
        </w:tc>
        <w:tc>
          <w:tcPr>
            <w:tcW w:w="1240" w:type="dxa"/>
            <w:vAlign w:val="bottom"/>
          </w:tcPr>
          <w:p>
            <w:pPr>
              <w:jc w:val="right"/>
              <w:spacing w:after="0"/>
              <w:rPr>
                <w:sz w:val="20"/>
                <w:szCs w:val="20"/>
                <w:color w:val="auto"/>
              </w:rPr>
            </w:pPr>
            <w:r>
              <w:rPr>
                <w:rFonts w:ascii="Arial" w:cs="Arial" w:eastAsia="Arial" w:hAnsi="Arial"/>
                <w:sz w:val="16"/>
                <w:szCs w:val="16"/>
                <w:color w:val="auto"/>
              </w:rPr>
              <w:t>472,966</w:t>
            </w:r>
          </w:p>
        </w:tc>
        <w:tc>
          <w:tcPr>
            <w:tcW w:w="40" w:type="dxa"/>
            <w:vAlign w:val="bottom"/>
          </w:tcPr>
          <w:p>
            <w:pPr>
              <w:spacing w:after="0"/>
              <w:rPr>
                <w:sz w:val="18"/>
                <w:szCs w:val="18"/>
                <w:color w:val="auto"/>
              </w:rPr>
            </w:pPr>
          </w:p>
        </w:tc>
      </w:tr>
      <w:tr>
        <w:trPr>
          <w:trHeight w:val="216"/>
        </w:trPr>
        <w:tc>
          <w:tcPr>
            <w:tcW w:w="140" w:type="dxa"/>
            <w:vAlign w:val="bottom"/>
            <w:tcBorders>
              <w:right w:val="single" w:sz="8" w:color="CEFFE7"/>
            </w:tcBorders>
          </w:tcPr>
          <w:p>
            <w:pPr>
              <w:spacing w:after="0"/>
              <w:rPr>
                <w:sz w:val="18"/>
                <w:szCs w:val="18"/>
                <w:color w:val="auto"/>
              </w:rPr>
            </w:pPr>
          </w:p>
        </w:tc>
        <w:tc>
          <w:tcPr>
            <w:tcW w:w="4140" w:type="dxa"/>
            <w:vAlign w:val="bottom"/>
            <w:shd w:val="clear" w:color="auto" w:fill="CEFFE7"/>
          </w:tcPr>
          <w:p>
            <w:pPr>
              <w:spacing w:after="0"/>
              <w:rPr>
                <w:sz w:val="20"/>
                <w:szCs w:val="20"/>
                <w:color w:val="auto"/>
              </w:rPr>
            </w:pPr>
            <w:r>
              <w:rPr>
                <w:rFonts w:ascii="Arial" w:cs="Arial" w:eastAsia="Arial" w:hAnsi="Arial"/>
                <w:sz w:val="16"/>
                <w:szCs w:val="16"/>
                <w:color w:val="auto"/>
              </w:rPr>
              <w:t>Wyoming Electric</w:t>
            </w:r>
          </w:p>
        </w:tc>
        <w:tc>
          <w:tcPr>
            <w:tcW w:w="980" w:type="dxa"/>
            <w:vAlign w:val="bottom"/>
            <w:shd w:val="clear" w:color="auto" w:fill="CEFFE7"/>
          </w:tcPr>
          <w:p>
            <w:pPr>
              <w:spacing w:after="0"/>
              <w:rPr>
                <w:sz w:val="18"/>
                <w:szCs w:val="18"/>
                <w:color w:val="auto"/>
              </w:rPr>
            </w:pPr>
          </w:p>
        </w:tc>
        <w:tc>
          <w:tcPr>
            <w:tcW w:w="2000" w:type="dxa"/>
            <w:vAlign w:val="bottom"/>
            <w:shd w:val="clear" w:color="auto" w:fill="CEFFE7"/>
          </w:tcPr>
          <w:p>
            <w:pPr>
              <w:spacing w:after="0"/>
              <w:rPr>
                <w:sz w:val="18"/>
                <w:szCs w:val="18"/>
                <w:color w:val="auto"/>
              </w:rPr>
            </w:pPr>
          </w:p>
        </w:tc>
        <w:tc>
          <w:tcPr>
            <w:tcW w:w="320" w:type="dxa"/>
            <w:vAlign w:val="bottom"/>
            <w:shd w:val="clear" w:color="auto" w:fill="CEFFE7"/>
          </w:tcPr>
          <w:p>
            <w:pPr>
              <w:spacing w:after="0"/>
              <w:rPr>
                <w:sz w:val="18"/>
                <w:szCs w:val="18"/>
                <w:color w:val="auto"/>
              </w:rPr>
            </w:pPr>
          </w:p>
        </w:tc>
        <w:tc>
          <w:tcPr>
            <w:tcW w:w="2160" w:type="dxa"/>
            <w:vAlign w:val="bottom"/>
            <w:tcBorders>
              <w:bottom w:val="single" w:sz="8" w:color="auto"/>
            </w:tcBorders>
            <w:gridSpan w:val="2"/>
            <w:shd w:val="clear" w:color="auto" w:fill="CEFFE7"/>
          </w:tcPr>
          <w:p>
            <w:pPr>
              <w:jc w:val="right"/>
              <w:ind w:right="439"/>
              <w:spacing w:after="0"/>
              <w:rPr>
                <w:sz w:val="20"/>
                <w:szCs w:val="20"/>
                <w:color w:val="auto"/>
              </w:rPr>
            </w:pPr>
            <w:r>
              <w:rPr>
                <w:rFonts w:ascii="Arial" w:cs="Arial" w:eastAsia="Arial" w:hAnsi="Arial"/>
                <w:sz w:val="16"/>
                <w:szCs w:val="16"/>
                <w:color w:val="auto"/>
              </w:rPr>
              <w:t>152,800</w:t>
            </w:r>
          </w:p>
        </w:tc>
        <w:tc>
          <w:tcPr>
            <w:tcW w:w="12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222,106</w:t>
            </w:r>
          </w:p>
        </w:tc>
        <w:tc>
          <w:tcPr>
            <w:tcW w:w="40" w:type="dxa"/>
            <w:vAlign w:val="bottom"/>
            <w:tcBorders>
              <w:bottom w:val="single" w:sz="8" w:color="auto"/>
            </w:tcBorders>
            <w:shd w:val="clear" w:color="auto" w:fill="CEFFE7"/>
          </w:tcPr>
          <w:p>
            <w:pPr>
              <w:spacing w:after="0"/>
              <w:rPr>
                <w:sz w:val="18"/>
                <w:szCs w:val="18"/>
                <w:color w:val="auto"/>
              </w:rPr>
            </w:pPr>
          </w:p>
        </w:tc>
      </w:tr>
      <w:tr>
        <w:trPr>
          <w:trHeight w:val="209"/>
        </w:trPr>
        <w:tc>
          <w:tcPr>
            <w:tcW w:w="140" w:type="dxa"/>
            <w:vAlign w:val="bottom"/>
          </w:tcPr>
          <w:p>
            <w:pPr>
              <w:spacing w:after="0"/>
              <w:rPr>
                <w:sz w:val="18"/>
                <w:szCs w:val="18"/>
                <w:color w:val="auto"/>
              </w:rPr>
            </w:pPr>
          </w:p>
        </w:tc>
        <w:tc>
          <w:tcPr>
            <w:tcW w:w="4140" w:type="dxa"/>
            <w:vAlign w:val="bottom"/>
          </w:tcPr>
          <w:p>
            <w:pPr>
              <w:ind w:left="100"/>
              <w:spacing w:after="0"/>
              <w:rPr>
                <w:sz w:val="20"/>
                <w:szCs w:val="20"/>
                <w:color w:val="auto"/>
              </w:rPr>
            </w:pPr>
            <w:r>
              <w:rPr>
                <w:rFonts w:ascii="Arial" w:cs="Arial" w:eastAsia="Arial" w:hAnsi="Arial"/>
                <w:sz w:val="16"/>
                <w:szCs w:val="16"/>
                <w:color w:val="auto"/>
              </w:rPr>
              <w:t>Total Generated</w:t>
            </w:r>
          </w:p>
        </w:tc>
        <w:tc>
          <w:tcPr>
            <w:tcW w:w="9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60" w:type="dxa"/>
            <w:vAlign w:val="bottom"/>
            <w:gridSpan w:val="2"/>
          </w:tcPr>
          <w:p>
            <w:pPr>
              <w:jc w:val="right"/>
              <w:ind w:right="439"/>
              <w:spacing w:after="0"/>
              <w:rPr>
                <w:sz w:val="20"/>
                <w:szCs w:val="20"/>
                <w:color w:val="auto"/>
              </w:rPr>
            </w:pPr>
            <w:r>
              <w:rPr>
                <w:rFonts w:ascii="Arial" w:cs="Arial" w:eastAsia="Arial" w:hAnsi="Arial"/>
                <w:sz w:val="16"/>
                <w:szCs w:val="16"/>
                <w:color w:val="auto"/>
              </w:rPr>
              <w:t>677,378</w:t>
            </w:r>
          </w:p>
        </w:tc>
        <w:tc>
          <w:tcPr>
            <w:tcW w:w="1240" w:type="dxa"/>
            <w:vAlign w:val="bottom"/>
          </w:tcPr>
          <w:p>
            <w:pPr>
              <w:jc w:val="right"/>
              <w:spacing w:after="0"/>
              <w:rPr>
                <w:sz w:val="20"/>
                <w:szCs w:val="20"/>
                <w:color w:val="auto"/>
              </w:rPr>
            </w:pPr>
            <w:r>
              <w:rPr>
                <w:rFonts w:ascii="Arial" w:cs="Arial" w:eastAsia="Arial" w:hAnsi="Arial"/>
                <w:sz w:val="16"/>
                <w:szCs w:val="16"/>
                <w:color w:val="auto"/>
              </w:rPr>
              <w:t>789,123</w:t>
            </w:r>
          </w:p>
        </w:tc>
        <w:tc>
          <w:tcPr>
            <w:tcW w:w="40" w:type="dxa"/>
            <w:vAlign w:val="bottom"/>
          </w:tcPr>
          <w:p>
            <w:pPr>
              <w:spacing w:after="0"/>
              <w:rPr>
                <w:sz w:val="18"/>
                <w:szCs w:val="18"/>
                <w:color w:val="auto"/>
              </w:rPr>
            </w:pPr>
          </w:p>
        </w:tc>
      </w:tr>
      <w:tr>
        <w:trPr>
          <w:trHeight w:val="219"/>
        </w:trPr>
        <w:tc>
          <w:tcPr>
            <w:tcW w:w="140" w:type="dxa"/>
            <w:vAlign w:val="bottom"/>
            <w:tcBorders>
              <w:right w:val="single" w:sz="8" w:color="CEFFE7"/>
            </w:tcBorders>
          </w:tcPr>
          <w:p>
            <w:pPr>
              <w:spacing w:after="0"/>
              <w:rPr>
                <w:sz w:val="19"/>
                <w:szCs w:val="19"/>
                <w:color w:val="auto"/>
              </w:rPr>
            </w:pPr>
          </w:p>
        </w:tc>
        <w:tc>
          <w:tcPr>
            <w:tcW w:w="4140" w:type="dxa"/>
            <w:vAlign w:val="bottom"/>
            <w:shd w:val="clear" w:color="auto" w:fill="CEFFE7"/>
          </w:tcPr>
          <w:p>
            <w:pPr>
              <w:spacing w:after="0"/>
              <w:rPr>
                <w:sz w:val="20"/>
                <w:szCs w:val="20"/>
                <w:color w:val="auto"/>
              </w:rPr>
            </w:pPr>
            <w:r>
              <w:rPr>
                <w:rFonts w:ascii="Arial" w:cs="Arial" w:eastAsia="Arial" w:hAnsi="Arial"/>
                <w:sz w:val="16"/>
                <w:szCs w:val="16"/>
                <w:color w:val="auto"/>
              </w:rPr>
              <w:t>rchased:</w:t>
            </w:r>
          </w:p>
        </w:tc>
        <w:tc>
          <w:tcPr>
            <w:tcW w:w="980" w:type="dxa"/>
            <w:vAlign w:val="bottom"/>
            <w:shd w:val="clear" w:color="auto" w:fill="CEFFE7"/>
          </w:tcPr>
          <w:p>
            <w:pPr>
              <w:spacing w:after="0"/>
              <w:rPr>
                <w:sz w:val="19"/>
                <w:szCs w:val="19"/>
                <w:color w:val="auto"/>
              </w:rPr>
            </w:pPr>
          </w:p>
        </w:tc>
        <w:tc>
          <w:tcPr>
            <w:tcW w:w="2000" w:type="dxa"/>
            <w:vAlign w:val="bottom"/>
            <w:shd w:val="clear" w:color="auto" w:fill="CEFFE7"/>
          </w:tcPr>
          <w:p>
            <w:pPr>
              <w:spacing w:after="0"/>
              <w:rPr>
                <w:sz w:val="19"/>
                <w:szCs w:val="19"/>
                <w:color w:val="auto"/>
              </w:rPr>
            </w:pPr>
          </w:p>
        </w:tc>
        <w:tc>
          <w:tcPr>
            <w:tcW w:w="320" w:type="dxa"/>
            <w:vAlign w:val="bottom"/>
            <w:shd w:val="clear" w:color="auto" w:fill="CEFFE7"/>
          </w:tcPr>
          <w:p>
            <w:pPr>
              <w:spacing w:after="0"/>
              <w:rPr>
                <w:sz w:val="19"/>
                <w:szCs w:val="19"/>
                <w:color w:val="auto"/>
              </w:rPr>
            </w:pPr>
          </w:p>
        </w:tc>
        <w:tc>
          <w:tcPr>
            <w:tcW w:w="100" w:type="dxa"/>
            <w:vAlign w:val="bottom"/>
            <w:shd w:val="clear" w:color="auto" w:fill="CEFFE7"/>
          </w:tcPr>
          <w:p>
            <w:pPr>
              <w:spacing w:after="0"/>
              <w:rPr>
                <w:sz w:val="19"/>
                <w:szCs w:val="19"/>
                <w:color w:val="auto"/>
              </w:rPr>
            </w:pPr>
          </w:p>
        </w:tc>
        <w:tc>
          <w:tcPr>
            <w:tcW w:w="2060" w:type="dxa"/>
            <w:vAlign w:val="bottom"/>
            <w:shd w:val="clear" w:color="auto" w:fill="CEFFE7"/>
          </w:tcPr>
          <w:p>
            <w:pPr>
              <w:spacing w:after="0"/>
              <w:rPr>
                <w:sz w:val="19"/>
                <w:szCs w:val="19"/>
                <w:color w:val="auto"/>
              </w:rPr>
            </w:pPr>
          </w:p>
        </w:tc>
        <w:tc>
          <w:tcPr>
            <w:tcW w:w="1240" w:type="dxa"/>
            <w:vAlign w:val="bottom"/>
            <w:shd w:val="clear" w:color="auto" w:fill="CEFFE7"/>
          </w:tcPr>
          <w:p>
            <w:pPr>
              <w:spacing w:after="0"/>
              <w:rPr>
                <w:sz w:val="19"/>
                <w:szCs w:val="19"/>
                <w:color w:val="auto"/>
              </w:rPr>
            </w:pPr>
          </w:p>
        </w:tc>
        <w:tc>
          <w:tcPr>
            <w:tcW w:w="40" w:type="dxa"/>
            <w:vAlign w:val="bottom"/>
            <w:shd w:val="clear" w:color="auto" w:fill="CEFFE7"/>
          </w:tcPr>
          <w:p>
            <w:pPr>
              <w:spacing w:after="0"/>
              <w:rPr>
                <w:sz w:val="19"/>
                <w:szCs w:val="19"/>
                <w:color w:val="auto"/>
              </w:rPr>
            </w:pPr>
          </w:p>
        </w:tc>
      </w:tr>
      <w:tr>
        <w:trPr>
          <w:trHeight w:val="213"/>
        </w:trPr>
        <w:tc>
          <w:tcPr>
            <w:tcW w:w="4280" w:type="dxa"/>
            <w:vAlign w:val="bottom"/>
            <w:gridSpan w:val="2"/>
          </w:tcPr>
          <w:p>
            <w:pPr>
              <w:spacing w:after="0"/>
              <w:rPr>
                <w:sz w:val="20"/>
                <w:szCs w:val="20"/>
                <w:color w:val="auto"/>
              </w:rPr>
            </w:pPr>
            <w:r>
              <w:rPr>
                <w:rFonts w:ascii="Arial" w:cs="Arial" w:eastAsia="Arial" w:hAnsi="Arial"/>
                <w:sz w:val="16"/>
                <w:szCs w:val="16"/>
                <w:color w:val="auto"/>
              </w:rPr>
              <w:t>Colorado Electric</w:t>
            </w:r>
          </w:p>
        </w:tc>
        <w:tc>
          <w:tcPr>
            <w:tcW w:w="9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60" w:type="dxa"/>
            <w:vAlign w:val="bottom"/>
            <w:gridSpan w:val="2"/>
          </w:tcPr>
          <w:p>
            <w:pPr>
              <w:jc w:val="right"/>
              <w:ind w:right="439"/>
              <w:spacing w:after="0"/>
              <w:rPr>
                <w:sz w:val="20"/>
                <w:szCs w:val="20"/>
                <w:color w:val="auto"/>
              </w:rPr>
            </w:pPr>
            <w:r>
              <w:rPr>
                <w:rFonts w:ascii="Arial" w:cs="Arial" w:eastAsia="Arial" w:hAnsi="Arial"/>
                <w:sz w:val="16"/>
                <w:szCs w:val="16"/>
                <w:color w:val="auto"/>
              </w:rPr>
              <w:t>516,087</w:t>
            </w:r>
          </w:p>
        </w:tc>
        <w:tc>
          <w:tcPr>
            <w:tcW w:w="1240" w:type="dxa"/>
            <w:vAlign w:val="bottom"/>
          </w:tcPr>
          <w:p>
            <w:pPr>
              <w:jc w:val="right"/>
              <w:spacing w:after="0"/>
              <w:rPr>
                <w:sz w:val="20"/>
                <w:szCs w:val="20"/>
                <w:color w:val="auto"/>
              </w:rPr>
            </w:pPr>
            <w:r>
              <w:rPr>
                <w:rFonts w:ascii="Arial" w:cs="Arial" w:eastAsia="Arial" w:hAnsi="Arial"/>
                <w:sz w:val="16"/>
                <w:szCs w:val="16"/>
                <w:color w:val="auto"/>
              </w:rPr>
              <w:t>456,720</w:t>
            </w:r>
          </w:p>
        </w:tc>
        <w:tc>
          <w:tcPr>
            <w:tcW w:w="40" w:type="dxa"/>
            <w:vAlign w:val="bottom"/>
          </w:tcPr>
          <w:p>
            <w:pPr>
              <w:spacing w:after="0"/>
              <w:rPr>
                <w:sz w:val="18"/>
                <w:szCs w:val="18"/>
                <w:color w:val="auto"/>
              </w:rPr>
            </w:pPr>
          </w:p>
        </w:tc>
      </w:tr>
      <w:tr>
        <w:trPr>
          <w:trHeight w:val="219"/>
        </w:trPr>
        <w:tc>
          <w:tcPr>
            <w:tcW w:w="140" w:type="dxa"/>
            <w:vAlign w:val="bottom"/>
            <w:tcBorders>
              <w:right w:val="single" w:sz="8" w:color="CEFFE7"/>
            </w:tcBorders>
          </w:tcPr>
          <w:p>
            <w:pPr>
              <w:spacing w:after="0"/>
              <w:rPr>
                <w:sz w:val="19"/>
                <w:szCs w:val="19"/>
                <w:color w:val="auto"/>
              </w:rPr>
            </w:pPr>
          </w:p>
        </w:tc>
        <w:tc>
          <w:tcPr>
            <w:tcW w:w="4140" w:type="dxa"/>
            <w:vAlign w:val="bottom"/>
            <w:shd w:val="clear" w:color="auto" w:fill="CEFFE7"/>
          </w:tcPr>
          <w:p>
            <w:pPr>
              <w:spacing w:after="0"/>
              <w:rPr>
                <w:sz w:val="20"/>
                <w:szCs w:val="20"/>
                <w:color w:val="auto"/>
              </w:rPr>
            </w:pPr>
            <w:r>
              <w:rPr>
                <w:rFonts w:ascii="Arial" w:cs="Arial" w:eastAsia="Arial" w:hAnsi="Arial"/>
                <w:sz w:val="16"/>
                <w:szCs w:val="16"/>
                <w:color w:val="auto"/>
              </w:rPr>
              <w:t>South Dakota Electric</w:t>
            </w:r>
          </w:p>
        </w:tc>
        <w:tc>
          <w:tcPr>
            <w:tcW w:w="980" w:type="dxa"/>
            <w:vAlign w:val="bottom"/>
            <w:shd w:val="clear" w:color="auto" w:fill="CEFFE7"/>
          </w:tcPr>
          <w:p>
            <w:pPr>
              <w:spacing w:after="0"/>
              <w:rPr>
                <w:sz w:val="19"/>
                <w:szCs w:val="19"/>
                <w:color w:val="auto"/>
              </w:rPr>
            </w:pPr>
          </w:p>
        </w:tc>
        <w:tc>
          <w:tcPr>
            <w:tcW w:w="2000" w:type="dxa"/>
            <w:vAlign w:val="bottom"/>
            <w:shd w:val="clear" w:color="auto" w:fill="CEFFE7"/>
          </w:tcPr>
          <w:p>
            <w:pPr>
              <w:spacing w:after="0"/>
              <w:rPr>
                <w:sz w:val="19"/>
                <w:szCs w:val="19"/>
                <w:color w:val="auto"/>
              </w:rPr>
            </w:pPr>
          </w:p>
        </w:tc>
        <w:tc>
          <w:tcPr>
            <w:tcW w:w="320" w:type="dxa"/>
            <w:vAlign w:val="bottom"/>
            <w:shd w:val="clear" w:color="auto" w:fill="CEFFE7"/>
          </w:tcPr>
          <w:p>
            <w:pPr>
              <w:spacing w:after="0"/>
              <w:rPr>
                <w:sz w:val="19"/>
                <w:szCs w:val="19"/>
                <w:color w:val="auto"/>
              </w:rPr>
            </w:pPr>
          </w:p>
        </w:tc>
        <w:tc>
          <w:tcPr>
            <w:tcW w:w="2160" w:type="dxa"/>
            <w:vAlign w:val="bottom"/>
            <w:gridSpan w:val="2"/>
            <w:shd w:val="clear" w:color="auto" w:fill="CEFFE7"/>
          </w:tcPr>
          <w:p>
            <w:pPr>
              <w:jc w:val="right"/>
              <w:ind w:right="439"/>
              <w:spacing w:after="0"/>
              <w:rPr>
                <w:sz w:val="20"/>
                <w:szCs w:val="20"/>
                <w:color w:val="auto"/>
              </w:rPr>
            </w:pPr>
            <w:r>
              <w:rPr>
                <w:rFonts w:ascii="Arial" w:cs="Arial" w:eastAsia="Arial" w:hAnsi="Arial"/>
                <w:sz w:val="16"/>
                <w:szCs w:val="16"/>
                <w:color w:val="auto"/>
              </w:rPr>
              <w:t>223,457</w:t>
            </w:r>
          </w:p>
        </w:tc>
        <w:tc>
          <w:tcPr>
            <w:tcW w:w="12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212,258</w:t>
            </w:r>
          </w:p>
        </w:tc>
        <w:tc>
          <w:tcPr>
            <w:tcW w:w="40" w:type="dxa"/>
            <w:vAlign w:val="bottom"/>
            <w:shd w:val="clear" w:color="auto" w:fill="CEFFE7"/>
          </w:tcPr>
          <w:p>
            <w:pPr>
              <w:spacing w:after="0"/>
              <w:rPr>
                <w:sz w:val="19"/>
                <w:szCs w:val="19"/>
                <w:color w:val="auto"/>
              </w:rPr>
            </w:pPr>
          </w:p>
        </w:tc>
      </w:tr>
      <w:tr>
        <w:trPr>
          <w:trHeight w:val="213"/>
        </w:trPr>
        <w:tc>
          <w:tcPr>
            <w:tcW w:w="4280" w:type="dxa"/>
            <w:vAlign w:val="bottom"/>
            <w:gridSpan w:val="2"/>
          </w:tcPr>
          <w:p>
            <w:pPr>
              <w:spacing w:after="0"/>
              <w:rPr>
                <w:sz w:val="20"/>
                <w:szCs w:val="20"/>
                <w:color w:val="auto"/>
              </w:rPr>
            </w:pPr>
            <w:r>
              <w:rPr>
                <w:rFonts w:ascii="Arial" w:cs="Arial" w:eastAsia="Arial" w:hAnsi="Arial"/>
                <w:sz w:val="16"/>
                <w:szCs w:val="16"/>
                <w:color w:val="auto"/>
              </w:rPr>
              <w:t>Wyoming Electric</w:t>
            </w:r>
          </w:p>
        </w:tc>
        <w:tc>
          <w:tcPr>
            <w:tcW w:w="9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60" w:type="dxa"/>
            <w:vAlign w:val="bottom"/>
            <w:gridSpan w:val="2"/>
          </w:tcPr>
          <w:p>
            <w:pPr>
              <w:jc w:val="right"/>
              <w:ind w:right="439"/>
              <w:spacing w:after="0"/>
              <w:rPr>
                <w:sz w:val="20"/>
                <w:szCs w:val="20"/>
                <w:color w:val="auto"/>
              </w:rPr>
            </w:pPr>
            <w:r>
              <w:rPr>
                <w:rFonts w:ascii="Arial" w:cs="Arial" w:eastAsia="Arial" w:hAnsi="Arial"/>
                <w:sz w:val="16"/>
                <w:szCs w:val="16"/>
                <w:color w:val="auto"/>
              </w:rPr>
              <w:t>339,105</w:t>
            </w:r>
          </w:p>
        </w:tc>
        <w:tc>
          <w:tcPr>
            <w:tcW w:w="1240" w:type="dxa"/>
            <w:vAlign w:val="bottom"/>
          </w:tcPr>
          <w:p>
            <w:pPr>
              <w:jc w:val="right"/>
              <w:spacing w:after="0"/>
              <w:rPr>
                <w:sz w:val="20"/>
                <w:szCs w:val="20"/>
                <w:color w:val="auto"/>
              </w:rPr>
            </w:pPr>
            <w:r>
              <w:rPr>
                <w:rFonts w:ascii="Arial" w:cs="Arial" w:eastAsia="Arial" w:hAnsi="Arial"/>
                <w:sz w:val="16"/>
                <w:szCs w:val="16"/>
                <w:color w:val="auto"/>
              </w:rPr>
              <w:t>294,822</w:t>
            </w:r>
          </w:p>
        </w:tc>
        <w:tc>
          <w:tcPr>
            <w:tcW w:w="40" w:type="dxa"/>
            <w:vAlign w:val="bottom"/>
          </w:tcPr>
          <w:p>
            <w:pPr>
              <w:spacing w:after="0"/>
              <w:rPr>
                <w:sz w:val="18"/>
                <w:szCs w:val="18"/>
                <w:color w:val="auto"/>
              </w:rPr>
            </w:pPr>
          </w:p>
        </w:tc>
      </w:tr>
      <w:tr>
        <w:trPr>
          <w:trHeight w:val="213"/>
        </w:trPr>
        <w:tc>
          <w:tcPr>
            <w:tcW w:w="140" w:type="dxa"/>
            <w:vAlign w:val="bottom"/>
            <w:tcBorders>
              <w:right w:val="single" w:sz="8" w:color="CEFFE7"/>
            </w:tcBorders>
          </w:tcPr>
          <w:p>
            <w:pPr>
              <w:spacing w:after="0"/>
              <w:rPr>
                <w:sz w:val="18"/>
                <w:szCs w:val="18"/>
                <w:color w:val="auto"/>
              </w:rPr>
            </w:pPr>
          </w:p>
        </w:tc>
        <w:tc>
          <w:tcPr>
            <w:tcW w:w="4140" w:type="dxa"/>
            <w:vAlign w:val="bottom"/>
            <w:tcBorders>
              <w:top w:val="single" w:sz="8" w:color="CEFFE7"/>
            </w:tcBorders>
            <w:shd w:val="clear" w:color="auto" w:fill="CEFFE7"/>
          </w:tcPr>
          <w:p>
            <w:pPr>
              <w:ind w:left="100"/>
              <w:spacing w:after="0"/>
              <w:rPr>
                <w:sz w:val="20"/>
                <w:szCs w:val="20"/>
                <w:color w:val="auto"/>
              </w:rPr>
            </w:pPr>
            <w:r>
              <w:rPr>
                <w:rFonts w:ascii="Arial" w:cs="Arial" w:eastAsia="Arial" w:hAnsi="Arial"/>
                <w:sz w:val="16"/>
                <w:szCs w:val="16"/>
                <w:color w:val="auto"/>
              </w:rPr>
              <w:t>Total Purchased</w:t>
            </w:r>
          </w:p>
        </w:tc>
        <w:tc>
          <w:tcPr>
            <w:tcW w:w="980" w:type="dxa"/>
            <w:vAlign w:val="bottom"/>
            <w:tcBorders>
              <w:top w:val="single" w:sz="8" w:color="CEFFE7"/>
            </w:tcBorders>
            <w:shd w:val="clear" w:color="auto" w:fill="CEFFE7"/>
          </w:tcPr>
          <w:p>
            <w:pPr>
              <w:spacing w:after="0"/>
              <w:rPr>
                <w:sz w:val="18"/>
                <w:szCs w:val="18"/>
                <w:color w:val="auto"/>
              </w:rPr>
            </w:pPr>
          </w:p>
        </w:tc>
        <w:tc>
          <w:tcPr>
            <w:tcW w:w="2000" w:type="dxa"/>
            <w:vAlign w:val="bottom"/>
            <w:tcBorders>
              <w:top w:val="single" w:sz="8" w:color="CEFFE7"/>
            </w:tcBorders>
            <w:shd w:val="clear" w:color="auto" w:fill="CEFFE7"/>
          </w:tcPr>
          <w:p>
            <w:pPr>
              <w:spacing w:after="0"/>
              <w:rPr>
                <w:sz w:val="18"/>
                <w:szCs w:val="18"/>
                <w:color w:val="auto"/>
              </w:rPr>
            </w:pPr>
          </w:p>
        </w:tc>
        <w:tc>
          <w:tcPr>
            <w:tcW w:w="320" w:type="dxa"/>
            <w:vAlign w:val="bottom"/>
            <w:tcBorders>
              <w:top w:val="single" w:sz="8" w:color="CEFFE7"/>
            </w:tcBorders>
            <w:shd w:val="clear" w:color="auto" w:fill="CEFFE7"/>
          </w:tcPr>
          <w:p>
            <w:pPr>
              <w:spacing w:after="0"/>
              <w:rPr>
                <w:sz w:val="18"/>
                <w:szCs w:val="18"/>
                <w:color w:val="auto"/>
              </w:rPr>
            </w:pPr>
          </w:p>
        </w:tc>
        <w:tc>
          <w:tcPr>
            <w:tcW w:w="2160" w:type="dxa"/>
            <w:vAlign w:val="bottom"/>
            <w:tcBorders>
              <w:top w:val="single" w:sz="8" w:color="auto"/>
              <w:bottom w:val="single" w:sz="8" w:color="auto"/>
            </w:tcBorders>
            <w:gridSpan w:val="2"/>
            <w:shd w:val="clear" w:color="auto" w:fill="CEFFE7"/>
          </w:tcPr>
          <w:p>
            <w:pPr>
              <w:jc w:val="right"/>
              <w:ind w:right="439"/>
              <w:spacing w:after="0"/>
              <w:rPr>
                <w:sz w:val="20"/>
                <w:szCs w:val="20"/>
                <w:color w:val="auto"/>
              </w:rPr>
            </w:pPr>
            <w:r>
              <w:rPr>
                <w:rFonts w:ascii="Arial" w:cs="Arial" w:eastAsia="Arial" w:hAnsi="Arial"/>
                <w:sz w:val="16"/>
                <w:szCs w:val="16"/>
                <w:color w:val="auto"/>
              </w:rPr>
              <w:t>1,078,649</w:t>
            </w:r>
          </w:p>
        </w:tc>
        <w:tc>
          <w:tcPr>
            <w:tcW w:w="1240" w:type="dxa"/>
            <w:vAlign w:val="bottom"/>
            <w:tcBorders>
              <w:top w:val="single" w:sz="8" w:color="auto"/>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963,800</w:t>
            </w:r>
          </w:p>
        </w:tc>
        <w:tc>
          <w:tcPr>
            <w:tcW w:w="40" w:type="dxa"/>
            <w:vAlign w:val="bottom"/>
            <w:tcBorders>
              <w:top w:val="single" w:sz="8" w:color="auto"/>
              <w:bottom w:val="single" w:sz="8" w:color="auto"/>
            </w:tcBorders>
            <w:shd w:val="clear" w:color="auto" w:fill="CEFFE7"/>
          </w:tcPr>
          <w:p>
            <w:pPr>
              <w:spacing w:after="0"/>
              <w:rPr>
                <w:sz w:val="18"/>
                <w:szCs w:val="18"/>
                <w:color w:val="auto"/>
              </w:rPr>
            </w:pPr>
          </w:p>
        </w:tc>
      </w:tr>
      <w:tr>
        <w:trPr>
          <w:trHeight w:val="358"/>
        </w:trPr>
        <w:tc>
          <w:tcPr>
            <w:tcW w:w="4280" w:type="dxa"/>
            <w:vAlign w:val="bottom"/>
            <w:gridSpan w:val="2"/>
          </w:tcPr>
          <w:p>
            <w:pPr>
              <w:ind w:left="20"/>
              <w:spacing w:after="0"/>
              <w:rPr>
                <w:sz w:val="20"/>
                <w:szCs w:val="20"/>
                <w:color w:val="auto"/>
              </w:rPr>
            </w:pPr>
            <w:r>
              <w:rPr>
                <w:rFonts w:ascii="Arial" w:cs="Arial" w:eastAsia="Arial" w:hAnsi="Arial"/>
                <w:sz w:val="16"/>
                <w:szCs w:val="16"/>
                <w:color w:val="auto"/>
              </w:rPr>
              <w:t>al Generated and Purchased</w:t>
            </w:r>
          </w:p>
        </w:tc>
        <w:tc>
          <w:tcPr>
            <w:tcW w:w="9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160" w:type="dxa"/>
            <w:vAlign w:val="bottom"/>
            <w:tcBorders>
              <w:bottom w:val="single" w:sz="8" w:color="auto"/>
            </w:tcBorders>
            <w:gridSpan w:val="2"/>
          </w:tcPr>
          <w:p>
            <w:pPr>
              <w:jc w:val="right"/>
              <w:ind w:right="439"/>
              <w:spacing w:after="0"/>
              <w:rPr>
                <w:sz w:val="20"/>
                <w:szCs w:val="20"/>
                <w:color w:val="auto"/>
              </w:rPr>
            </w:pPr>
            <w:r>
              <w:rPr>
                <w:rFonts w:ascii="Arial" w:cs="Arial" w:eastAsia="Arial" w:hAnsi="Arial"/>
                <w:sz w:val="16"/>
                <w:szCs w:val="16"/>
                <w:color w:val="auto"/>
              </w:rPr>
              <w:t>1,756,027</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1,752,923</w:t>
            </w:r>
          </w:p>
        </w:tc>
        <w:tc>
          <w:tcPr>
            <w:tcW w:w="40" w:type="dxa"/>
            <w:vAlign w:val="bottom"/>
            <w:tcBorders>
              <w:bottom w:val="single" w:sz="8" w:color="auto"/>
            </w:tcBorders>
          </w:tcPr>
          <w:p>
            <w:pPr>
              <w:spacing w:after="0"/>
              <w:rPr>
                <w:sz w:val="24"/>
                <w:szCs w:val="24"/>
                <w:color w:val="auto"/>
              </w:rPr>
            </w:pPr>
          </w:p>
        </w:tc>
      </w:tr>
      <w:tr>
        <w:trPr>
          <w:trHeight w:val="20"/>
        </w:trPr>
        <w:tc>
          <w:tcPr>
            <w:tcW w:w="14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r>
      <w:tr>
        <w:trPr>
          <w:trHeight w:val="676"/>
        </w:trPr>
        <w:tc>
          <w:tcPr>
            <w:tcW w:w="14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480" w:type="dxa"/>
            <w:vAlign w:val="bottom"/>
            <w:gridSpan w:val="4"/>
          </w:tcPr>
          <w:p>
            <w:pPr>
              <w:jc w:val="center"/>
              <w:spacing w:after="0"/>
              <w:rPr>
                <w:sz w:val="20"/>
                <w:szCs w:val="20"/>
                <w:color w:val="auto"/>
              </w:rPr>
            </w:pPr>
            <w:r>
              <w:rPr>
                <w:rFonts w:ascii="Arial" w:cs="Arial" w:eastAsia="Arial" w:hAnsi="Arial"/>
                <w:sz w:val="16"/>
                <w:szCs w:val="16"/>
                <w:color w:val="auto"/>
              </w:rPr>
              <w:t>Three Months Ended March 31,</w:t>
            </w: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9"/>
        </w:trPr>
        <w:tc>
          <w:tcPr>
            <w:tcW w:w="140" w:type="dxa"/>
            <w:vAlign w:val="bottom"/>
          </w:tcPr>
          <w:p>
            <w:pPr>
              <w:spacing w:after="0"/>
              <w:rPr>
                <w:sz w:val="19"/>
                <w:szCs w:val="19"/>
                <w:color w:val="auto"/>
              </w:rPr>
            </w:pPr>
          </w:p>
        </w:tc>
        <w:tc>
          <w:tcPr>
            <w:tcW w:w="414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ind w:right="1239"/>
              <w:spacing w:after="0"/>
              <w:rPr>
                <w:sz w:val="20"/>
                <w:szCs w:val="20"/>
                <w:color w:val="auto"/>
              </w:rPr>
            </w:pPr>
            <w:r>
              <w:rPr>
                <w:rFonts w:ascii="Arial" w:cs="Arial" w:eastAsia="Arial" w:hAnsi="Arial"/>
                <w:sz w:val="16"/>
                <w:szCs w:val="16"/>
                <w:color w:val="auto"/>
              </w:rPr>
              <w:t>2021</w:t>
            </w:r>
          </w:p>
        </w:tc>
        <w:tc>
          <w:tcPr>
            <w:tcW w:w="3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2020</w:t>
            </w:r>
          </w:p>
        </w:tc>
        <w:tc>
          <w:tcPr>
            <w:tcW w:w="124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174"/>
        </w:trPr>
        <w:tc>
          <w:tcPr>
            <w:tcW w:w="140" w:type="dxa"/>
            <w:vAlign w:val="bottom"/>
          </w:tcPr>
          <w:p>
            <w:pPr>
              <w:spacing w:after="0"/>
              <w:rPr>
                <w:sz w:val="15"/>
                <w:szCs w:val="15"/>
                <w:color w:val="auto"/>
              </w:rPr>
            </w:pPr>
          </w:p>
        </w:tc>
        <w:tc>
          <w:tcPr>
            <w:tcW w:w="4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0" w:type="dxa"/>
            <w:vAlign w:val="bottom"/>
          </w:tcPr>
          <w:p>
            <w:pPr>
              <w:jc w:val="right"/>
              <w:ind w:right="79"/>
              <w:spacing w:after="0" w:line="174" w:lineRule="exact"/>
              <w:rPr>
                <w:sz w:val="20"/>
                <w:szCs w:val="20"/>
                <w:color w:val="auto"/>
              </w:rPr>
            </w:pPr>
            <w:r>
              <w:rPr>
                <w:rFonts w:ascii="Arial" w:cs="Arial" w:eastAsia="Arial" w:hAnsi="Arial"/>
                <w:sz w:val="16"/>
                <w:szCs w:val="16"/>
                <w:color w:val="auto"/>
              </w:rPr>
              <w:t>Variance from</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340" w:type="dxa"/>
            <w:vAlign w:val="bottom"/>
            <w:gridSpan w:val="3"/>
          </w:tcPr>
          <w:p>
            <w:pPr>
              <w:ind w:left="1820"/>
              <w:spacing w:after="0" w:line="174" w:lineRule="exact"/>
              <w:rPr>
                <w:sz w:val="20"/>
                <w:szCs w:val="20"/>
                <w:color w:val="auto"/>
              </w:rPr>
            </w:pPr>
            <w:r>
              <w:rPr>
                <w:rFonts w:ascii="Arial" w:cs="Arial" w:eastAsia="Arial" w:hAnsi="Arial"/>
                <w:sz w:val="16"/>
                <w:szCs w:val="16"/>
                <w:color w:val="auto"/>
              </w:rPr>
              <w:t>Variance from</w:t>
            </w:r>
          </w:p>
        </w:tc>
      </w:tr>
      <w:tr>
        <w:trPr>
          <w:trHeight w:val="198"/>
        </w:trPr>
        <w:tc>
          <w:tcPr>
            <w:tcW w:w="4280" w:type="dxa"/>
            <w:vAlign w:val="bottom"/>
            <w:gridSpan w:val="2"/>
          </w:tcPr>
          <w:p>
            <w:pPr>
              <w:spacing w:after="0"/>
              <w:rPr>
                <w:sz w:val="20"/>
                <w:szCs w:val="20"/>
                <w:color w:val="auto"/>
              </w:rPr>
            </w:pPr>
            <w:r>
              <w:rPr>
                <w:rFonts w:ascii="Arial" w:cs="Arial" w:eastAsia="Arial" w:hAnsi="Arial"/>
                <w:sz w:val="16"/>
                <w:szCs w:val="16"/>
                <w:color w:val="auto"/>
              </w:rPr>
              <w:t>eating Degree Days</w:t>
            </w:r>
          </w:p>
        </w:tc>
        <w:tc>
          <w:tcPr>
            <w:tcW w:w="980" w:type="dxa"/>
            <w:vAlign w:val="bottom"/>
          </w:tcPr>
          <w:p>
            <w:pPr>
              <w:ind w:left="400"/>
              <w:spacing w:after="0"/>
              <w:rPr>
                <w:sz w:val="20"/>
                <w:szCs w:val="20"/>
                <w:color w:val="auto"/>
              </w:rPr>
            </w:pPr>
            <w:r>
              <w:rPr>
                <w:rFonts w:ascii="Arial" w:cs="Arial" w:eastAsia="Arial" w:hAnsi="Arial"/>
                <w:sz w:val="16"/>
                <w:szCs w:val="16"/>
                <w:color w:val="auto"/>
              </w:rPr>
              <w:t>Actual</w:t>
            </w:r>
          </w:p>
        </w:tc>
        <w:tc>
          <w:tcPr>
            <w:tcW w:w="2000" w:type="dxa"/>
            <w:vAlign w:val="bottom"/>
          </w:tcPr>
          <w:p>
            <w:pPr>
              <w:jc w:val="right"/>
              <w:ind w:right="139"/>
              <w:spacing w:after="0"/>
              <w:rPr>
                <w:sz w:val="20"/>
                <w:szCs w:val="20"/>
                <w:color w:val="auto"/>
              </w:rPr>
            </w:pPr>
            <w:r>
              <w:rPr>
                <w:rFonts w:ascii="Arial" w:cs="Arial" w:eastAsia="Arial" w:hAnsi="Arial"/>
                <w:sz w:val="16"/>
                <w:szCs w:val="16"/>
                <w:color w:val="auto"/>
              </w:rPr>
              <w:t>Normal</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60" w:type="dxa"/>
            <w:vAlign w:val="bottom"/>
          </w:tcPr>
          <w:p>
            <w:pPr>
              <w:jc w:val="right"/>
              <w:ind w:right="1119"/>
              <w:spacing w:after="0"/>
              <w:rPr>
                <w:sz w:val="20"/>
                <w:szCs w:val="20"/>
                <w:color w:val="auto"/>
              </w:rPr>
            </w:pPr>
            <w:r>
              <w:rPr>
                <w:rFonts w:ascii="Arial" w:cs="Arial" w:eastAsia="Arial" w:hAnsi="Arial"/>
                <w:sz w:val="16"/>
                <w:szCs w:val="16"/>
                <w:color w:val="auto"/>
              </w:rPr>
              <w:t>Actual</w:t>
            </w:r>
          </w:p>
        </w:tc>
        <w:tc>
          <w:tcPr>
            <w:tcW w:w="1280" w:type="dxa"/>
            <w:vAlign w:val="bottom"/>
            <w:gridSpan w:val="2"/>
          </w:tcPr>
          <w:p>
            <w:pPr>
              <w:ind w:left="180"/>
              <w:spacing w:after="0"/>
              <w:rPr>
                <w:sz w:val="20"/>
                <w:szCs w:val="20"/>
                <w:color w:val="auto"/>
              </w:rPr>
            </w:pPr>
            <w:r>
              <w:rPr>
                <w:rFonts w:ascii="Arial" w:cs="Arial" w:eastAsia="Arial" w:hAnsi="Arial"/>
                <w:sz w:val="16"/>
                <w:szCs w:val="16"/>
                <w:color w:val="auto"/>
              </w:rPr>
              <w:t>Normal</w:t>
            </w:r>
          </w:p>
        </w:tc>
      </w:tr>
      <w:tr>
        <w:trPr>
          <w:trHeight w:val="20"/>
        </w:trPr>
        <w:tc>
          <w:tcPr>
            <w:tcW w:w="140" w:type="dxa"/>
            <w:vAlign w:val="bottom"/>
          </w:tcPr>
          <w:p>
            <w:pPr>
              <w:spacing w:after="0" w:line="20" w:lineRule="exact"/>
              <w:rPr>
                <w:sz w:val="1"/>
                <w:szCs w:val="1"/>
                <w:color w:val="auto"/>
              </w:rPr>
            </w:pPr>
          </w:p>
        </w:tc>
        <w:tc>
          <w:tcPr>
            <w:tcW w:w="4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63"/>
        </w:trPr>
        <w:tc>
          <w:tcPr>
            <w:tcW w:w="4280" w:type="dxa"/>
            <w:vAlign w:val="bottom"/>
            <w:gridSpan w:val="2"/>
          </w:tcPr>
          <w:p>
            <w:pPr>
              <w:spacing w:after="0"/>
              <w:rPr>
                <w:sz w:val="20"/>
                <w:szCs w:val="20"/>
                <w:color w:val="auto"/>
              </w:rPr>
            </w:pPr>
            <w:r>
              <w:rPr>
                <w:rFonts w:ascii="Arial" w:cs="Arial" w:eastAsia="Arial" w:hAnsi="Arial"/>
                <w:sz w:val="16"/>
                <w:szCs w:val="16"/>
                <w:color w:val="auto"/>
              </w:rPr>
              <w:t>olorado Electric</w:t>
            </w:r>
          </w:p>
        </w:tc>
        <w:tc>
          <w:tcPr>
            <w:tcW w:w="980" w:type="dxa"/>
            <w:vAlign w:val="bottom"/>
          </w:tcPr>
          <w:p>
            <w:pPr>
              <w:spacing w:after="0"/>
              <w:rPr>
                <w:sz w:val="24"/>
                <w:szCs w:val="24"/>
                <w:color w:val="auto"/>
              </w:rPr>
            </w:pPr>
          </w:p>
        </w:tc>
        <w:tc>
          <w:tcPr>
            <w:tcW w:w="2000" w:type="dxa"/>
            <w:vAlign w:val="bottom"/>
          </w:tcPr>
          <w:p>
            <w:pPr>
              <w:jc w:val="right"/>
              <w:ind w:right="1379"/>
              <w:spacing w:after="0"/>
              <w:rPr>
                <w:sz w:val="20"/>
                <w:szCs w:val="20"/>
                <w:color w:val="auto"/>
              </w:rPr>
            </w:pPr>
            <w:r>
              <w:rPr>
                <w:rFonts w:ascii="Arial" w:cs="Arial" w:eastAsia="Arial" w:hAnsi="Arial"/>
                <w:sz w:val="16"/>
                <w:szCs w:val="16"/>
                <w:color w:val="auto"/>
              </w:rPr>
              <w:t>2,731</w:t>
            </w:r>
          </w:p>
        </w:tc>
        <w:tc>
          <w:tcPr>
            <w:tcW w:w="320" w:type="dxa"/>
            <w:vAlign w:val="bottom"/>
          </w:tcPr>
          <w:p>
            <w:pPr>
              <w:jc w:val="center"/>
              <w:ind w:left="74"/>
              <w:spacing w:after="0"/>
              <w:rPr>
                <w:sz w:val="20"/>
                <w:szCs w:val="20"/>
                <w:color w:val="auto"/>
              </w:rPr>
            </w:pPr>
            <w:r>
              <w:rPr>
                <w:rFonts w:ascii="Arial" w:cs="Arial" w:eastAsia="Arial" w:hAnsi="Arial"/>
                <w:sz w:val="13"/>
                <w:szCs w:val="13"/>
                <w:color w:val="auto"/>
                <w:w w:val="74"/>
              </w:rPr>
              <w:t>3%</w:t>
            </w:r>
          </w:p>
        </w:tc>
        <w:tc>
          <w:tcPr>
            <w:tcW w:w="2160" w:type="dxa"/>
            <w:vAlign w:val="bottom"/>
            <w:gridSpan w:val="2"/>
          </w:tcPr>
          <w:p>
            <w:pPr>
              <w:jc w:val="right"/>
              <w:ind w:right="459"/>
              <w:spacing w:after="0"/>
              <w:rPr>
                <w:sz w:val="20"/>
                <w:szCs w:val="20"/>
                <w:color w:val="auto"/>
              </w:rPr>
            </w:pPr>
            <w:r>
              <w:rPr>
                <w:rFonts w:ascii="Arial" w:cs="Arial" w:eastAsia="Arial" w:hAnsi="Arial"/>
                <w:sz w:val="16"/>
                <w:szCs w:val="16"/>
                <w:color w:val="auto"/>
              </w:rPr>
              <w:t>2,456</w:t>
            </w:r>
          </w:p>
        </w:tc>
        <w:tc>
          <w:tcPr>
            <w:tcW w:w="1240" w:type="dxa"/>
            <w:vAlign w:val="bottom"/>
          </w:tcPr>
          <w:p>
            <w:pPr>
              <w:jc w:val="right"/>
              <w:spacing w:after="0"/>
              <w:rPr>
                <w:sz w:val="20"/>
                <w:szCs w:val="20"/>
                <w:color w:val="auto"/>
              </w:rPr>
            </w:pPr>
            <w:r>
              <w:rPr>
                <w:rFonts w:ascii="Arial" w:cs="Arial" w:eastAsia="Arial" w:hAnsi="Arial"/>
                <w:sz w:val="16"/>
                <w:szCs w:val="16"/>
                <w:color w:val="auto"/>
              </w:rPr>
              <w:t>(7)%</w:t>
            </w:r>
          </w:p>
        </w:tc>
        <w:tc>
          <w:tcPr>
            <w:tcW w:w="40" w:type="dxa"/>
            <w:vAlign w:val="bottom"/>
          </w:tcPr>
          <w:p>
            <w:pPr>
              <w:spacing w:after="0"/>
              <w:rPr>
                <w:sz w:val="24"/>
                <w:szCs w:val="24"/>
                <w:color w:val="auto"/>
              </w:rPr>
            </w:pPr>
          </w:p>
        </w:tc>
      </w:tr>
      <w:tr>
        <w:trPr>
          <w:trHeight w:val="219"/>
        </w:trPr>
        <w:tc>
          <w:tcPr>
            <w:tcW w:w="4280" w:type="dxa"/>
            <w:vAlign w:val="bottom"/>
            <w:gridSpan w:val="2"/>
          </w:tcPr>
          <w:p>
            <w:pPr>
              <w:spacing w:after="0"/>
              <w:rPr>
                <w:sz w:val="20"/>
                <w:szCs w:val="20"/>
                <w:color w:val="auto"/>
              </w:rPr>
            </w:pPr>
            <w:r>
              <w:rPr>
                <w:rFonts w:ascii="Arial" w:cs="Arial" w:eastAsia="Arial" w:hAnsi="Arial"/>
                <w:sz w:val="16"/>
                <w:szCs w:val="16"/>
                <w:color w:val="auto"/>
              </w:rPr>
              <w:t>outh Dakota Electric</w:t>
            </w:r>
          </w:p>
        </w:tc>
        <w:tc>
          <w:tcPr>
            <w:tcW w:w="980" w:type="dxa"/>
            <w:vAlign w:val="bottom"/>
          </w:tcPr>
          <w:p>
            <w:pPr>
              <w:spacing w:after="0"/>
              <w:rPr>
                <w:sz w:val="19"/>
                <w:szCs w:val="19"/>
                <w:color w:val="auto"/>
              </w:rPr>
            </w:pPr>
          </w:p>
        </w:tc>
        <w:tc>
          <w:tcPr>
            <w:tcW w:w="2000" w:type="dxa"/>
            <w:vAlign w:val="bottom"/>
          </w:tcPr>
          <w:p>
            <w:pPr>
              <w:jc w:val="right"/>
              <w:ind w:right="1379"/>
              <w:spacing w:after="0"/>
              <w:rPr>
                <w:sz w:val="20"/>
                <w:szCs w:val="20"/>
                <w:color w:val="auto"/>
              </w:rPr>
            </w:pPr>
            <w:r>
              <w:rPr>
                <w:rFonts w:ascii="Arial" w:cs="Arial" w:eastAsia="Arial" w:hAnsi="Arial"/>
                <w:sz w:val="16"/>
                <w:szCs w:val="16"/>
                <w:color w:val="auto"/>
              </w:rPr>
              <w:t>3,324</w:t>
            </w:r>
          </w:p>
        </w:tc>
        <w:tc>
          <w:tcPr>
            <w:tcW w:w="320" w:type="dxa"/>
            <w:vAlign w:val="bottom"/>
          </w:tcPr>
          <w:p>
            <w:pPr>
              <w:jc w:val="center"/>
              <w:ind w:left="74"/>
              <w:spacing w:after="0"/>
              <w:rPr>
                <w:sz w:val="20"/>
                <w:szCs w:val="20"/>
                <w:color w:val="auto"/>
              </w:rPr>
            </w:pPr>
            <w:r>
              <w:rPr>
                <w:rFonts w:ascii="Arial" w:cs="Arial" w:eastAsia="Arial" w:hAnsi="Arial"/>
                <w:sz w:val="13"/>
                <w:szCs w:val="13"/>
                <w:color w:val="auto"/>
                <w:w w:val="74"/>
              </w:rPr>
              <w:t>3%</w:t>
            </w:r>
          </w:p>
        </w:tc>
        <w:tc>
          <w:tcPr>
            <w:tcW w:w="2160" w:type="dxa"/>
            <w:vAlign w:val="bottom"/>
            <w:gridSpan w:val="2"/>
          </w:tcPr>
          <w:p>
            <w:pPr>
              <w:jc w:val="right"/>
              <w:ind w:right="459"/>
              <w:spacing w:after="0"/>
              <w:rPr>
                <w:sz w:val="20"/>
                <w:szCs w:val="20"/>
                <w:color w:val="auto"/>
              </w:rPr>
            </w:pPr>
            <w:r>
              <w:rPr>
                <w:rFonts w:ascii="Arial" w:cs="Arial" w:eastAsia="Arial" w:hAnsi="Arial"/>
                <w:sz w:val="16"/>
                <w:szCs w:val="16"/>
                <w:color w:val="auto"/>
              </w:rPr>
              <w:t>3,111</w:t>
            </w:r>
          </w:p>
        </w:tc>
        <w:tc>
          <w:tcPr>
            <w:tcW w:w="1240" w:type="dxa"/>
            <w:vAlign w:val="bottom"/>
          </w:tcPr>
          <w:p>
            <w:pPr>
              <w:jc w:val="right"/>
              <w:spacing w:after="0"/>
              <w:rPr>
                <w:sz w:val="20"/>
                <w:szCs w:val="20"/>
                <w:color w:val="auto"/>
              </w:rPr>
            </w:pPr>
            <w:r>
              <w:rPr>
                <w:rFonts w:ascii="Arial" w:cs="Arial" w:eastAsia="Arial" w:hAnsi="Arial"/>
                <w:sz w:val="16"/>
                <w:szCs w:val="16"/>
                <w:color w:val="auto"/>
              </w:rPr>
              <w:t>(3)%</w:t>
            </w:r>
          </w:p>
        </w:tc>
        <w:tc>
          <w:tcPr>
            <w:tcW w:w="40" w:type="dxa"/>
            <w:vAlign w:val="bottom"/>
          </w:tcPr>
          <w:p>
            <w:pPr>
              <w:spacing w:after="0"/>
              <w:rPr>
                <w:sz w:val="19"/>
                <w:szCs w:val="19"/>
                <w:color w:val="auto"/>
              </w:rPr>
            </w:pPr>
          </w:p>
        </w:tc>
      </w:tr>
      <w:tr>
        <w:trPr>
          <w:trHeight w:val="219"/>
        </w:trPr>
        <w:tc>
          <w:tcPr>
            <w:tcW w:w="140" w:type="dxa"/>
            <w:vAlign w:val="bottom"/>
          </w:tcPr>
          <w:p>
            <w:pPr>
              <w:spacing w:after="0"/>
              <w:rPr>
                <w:sz w:val="19"/>
                <w:szCs w:val="19"/>
                <w:color w:val="auto"/>
              </w:rPr>
            </w:pPr>
          </w:p>
        </w:tc>
        <w:tc>
          <w:tcPr>
            <w:tcW w:w="4140" w:type="dxa"/>
            <w:vAlign w:val="bottom"/>
            <w:shd w:val="clear" w:color="auto" w:fill="CEFFE7"/>
          </w:tcPr>
          <w:p>
            <w:pPr>
              <w:spacing w:after="0"/>
              <w:rPr>
                <w:sz w:val="20"/>
                <w:szCs w:val="20"/>
                <w:color w:val="auto"/>
              </w:rPr>
            </w:pPr>
            <w:r>
              <w:rPr>
                <w:rFonts w:ascii="Arial" w:cs="Arial" w:eastAsia="Arial" w:hAnsi="Arial"/>
                <w:sz w:val="16"/>
                <w:szCs w:val="16"/>
                <w:color w:val="auto"/>
              </w:rPr>
              <w:t>yoming Electric</w:t>
            </w:r>
          </w:p>
        </w:tc>
        <w:tc>
          <w:tcPr>
            <w:tcW w:w="980" w:type="dxa"/>
            <w:vAlign w:val="bottom"/>
            <w:shd w:val="clear" w:color="auto" w:fill="CEFFE7"/>
          </w:tcPr>
          <w:p>
            <w:pPr>
              <w:spacing w:after="0"/>
              <w:rPr>
                <w:sz w:val="19"/>
                <w:szCs w:val="19"/>
                <w:color w:val="auto"/>
              </w:rPr>
            </w:pPr>
          </w:p>
        </w:tc>
        <w:tc>
          <w:tcPr>
            <w:tcW w:w="2000" w:type="dxa"/>
            <w:vAlign w:val="bottom"/>
            <w:shd w:val="clear" w:color="auto" w:fill="CEFFE7"/>
          </w:tcPr>
          <w:p>
            <w:pPr>
              <w:jc w:val="right"/>
              <w:ind w:right="1379"/>
              <w:spacing w:after="0"/>
              <w:rPr>
                <w:sz w:val="20"/>
                <w:szCs w:val="20"/>
                <w:color w:val="auto"/>
              </w:rPr>
            </w:pPr>
            <w:r>
              <w:rPr>
                <w:rFonts w:ascii="Arial" w:cs="Arial" w:eastAsia="Arial" w:hAnsi="Arial"/>
                <w:sz w:val="16"/>
                <w:szCs w:val="16"/>
                <w:color w:val="auto"/>
              </w:rPr>
              <w:t>3,261</w:t>
            </w:r>
          </w:p>
        </w:tc>
        <w:tc>
          <w:tcPr>
            <w:tcW w:w="320" w:type="dxa"/>
            <w:vAlign w:val="bottom"/>
            <w:shd w:val="clear" w:color="auto" w:fill="CEFFE7"/>
          </w:tcPr>
          <w:p>
            <w:pPr>
              <w:jc w:val="center"/>
              <w:ind w:left="74"/>
              <w:spacing w:after="0"/>
              <w:rPr>
                <w:sz w:val="20"/>
                <w:szCs w:val="20"/>
                <w:color w:val="auto"/>
              </w:rPr>
            </w:pPr>
            <w:r>
              <w:rPr>
                <w:rFonts w:ascii="Arial" w:cs="Arial" w:eastAsia="Arial" w:hAnsi="Arial"/>
                <w:sz w:val="13"/>
                <w:szCs w:val="13"/>
                <w:color w:val="auto"/>
                <w:w w:val="74"/>
              </w:rPr>
              <w:t>8%</w:t>
            </w:r>
          </w:p>
        </w:tc>
        <w:tc>
          <w:tcPr>
            <w:tcW w:w="2160" w:type="dxa"/>
            <w:vAlign w:val="bottom"/>
            <w:gridSpan w:val="2"/>
            <w:shd w:val="clear" w:color="auto" w:fill="CEFFE7"/>
          </w:tcPr>
          <w:p>
            <w:pPr>
              <w:jc w:val="right"/>
              <w:ind w:right="459"/>
              <w:spacing w:after="0"/>
              <w:rPr>
                <w:sz w:val="20"/>
                <w:szCs w:val="20"/>
                <w:color w:val="auto"/>
              </w:rPr>
            </w:pPr>
            <w:r>
              <w:rPr>
                <w:rFonts w:ascii="Arial" w:cs="Arial" w:eastAsia="Arial" w:hAnsi="Arial"/>
                <w:sz w:val="16"/>
                <w:szCs w:val="16"/>
                <w:color w:val="auto"/>
              </w:rPr>
              <w:t>2,999</w:t>
            </w:r>
          </w:p>
        </w:tc>
        <w:tc>
          <w:tcPr>
            <w:tcW w:w="12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w:t>
            </w:r>
          </w:p>
        </w:tc>
        <w:tc>
          <w:tcPr>
            <w:tcW w:w="40" w:type="dxa"/>
            <w:vAlign w:val="bottom"/>
          </w:tcPr>
          <w:p>
            <w:pPr>
              <w:spacing w:after="0"/>
              <w:rPr>
                <w:sz w:val="19"/>
                <w:szCs w:val="19"/>
                <w:color w:val="auto"/>
              </w:rPr>
            </w:pPr>
          </w:p>
        </w:tc>
      </w:tr>
      <w:tr>
        <w:trPr>
          <w:trHeight w:val="281"/>
        </w:trPr>
        <w:tc>
          <w:tcPr>
            <w:tcW w:w="4280" w:type="dxa"/>
            <w:vAlign w:val="bottom"/>
            <w:gridSpan w:val="2"/>
          </w:tcPr>
          <w:p>
            <w:pPr>
              <w:ind w:left="80"/>
              <w:spacing w:after="0"/>
              <w:rPr>
                <w:sz w:val="20"/>
                <w:szCs w:val="20"/>
                <w:color w:val="auto"/>
              </w:rPr>
            </w:pPr>
            <w:r>
              <w:rPr>
                <w:rFonts w:ascii="Arial" w:cs="Arial" w:eastAsia="Arial" w:hAnsi="Arial"/>
                <w:sz w:val="16"/>
                <w:szCs w:val="16"/>
                <w:color w:val="auto"/>
              </w:rPr>
              <w:t xml:space="preserve">Combined </w:t>
            </w:r>
            <w:r>
              <w:rPr>
                <w:rFonts w:ascii="Arial" w:cs="Arial" w:eastAsia="Arial" w:hAnsi="Arial"/>
                <w:sz w:val="21"/>
                <w:szCs w:val="21"/>
                <w:color w:val="auto"/>
                <w:vertAlign w:val="superscript"/>
              </w:rPr>
              <w:t>(a)</w:t>
            </w:r>
          </w:p>
        </w:tc>
        <w:tc>
          <w:tcPr>
            <w:tcW w:w="980" w:type="dxa"/>
            <w:vAlign w:val="bottom"/>
          </w:tcPr>
          <w:p>
            <w:pPr>
              <w:spacing w:after="0"/>
              <w:rPr>
                <w:sz w:val="24"/>
                <w:szCs w:val="24"/>
                <w:color w:val="auto"/>
              </w:rPr>
            </w:pPr>
          </w:p>
        </w:tc>
        <w:tc>
          <w:tcPr>
            <w:tcW w:w="2000" w:type="dxa"/>
            <w:vAlign w:val="bottom"/>
          </w:tcPr>
          <w:p>
            <w:pPr>
              <w:jc w:val="right"/>
              <w:ind w:right="1379"/>
              <w:spacing w:after="0"/>
              <w:rPr>
                <w:sz w:val="20"/>
                <w:szCs w:val="20"/>
                <w:color w:val="auto"/>
              </w:rPr>
            </w:pPr>
            <w:r>
              <w:rPr>
                <w:rFonts w:ascii="Arial" w:cs="Arial" w:eastAsia="Arial" w:hAnsi="Arial"/>
                <w:sz w:val="16"/>
                <w:szCs w:val="16"/>
                <w:color w:val="auto"/>
              </w:rPr>
              <w:t>3,040</w:t>
            </w:r>
          </w:p>
        </w:tc>
        <w:tc>
          <w:tcPr>
            <w:tcW w:w="320" w:type="dxa"/>
            <w:vAlign w:val="bottom"/>
          </w:tcPr>
          <w:p>
            <w:pPr>
              <w:jc w:val="center"/>
              <w:ind w:left="74"/>
              <w:spacing w:after="0"/>
              <w:rPr>
                <w:sz w:val="20"/>
                <w:szCs w:val="20"/>
                <w:color w:val="auto"/>
              </w:rPr>
            </w:pPr>
            <w:r>
              <w:rPr>
                <w:rFonts w:ascii="Arial" w:cs="Arial" w:eastAsia="Arial" w:hAnsi="Arial"/>
                <w:sz w:val="13"/>
                <w:szCs w:val="13"/>
                <w:color w:val="auto"/>
                <w:w w:val="74"/>
              </w:rPr>
              <w:t>4%</w:t>
            </w:r>
          </w:p>
        </w:tc>
        <w:tc>
          <w:tcPr>
            <w:tcW w:w="2160" w:type="dxa"/>
            <w:vAlign w:val="bottom"/>
            <w:gridSpan w:val="2"/>
          </w:tcPr>
          <w:p>
            <w:pPr>
              <w:jc w:val="right"/>
              <w:ind w:right="459"/>
              <w:spacing w:after="0"/>
              <w:rPr>
                <w:sz w:val="20"/>
                <w:szCs w:val="20"/>
                <w:color w:val="auto"/>
              </w:rPr>
            </w:pPr>
            <w:r>
              <w:rPr>
                <w:rFonts w:ascii="Arial" w:cs="Arial" w:eastAsia="Arial" w:hAnsi="Arial"/>
                <w:sz w:val="16"/>
                <w:szCs w:val="16"/>
                <w:color w:val="auto"/>
              </w:rPr>
              <w:t>2,789</w:t>
            </w:r>
          </w:p>
        </w:tc>
        <w:tc>
          <w:tcPr>
            <w:tcW w:w="1240" w:type="dxa"/>
            <w:vAlign w:val="bottom"/>
          </w:tcPr>
          <w:p>
            <w:pPr>
              <w:jc w:val="right"/>
              <w:spacing w:after="0"/>
              <w:rPr>
                <w:sz w:val="20"/>
                <w:szCs w:val="20"/>
                <w:color w:val="auto"/>
              </w:rPr>
            </w:pPr>
            <w:r>
              <w:rPr>
                <w:rFonts w:ascii="Arial" w:cs="Arial" w:eastAsia="Arial" w:hAnsi="Arial"/>
                <w:sz w:val="16"/>
                <w:szCs w:val="16"/>
                <w:color w:val="auto"/>
              </w:rPr>
              <w:t>(4)%</w:t>
            </w:r>
          </w:p>
        </w:tc>
        <w:tc>
          <w:tcPr>
            <w:tcW w:w="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-4095115</wp:posOffset>
            </wp:positionV>
            <wp:extent cx="6926580" cy="16319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926580" cy="163195"/>
                    </a:xfrm>
                    <a:prstGeom prst="rect">
                      <a:avLst/>
                    </a:prstGeom>
                    <a:noFill/>
                  </pic:spPr>
                </pic:pic>
              </a:graphicData>
            </a:graphic>
          </wp:anchor>
        </w:drawing>
        <w:drawing>
          <wp:anchor simplePos="0" relativeHeight="251657728" behindDoc="1" locked="0" layoutInCell="0" allowOverlap="1">
            <wp:simplePos x="0" y="0"/>
            <wp:positionH relativeFrom="column">
              <wp:posOffset>68580</wp:posOffset>
            </wp:positionH>
            <wp:positionV relativeFrom="paragraph">
              <wp:posOffset>-1755140</wp:posOffset>
            </wp:positionV>
            <wp:extent cx="6926580" cy="1543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26580" cy="154305"/>
                    </a:xfrm>
                    <a:prstGeom prst="rect">
                      <a:avLst/>
                    </a:prstGeom>
                    <a:noFill/>
                  </pic:spPr>
                </pic:pic>
              </a:graphicData>
            </a:graphic>
          </wp:anchor>
        </w:drawing>
        <w:drawing>
          <wp:anchor simplePos="0" relativeHeight="251657728" behindDoc="1" locked="0" layoutInCell="0" allowOverlap="1">
            <wp:simplePos x="0" y="0"/>
            <wp:positionH relativeFrom="column">
              <wp:posOffset>93980</wp:posOffset>
            </wp:positionH>
            <wp:positionV relativeFrom="paragraph">
              <wp:posOffset>-589280</wp:posOffset>
            </wp:positionV>
            <wp:extent cx="6875145" cy="1371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75145" cy="137160"/>
                    </a:xfrm>
                    <a:prstGeom prst="rect">
                      <a:avLst/>
                    </a:prstGeom>
                    <a:noFill/>
                  </pic:spPr>
                </pic:pic>
              </a:graphicData>
            </a:graphic>
          </wp:anchor>
        </w:drawing>
      </w:r>
    </w:p>
    <w:p>
      <w:pPr>
        <w:spacing w:after="0" w:line="11" w:lineRule="exact"/>
        <w:rPr>
          <w:sz w:val="20"/>
          <w:szCs w:val="20"/>
          <w:color w:val="auto"/>
        </w:rPr>
      </w:pPr>
    </w:p>
    <w:p>
      <w:pPr>
        <w:ind w:left="100"/>
        <w:spacing w:after="0"/>
        <w:rPr>
          <w:sz w:val="20"/>
          <w:szCs w:val="20"/>
          <w:color w:val="auto"/>
        </w:rPr>
      </w:pPr>
      <w:r>
        <w:rPr>
          <w:rFonts w:ascii="Arial" w:cs="Arial" w:eastAsia="Arial" w:hAnsi="Arial"/>
          <w:sz w:val="16"/>
          <w:szCs w:val="16"/>
          <w:color w:val="auto"/>
        </w:rPr>
        <w:t>____________________</w:t>
      </w:r>
    </w:p>
    <w:p>
      <w:pPr>
        <w:spacing w:after="0" w:line="8" w:lineRule="exact"/>
        <w:rPr>
          <w:sz w:val="20"/>
          <w:szCs w:val="20"/>
          <w:color w:val="auto"/>
        </w:rPr>
      </w:pPr>
    </w:p>
    <w:p>
      <w:pPr>
        <w:ind w:left="440" w:hanging="332"/>
        <w:spacing w:after="0"/>
        <w:tabs>
          <w:tab w:leader="none" w:pos="4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Combined actuals are calculated based on the weighted average number of total customers by state.</w:t>
      </w:r>
    </w:p>
    <w:p>
      <w:pPr>
        <w:spacing w:after="0" w:line="335" w:lineRule="exact"/>
        <w:rPr>
          <w:rFonts w:ascii="Arial" w:cs="Arial" w:eastAsia="Arial" w:hAnsi="Arial"/>
          <w:sz w:val="14"/>
          <w:szCs w:val="14"/>
          <w:color w:val="auto"/>
        </w:rPr>
      </w:pPr>
    </w:p>
    <w:p>
      <w:pPr>
        <w:ind w:left="5640"/>
        <w:spacing w:after="0"/>
        <w:rPr>
          <w:rFonts w:ascii="Arial" w:cs="Arial" w:eastAsia="Arial" w:hAnsi="Arial"/>
          <w:sz w:val="14"/>
          <w:szCs w:val="14"/>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212090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220" w:top="121" w:right="659" w:bottom="1440" w:gutter="0" w:footer="0" w:header="0"/>
        </w:sectPr>
      </w:pPr>
    </w:p>
    <w:bookmarkStart w:id="35" w:name="page36"/>
    <w:bookmarkEnd w:id="35"/>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480" w:type="dxa"/>
            <w:vAlign w:val="bottom"/>
          </w:tcPr>
          <w:p>
            <w:pPr>
              <w:spacing w:after="0"/>
              <w:rPr>
                <w:sz w:val="16"/>
                <w:szCs w:val="16"/>
                <w:color w:val="auto"/>
              </w:rPr>
            </w:pPr>
          </w:p>
        </w:tc>
        <w:tc>
          <w:tcPr>
            <w:tcW w:w="3740" w:type="dxa"/>
            <w:vAlign w:val="bottom"/>
            <w:tcBorders>
              <w:bottom w:val="single" w:sz="8" w:color="auto"/>
            </w:tcBorders>
            <w:gridSpan w:val="2"/>
          </w:tcPr>
          <w:p>
            <w:pPr>
              <w:jc w:val="right"/>
              <w:ind w:right="659"/>
              <w:spacing w:after="0"/>
              <w:rPr>
                <w:sz w:val="20"/>
                <w:szCs w:val="20"/>
                <w:color w:val="auto"/>
              </w:rPr>
            </w:pPr>
            <w:r>
              <w:rPr>
                <w:rFonts w:ascii="Arial" w:cs="Arial" w:eastAsia="Arial" w:hAnsi="Arial"/>
                <w:sz w:val="16"/>
                <w:szCs w:val="16"/>
                <w:color w:val="auto"/>
              </w:rPr>
              <w:t>Three Months Ended March 31,</w:t>
            </w:r>
          </w:p>
        </w:tc>
      </w:tr>
      <w:tr>
        <w:trPr>
          <w:trHeight w:val="215"/>
        </w:trPr>
        <w:tc>
          <w:tcPr>
            <w:tcW w:w="7480" w:type="dxa"/>
            <w:vAlign w:val="bottom"/>
            <w:tcBorders>
              <w:bottom w:val="single" w:sz="8" w:color="auto"/>
            </w:tcBorders>
          </w:tcPr>
          <w:p>
            <w:pPr>
              <w:ind w:left="20"/>
              <w:spacing w:after="0" w:line="216" w:lineRule="exact"/>
              <w:rPr>
                <w:sz w:val="20"/>
                <w:szCs w:val="20"/>
                <w:color w:val="auto"/>
              </w:rPr>
            </w:pPr>
            <w:r>
              <w:rPr>
                <w:rFonts w:ascii="Arial" w:cs="Arial" w:eastAsia="Arial" w:hAnsi="Arial"/>
                <w:sz w:val="16"/>
                <w:szCs w:val="16"/>
                <w:color w:val="auto"/>
              </w:rPr>
              <w:t xml:space="preserve">Contracted generating facilities availability by fuel type </w:t>
            </w:r>
            <w:r>
              <w:rPr>
                <w:rFonts w:ascii="Arial" w:cs="Arial" w:eastAsia="Arial" w:hAnsi="Arial"/>
                <w:sz w:val="21"/>
                <w:szCs w:val="21"/>
                <w:color w:val="auto"/>
                <w:vertAlign w:val="superscript"/>
              </w:rPr>
              <w:t>(a)</w:t>
            </w:r>
          </w:p>
        </w:tc>
        <w:tc>
          <w:tcPr>
            <w:tcW w:w="2240" w:type="dxa"/>
            <w:vAlign w:val="bottom"/>
            <w:tcBorders>
              <w:bottom w:val="single" w:sz="8" w:color="auto"/>
            </w:tcBorders>
          </w:tcPr>
          <w:p>
            <w:pPr>
              <w:jc w:val="right"/>
              <w:ind w:right="1039"/>
              <w:spacing w:after="0"/>
              <w:rPr>
                <w:sz w:val="20"/>
                <w:szCs w:val="20"/>
                <w:color w:val="auto"/>
              </w:rPr>
            </w:pPr>
            <w:r>
              <w:rPr>
                <w:rFonts w:ascii="Arial" w:cs="Arial" w:eastAsia="Arial" w:hAnsi="Arial"/>
                <w:sz w:val="16"/>
                <w:szCs w:val="16"/>
                <w:color w:val="auto"/>
              </w:rPr>
              <w:t>2021</w:t>
            </w:r>
          </w:p>
        </w:tc>
        <w:tc>
          <w:tcPr>
            <w:tcW w:w="150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color w:val="auto"/>
              </w:rPr>
              <w:t>2020</w:t>
            </w:r>
          </w:p>
        </w:tc>
      </w:tr>
      <w:tr>
        <w:trPr>
          <w:trHeight w:val="210"/>
        </w:trPr>
        <w:tc>
          <w:tcPr>
            <w:tcW w:w="7480" w:type="dxa"/>
            <w:vAlign w:val="bottom"/>
            <w:shd w:val="clear" w:color="auto" w:fill="CEFFE7"/>
          </w:tcPr>
          <w:p>
            <w:pPr>
              <w:ind w:left="20"/>
              <w:spacing w:after="0" w:line="210" w:lineRule="exact"/>
              <w:rPr>
                <w:sz w:val="20"/>
                <w:szCs w:val="20"/>
                <w:color w:val="auto"/>
              </w:rPr>
            </w:pPr>
            <w:r>
              <w:rPr>
                <w:rFonts w:ascii="Arial" w:cs="Arial" w:eastAsia="Arial" w:hAnsi="Arial"/>
                <w:sz w:val="16"/>
                <w:szCs w:val="16"/>
                <w:color w:val="auto"/>
              </w:rPr>
              <w:t xml:space="preserve">Coal </w:t>
            </w:r>
            <w:r>
              <w:rPr>
                <w:rFonts w:ascii="Arial" w:cs="Arial" w:eastAsia="Arial" w:hAnsi="Arial"/>
                <w:sz w:val="21"/>
                <w:szCs w:val="21"/>
                <w:color w:val="auto"/>
                <w:vertAlign w:val="superscript"/>
              </w:rPr>
              <w:t>(b)</w:t>
            </w:r>
          </w:p>
        </w:tc>
        <w:tc>
          <w:tcPr>
            <w:tcW w:w="2240" w:type="dxa"/>
            <w:vAlign w:val="bottom"/>
            <w:shd w:val="clear" w:color="auto" w:fill="CEFFE7"/>
          </w:tcPr>
          <w:p>
            <w:pPr>
              <w:jc w:val="right"/>
              <w:ind w:right="299"/>
              <w:spacing w:after="0"/>
              <w:rPr>
                <w:sz w:val="20"/>
                <w:szCs w:val="20"/>
                <w:color w:val="auto"/>
              </w:rPr>
            </w:pPr>
            <w:r>
              <w:rPr>
                <w:rFonts w:ascii="Arial" w:cs="Arial" w:eastAsia="Arial" w:hAnsi="Arial"/>
                <w:sz w:val="16"/>
                <w:szCs w:val="16"/>
                <w:color w:val="auto"/>
              </w:rPr>
              <w:t>83.7 %</w:t>
            </w:r>
          </w:p>
        </w:tc>
        <w:tc>
          <w:tcPr>
            <w:tcW w:w="15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90.8 %</w:t>
            </w:r>
          </w:p>
        </w:tc>
      </w:tr>
      <w:tr>
        <w:trPr>
          <w:trHeight w:val="216"/>
        </w:trPr>
        <w:tc>
          <w:tcPr>
            <w:tcW w:w="748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Natural Gas and diesel oil </w:t>
            </w:r>
            <w:r>
              <w:rPr>
                <w:rFonts w:ascii="Arial" w:cs="Arial" w:eastAsia="Arial" w:hAnsi="Arial"/>
                <w:sz w:val="21"/>
                <w:szCs w:val="21"/>
                <w:color w:val="auto"/>
                <w:vertAlign w:val="superscript"/>
              </w:rPr>
              <w:t>(b) (c)</w:t>
            </w:r>
          </w:p>
        </w:tc>
        <w:tc>
          <w:tcPr>
            <w:tcW w:w="2240" w:type="dxa"/>
            <w:vAlign w:val="bottom"/>
          </w:tcPr>
          <w:p>
            <w:pPr>
              <w:jc w:val="right"/>
              <w:ind w:right="299"/>
              <w:spacing w:after="0"/>
              <w:rPr>
                <w:sz w:val="20"/>
                <w:szCs w:val="20"/>
                <w:color w:val="auto"/>
              </w:rPr>
            </w:pPr>
            <w:r>
              <w:rPr>
                <w:rFonts w:ascii="Arial" w:cs="Arial" w:eastAsia="Arial" w:hAnsi="Arial"/>
                <w:sz w:val="16"/>
                <w:szCs w:val="16"/>
                <w:color w:val="auto"/>
              </w:rPr>
              <w:t>87.6 %</w:t>
            </w:r>
          </w:p>
        </w:tc>
        <w:tc>
          <w:tcPr>
            <w:tcW w:w="1500" w:type="dxa"/>
            <w:vAlign w:val="bottom"/>
          </w:tcPr>
          <w:p>
            <w:pPr>
              <w:jc w:val="right"/>
              <w:spacing w:after="0"/>
              <w:rPr>
                <w:sz w:val="20"/>
                <w:szCs w:val="20"/>
                <w:color w:val="auto"/>
              </w:rPr>
            </w:pPr>
            <w:r>
              <w:rPr>
                <w:rFonts w:ascii="Arial" w:cs="Arial" w:eastAsia="Arial" w:hAnsi="Arial"/>
                <w:sz w:val="16"/>
                <w:szCs w:val="16"/>
                <w:color w:val="auto"/>
              </w:rPr>
              <w:t>83.5 %</w:t>
            </w:r>
          </w:p>
        </w:tc>
      </w:tr>
      <w:tr>
        <w:trPr>
          <w:trHeight w:val="216"/>
        </w:trPr>
        <w:tc>
          <w:tcPr>
            <w:tcW w:w="7480" w:type="dxa"/>
            <w:vAlign w:val="bottom"/>
            <w:shd w:val="clear" w:color="auto" w:fill="CEFFE7"/>
          </w:tcPr>
          <w:p>
            <w:pPr>
              <w:ind w:left="20"/>
              <w:spacing w:after="0"/>
              <w:rPr>
                <w:sz w:val="20"/>
                <w:szCs w:val="20"/>
                <w:color w:val="auto"/>
              </w:rPr>
            </w:pPr>
            <w:r>
              <w:rPr>
                <w:rFonts w:ascii="Arial" w:cs="Arial" w:eastAsia="Arial" w:hAnsi="Arial"/>
                <w:sz w:val="16"/>
                <w:szCs w:val="16"/>
                <w:color w:val="auto"/>
              </w:rPr>
              <w:t>Wind</w:t>
            </w:r>
          </w:p>
        </w:tc>
        <w:tc>
          <w:tcPr>
            <w:tcW w:w="2240" w:type="dxa"/>
            <w:vAlign w:val="bottom"/>
            <w:shd w:val="clear" w:color="auto" w:fill="CEFFE7"/>
          </w:tcPr>
          <w:p>
            <w:pPr>
              <w:jc w:val="right"/>
              <w:ind w:right="299"/>
              <w:spacing w:after="0"/>
              <w:rPr>
                <w:sz w:val="20"/>
                <w:szCs w:val="20"/>
                <w:color w:val="auto"/>
              </w:rPr>
            </w:pPr>
            <w:r>
              <w:rPr>
                <w:rFonts w:ascii="Arial" w:cs="Arial" w:eastAsia="Arial" w:hAnsi="Arial"/>
                <w:sz w:val="16"/>
                <w:szCs w:val="16"/>
                <w:color w:val="auto"/>
              </w:rPr>
              <w:t>93.5 %</w:t>
            </w:r>
          </w:p>
        </w:tc>
        <w:tc>
          <w:tcPr>
            <w:tcW w:w="15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99.0 %</w:t>
            </w:r>
          </w:p>
        </w:tc>
      </w:tr>
      <w:tr>
        <w:trPr>
          <w:trHeight w:val="213"/>
        </w:trPr>
        <w:tc>
          <w:tcPr>
            <w:tcW w:w="7480" w:type="dxa"/>
            <w:vAlign w:val="bottom"/>
          </w:tcPr>
          <w:p>
            <w:pPr>
              <w:ind w:left="20"/>
              <w:spacing w:after="0"/>
              <w:rPr>
                <w:sz w:val="20"/>
                <w:szCs w:val="20"/>
                <w:color w:val="auto"/>
              </w:rPr>
            </w:pPr>
            <w:r>
              <w:rPr>
                <w:rFonts w:ascii="Arial" w:cs="Arial" w:eastAsia="Arial" w:hAnsi="Arial"/>
                <w:sz w:val="16"/>
                <w:szCs w:val="16"/>
                <w:color w:val="auto"/>
              </w:rPr>
              <w:t>Total availability</w:t>
            </w:r>
          </w:p>
        </w:tc>
        <w:tc>
          <w:tcPr>
            <w:tcW w:w="2240" w:type="dxa"/>
            <w:vAlign w:val="bottom"/>
          </w:tcPr>
          <w:p>
            <w:pPr>
              <w:jc w:val="right"/>
              <w:ind w:right="299"/>
              <w:spacing w:after="0"/>
              <w:rPr>
                <w:sz w:val="20"/>
                <w:szCs w:val="20"/>
                <w:color w:val="auto"/>
              </w:rPr>
            </w:pPr>
            <w:r>
              <w:rPr>
                <w:rFonts w:ascii="Arial" w:cs="Arial" w:eastAsia="Arial" w:hAnsi="Arial"/>
                <w:sz w:val="16"/>
                <w:szCs w:val="16"/>
                <w:color w:val="auto"/>
              </w:rPr>
              <w:t>87.2 %</w:t>
            </w:r>
          </w:p>
        </w:tc>
        <w:tc>
          <w:tcPr>
            <w:tcW w:w="1500" w:type="dxa"/>
            <w:vAlign w:val="bottom"/>
          </w:tcPr>
          <w:p>
            <w:pPr>
              <w:jc w:val="right"/>
              <w:spacing w:after="0"/>
              <w:rPr>
                <w:sz w:val="20"/>
                <w:szCs w:val="20"/>
                <w:color w:val="auto"/>
              </w:rPr>
            </w:pPr>
            <w:r>
              <w:rPr>
                <w:rFonts w:ascii="Arial" w:cs="Arial" w:eastAsia="Arial" w:hAnsi="Arial"/>
                <w:sz w:val="16"/>
                <w:szCs w:val="16"/>
                <w:color w:val="auto"/>
              </w:rPr>
              <w:t>87.1 %</w:t>
            </w:r>
          </w:p>
        </w:tc>
      </w:tr>
      <w:tr>
        <w:trPr>
          <w:trHeight w:val="165"/>
        </w:trPr>
        <w:tc>
          <w:tcPr>
            <w:tcW w:w="7480" w:type="dxa"/>
            <w:vAlign w:val="bottom"/>
            <w:shd w:val="clear" w:color="auto" w:fill="CEFFE7"/>
          </w:tcPr>
          <w:p>
            <w:pPr>
              <w:spacing w:after="0"/>
              <w:rPr>
                <w:sz w:val="14"/>
                <w:szCs w:val="14"/>
                <w:color w:val="auto"/>
              </w:rPr>
            </w:pPr>
          </w:p>
        </w:tc>
        <w:tc>
          <w:tcPr>
            <w:tcW w:w="2240" w:type="dxa"/>
            <w:vAlign w:val="bottom"/>
            <w:shd w:val="clear" w:color="auto" w:fill="CEFFE7"/>
          </w:tcPr>
          <w:p>
            <w:pPr>
              <w:spacing w:after="0"/>
              <w:rPr>
                <w:sz w:val="14"/>
                <w:szCs w:val="14"/>
                <w:color w:val="auto"/>
              </w:rPr>
            </w:pPr>
          </w:p>
        </w:tc>
        <w:tc>
          <w:tcPr>
            <w:tcW w:w="1500" w:type="dxa"/>
            <w:vAlign w:val="bottom"/>
            <w:shd w:val="clear" w:color="auto" w:fill="CEFFE7"/>
          </w:tcPr>
          <w:p>
            <w:pPr>
              <w:spacing w:after="0"/>
              <w:rPr>
                <w:sz w:val="14"/>
                <w:szCs w:val="14"/>
                <w:color w:val="auto"/>
              </w:rPr>
            </w:pPr>
          </w:p>
        </w:tc>
      </w:tr>
      <w:tr>
        <w:trPr>
          <w:trHeight w:val="210"/>
        </w:trPr>
        <w:tc>
          <w:tcPr>
            <w:tcW w:w="7480" w:type="dxa"/>
            <w:vAlign w:val="bottom"/>
          </w:tcPr>
          <w:p>
            <w:pPr>
              <w:ind w:left="20"/>
              <w:spacing w:after="0"/>
              <w:rPr>
                <w:sz w:val="20"/>
                <w:szCs w:val="20"/>
                <w:color w:val="auto"/>
              </w:rPr>
            </w:pPr>
            <w:r>
              <w:rPr>
                <w:rFonts w:ascii="Arial" w:cs="Arial" w:eastAsia="Arial" w:hAnsi="Arial"/>
                <w:sz w:val="16"/>
                <w:szCs w:val="16"/>
                <w:color w:val="auto"/>
              </w:rPr>
              <w:t>Wind capacity factor</w:t>
            </w:r>
          </w:p>
        </w:tc>
        <w:tc>
          <w:tcPr>
            <w:tcW w:w="2240" w:type="dxa"/>
            <w:vAlign w:val="bottom"/>
          </w:tcPr>
          <w:p>
            <w:pPr>
              <w:jc w:val="right"/>
              <w:ind w:right="299"/>
              <w:spacing w:after="0"/>
              <w:rPr>
                <w:sz w:val="20"/>
                <w:szCs w:val="20"/>
                <w:color w:val="auto"/>
              </w:rPr>
            </w:pPr>
            <w:r>
              <w:rPr>
                <w:rFonts w:ascii="Arial" w:cs="Arial" w:eastAsia="Arial" w:hAnsi="Arial"/>
                <w:sz w:val="16"/>
                <w:szCs w:val="16"/>
                <w:color w:val="auto"/>
              </w:rPr>
              <w:t>43.1 %</w:t>
            </w:r>
          </w:p>
        </w:tc>
        <w:tc>
          <w:tcPr>
            <w:tcW w:w="1500" w:type="dxa"/>
            <w:vAlign w:val="bottom"/>
          </w:tcPr>
          <w:p>
            <w:pPr>
              <w:jc w:val="right"/>
              <w:spacing w:after="0"/>
              <w:rPr>
                <w:sz w:val="20"/>
                <w:szCs w:val="20"/>
                <w:color w:val="auto"/>
              </w:rPr>
            </w:pPr>
            <w:r>
              <w:rPr>
                <w:rFonts w:ascii="Arial" w:cs="Arial" w:eastAsia="Arial" w:hAnsi="Arial"/>
                <w:sz w:val="16"/>
                <w:szCs w:val="16"/>
                <w:color w:val="auto"/>
              </w:rPr>
              <w:t>45.6 %</w:t>
            </w:r>
          </w:p>
        </w:tc>
      </w:tr>
      <w:tr>
        <w:trPr>
          <w:trHeight w:val="281"/>
        </w:trPr>
        <w:tc>
          <w:tcPr>
            <w:tcW w:w="7480" w:type="dxa"/>
            <w:vAlign w:val="bottom"/>
          </w:tcPr>
          <w:p>
            <w:pPr>
              <w:spacing w:after="0"/>
              <w:rPr>
                <w:sz w:val="20"/>
                <w:szCs w:val="20"/>
                <w:color w:val="auto"/>
              </w:rPr>
            </w:pPr>
            <w:r>
              <w:rPr>
                <w:rFonts w:ascii="Arial" w:cs="Arial" w:eastAsia="Arial" w:hAnsi="Arial"/>
                <w:sz w:val="16"/>
                <w:szCs w:val="16"/>
                <w:color w:val="auto"/>
              </w:rPr>
              <w:t>____________________</w:t>
            </w:r>
          </w:p>
        </w:tc>
        <w:tc>
          <w:tcPr>
            <w:tcW w:w="2240" w:type="dxa"/>
            <w:vAlign w:val="bottom"/>
          </w:tcPr>
          <w:p>
            <w:pPr>
              <w:spacing w:after="0"/>
              <w:rPr>
                <w:sz w:val="24"/>
                <w:szCs w:val="24"/>
                <w:color w:val="auto"/>
              </w:rPr>
            </w:pPr>
          </w:p>
        </w:tc>
        <w:tc>
          <w:tcPr>
            <w:tcW w:w="1500" w:type="dxa"/>
            <w:vAlign w:val="bottom"/>
          </w:tcPr>
          <w:p>
            <w:pPr>
              <w:spacing w:after="0"/>
              <w:rPr>
                <w:sz w:val="24"/>
                <w:szCs w:val="24"/>
                <w:color w:val="auto"/>
              </w:rPr>
            </w:pPr>
          </w:p>
        </w:tc>
      </w:tr>
    </w:tbl>
    <w:p>
      <w:pPr>
        <w:ind w:left="340" w:hanging="332"/>
        <w:spacing w:after="0"/>
        <w:tabs>
          <w:tab w:leader="none" w:pos="3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Availability and wind capacity factor are calculated using a weighted average based on capacity of our generating fleet.</w:t>
      </w:r>
    </w:p>
    <w:p>
      <w:pPr>
        <w:spacing w:after="0" w:line="1" w:lineRule="exact"/>
        <w:rPr>
          <w:rFonts w:ascii="Arial" w:cs="Arial" w:eastAsia="Arial" w:hAnsi="Arial"/>
          <w:sz w:val="14"/>
          <w:szCs w:val="14"/>
          <w:color w:val="auto"/>
        </w:rPr>
      </w:pPr>
    </w:p>
    <w:p>
      <w:pPr>
        <w:ind w:left="380" w:hanging="372"/>
        <w:spacing w:after="0"/>
        <w:tabs>
          <w:tab w:leader="none" w:pos="380" w:val="left"/>
        </w:tabs>
        <w:numPr>
          <w:ilvl w:val="0"/>
          <w:numId w:val="27"/>
        </w:numPr>
        <w:rPr>
          <w:rFonts w:ascii="Arial" w:cs="Arial" w:eastAsia="Arial" w:hAnsi="Arial"/>
          <w:sz w:val="14"/>
          <w:szCs w:val="14"/>
          <w:color w:val="auto"/>
        </w:rPr>
      </w:pPr>
      <w:r>
        <w:rPr>
          <w:rFonts w:ascii="Arial" w:cs="Arial" w:eastAsia="Arial" w:hAnsi="Arial"/>
          <w:sz w:val="14"/>
          <w:szCs w:val="14"/>
          <w:color w:val="auto"/>
        </w:rPr>
        <w:t>2021 included a planned outage at Wygen II and unplanned outages at Neil Simpson II and Pueblo Airport Generation.</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2020 included an unplanned outage at Pueblo Airport Generation.</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220" w:type="dxa"/>
            <w:vAlign w:val="bottom"/>
            <w:gridSpan w:val="2"/>
          </w:tcPr>
          <w:p>
            <w:pPr>
              <w:spacing w:after="0"/>
              <w:rPr>
                <w:sz w:val="20"/>
                <w:szCs w:val="20"/>
                <w:color w:val="auto"/>
              </w:rPr>
            </w:pPr>
            <w:r>
              <w:rPr>
                <w:rFonts w:ascii="Arial" w:cs="Arial" w:eastAsia="Arial" w:hAnsi="Arial"/>
                <w:sz w:val="16"/>
                <w:szCs w:val="16"/>
                <w:b w:val="1"/>
                <w:bCs w:val="1"/>
                <w:color w:val="auto"/>
              </w:rPr>
              <w:t>Gas Utilities</w:t>
            </w:r>
          </w:p>
        </w:tc>
        <w:tc>
          <w:tcPr>
            <w:tcW w:w="2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5220" w:type="dxa"/>
            <w:vAlign w:val="bottom"/>
            <w:gridSpan w:val="2"/>
          </w:tcPr>
          <w:p>
            <w:pPr>
              <w:spacing w:after="0"/>
              <w:rPr>
                <w:sz w:val="20"/>
                <w:szCs w:val="20"/>
                <w:color w:val="auto"/>
              </w:rPr>
            </w:pPr>
            <w:r>
              <w:rPr>
                <w:rFonts w:ascii="Arial" w:cs="Arial" w:eastAsia="Arial" w:hAnsi="Arial"/>
                <w:sz w:val="16"/>
                <w:szCs w:val="16"/>
                <w:color w:val="auto"/>
              </w:rPr>
              <w:t>Operating results for the Gas Utilities were as follows (in thousands):</w:t>
            </w:r>
          </w:p>
        </w:tc>
        <w:tc>
          <w:tcPr>
            <w:tcW w:w="2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20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720" w:type="dxa"/>
            <w:vAlign w:val="bottom"/>
            <w:gridSpan w:val="6"/>
          </w:tcPr>
          <w:p>
            <w:pPr>
              <w:ind w:left="560"/>
              <w:spacing w:after="0"/>
              <w:rPr>
                <w:sz w:val="20"/>
                <w:szCs w:val="20"/>
                <w:color w:val="auto"/>
              </w:rPr>
            </w:pPr>
            <w:r>
              <w:rPr>
                <w:rFonts w:ascii="Arial" w:cs="Arial" w:eastAsia="Arial" w:hAnsi="Arial"/>
                <w:sz w:val="16"/>
                <w:szCs w:val="16"/>
                <w:color w:val="auto"/>
              </w:rPr>
              <w:t>Three Months Ended March 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ind w:right="379"/>
              <w:spacing w:after="0"/>
              <w:rPr>
                <w:sz w:val="20"/>
                <w:szCs w:val="20"/>
                <w:color w:val="auto"/>
              </w:rPr>
            </w:pPr>
            <w:r>
              <w:rPr>
                <w:rFonts w:ascii="Arial" w:cs="Arial" w:eastAsia="Arial" w:hAnsi="Arial"/>
                <w:sz w:val="16"/>
                <w:szCs w:val="16"/>
                <w:color w:val="auto"/>
              </w:rPr>
              <w:t>2021</w:t>
            </w:r>
          </w:p>
        </w:tc>
        <w:tc>
          <w:tcPr>
            <w:tcW w:w="340" w:type="dxa"/>
            <w:vAlign w:val="bottom"/>
          </w:tcPr>
          <w:p>
            <w:pPr>
              <w:spacing w:after="0"/>
              <w:rPr>
                <w:sz w:val="18"/>
                <w:szCs w:val="18"/>
                <w:color w:val="auto"/>
              </w:rPr>
            </w:pPr>
          </w:p>
        </w:tc>
        <w:tc>
          <w:tcPr>
            <w:tcW w:w="1000" w:type="dxa"/>
            <w:vAlign w:val="bottom"/>
          </w:tcPr>
          <w:p>
            <w:pPr>
              <w:jc w:val="right"/>
              <w:ind w:right="379"/>
              <w:spacing w:after="0"/>
              <w:rPr>
                <w:sz w:val="20"/>
                <w:szCs w:val="20"/>
                <w:color w:val="auto"/>
              </w:rPr>
            </w:pPr>
            <w:r>
              <w:rPr>
                <w:rFonts w:ascii="Arial" w:cs="Arial" w:eastAsia="Arial" w:hAnsi="Arial"/>
                <w:sz w:val="16"/>
                <w:szCs w:val="16"/>
                <w:color w:val="auto"/>
              </w:rPr>
              <w:t>2020</w:t>
            </w:r>
          </w:p>
        </w:tc>
        <w:tc>
          <w:tcPr>
            <w:tcW w:w="260" w:type="dxa"/>
            <w:vAlign w:val="bottom"/>
          </w:tcPr>
          <w:p>
            <w:pPr>
              <w:spacing w:after="0"/>
              <w:rPr>
                <w:sz w:val="18"/>
                <w:szCs w:val="18"/>
                <w:color w:val="auto"/>
              </w:rPr>
            </w:pPr>
          </w:p>
        </w:tc>
        <w:tc>
          <w:tcPr>
            <w:tcW w:w="1120" w:type="dxa"/>
            <w:vAlign w:val="bottom"/>
            <w:gridSpan w:val="2"/>
          </w:tcPr>
          <w:p>
            <w:pPr>
              <w:ind w:left="120"/>
              <w:spacing w:after="0"/>
              <w:rPr>
                <w:sz w:val="20"/>
                <w:szCs w:val="20"/>
                <w:color w:val="auto"/>
              </w:rPr>
            </w:pPr>
            <w:r>
              <w:rPr>
                <w:rFonts w:ascii="Arial" w:cs="Arial" w:eastAsia="Arial" w:hAnsi="Arial"/>
                <w:sz w:val="16"/>
                <w:szCs w:val="16"/>
                <w:color w:val="auto"/>
              </w:rPr>
              <w:t>Variance</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200" w:type="dxa"/>
            <w:vAlign w:val="bottom"/>
          </w:tcPr>
          <w:p>
            <w:pPr>
              <w:ind w:left="20"/>
              <w:spacing w:after="0"/>
              <w:rPr>
                <w:sz w:val="20"/>
                <w:szCs w:val="20"/>
                <w:color w:val="auto"/>
              </w:rPr>
            </w:pPr>
            <w:r>
              <w:rPr>
                <w:rFonts w:ascii="Arial" w:cs="Arial" w:eastAsia="Arial" w:hAnsi="Arial"/>
                <w:sz w:val="16"/>
                <w:szCs w:val="16"/>
                <w:color w:val="auto"/>
              </w:rPr>
              <w:t>Revenue:</w:t>
            </w:r>
          </w:p>
        </w:tc>
        <w:tc>
          <w:tcPr>
            <w:tcW w:w="20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200" w:type="dxa"/>
            <w:vAlign w:val="bottom"/>
            <w:shd w:val="clear" w:color="auto" w:fill="CEFFE7"/>
          </w:tcPr>
          <w:p>
            <w:pPr>
              <w:ind w:left="140"/>
              <w:spacing w:after="0"/>
              <w:rPr>
                <w:sz w:val="20"/>
                <w:szCs w:val="20"/>
                <w:color w:val="auto"/>
              </w:rPr>
            </w:pPr>
            <w:r>
              <w:rPr>
                <w:rFonts w:ascii="Arial" w:cs="Arial" w:eastAsia="Arial" w:hAnsi="Arial"/>
                <w:sz w:val="16"/>
                <w:szCs w:val="16"/>
                <w:color w:val="auto"/>
              </w:rPr>
              <w:t>Natural gas - regulated</w:t>
            </w:r>
          </w:p>
        </w:tc>
        <w:tc>
          <w:tcPr>
            <w:tcW w:w="2300" w:type="dxa"/>
            <w:vAlign w:val="bottom"/>
            <w:gridSpan w:val="2"/>
            <w:shd w:val="clear" w:color="auto" w:fill="CEFFE7"/>
          </w:tcPr>
          <w:p>
            <w:pPr>
              <w:jc w:val="right"/>
              <w:ind w:right="20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378,077</w:t>
            </w:r>
          </w:p>
        </w:tc>
        <w:tc>
          <w:tcPr>
            <w:tcW w:w="340" w:type="dxa"/>
            <w:vAlign w:val="bottom"/>
            <w:shd w:val="clear" w:color="auto" w:fill="CEFFE7"/>
          </w:tcPr>
          <w:p>
            <w:pPr>
              <w:jc w:val="right"/>
              <w:ind w:right="11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335,897</w:t>
            </w:r>
          </w:p>
        </w:tc>
        <w:tc>
          <w:tcPr>
            <w:tcW w:w="260" w:type="dxa"/>
            <w:vAlign w:val="bottom"/>
            <w:shd w:val="clear" w:color="auto" w:fill="CEFFE7"/>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42,180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200" w:type="dxa"/>
            <w:vAlign w:val="bottom"/>
            <w:tcBorders>
              <w:bottom w:val="single" w:sz="8" w:color="CEFFE7"/>
            </w:tcBorders>
          </w:tcPr>
          <w:p>
            <w:pPr>
              <w:ind w:left="140"/>
              <w:spacing w:after="0"/>
              <w:rPr>
                <w:sz w:val="20"/>
                <w:szCs w:val="20"/>
                <w:color w:val="auto"/>
              </w:rPr>
            </w:pPr>
            <w:r>
              <w:rPr>
                <w:rFonts w:ascii="Arial" w:cs="Arial" w:eastAsia="Arial" w:hAnsi="Arial"/>
                <w:sz w:val="16"/>
                <w:szCs w:val="16"/>
                <w:color w:val="auto"/>
              </w:rPr>
              <w:t>Other - non-regulated services</w:t>
            </w:r>
          </w:p>
        </w:tc>
        <w:tc>
          <w:tcPr>
            <w:tcW w:w="2000" w:type="dxa"/>
            <w:vAlign w:val="bottom"/>
            <w:tcBorders>
              <w:bottom w:val="single" w:sz="8" w:color="CEFFE7"/>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24,442</w:t>
            </w:r>
          </w:p>
        </w:tc>
        <w:tc>
          <w:tcPr>
            <w:tcW w:w="3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24,876</w:t>
            </w: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00" w:type="dxa"/>
            <w:vAlign w:val="bottom"/>
            <w:shd w:val="clear" w:color="auto" w:fill="CEFFE7"/>
          </w:tcPr>
          <w:p>
            <w:pPr>
              <w:ind w:left="540"/>
              <w:spacing w:after="0"/>
              <w:rPr>
                <w:sz w:val="20"/>
                <w:szCs w:val="20"/>
                <w:color w:val="auto"/>
              </w:rPr>
            </w:pPr>
            <w:r>
              <w:rPr>
                <w:rFonts w:ascii="Arial" w:cs="Arial" w:eastAsia="Arial" w:hAnsi="Arial"/>
                <w:sz w:val="16"/>
                <w:szCs w:val="16"/>
                <w:color w:val="auto"/>
              </w:rPr>
              <w:t>Total revenue</w:t>
            </w:r>
          </w:p>
        </w:tc>
        <w:tc>
          <w:tcPr>
            <w:tcW w:w="2000" w:type="dxa"/>
            <w:vAlign w:val="bottom"/>
            <w:shd w:val="clear" w:color="auto" w:fill="CEFFE7"/>
          </w:tcPr>
          <w:p>
            <w:pPr>
              <w:spacing w:after="0"/>
              <w:rPr>
                <w:sz w:val="18"/>
                <w:szCs w:val="18"/>
                <w:color w:val="auto"/>
              </w:rPr>
            </w:pPr>
          </w:p>
        </w:tc>
        <w:tc>
          <w:tcPr>
            <w:tcW w:w="300" w:type="dxa"/>
            <w:vAlign w:val="bottom"/>
            <w:tcBorders>
              <w:bottom w:val="single" w:sz="8" w:color="auto"/>
            </w:tcBorders>
            <w:shd w:val="clear" w:color="auto" w:fill="CEFFE7"/>
          </w:tcPr>
          <w:p>
            <w:pPr>
              <w:spacing w:after="0"/>
              <w:rPr>
                <w:sz w:val="18"/>
                <w:szCs w:val="18"/>
                <w:color w:val="auto"/>
              </w:rPr>
            </w:pPr>
          </w:p>
        </w:tc>
        <w:tc>
          <w:tcPr>
            <w:tcW w:w="10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402,519</w:t>
            </w:r>
          </w:p>
        </w:tc>
        <w:tc>
          <w:tcPr>
            <w:tcW w:w="340" w:type="dxa"/>
            <w:vAlign w:val="bottom"/>
            <w:tcBorders>
              <w:bottom w:val="single" w:sz="8" w:color="auto"/>
            </w:tcBorders>
            <w:shd w:val="clear" w:color="auto" w:fill="CEFFE7"/>
          </w:tcPr>
          <w:p>
            <w:pPr>
              <w:spacing w:after="0"/>
              <w:rPr>
                <w:sz w:val="18"/>
                <w:szCs w:val="18"/>
                <w:color w:val="auto"/>
              </w:rPr>
            </w:pPr>
          </w:p>
        </w:tc>
        <w:tc>
          <w:tcPr>
            <w:tcW w:w="10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360,773</w:t>
            </w:r>
          </w:p>
        </w:tc>
        <w:tc>
          <w:tcPr>
            <w:tcW w:w="260" w:type="dxa"/>
            <w:vAlign w:val="bottom"/>
            <w:tcBorders>
              <w:bottom w:val="single" w:sz="8" w:color="auto"/>
            </w:tcBorders>
            <w:shd w:val="clear" w:color="auto" w:fill="CEFFE7"/>
          </w:tcPr>
          <w:p>
            <w:pPr>
              <w:spacing w:after="0"/>
              <w:rPr>
                <w:sz w:val="18"/>
                <w:szCs w:val="18"/>
                <w:color w:val="auto"/>
              </w:rPr>
            </w:pPr>
          </w:p>
        </w:tc>
        <w:tc>
          <w:tcPr>
            <w:tcW w:w="11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41,746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520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EFFE7"/>
          </w:tcPr>
          <w:p>
            <w:pPr>
              <w:ind w:left="20"/>
              <w:spacing w:after="0"/>
              <w:rPr>
                <w:sz w:val="20"/>
                <w:szCs w:val="20"/>
                <w:color w:val="auto"/>
              </w:rPr>
            </w:pPr>
            <w:r>
              <w:rPr>
                <w:rFonts w:ascii="Arial" w:cs="Arial" w:eastAsia="Arial" w:hAnsi="Arial"/>
                <w:sz w:val="16"/>
                <w:szCs w:val="16"/>
                <w:color w:val="auto"/>
              </w:rPr>
              <w:t>Cost of sales:</w:t>
            </w:r>
          </w:p>
        </w:tc>
        <w:tc>
          <w:tcPr>
            <w:tcW w:w="2000" w:type="dxa"/>
            <w:vAlign w:val="bottom"/>
            <w:shd w:val="clear" w:color="auto" w:fill="CEFFE7"/>
          </w:tcPr>
          <w:p>
            <w:pPr>
              <w:spacing w:after="0"/>
              <w:rPr>
                <w:sz w:val="18"/>
                <w:szCs w:val="18"/>
                <w:color w:val="auto"/>
              </w:rPr>
            </w:pPr>
          </w:p>
        </w:tc>
        <w:tc>
          <w:tcPr>
            <w:tcW w:w="300" w:type="dxa"/>
            <w:vAlign w:val="bottom"/>
            <w:shd w:val="clear" w:color="auto" w:fill="CEFFE7"/>
          </w:tcPr>
          <w:p>
            <w:pPr>
              <w:spacing w:after="0"/>
              <w:rPr>
                <w:sz w:val="18"/>
                <w:szCs w:val="18"/>
                <w:color w:val="auto"/>
              </w:rPr>
            </w:pPr>
          </w:p>
        </w:tc>
        <w:tc>
          <w:tcPr>
            <w:tcW w:w="1000" w:type="dxa"/>
            <w:vAlign w:val="bottom"/>
            <w:shd w:val="clear" w:color="auto" w:fill="CEFFE7"/>
          </w:tcPr>
          <w:p>
            <w:pPr>
              <w:spacing w:after="0"/>
              <w:rPr>
                <w:sz w:val="18"/>
                <w:szCs w:val="18"/>
                <w:color w:val="auto"/>
              </w:rPr>
            </w:pPr>
          </w:p>
        </w:tc>
        <w:tc>
          <w:tcPr>
            <w:tcW w:w="340" w:type="dxa"/>
            <w:vAlign w:val="bottom"/>
            <w:shd w:val="clear" w:color="auto" w:fill="CEFFE7"/>
          </w:tcPr>
          <w:p>
            <w:pPr>
              <w:spacing w:after="0"/>
              <w:rPr>
                <w:sz w:val="18"/>
                <w:szCs w:val="18"/>
                <w:color w:val="auto"/>
              </w:rPr>
            </w:pPr>
          </w:p>
        </w:tc>
        <w:tc>
          <w:tcPr>
            <w:tcW w:w="1000" w:type="dxa"/>
            <w:vAlign w:val="bottom"/>
            <w:shd w:val="clear" w:color="auto" w:fill="CEFFE7"/>
          </w:tcPr>
          <w:p>
            <w:pPr>
              <w:spacing w:after="0"/>
              <w:rPr>
                <w:sz w:val="18"/>
                <w:szCs w:val="18"/>
                <w:color w:val="auto"/>
              </w:rPr>
            </w:pPr>
          </w:p>
        </w:tc>
        <w:tc>
          <w:tcPr>
            <w:tcW w:w="260" w:type="dxa"/>
            <w:vAlign w:val="bottom"/>
            <w:shd w:val="clear" w:color="auto" w:fill="CEFFE7"/>
          </w:tcPr>
          <w:p>
            <w:pPr>
              <w:spacing w:after="0"/>
              <w:rPr>
                <w:sz w:val="18"/>
                <w:szCs w:val="18"/>
                <w:color w:val="auto"/>
              </w:rPr>
            </w:pPr>
          </w:p>
        </w:tc>
        <w:tc>
          <w:tcPr>
            <w:tcW w:w="1100" w:type="dxa"/>
            <w:vAlign w:val="bottom"/>
            <w:shd w:val="clear" w:color="auto" w:fill="CEFFE7"/>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200" w:type="dxa"/>
            <w:vAlign w:val="bottom"/>
          </w:tcPr>
          <w:p>
            <w:pPr>
              <w:ind w:left="140"/>
              <w:spacing w:after="0"/>
              <w:rPr>
                <w:sz w:val="20"/>
                <w:szCs w:val="20"/>
                <w:color w:val="auto"/>
              </w:rPr>
            </w:pPr>
            <w:r>
              <w:rPr>
                <w:rFonts w:ascii="Arial" w:cs="Arial" w:eastAsia="Arial" w:hAnsi="Arial"/>
                <w:sz w:val="16"/>
                <w:szCs w:val="16"/>
                <w:color w:val="auto"/>
              </w:rPr>
              <w:t>Natural gas - regulated</w:t>
            </w:r>
          </w:p>
        </w:tc>
        <w:tc>
          <w:tcPr>
            <w:tcW w:w="2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182,967</w:t>
            </w:r>
          </w:p>
        </w:tc>
        <w:tc>
          <w:tcPr>
            <w:tcW w:w="3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153,999</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28,968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EFFE7"/>
          </w:tcPr>
          <w:p>
            <w:pPr>
              <w:ind w:left="140"/>
              <w:spacing w:after="0"/>
              <w:rPr>
                <w:sz w:val="20"/>
                <w:szCs w:val="20"/>
                <w:color w:val="auto"/>
              </w:rPr>
            </w:pPr>
            <w:r>
              <w:rPr>
                <w:rFonts w:ascii="Arial" w:cs="Arial" w:eastAsia="Arial" w:hAnsi="Arial"/>
                <w:sz w:val="16"/>
                <w:szCs w:val="16"/>
                <w:color w:val="auto"/>
              </w:rPr>
              <w:t>Other - non-regulated services</w:t>
            </w:r>
          </w:p>
        </w:tc>
        <w:tc>
          <w:tcPr>
            <w:tcW w:w="2000" w:type="dxa"/>
            <w:vAlign w:val="bottom"/>
            <w:shd w:val="clear" w:color="auto" w:fill="CEFFE7"/>
          </w:tcPr>
          <w:p>
            <w:pPr>
              <w:spacing w:after="0"/>
              <w:rPr>
                <w:sz w:val="18"/>
                <w:szCs w:val="18"/>
                <w:color w:val="auto"/>
              </w:rPr>
            </w:pPr>
          </w:p>
        </w:tc>
        <w:tc>
          <w:tcPr>
            <w:tcW w:w="300" w:type="dxa"/>
            <w:vAlign w:val="bottom"/>
            <w:tcBorders>
              <w:bottom w:val="single" w:sz="8" w:color="auto"/>
            </w:tcBorders>
            <w:shd w:val="clear" w:color="auto" w:fill="CEFFE7"/>
          </w:tcPr>
          <w:p>
            <w:pPr>
              <w:spacing w:after="0"/>
              <w:rPr>
                <w:sz w:val="18"/>
                <w:szCs w:val="18"/>
                <w:color w:val="auto"/>
              </w:rPr>
            </w:pPr>
          </w:p>
        </w:tc>
        <w:tc>
          <w:tcPr>
            <w:tcW w:w="10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10,083</w:t>
            </w:r>
          </w:p>
        </w:tc>
        <w:tc>
          <w:tcPr>
            <w:tcW w:w="340" w:type="dxa"/>
            <w:vAlign w:val="bottom"/>
            <w:tcBorders>
              <w:bottom w:val="single" w:sz="8" w:color="auto"/>
            </w:tcBorders>
            <w:shd w:val="clear" w:color="auto" w:fill="CEFFE7"/>
          </w:tcPr>
          <w:p>
            <w:pPr>
              <w:spacing w:after="0"/>
              <w:rPr>
                <w:sz w:val="18"/>
                <w:szCs w:val="18"/>
                <w:color w:val="auto"/>
              </w:rPr>
            </w:pPr>
          </w:p>
        </w:tc>
        <w:tc>
          <w:tcPr>
            <w:tcW w:w="10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1,363</w:t>
            </w:r>
          </w:p>
        </w:tc>
        <w:tc>
          <w:tcPr>
            <w:tcW w:w="260" w:type="dxa"/>
            <w:vAlign w:val="bottom"/>
            <w:tcBorders>
              <w:bottom w:val="single" w:sz="8" w:color="auto"/>
            </w:tcBorders>
            <w:shd w:val="clear" w:color="auto" w:fill="CEFFE7"/>
          </w:tcPr>
          <w:p>
            <w:pPr>
              <w:spacing w:after="0"/>
              <w:rPr>
                <w:sz w:val="18"/>
                <w:szCs w:val="18"/>
                <w:color w:val="auto"/>
              </w:rPr>
            </w:pPr>
          </w:p>
        </w:tc>
        <w:tc>
          <w:tcPr>
            <w:tcW w:w="11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8,720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00" w:type="dxa"/>
            <w:vAlign w:val="bottom"/>
            <w:tcBorders>
              <w:bottom w:val="single" w:sz="8" w:color="CEFFE7"/>
            </w:tcBorders>
          </w:tcPr>
          <w:p>
            <w:pPr>
              <w:ind w:left="540"/>
              <w:spacing w:after="0"/>
              <w:rPr>
                <w:sz w:val="20"/>
                <w:szCs w:val="20"/>
                <w:color w:val="auto"/>
              </w:rPr>
            </w:pPr>
            <w:r>
              <w:rPr>
                <w:rFonts w:ascii="Arial" w:cs="Arial" w:eastAsia="Arial" w:hAnsi="Arial"/>
                <w:sz w:val="16"/>
                <w:szCs w:val="16"/>
                <w:color w:val="auto"/>
              </w:rPr>
              <w:t>Total cost of sales</w:t>
            </w:r>
          </w:p>
        </w:tc>
        <w:tc>
          <w:tcPr>
            <w:tcW w:w="2000" w:type="dxa"/>
            <w:vAlign w:val="bottom"/>
            <w:tcBorders>
              <w:bottom w:val="single" w:sz="8" w:color="CEFFE7"/>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193,050</w:t>
            </w:r>
          </w:p>
        </w:tc>
        <w:tc>
          <w:tcPr>
            <w:tcW w:w="3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155,362</w:t>
            </w: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37,688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5200" w:type="dxa"/>
            <w:vAlign w:val="bottom"/>
            <w:shd w:val="clear" w:color="auto" w:fill="CEFFE7"/>
          </w:tcPr>
          <w:p>
            <w:pPr>
              <w:spacing w:after="0"/>
              <w:rPr>
                <w:sz w:val="20"/>
                <w:szCs w:val="20"/>
                <w:color w:val="auto"/>
              </w:rPr>
            </w:pPr>
          </w:p>
        </w:tc>
        <w:tc>
          <w:tcPr>
            <w:tcW w:w="2000" w:type="dxa"/>
            <w:vAlign w:val="bottom"/>
            <w:shd w:val="clear" w:color="auto" w:fill="CEFFE7"/>
          </w:tcPr>
          <w:p>
            <w:pPr>
              <w:spacing w:after="0"/>
              <w:rPr>
                <w:sz w:val="20"/>
                <w:szCs w:val="20"/>
                <w:color w:val="auto"/>
              </w:rPr>
            </w:pPr>
          </w:p>
        </w:tc>
        <w:tc>
          <w:tcPr>
            <w:tcW w:w="300" w:type="dxa"/>
            <w:vAlign w:val="bottom"/>
            <w:tcBorders>
              <w:bottom w:val="single" w:sz="8" w:color="auto"/>
            </w:tcBorders>
            <w:shd w:val="clear" w:color="auto" w:fill="CEFFE7"/>
          </w:tcPr>
          <w:p>
            <w:pPr>
              <w:spacing w:after="0"/>
              <w:rPr>
                <w:sz w:val="20"/>
                <w:szCs w:val="20"/>
                <w:color w:val="auto"/>
              </w:rPr>
            </w:pPr>
          </w:p>
        </w:tc>
        <w:tc>
          <w:tcPr>
            <w:tcW w:w="1000" w:type="dxa"/>
            <w:vAlign w:val="bottom"/>
            <w:tcBorders>
              <w:bottom w:val="single" w:sz="8" w:color="auto"/>
            </w:tcBorders>
            <w:shd w:val="clear" w:color="auto" w:fill="CEFFE7"/>
          </w:tcPr>
          <w:p>
            <w:pPr>
              <w:spacing w:after="0"/>
              <w:rPr>
                <w:sz w:val="20"/>
                <w:szCs w:val="20"/>
                <w:color w:val="auto"/>
              </w:rPr>
            </w:pPr>
          </w:p>
        </w:tc>
        <w:tc>
          <w:tcPr>
            <w:tcW w:w="340" w:type="dxa"/>
            <w:vAlign w:val="bottom"/>
            <w:tcBorders>
              <w:bottom w:val="single" w:sz="8" w:color="auto"/>
            </w:tcBorders>
            <w:shd w:val="clear" w:color="auto" w:fill="CEFFE7"/>
          </w:tcPr>
          <w:p>
            <w:pPr>
              <w:spacing w:after="0"/>
              <w:rPr>
                <w:sz w:val="20"/>
                <w:szCs w:val="20"/>
                <w:color w:val="auto"/>
              </w:rPr>
            </w:pPr>
          </w:p>
        </w:tc>
        <w:tc>
          <w:tcPr>
            <w:tcW w:w="1000" w:type="dxa"/>
            <w:vAlign w:val="bottom"/>
            <w:tcBorders>
              <w:bottom w:val="single" w:sz="8" w:color="auto"/>
            </w:tcBorders>
            <w:shd w:val="clear" w:color="auto" w:fill="CEFFE7"/>
          </w:tcPr>
          <w:p>
            <w:pPr>
              <w:spacing w:after="0"/>
              <w:rPr>
                <w:sz w:val="20"/>
                <w:szCs w:val="20"/>
                <w:color w:val="auto"/>
              </w:rPr>
            </w:pPr>
          </w:p>
        </w:tc>
        <w:tc>
          <w:tcPr>
            <w:tcW w:w="260" w:type="dxa"/>
            <w:vAlign w:val="bottom"/>
            <w:tcBorders>
              <w:bottom w:val="single" w:sz="8" w:color="auto"/>
            </w:tcBorders>
            <w:shd w:val="clear" w:color="auto" w:fill="CEFFE7"/>
          </w:tcPr>
          <w:p>
            <w:pPr>
              <w:spacing w:after="0"/>
              <w:rPr>
                <w:sz w:val="20"/>
                <w:szCs w:val="20"/>
                <w:color w:val="auto"/>
              </w:rPr>
            </w:pPr>
          </w:p>
        </w:tc>
        <w:tc>
          <w:tcPr>
            <w:tcW w:w="1100" w:type="dxa"/>
            <w:vAlign w:val="bottom"/>
            <w:tcBorders>
              <w:bottom w:val="single" w:sz="8" w:color="auto"/>
            </w:tcBorders>
            <w:shd w:val="clear" w:color="auto" w:fill="CEFFE7"/>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200" w:type="dxa"/>
            <w:vAlign w:val="bottom"/>
            <w:tcBorders>
              <w:bottom w:val="single" w:sz="8" w:color="CEFFE7"/>
            </w:tcBorders>
          </w:tcPr>
          <w:p>
            <w:pPr>
              <w:ind w:left="20"/>
              <w:spacing w:after="0"/>
              <w:rPr>
                <w:sz w:val="20"/>
                <w:szCs w:val="20"/>
                <w:color w:val="auto"/>
              </w:rPr>
            </w:pPr>
            <w:r>
              <w:rPr>
                <w:rFonts w:ascii="Arial" w:cs="Arial" w:eastAsia="Arial" w:hAnsi="Arial"/>
                <w:sz w:val="16"/>
                <w:szCs w:val="16"/>
                <w:color w:val="auto"/>
              </w:rPr>
              <w:t>Gross margin (non-GAAP)</w:t>
            </w:r>
          </w:p>
        </w:tc>
        <w:tc>
          <w:tcPr>
            <w:tcW w:w="2000" w:type="dxa"/>
            <w:vAlign w:val="bottom"/>
            <w:tcBorders>
              <w:bottom w:val="single" w:sz="8" w:color="CEFFE7"/>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209,469</w:t>
            </w:r>
          </w:p>
        </w:tc>
        <w:tc>
          <w:tcPr>
            <w:tcW w:w="3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205,411</w:t>
            </w:r>
          </w:p>
        </w:tc>
        <w:tc>
          <w:tcPr>
            <w:tcW w:w="2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4,058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5200" w:type="dxa"/>
            <w:vAlign w:val="bottom"/>
            <w:shd w:val="clear" w:color="auto" w:fill="CEFFE7"/>
          </w:tcPr>
          <w:p>
            <w:pPr>
              <w:spacing w:after="0"/>
              <w:rPr>
                <w:sz w:val="20"/>
                <w:szCs w:val="20"/>
                <w:color w:val="auto"/>
              </w:rPr>
            </w:pPr>
          </w:p>
        </w:tc>
        <w:tc>
          <w:tcPr>
            <w:tcW w:w="2000" w:type="dxa"/>
            <w:vAlign w:val="bottom"/>
            <w:shd w:val="clear" w:color="auto" w:fill="CEFFE7"/>
          </w:tcPr>
          <w:p>
            <w:pPr>
              <w:spacing w:after="0"/>
              <w:rPr>
                <w:sz w:val="20"/>
                <w:szCs w:val="20"/>
                <w:color w:val="auto"/>
              </w:rPr>
            </w:pPr>
          </w:p>
        </w:tc>
        <w:tc>
          <w:tcPr>
            <w:tcW w:w="300" w:type="dxa"/>
            <w:vAlign w:val="bottom"/>
            <w:shd w:val="clear" w:color="auto" w:fill="CEFFE7"/>
          </w:tcPr>
          <w:p>
            <w:pPr>
              <w:spacing w:after="0"/>
              <w:rPr>
                <w:sz w:val="20"/>
                <w:szCs w:val="20"/>
                <w:color w:val="auto"/>
              </w:rPr>
            </w:pPr>
          </w:p>
        </w:tc>
        <w:tc>
          <w:tcPr>
            <w:tcW w:w="1000" w:type="dxa"/>
            <w:vAlign w:val="bottom"/>
            <w:shd w:val="clear" w:color="auto" w:fill="CEFFE7"/>
          </w:tcPr>
          <w:p>
            <w:pPr>
              <w:spacing w:after="0"/>
              <w:rPr>
                <w:sz w:val="20"/>
                <w:szCs w:val="20"/>
                <w:color w:val="auto"/>
              </w:rPr>
            </w:pPr>
          </w:p>
        </w:tc>
        <w:tc>
          <w:tcPr>
            <w:tcW w:w="340" w:type="dxa"/>
            <w:vAlign w:val="bottom"/>
            <w:shd w:val="clear" w:color="auto" w:fill="CEFFE7"/>
          </w:tcPr>
          <w:p>
            <w:pPr>
              <w:spacing w:after="0"/>
              <w:rPr>
                <w:sz w:val="20"/>
                <w:szCs w:val="20"/>
                <w:color w:val="auto"/>
              </w:rPr>
            </w:pPr>
          </w:p>
        </w:tc>
        <w:tc>
          <w:tcPr>
            <w:tcW w:w="1000" w:type="dxa"/>
            <w:vAlign w:val="bottom"/>
            <w:shd w:val="clear" w:color="auto" w:fill="CEFFE7"/>
          </w:tcPr>
          <w:p>
            <w:pPr>
              <w:spacing w:after="0"/>
              <w:rPr>
                <w:sz w:val="20"/>
                <w:szCs w:val="20"/>
                <w:color w:val="auto"/>
              </w:rPr>
            </w:pPr>
          </w:p>
        </w:tc>
        <w:tc>
          <w:tcPr>
            <w:tcW w:w="260" w:type="dxa"/>
            <w:vAlign w:val="bottom"/>
            <w:shd w:val="clear" w:color="auto" w:fill="CEFFE7"/>
          </w:tcPr>
          <w:p>
            <w:pPr>
              <w:spacing w:after="0"/>
              <w:rPr>
                <w:sz w:val="20"/>
                <w:szCs w:val="20"/>
                <w:color w:val="auto"/>
              </w:rPr>
            </w:pPr>
          </w:p>
        </w:tc>
        <w:tc>
          <w:tcPr>
            <w:tcW w:w="1100" w:type="dxa"/>
            <w:vAlign w:val="bottom"/>
            <w:shd w:val="clear" w:color="auto" w:fill="CEFFE7"/>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200" w:type="dxa"/>
            <w:vAlign w:val="bottom"/>
          </w:tcPr>
          <w:p>
            <w:pPr>
              <w:ind w:left="20"/>
              <w:spacing w:after="0"/>
              <w:rPr>
                <w:sz w:val="20"/>
                <w:szCs w:val="20"/>
                <w:color w:val="auto"/>
              </w:rPr>
            </w:pPr>
            <w:r>
              <w:rPr>
                <w:rFonts w:ascii="Arial" w:cs="Arial" w:eastAsia="Arial" w:hAnsi="Arial"/>
                <w:sz w:val="16"/>
                <w:szCs w:val="16"/>
                <w:color w:val="auto"/>
              </w:rPr>
              <w:t>Operations and maintenance</w:t>
            </w:r>
          </w:p>
        </w:tc>
        <w:tc>
          <w:tcPr>
            <w:tcW w:w="2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82,200</w:t>
            </w:r>
          </w:p>
        </w:tc>
        <w:tc>
          <w:tcPr>
            <w:tcW w:w="3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77,293</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4,907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EFFE7"/>
          </w:tcPr>
          <w:p>
            <w:pPr>
              <w:ind w:left="20"/>
              <w:spacing w:after="0"/>
              <w:rPr>
                <w:sz w:val="20"/>
                <w:szCs w:val="20"/>
                <w:color w:val="auto"/>
              </w:rPr>
            </w:pPr>
            <w:r>
              <w:rPr>
                <w:rFonts w:ascii="Arial" w:cs="Arial" w:eastAsia="Arial" w:hAnsi="Arial"/>
                <w:sz w:val="16"/>
                <w:szCs w:val="16"/>
                <w:color w:val="auto"/>
              </w:rPr>
              <w:t>Depreciation and amortization</w:t>
            </w:r>
          </w:p>
        </w:tc>
        <w:tc>
          <w:tcPr>
            <w:tcW w:w="2000" w:type="dxa"/>
            <w:vAlign w:val="bottom"/>
            <w:shd w:val="clear" w:color="auto" w:fill="CEFFE7"/>
          </w:tcPr>
          <w:p>
            <w:pPr>
              <w:spacing w:after="0"/>
              <w:rPr>
                <w:sz w:val="18"/>
                <w:szCs w:val="18"/>
                <w:color w:val="auto"/>
              </w:rPr>
            </w:pPr>
          </w:p>
        </w:tc>
        <w:tc>
          <w:tcPr>
            <w:tcW w:w="300" w:type="dxa"/>
            <w:vAlign w:val="bottom"/>
            <w:tcBorders>
              <w:bottom w:val="single" w:sz="8" w:color="auto"/>
            </w:tcBorders>
            <w:shd w:val="clear" w:color="auto" w:fill="CEFFE7"/>
          </w:tcPr>
          <w:p>
            <w:pPr>
              <w:spacing w:after="0"/>
              <w:rPr>
                <w:sz w:val="18"/>
                <w:szCs w:val="18"/>
                <w:color w:val="auto"/>
              </w:rPr>
            </w:pPr>
          </w:p>
        </w:tc>
        <w:tc>
          <w:tcPr>
            <w:tcW w:w="10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25,175</w:t>
            </w:r>
          </w:p>
        </w:tc>
        <w:tc>
          <w:tcPr>
            <w:tcW w:w="340" w:type="dxa"/>
            <w:vAlign w:val="bottom"/>
            <w:tcBorders>
              <w:bottom w:val="single" w:sz="8" w:color="auto"/>
            </w:tcBorders>
            <w:shd w:val="clear" w:color="auto" w:fill="CEFFE7"/>
          </w:tcPr>
          <w:p>
            <w:pPr>
              <w:spacing w:after="0"/>
              <w:rPr>
                <w:sz w:val="18"/>
                <w:szCs w:val="18"/>
                <w:color w:val="auto"/>
              </w:rPr>
            </w:pPr>
          </w:p>
        </w:tc>
        <w:tc>
          <w:tcPr>
            <w:tcW w:w="10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25,221</w:t>
            </w:r>
          </w:p>
        </w:tc>
        <w:tc>
          <w:tcPr>
            <w:tcW w:w="260" w:type="dxa"/>
            <w:vAlign w:val="bottom"/>
            <w:tcBorders>
              <w:bottom w:val="single" w:sz="8" w:color="auto"/>
            </w:tcBorders>
            <w:shd w:val="clear" w:color="auto" w:fill="CEFFE7"/>
          </w:tcPr>
          <w:p>
            <w:pPr>
              <w:spacing w:after="0"/>
              <w:rPr>
                <w:sz w:val="18"/>
                <w:szCs w:val="18"/>
                <w:color w:val="auto"/>
              </w:rPr>
            </w:pPr>
          </w:p>
        </w:tc>
        <w:tc>
          <w:tcPr>
            <w:tcW w:w="11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0" w:type="dxa"/>
            <w:vAlign w:val="bottom"/>
            <w:tcBorders>
              <w:bottom w:val="single" w:sz="8" w:color="CEFFE7"/>
            </w:tcBorders>
          </w:tcPr>
          <w:p>
            <w:pPr>
              <w:ind w:left="540"/>
              <w:spacing w:after="0"/>
              <w:rPr>
                <w:sz w:val="20"/>
                <w:szCs w:val="20"/>
                <w:color w:val="auto"/>
              </w:rPr>
            </w:pPr>
            <w:r>
              <w:rPr>
                <w:rFonts w:ascii="Arial" w:cs="Arial" w:eastAsia="Arial" w:hAnsi="Arial"/>
                <w:sz w:val="16"/>
                <w:szCs w:val="16"/>
                <w:color w:val="auto"/>
              </w:rPr>
              <w:t>Total operating expenses</w:t>
            </w:r>
          </w:p>
        </w:tc>
        <w:tc>
          <w:tcPr>
            <w:tcW w:w="2000" w:type="dxa"/>
            <w:vAlign w:val="bottom"/>
            <w:tcBorders>
              <w:bottom w:val="single" w:sz="8" w:color="CEFFE7"/>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107,375</w:t>
            </w:r>
          </w:p>
        </w:tc>
        <w:tc>
          <w:tcPr>
            <w:tcW w:w="3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102,514</w:t>
            </w: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5200" w:type="dxa"/>
            <w:vAlign w:val="bottom"/>
            <w:shd w:val="clear" w:color="auto" w:fill="CEFFE7"/>
          </w:tcPr>
          <w:p>
            <w:pPr>
              <w:spacing w:after="0"/>
              <w:rPr>
                <w:sz w:val="20"/>
                <w:szCs w:val="20"/>
                <w:color w:val="auto"/>
              </w:rPr>
            </w:pPr>
          </w:p>
        </w:tc>
        <w:tc>
          <w:tcPr>
            <w:tcW w:w="2000" w:type="dxa"/>
            <w:vAlign w:val="bottom"/>
            <w:shd w:val="clear" w:color="auto" w:fill="CEFFE7"/>
          </w:tcPr>
          <w:p>
            <w:pPr>
              <w:spacing w:after="0"/>
              <w:rPr>
                <w:sz w:val="20"/>
                <w:szCs w:val="20"/>
                <w:color w:val="auto"/>
              </w:rPr>
            </w:pPr>
          </w:p>
        </w:tc>
        <w:tc>
          <w:tcPr>
            <w:tcW w:w="300" w:type="dxa"/>
            <w:vAlign w:val="bottom"/>
            <w:tcBorders>
              <w:bottom w:val="single" w:sz="8" w:color="auto"/>
            </w:tcBorders>
            <w:shd w:val="clear" w:color="auto" w:fill="CEFFE7"/>
          </w:tcPr>
          <w:p>
            <w:pPr>
              <w:spacing w:after="0"/>
              <w:rPr>
                <w:sz w:val="20"/>
                <w:szCs w:val="20"/>
                <w:color w:val="auto"/>
              </w:rPr>
            </w:pPr>
          </w:p>
        </w:tc>
        <w:tc>
          <w:tcPr>
            <w:tcW w:w="1000" w:type="dxa"/>
            <w:vAlign w:val="bottom"/>
            <w:tcBorders>
              <w:bottom w:val="single" w:sz="8" w:color="auto"/>
            </w:tcBorders>
            <w:shd w:val="clear" w:color="auto" w:fill="CEFFE7"/>
          </w:tcPr>
          <w:p>
            <w:pPr>
              <w:spacing w:after="0"/>
              <w:rPr>
                <w:sz w:val="20"/>
                <w:szCs w:val="20"/>
                <w:color w:val="auto"/>
              </w:rPr>
            </w:pPr>
          </w:p>
        </w:tc>
        <w:tc>
          <w:tcPr>
            <w:tcW w:w="340" w:type="dxa"/>
            <w:vAlign w:val="bottom"/>
            <w:tcBorders>
              <w:bottom w:val="single" w:sz="8" w:color="auto"/>
            </w:tcBorders>
            <w:shd w:val="clear" w:color="auto" w:fill="CEFFE7"/>
          </w:tcPr>
          <w:p>
            <w:pPr>
              <w:spacing w:after="0"/>
              <w:rPr>
                <w:sz w:val="20"/>
                <w:szCs w:val="20"/>
                <w:color w:val="auto"/>
              </w:rPr>
            </w:pPr>
          </w:p>
        </w:tc>
        <w:tc>
          <w:tcPr>
            <w:tcW w:w="1000" w:type="dxa"/>
            <w:vAlign w:val="bottom"/>
            <w:tcBorders>
              <w:bottom w:val="single" w:sz="8" w:color="auto"/>
            </w:tcBorders>
            <w:shd w:val="clear" w:color="auto" w:fill="CEFFE7"/>
          </w:tcPr>
          <w:p>
            <w:pPr>
              <w:spacing w:after="0"/>
              <w:rPr>
                <w:sz w:val="20"/>
                <w:szCs w:val="20"/>
                <w:color w:val="auto"/>
              </w:rPr>
            </w:pPr>
          </w:p>
        </w:tc>
        <w:tc>
          <w:tcPr>
            <w:tcW w:w="260" w:type="dxa"/>
            <w:vAlign w:val="bottom"/>
            <w:tcBorders>
              <w:bottom w:val="single" w:sz="8" w:color="auto"/>
            </w:tcBorders>
            <w:shd w:val="clear" w:color="auto" w:fill="CEFFE7"/>
          </w:tcPr>
          <w:p>
            <w:pPr>
              <w:spacing w:after="0"/>
              <w:rPr>
                <w:sz w:val="20"/>
                <w:szCs w:val="20"/>
                <w:color w:val="auto"/>
              </w:rPr>
            </w:pPr>
          </w:p>
        </w:tc>
        <w:tc>
          <w:tcPr>
            <w:tcW w:w="1100" w:type="dxa"/>
            <w:vAlign w:val="bottom"/>
            <w:tcBorders>
              <w:bottom w:val="single" w:sz="8" w:color="auto"/>
            </w:tcBorders>
            <w:shd w:val="clear" w:color="auto" w:fill="CEFFE7"/>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0" w:type="dxa"/>
            <w:vAlign w:val="bottom"/>
          </w:tcPr>
          <w:p>
            <w:pPr>
              <w:ind w:left="20"/>
              <w:spacing w:after="0"/>
              <w:rPr>
                <w:sz w:val="20"/>
                <w:szCs w:val="20"/>
                <w:color w:val="auto"/>
              </w:rPr>
            </w:pPr>
            <w:r>
              <w:rPr>
                <w:rFonts w:ascii="Arial" w:cs="Arial" w:eastAsia="Arial" w:hAnsi="Arial"/>
                <w:sz w:val="16"/>
                <w:szCs w:val="16"/>
                <w:color w:val="auto"/>
              </w:rPr>
              <w:t>Adjusted operating income</w:t>
            </w:r>
          </w:p>
        </w:tc>
        <w:tc>
          <w:tcPr>
            <w:tcW w:w="23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102,094</w:t>
            </w:r>
          </w:p>
        </w:tc>
        <w:tc>
          <w:tcPr>
            <w:tcW w:w="3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102,897</w:t>
            </w:r>
          </w:p>
        </w:tc>
        <w:tc>
          <w:tcPr>
            <w:tcW w:w="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(803)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2000" w:type="dxa"/>
            <w:vAlign w:val="bottom"/>
            <w:vMerge w:val="restart"/>
          </w:tcPr>
          <w:p>
            <w:pPr>
              <w:jc w:val="right"/>
              <w:ind w:right="1419"/>
              <w:spacing w:after="0"/>
              <w:rPr>
                <w:sz w:val="20"/>
                <w:szCs w:val="20"/>
                <w:color w:val="auto"/>
              </w:rPr>
            </w:pPr>
            <w:r>
              <w:rPr>
                <w:rFonts w:ascii="Arial" w:cs="Arial" w:eastAsia="Arial" w:hAnsi="Arial"/>
                <w:sz w:val="16"/>
                <w:szCs w:val="16"/>
                <w:color w:val="auto"/>
              </w:rPr>
              <w:t>36</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65"/>
        </w:trPr>
        <w:tc>
          <w:tcPr>
            <w:tcW w:w="2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20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20" w:type="dxa"/>
            <w:vAlign w:val="bottom"/>
            <w:tcBorders>
              <w:bottom w:val="single" w:sz="8" w:color="9A9A9A"/>
            </w:tcBorders>
          </w:tcPr>
          <w:p>
            <w:pPr>
              <w:spacing w:after="0"/>
              <w:rPr>
                <w:sz w:val="24"/>
                <w:szCs w:val="24"/>
                <w:color w:val="auto"/>
              </w:rPr>
            </w:pPr>
          </w:p>
        </w:tc>
        <w:tc>
          <w:tcPr>
            <w:tcW w:w="520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Three Months Ended March 31, 2021 Compared to the Three Months Ended March 31, 2020</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Gross margin</w:t>
      </w:r>
      <w:r>
        <w:rPr>
          <w:rFonts w:ascii="Arial" w:cs="Arial" w:eastAsia="Arial" w:hAnsi="Arial"/>
          <w:sz w:val="16"/>
          <w:szCs w:val="16"/>
          <w:color w:val="auto"/>
        </w:rPr>
        <w:t xml:space="preserve"> for the three months ended March 31, 2021 increased as a result of:</w:t>
      </w:r>
    </w:p>
    <w:p>
      <w:pPr>
        <w:spacing w:after="0" w:line="140" w:lineRule="exact"/>
        <w:rPr>
          <w:sz w:val="20"/>
          <w:szCs w:val="20"/>
          <w:color w:val="auto"/>
        </w:rPr>
      </w:pPr>
    </w:p>
    <w:p>
      <w:pPr>
        <w:jc w:val="right"/>
        <w:ind w:right="720"/>
        <w:spacing w:after="0"/>
        <w:rPr>
          <w:sz w:val="20"/>
          <w:szCs w:val="20"/>
          <w:color w:val="auto"/>
        </w:rPr>
      </w:pPr>
      <w:r>
        <w:rPr>
          <w:rFonts w:ascii="Arial" w:cs="Arial" w:eastAsia="Arial" w:hAnsi="Arial"/>
          <w:sz w:val="16"/>
          <w:szCs w:val="16"/>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10795</wp:posOffset>
            </wp:positionV>
            <wp:extent cx="7106285" cy="1454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06285" cy="14541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46"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New rates</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6"/>
          <w:szCs w:val="16"/>
          <w:color w:val="auto"/>
        </w:rPr>
        <w:t>Weather</w:t>
      </w:r>
    </w:p>
    <w:p>
      <w:pPr>
        <w:spacing w:after="0" w:line="7" w:lineRule="exact"/>
        <w:rPr>
          <w:sz w:val="20"/>
          <w:szCs w:val="20"/>
          <w:color w:val="auto"/>
        </w:rPr>
      </w:pPr>
    </w:p>
    <w:p>
      <w:pPr>
        <w:ind w:left="40"/>
        <w:spacing w:after="0"/>
        <w:rPr>
          <w:sz w:val="20"/>
          <w:szCs w:val="20"/>
          <w:color w:val="auto"/>
        </w:rPr>
      </w:pPr>
      <w:r>
        <w:rPr>
          <w:rFonts w:ascii="Arial" w:cs="Arial" w:eastAsia="Arial" w:hAnsi="Arial"/>
          <w:sz w:val="16"/>
          <w:szCs w:val="16"/>
          <w:color w:val="auto"/>
        </w:rPr>
        <w:t xml:space="preserve">Black Hills Energy Services Winter Storm Uri costs </w:t>
      </w:r>
      <w:r>
        <w:rPr>
          <w:rFonts w:ascii="Arial" w:cs="Arial" w:eastAsia="Arial" w:hAnsi="Arial"/>
          <w:sz w:val="21"/>
          <w:szCs w:val="21"/>
          <w:color w:val="auto"/>
          <w:vertAlign w:val="superscript"/>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-146050</wp:posOffset>
            </wp:positionV>
            <wp:extent cx="7106285" cy="1371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06285" cy="137160"/>
                    </a:xfrm>
                    <a:prstGeom prst="rect">
                      <a:avLst/>
                    </a:prstGeom>
                    <a:noFill/>
                  </pic:spPr>
                </pic:pic>
              </a:graphicData>
            </a:graphic>
          </wp:anchor>
        </w:drawing>
      </w:r>
    </w:p>
    <w:p>
      <w:pPr>
        <w:ind w:left="40"/>
        <w:spacing w:after="0"/>
        <w:rPr>
          <w:sz w:val="20"/>
          <w:szCs w:val="20"/>
          <w:color w:val="auto"/>
        </w:rPr>
      </w:pPr>
      <w:r>
        <w:rPr>
          <w:rFonts w:ascii="Arial" w:cs="Arial" w:eastAsia="Arial" w:hAnsi="Arial"/>
          <w:sz w:val="16"/>
          <w:szCs w:val="16"/>
          <w:color w:val="auto"/>
        </w:rPr>
        <w:t>Non-utility Gas Supply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10795</wp:posOffset>
            </wp:positionV>
            <wp:extent cx="7106285" cy="1371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06285" cy="137160"/>
                    </a:xfrm>
                    <a:prstGeom prst="rect">
                      <a:avLst/>
                    </a:prstGeom>
                    <a:noFill/>
                  </pic:spPr>
                </pic:pic>
              </a:graphicData>
            </a:graphic>
          </wp:anchor>
        </w:drawing>
      </w:r>
    </w:p>
    <w:p>
      <w:pPr>
        <w:spacing w:after="0" w:line="12" w:lineRule="exact"/>
        <w:rPr>
          <w:sz w:val="20"/>
          <w:szCs w:val="20"/>
          <w:color w:val="auto"/>
        </w:rPr>
      </w:pPr>
    </w:p>
    <w:p>
      <w:pPr>
        <w:ind w:left="40"/>
        <w:spacing w:after="0"/>
        <w:rPr>
          <w:sz w:val="20"/>
          <w:szCs w:val="20"/>
          <w:color w:val="auto"/>
        </w:rPr>
      </w:pPr>
      <w:r>
        <w:rPr>
          <w:rFonts w:ascii="Arial" w:cs="Arial" w:eastAsia="Arial" w:hAnsi="Arial"/>
          <w:sz w:val="16"/>
          <w:szCs w:val="16"/>
          <w:color w:val="auto"/>
        </w:rPr>
        <w:t>Mark-to-market on non-utility natural gas commodity contracts</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10795</wp:posOffset>
            </wp:positionV>
            <wp:extent cx="7106285" cy="16319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06285" cy="163195"/>
                    </a:xfrm>
                    <a:prstGeom prst="rect">
                      <a:avLst/>
                    </a:prstGeom>
                    <a:noFill/>
                  </pic:spPr>
                </pic:pic>
              </a:graphicData>
            </a:graphic>
          </wp:anchor>
        </w:drawing>
      </w:r>
    </w:p>
    <w:p>
      <w:pPr>
        <w:spacing w:after="0" w:line="53" w:lineRule="exact"/>
        <w:rPr>
          <w:sz w:val="20"/>
          <w:szCs w:val="20"/>
          <w:color w:val="auto"/>
        </w:rPr>
      </w:pPr>
    </w:p>
    <w:p>
      <w:pPr>
        <w:ind w:left="40"/>
        <w:spacing w:after="0"/>
        <w:rPr>
          <w:sz w:val="20"/>
          <w:szCs w:val="20"/>
          <w:color w:val="auto"/>
        </w:rPr>
      </w:pPr>
      <w:r>
        <w:rPr>
          <w:rFonts w:ascii="Arial" w:cs="Arial" w:eastAsia="Arial" w:hAnsi="Arial"/>
          <w:sz w:val="16"/>
          <w:szCs w:val="16"/>
          <w:color w:val="auto"/>
        </w:rPr>
        <w:t>Total increase in Gross margin (non-GAAP)</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980" w:type="dxa"/>
            <w:vAlign w:val="bottom"/>
          </w:tcPr>
          <w:p>
            <w:pPr>
              <w:jc w:val="right"/>
              <w:ind w:right="79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center"/>
              <w:ind w:left="759"/>
              <w:spacing w:after="0"/>
              <w:rPr>
                <w:sz w:val="20"/>
                <w:szCs w:val="20"/>
                <w:color w:val="auto"/>
              </w:rPr>
            </w:pPr>
            <w:r>
              <w:rPr>
                <w:rFonts w:ascii="Arial" w:cs="Arial" w:eastAsia="Arial" w:hAnsi="Arial"/>
                <w:sz w:val="16"/>
                <w:szCs w:val="16"/>
                <w:color w:val="auto"/>
                <w:w w:val="98"/>
              </w:rPr>
              <w:t>9.2</w:t>
            </w:r>
          </w:p>
        </w:tc>
      </w:tr>
      <w:tr>
        <w:trPr>
          <w:trHeight w:val="216"/>
        </w:trPr>
        <w:tc>
          <w:tcPr>
            <w:tcW w:w="980" w:type="dxa"/>
            <w:vAlign w:val="bottom"/>
          </w:tcPr>
          <w:p>
            <w:pPr>
              <w:spacing w:after="0"/>
              <w:rPr>
                <w:sz w:val="18"/>
                <w:szCs w:val="18"/>
                <w:color w:val="auto"/>
              </w:rPr>
            </w:pPr>
          </w:p>
        </w:tc>
        <w:tc>
          <w:tcPr>
            <w:tcW w:w="1220" w:type="dxa"/>
            <w:vAlign w:val="bottom"/>
          </w:tcPr>
          <w:p>
            <w:pPr>
              <w:jc w:val="center"/>
              <w:ind w:left="759"/>
              <w:spacing w:after="0"/>
              <w:rPr>
                <w:sz w:val="20"/>
                <w:szCs w:val="20"/>
                <w:color w:val="auto"/>
              </w:rPr>
            </w:pPr>
            <w:r>
              <w:rPr>
                <w:rFonts w:ascii="Arial" w:cs="Arial" w:eastAsia="Arial" w:hAnsi="Arial"/>
                <w:sz w:val="16"/>
                <w:szCs w:val="16"/>
                <w:color w:val="auto"/>
                <w:w w:val="98"/>
              </w:rPr>
              <w:t>7.5</w:t>
            </w:r>
          </w:p>
        </w:tc>
      </w:tr>
      <w:tr>
        <w:trPr>
          <w:trHeight w:val="216"/>
        </w:trPr>
        <w:tc>
          <w:tcPr>
            <w:tcW w:w="980" w:type="dxa"/>
            <w:vAlign w:val="bottom"/>
          </w:tcPr>
          <w:p>
            <w:pPr>
              <w:spacing w:after="0"/>
              <w:rPr>
                <w:sz w:val="18"/>
                <w:szCs w:val="18"/>
                <w:color w:val="auto"/>
              </w:rPr>
            </w:pPr>
          </w:p>
        </w:tc>
        <w:tc>
          <w:tcPr>
            <w:tcW w:w="1220" w:type="dxa"/>
            <w:vAlign w:val="bottom"/>
          </w:tcPr>
          <w:p>
            <w:pPr>
              <w:jc w:val="center"/>
              <w:ind w:left="759"/>
              <w:spacing w:after="0"/>
              <w:rPr>
                <w:sz w:val="20"/>
                <w:szCs w:val="20"/>
                <w:color w:val="auto"/>
              </w:rPr>
            </w:pPr>
            <w:r>
              <w:rPr>
                <w:rFonts w:ascii="Arial" w:cs="Arial" w:eastAsia="Arial" w:hAnsi="Arial"/>
                <w:sz w:val="16"/>
                <w:szCs w:val="16"/>
                <w:color w:val="auto"/>
              </w:rPr>
              <w:t>(8.2)</w:t>
            </w:r>
          </w:p>
        </w:tc>
      </w:tr>
      <w:tr>
        <w:trPr>
          <w:trHeight w:val="216"/>
        </w:trPr>
        <w:tc>
          <w:tcPr>
            <w:tcW w:w="980" w:type="dxa"/>
            <w:vAlign w:val="bottom"/>
          </w:tcPr>
          <w:p>
            <w:pPr>
              <w:spacing w:after="0"/>
              <w:rPr>
                <w:sz w:val="18"/>
                <w:szCs w:val="18"/>
                <w:color w:val="auto"/>
              </w:rPr>
            </w:pPr>
          </w:p>
        </w:tc>
        <w:tc>
          <w:tcPr>
            <w:tcW w:w="1220" w:type="dxa"/>
            <w:vAlign w:val="bottom"/>
          </w:tcPr>
          <w:p>
            <w:pPr>
              <w:jc w:val="center"/>
              <w:ind w:left="759"/>
              <w:spacing w:after="0"/>
              <w:rPr>
                <w:sz w:val="20"/>
                <w:szCs w:val="20"/>
                <w:color w:val="auto"/>
              </w:rPr>
            </w:pPr>
            <w:r>
              <w:rPr>
                <w:rFonts w:ascii="Arial" w:cs="Arial" w:eastAsia="Arial" w:hAnsi="Arial"/>
                <w:sz w:val="16"/>
                <w:szCs w:val="16"/>
                <w:color w:val="auto"/>
              </w:rPr>
              <w:t>(1.2)</w:t>
            </w:r>
          </w:p>
        </w:tc>
      </w:tr>
      <w:tr>
        <w:trPr>
          <w:trHeight w:val="216"/>
        </w:trPr>
        <w:tc>
          <w:tcPr>
            <w:tcW w:w="980" w:type="dxa"/>
            <w:vAlign w:val="bottom"/>
          </w:tcPr>
          <w:p>
            <w:pPr>
              <w:spacing w:after="0"/>
              <w:rPr>
                <w:sz w:val="18"/>
                <w:szCs w:val="18"/>
                <w:color w:val="auto"/>
              </w:rPr>
            </w:pPr>
          </w:p>
        </w:tc>
        <w:tc>
          <w:tcPr>
            <w:tcW w:w="1220" w:type="dxa"/>
            <w:vAlign w:val="bottom"/>
          </w:tcPr>
          <w:p>
            <w:pPr>
              <w:jc w:val="center"/>
              <w:ind w:left="759"/>
              <w:spacing w:after="0"/>
              <w:rPr>
                <w:sz w:val="20"/>
                <w:szCs w:val="20"/>
                <w:color w:val="auto"/>
              </w:rPr>
            </w:pPr>
            <w:r>
              <w:rPr>
                <w:rFonts w:ascii="Arial" w:cs="Arial" w:eastAsia="Arial" w:hAnsi="Arial"/>
                <w:sz w:val="16"/>
                <w:szCs w:val="16"/>
                <w:color w:val="auto"/>
              </w:rPr>
              <w:t>(0.4)</w:t>
            </w:r>
          </w:p>
        </w:tc>
      </w:tr>
      <w:tr>
        <w:trPr>
          <w:trHeight w:val="219"/>
        </w:trPr>
        <w:tc>
          <w:tcPr>
            <w:tcW w:w="9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left="759"/>
              <w:spacing w:after="0"/>
              <w:rPr>
                <w:sz w:val="20"/>
                <w:szCs w:val="20"/>
                <w:color w:val="auto"/>
              </w:rPr>
            </w:pPr>
            <w:r>
              <w:rPr>
                <w:rFonts w:ascii="Arial" w:cs="Arial" w:eastAsia="Arial" w:hAnsi="Arial"/>
                <w:sz w:val="16"/>
                <w:szCs w:val="16"/>
                <w:color w:val="auto"/>
              </w:rPr>
              <w:t>(2.8)</w:t>
            </w:r>
          </w:p>
        </w:tc>
      </w:tr>
      <w:tr>
        <w:trPr>
          <w:trHeight w:val="209"/>
        </w:trPr>
        <w:tc>
          <w:tcPr>
            <w:tcW w:w="980" w:type="dxa"/>
            <w:vAlign w:val="bottom"/>
            <w:tcBorders>
              <w:bottom w:val="single" w:sz="8" w:color="auto"/>
            </w:tcBorders>
          </w:tcPr>
          <w:p>
            <w:pPr>
              <w:jc w:val="right"/>
              <w:ind w:right="7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center"/>
              <w:ind w:left="759"/>
              <w:spacing w:after="0"/>
              <w:rPr>
                <w:sz w:val="20"/>
                <w:szCs w:val="20"/>
                <w:color w:val="auto"/>
              </w:rPr>
            </w:pPr>
            <w:r>
              <w:rPr>
                <w:rFonts w:ascii="Arial" w:cs="Arial" w:eastAsia="Arial" w:hAnsi="Arial"/>
                <w:sz w:val="16"/>
                <w:szCs w:val="16"/>
                <w:color w:val="auto"/>
                <w:w w:val="98"/>
              </w:rPr>
              <w:t>4.1</w:t>
            </w:r>
          </w:p>
        </w:tc>
      </w:tr>
      <w:tr>
        <w:trPr>
          <w:trHeight w:val="23"/>
        </w:trPr>
        <w:tc>
          <w:tcPr>
            <w:tcW w:w="9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bl>
    <w:p>
      <w:pPr>
        <w:spacing w:after="0" w:line="274" w:lineRule="exact"/>
        <w:rPr>
          <w:sz w:val="20"/>
          <w:szCs w:val="20"/>
          <w:color w:val="auto"/>
        </w:rPr>
      </w:pPr>
    </w:p>
    <w:p>
      <w:pPr>
        <w:sectPr>
          <w:pgSz w:w="11900" w:h="16838" w:orient="portrait"/>
          <w:cols w:equalWidth="0" w:num="2">
            <w:col w:w="8300" w:space="720"/>
            <w:col w:w="2220"/>
          </w:cols>
          <w:pgMar w:left="320" w:top="121" w:right="339" w:bottom="1440" w:gutter="0" w:footer="0" w:header="0"/>
          <w:type w:val="continuous"/>
        </w:sectPr>
      </w:pPr>
    </w:p>
    <w:p>
      <w:pPr>
        <w:ind w:left="340" w:right="240" w:hanging="332"/>
        <w:spacing w:after="0" w:line="258" w:lineRule="auto"/>
        <w:tabs>
          <w:tab w:leader="none" w:pos="352" w:val="left"/>
        </w:tabs>
        <w:numPr>
          <w:ilvl w:val="0"/>
          <w:numId w:val="28"/>
        </w:numPr>
        <w:rPr>
          <w:rFonts w:ascii="Arial" w:cs="Arial" w:eastAsia="Arial" w:hAnsi="Arial"/>
          <w:sz w:val="14"/>
          <w:szCs w:val="14"/>
          <w:color w:val="auto"/>
        </w:rPr>
      </w:pPr>
      <w:r>
        <w:rPr>
          <w:rFonts w:ascii="Arial" w:cs="Arial" w:eastAsia="Arial" w:hAnsi="Arial"/>
          <w:sz w:val="14"/>
          <w:szCs w:val="14"/>
          <w:color w:val="auto"/>
        </w:rPr>
        <w:t>Black Hills Energy Services offers fixed contract pricing for non-regulated gas supply services to our regulated natural gas customers. The increased cost of natural gas sold during Winter Storm Uri is not recoverable through a regulatory mechanism.</w:t>
      </w:r>
    </w:p>
    <w:p>
      <w:pPr>
        <w:spacing w:after="0" w:line="218" w:lineRule="exact"/>
        <w:rPr>
          <w:sz w:val="20"/>
          <w:szCs w:val="20"/>
          <w:color w:val="auto"/>
        </w:rPr>
      </w:pPr>
    </w:p>
    <w:p>
      <w:pPr>
        <w:ind w:right="380"/>
        <w:spacing w:after="0" w:line="253" w:lineRule="auto"/>
        <w:rPr>
          <w:sz w:val="20"/>
          <w:szCs w:val="20"/>
          <w:color w:val="auto"/>
        </w:rPr>
      </w:pPr>
      <w:r>
        <w:rPr>
          <w:rFonts w:ascii="Arial" w:cs="Arial" w:eastAsia="Arial" w:hAnsi="Arial"/>
          <w:sz w:val="16"/>
          <w:szCs w:val="16"/>
          <w:u w:val="single" w:color="auto"/>
          <w:color w:val="auto"/>
        </w:rPr>
        <w:t>Operations and maintenance expense</w:t>
      </w:r>
      <w:r>
        <w:rPr>
          <w:rFonts w:ascii="Arial" w:cs="Arial" w:eastAsia="Arial" w:hAnsi="Arial"/>
          <w:sz w:val="16"/>
          <w:szCs w:val="16"/>
          <w:color w:val="auto"/>
        </w:rPr>
        <w:t xml:space="preserve"> increased primarily due to $5.5 million of higher employee related costs and outside services expenses driven by higher headcount and higher stock compensation expense related to market performance partially offset by $1.0 million of lower travel and training expenses.</w:t>
      </w:r>
    </w:p>
    <w:p>
      <w:pPr>
        <w:spacing w:after="0" w:line="228" w:lineRule="exact"/>
        <w:rPr>
          <w:sz w:val="20"/>
          <w:szCs w:val="20"/>
          <w:color w:val="auto"/>
        </w:rPr>
      </w:pPr>
    </w:p>
    <w:p>
      <w:pPr>
        <w:ind w:right="480"/>
        <w:spacing w:after="0" w:line="260" w:lineRule="auto"/>
        <w:rPr>
          <w:sz w:val="20"/>
          <w:szCs w:val="20"/>
          <w:color w:val="auto"/>
        </w:rPr>
      </w:pPr>
      <w:r>
        <w:rPr>
          <w:rFonts w:ascii="Arial" w:cs="Arial" w:eastAsia="Arial" w:hAnsi="Arial"/>
          <w:sz w:val="16"/>
          <w:szCs w:val="16"/>
          <w:u w:val="single" w:color="auto"/>
          <w:color w:val="auto"/>
        </w:rPr>
        <w:t>Depreciation and amortization</w:t>
      </w:r>
      <w:r>
        <w:rPr>
          <w:rFonts w:ascii="Arial" w:cs="Arial" w:eastAsia="Arial" w:hAnsi="Arial"/>
          <w:sz w:val="16"/>
          <w:szCs w:val="16"/>
          <w:color w:val="auto"/>
        </w:rPr>
        <w:t xml:space="preserve"> was comparable to the same period in the prior year due to lower depreciation rates approved in the Nebraska Gas and Colorado Gas rate reviews mostly offset by increased depreciation due to a higher asset base driven by prior year capital expenditures.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760" w:type="dxa"/>
            <w:vAlign w:val="bottom"/>
          </w:tcPr>
          <w:p>
            <w:pPr>
              <w:spacing w:after="0"/>
              <w:rPr>
                <w:sz w:val="20"/>
                <w:szCs w:val="20"/>
                <w:color w:val="auto"/>
              </w:rPr>
            </w:pPr>
            <w:r>
              <w:rPr>
                <w:rFonts w:ascii="Arial" w:cs="Arial" w:eastAsia="Arial" w:hAnsi="Arial"/>
                <w:sz w:val="16"/>
                <w:szCs w:val="16"/>
                <w:i w:val="1"/>
                <w:iCs w:val="1"/>
                <w:color w:val="auto"/>
              </w:rPr>
              <w:t>Operating Statistics</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3"/>
        </w:trPr>
        <w:tc>
          <w:tcPr>
            <w:tcW w:w="3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Revenue</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20" w:type="dxa"/>
            <w:vAlign w:val="bottom"/>
            <w:gridSpan w:val="3"/>
          </w:tcPr>
          <w:p>
            <w:pPr>
              <w:jc w:val="center"/>
              <w:ind w:right="99"/>
              <w:spacing w:after="0"/>
              <w:rPr>
                <w:sz w:val="20"/>
                <w:szCs w:val="20"/>
                <w:color w:val="auto"/>
              </w:rPr>
            </w:pPr>
            <w:r>
              <w:rPr>
                <w:rFonts w:ascii="Arial" w:cs="Arial" w:eastAsia="Arial" w:hAnsi="Arial"/>
                <w:sz w:val="16"/>
                <w:szCs w:val="16"/>
                <w:color w:val="auto"/>
              </w:rPr>
              <w:t>Gross Margin (non-GAAP)</w:t>
            </w:r>
          </w:p>
        </w:tc>
        <w:tc>
          <w:tcPr>
            <w:tcW w:w="100" w:type="dxa"/>
            <w:vAlign w:val="bottom"/>
          </w:tcPr>
          <w:p>
            <w:pPr>
              <w:spacing w:after="0"/>
              <w:rPr>
                <w:sz w:val="24"/>
                <w:szCs w:val="24"/>
                <w:color w:val="auto"/>
              </w:rPr>
            </w:pPr>
          </w:p>
        </w:tc>
        <w:tc>
          <w:tcPr>
            <w:tcW w:w="2480" w:type="dxa"/>
            <w:vAlign w:val="bottom"/>
            <w:gridSpan w:val="3"/>
          </w:tcPr>
          <w:p>
            <w:pPr>
              <w:jc w:val="center"/>
              <w:ind w:right="60"/>
              <w:spacing w:after="0"/>
              <w:rPr>
                <w:sz w:val="20"/>
                <w:szCs w:val="20"/>
                <w:color w:val="auto"/>
              </w:rPr>
            </w:pPr>
            <w:r>
              <w:rPr>
                <w:rFonts w:ascii="Arial" w:cs="Arial" w:eastAsia="Arial" w:hAnsi="Arial"/>
                <w:sz w:val="16"/>
                <w:szCs w:val="16"/>
                <w:color w:val="auto"/>
              </w:rPr>
              <w:t>Quantities Sold &amp; Transported</w:t>
            </w:r>
          </w:p>
        </w:tc>
        <w:tc>
          <w:tcPr>
            <w:tcW w:w="0" w:type="dxa"/>
            <w:vAlign w:val="bottom"/>
          </w:tcPr>
          <w:p>
            <w:pPr>
              <w:spacing w:after="0"/>
              <w:rPr>
                <w:sz w:val="1"/>
                <w:szCs w:val="1"/>
                <w:color w:val="auto"/>
              </w:rPr>
            </w:pPr>
          </w:p>
        </w:tc>
      </w:tr>
      <w:tr>
        <w:trPr>
          <w:trHeight w:val="198"/>
        </w:trPr>
        <w:tc>
          <w:tcPr>
            <w:tcW w:w="37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gridSpan w:val="4"/>
          </w:tcPr>
          <w:p>
            <w:pPr>
              <w:jc w:val="center"/>
              <w:ind w:right="380"/>
              <w:spacing w:after="0"/>
              <w:rPr>
                <w:sz w:val="20"/>
                <w:szCs w:val="20"/>
                <w:color w:val="auto"/>
              </w:rPr>
            </w:pPr>
            <w:r>
              <w:rPr>
                <w:rFonts w:ascii="Arial" w:cs="Arial" w:eastAsia="Arial" w:hAnsi="Arial"/>
                <w:sz w:val="16"/>
                <w:szCs w:val="16"/>
                <w:color w:val="auto"/>
              </w:rPr>
              <w:t>(in thousands)</w:t>
            </w:r>
          </w:p>
        </w:tc>
        <w:tc>
          <w:tcPr>
            <w:tcW w:w="18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gridSpan w:val="3"/>
          </w:tcPr>
          <w:p>
            <w:pPr>
              <w:jc w:val="center"/>
              <w:ind w:right="99"/>
              <w:spacing w:after="0"/>
              <w:rPr>
                <w:sz w:val="20"/>
                <w:szCs w:val="20"/>
                <w:color w:val="auto"/>
              </w:rPr>
            </w:pPr>
            <w:r>
              <w:rPr>
                <w:rFonts w:ascii="Arial" w:cs="Arial" w:eastAsia="Arial" w:hAnsi="Arial"/>
                <w:sz w:val="16"/>
                <w:szCs w:val="16"/>
                <w:color w:val="auto"/>
              </w:rPr>
              <w:t>(in thousands)</w:t>
            </w:r>
          </w:p>
        </w:tc>
        <w:tc>
          <w:tcPr>
            <w:tcW w:w="1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center"/>
              <w:ind w:left="899"/>
              <w:spacing w:after="0"/>
              <w:rPr>
                <w:sz w:val="20"/>
                <w:szCs w:val="20"/>
                <w:color w:val="auto"/>
              </w:rPr>
            </w:pPr>
            <w:r>
              <w:rPr>
                <w:rFonts w:ascii="Arial" w:cs="Arial" w:eastAsia="Arial" w:hAnsi="Arial"/>
                <w:sz w:val="16"/>
                <w:szCs w:val="16"/>
                <w:color w:val="auto"/>
              </w:rPr>
              <w:t>(Dth)</w:t>
            </w:r>
          </w:p>
        </w:tc>
        <w:tc>
          <w:tcPr>
            <w:tcW w:w="96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3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40" w:type="dxa"/>
            <w:vAlign w:val="bottom"/>
            <w:gridSpan w:val="4"/>
          </w:tcPr>
          <w:p>
            <w:pPr>
              <w:jc w:val="center"/>
              <w:ind w:right="360"/>
              <w:spacing w:after="0" w:line="174" w:lineRule="exact"/>
              <w:rPr>
                <w:sz w:val="20"/>
                <w:szCs w:val="20"/>
                <w:color w:val="auto"/>
              </w:rPr>
            </w:pPr>
            <w:r>
              <w:rPr>
                <w:rFonts w:ascii="Arial" w:cs="Arial" w:eastAsia="Arial" w:hAnsi="Arial"/>
                <w:sz w:val="16"/>
                <w:szCs w:val="16"/>
                <w:color w:val="auto"/>
              </w:rPr>
              <w:t>Three Months Ended</w:t>
            </w:r>
          </w:p>
        </w:tc>
        <w:tc>
          <w:tcPr>
            <w:tcW w:w="180" w:type="dxa"/>
            <w:vAlign w:val="bottom"/>
          </w:tcPr>
          <w:p>
            <w:pPr>
              <w:spacing w:after="0"/>
              <w:rPr>
                <w:sz w:val="15"/>
                <w:szCs w:val="15"/>
                <w:color w:val="auto"/>
              </w:rPr>
            </w:pPr>
          </w:p>
        </w:tc>
        <w:tc>
          <w:tcPr>
            <w:tcW w:w="2220" w:type="dxa"/>
            <w:vAlign w:val="bottom"/>
            <w:gridSpan w:val="3"/>
          </w:tcPr>
          <w:p>
            <w:pPr>
              <w:jc w:val="center"/>
              <w:ind w:right="99"/>
              <w:spacing w:after="0" w:line="174" w:lineRule="exact"/>
              <w:rPr>
                <w:sz w:val="20"/>
                <w:szCs w:val="20"/>
                <w:color w:val="auto"/>
              </w:rPr>
            </w:pPr>
            <w:r>
              <w:rPr>
                <w:rFonts w:ascii="Arial" w:cs="Arial" w:eastAsia="Arial" w:hAnsi="Arial"/>
                <w:sz w:val="16"/>
                <w:szCs w:val="16"/>
                <w:color w:val="auto"/>
              </w:rPr>
              <w:t>Three Months Ended</w:t>
            </w:r>
          </w:p>
        </w:tc>
        <w:tc>
          <w:tcPr>
            <w:tcW w:w="100" w:type="dxa"/>
            <w:vAlign w:val="bottom"/>
          </w:tcPr>
          <w:p>
            <w:pPr>
              <w:spacing w:after="0"/>
              <w:rPr>
                <w:sz w:val="15"/>
                <w:szCs w:val="15"/>
                <w:color w:val="auto"/>
              </w:rPr>
            </w:pPr>
          </w:p>
        </w:tc>
        <w:tc>
          <w:tcPr>
            <w:tcW w:w="2480" w:type="dxa"/>
            <w:vAlign w:val="bottom"/>
            <w:gridSpan w:val="3"/>
          </w:tcPr>
          <w:p>
            <w:pPr>
              <w:jc w:val="center"/>
              <w:ind w:right="60"/>
              <w:spacing w:after="0" w:line="174" w:lineRule="exact"/>
              <w:rPr>
                <w:sz w:val="20"/>
                <w:szCs w:val="20"/>
                <w:color w:val="auto"/>
              </w:rPr>
            </w:pPr>
            <w:r>
              <w:rPr>
                <w:rFonts w:ascii="Arial" w:cs="Arial" w:eastAsia="Arial" w:hAnsi="Arial"/>
                <w:sz w:val="16"/>
                <w:szCs w:val="16"/>
                <w:color w:val="auto"/>
              </w:rPr>
              <w:t>Three Months Ended</w:t>
            </w:r>
          </w:p>
        </w:tc>
        <w:tc>
          <w:tcPr>
            <w:tcW w:w="0" w:type="dxa"/>
            <w:vAlign w:val="bottom"/>
          </w:tcPr>
          <w:p>
            <w:pPr>
              <w:spacing w:after="0"/>
              <w:rPr>
                <w:sz w:val="1"/>
                <w:szCs w:val="1"/>
                <w:color w:val="auto"/>
              </w:rPr>
            </w:pPr>
          </w:p>
        </w:tc>
      </w:tr>
      <w:tr>
        <w:trPr>
          <w:trHeight w:val="195"/>
        </w:trPr>
        <w:tc>
          <w:tcPr>
            <w:tcW w:w="3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gridSpan w:val="2"/>
          </w:tcPr>
          <w:p>
            <w:pPr>
              <w:jc w:val="center"/>
              <w:ind w:left="479"/>
              <w:spacing w:after="0"/>
              <w:rPr>
                <w:sz w:val="20"/>
                <w:szCs w:val="20"/>
                <w:color w:val="auto"/>
              </w:rPr>
            </w:pPr>
            <w:r>
              <w:rPr>
                <w:rFonts w:ascii="Arial" w:cs="Arial" w:eastAsia="Arial" w:hAnsi="Arial"/>
                <w:sz w:val="16"/>
                <w:szCs w:val="16"/>
                <w:color w:val="auto"/>
              </w:rPr>
              <w:t>March 31,</w:t>
            </w: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gridSpan w:val="2"/>
          </w:tcPr>
          <w:p>
            <w:pPr>
              <w:jc w:val="center"/>
              <w:ind w:left="539"/>
              <w:spacing w:after="0"/>
              <w:rPr>
                <w:sz w:val="20"/>
                <w:szCs w:val="20"/>
                <w:color w:val="auto"/>
              </w:rPr>
            </w:pPr>
            <w:r>
              <w:rPr>
                <w:rFonts w:ascii="Arial" w:cs="Arial" w:eastAsia="Arial" w:hAnsi="Arial"/>
                <w:sz w:val="16"/>
                <w:szCs w:val="16"/>
                <w:color w:val="auto"/>
              </w:rPr>
              <w:t>March 31,</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80" w:type="dxa"/>
            <w:vAlign w:val="bottom"/>
            <w:gridSpan w:val="3"/>
          </w:tcPr>
          <w:p>
            <w:pPr>
              <w:jc w:val="center"/>
              <w:ind w:right="40"/>
              <w:spacing w:after="0"/>
              <w:rPr>
                <w:sz w:val="20"/>
                <w:szCs w:val="20"/>
                <w:color w:val="auto"/>
              </w:rPr>
            </w:pPr>
            <w:r>
              <w:rPr>
                <w:rFonts w:ascii="Arial" w:cs="Arial" w:eastAsia="Arial" w:hAnsi="Arial"/>
                <w:sz w:val="16"/>
                <w:szCs w:val="16"/>
                <w:color w:val="auto"/>
              </w:rPr>
              <w:t>March 31,</w:t>
            </w:r>
          </w:p>
        </w:tc>
        <w:tc>
          <w:tcPr>
            <w:tcW w:w="0" w:type="dxa"/>
            <w:vAlign w:val="bottom"/>
          </w:tcPr>
          <w:p>
            <w:pPr>
              <w:spacing w:after="0"/>
              <w:rPr>
                <w:sz w:val="1"/>
                <w:szCs w:val="1"/>
                <w:color w:val="auto"/>
              </w:rPr>
            </w:pPr>
          </w:p>
        </w:tc>
      </w:tr>
      <w:tr>
        <w:trPr>
          <w:trHeight w:val="219"/>
        </w:trPr>
        <w:tc>
          <w:tcPr>
            <w:tcW w:w="37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2021</w:t>
            </w:r>
          </w:p>
        </w:tc>
        <w:tc>
          <w:tcPr>
            <w:tcW w:w="3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2020</w:t>
            </w: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2021</w:t>
            </w:r>
          </w:p>
        </w:tc>
        <w:tc>
          <w:tcPr>
            <w:tcW w:w="4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2020</w:t>
            </w:r>
          </w:p>
        </w:tc>
        <w:tc>
          <w:tcPr>
            <w:tcW w:w="1560" w:type="dxa"/>
            <w:vAlign w:val="bottom"/>
            <w:tcBorders>
              <w:bottom w:val="single" w:sz="8" w:color="auto"/>
            </w:tcBorders>
            <w:gridSpan w:val="2"/>
          </w:tcPr>
          <w:p>
            <w:pPr>
              <w:jc w:val="right"/>
              <w:ind w:right="579"/>
              <w:spacing w:after="0"/>
              <w:rPr>
                <w:sz w:val="20"/>
                <w:szCs w:val="20"/>
                <w:color w:val="auto"/>
              </w:rPr>
            </w:pPr>
            <w:r>
              <w:rPr>
                <w:rFonts w:ascii="Arial" w:cs="Arial" w:eastAsia="Arial" w:hAnsi="Arial"/>
                <w:sz w:val="16"/>
                <w:szCs w:val="16"/>
                <w:color w:val="auto"/>
              </w:rPr>
              <w:t>2021</w:t>
            </w:r>
          </w:p>
        </w:tc>
        <w:tc>
          <w:tcPr>
            <w:tcW w:w="96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2020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5"/>
        </w:trPr>
        <w:tc>
          <w:tcPr>
            <w:tcW w:w="3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760" w:type="dxa"/>
            <w:vAlign w:val="bottom"/>
            <w:shd w:val="clear" w:color="auto" w:fill="CEFFE7"/>
          </w:tcPr>
          <w:p>
            <w:pPr>
              <w:ind w:left="20"/>
              <w:spacing w:after="0"/>
              <w:rPr>
                <w:sz w:val="20"/>
                <w:szCs w:val="20"/>
                <w:color w:val="auto"/>
              </w:rPr>
            </w:pPr>
            <w:r>
              <w:rPr>
                <w:rFonts w:ascii="Arial" w:cs="Arial" w:eastAsia="Arial" w:hAnsi="Arial"/>
                <w:sz w:val="16"/>
                <w:szCs w:val="16"/>
                <w:color w:val="auto"/>
              </w:rPr>
              <w:t>Residential</w:t>
            </w:r>
          </w:p>
        </w:tc>
        <w:tc>
          <w:tcPr>
            <w:tcW w:w="260" w:type="dxa"/>
            <w:vAlign w:val="bottom"/>
            <w:shd w:val="clear" w:color="auto" w:fill="CEFFE7"/>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234,397</w:t>
            </w:r>
          </w:p>
        </w:tc>
        <w:tc>
          <w:tcPr>
            <w:tcW w:w="380" w:type="dxa"/>
            <w:vAlign w:val="bottom"/>
            <w:shd w:val="clear" w:color="auto" w:fill="CEFFE7"/>
          </w:tcPr>
          <w:p>
            <w:pPr>
              <w:jc w:val="right"/>
              <w:ind w:right="179"/>
              <w:spacing w:after="0"/>
              <w:rPr>
                <w:sz w:val="20"/>
                <w:szCs w:val="20"/>
                <w:color w:val="auto"/>
              </w:rPr>
            </w:pPr>
            <w:r>
              <w:rPr>
                <w:rFonts w:ascii="Arial" w:cs="Arial" w:eastAsia="Arial" w:hAnsi="Arial"/>
                <w:sz w:val="16"/>
                <w:szCs w:val="16"/>
                <w:color w:val="auto"/>
              </w:rPr>
              <w:t>$</w:t>
            </w:r>
          </w:p>
        </w:tc>
        <w:tc>
          <w:tcPr>
            <w:tcW w:w="8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207,231</w:t>
            </w:r>
          </w:p>
        </w:tc>
        <w:tc>
          <w:tcPr>
            <w:tcW w:w="100" w:type="dxa"/>
            <w:vAlign w:val="bottom"/>
            <w:shd w:val="clear" w:color="auto" w:fill="CEFFE7"/>
          </w:tcPr>
          <w:p>
            <w:pPr>
              <w:spacing w:after="0"/>
              <w:rPr>
                <w:sz w:val="18"/>
                <w:szCs w:val="18"/>
                <w:color w:val="auto"/>
              </w:rPr>
            </w:pPr>
          </w:p>
        </w:tc>
        <w:tc>
          <w:tcPr>
            <w:tcW w:w="180" w:type="dxa"/>
            <w:vAlign w:val="bottom"/>
            <w:shd w:val="clear" w:color="auto" w:fill="CEFFE7"/>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110,148</w:t>
            </w:r>
          </w:p>
        </w:tc>
        <w:tc>
          <w:tcPr>
            <w:tcW w:w="400" w:type="dxa"/>
            <w:vAlign w:val="bottom"/>
            <w:shd w:val="clear" w:color="auto" w:fill="CEFFE7"/>
          </w:tcPr>
          <w:p>
            <w:pPr>
              <w:jc w:val="right"/>
              <w:ind w:right="21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103,121</w:t>
            </w:r>
          </w:p>
        </w:tc>
        <w:tc>
          <w:tcPr>
            <w:tcW w:w="1560" w:type="dxa"/>
            <w:vAlign w:val="bottom"/>
            <w:gridSpan w:val="2"/>
            <w:shd w:val="clear" w:color="auto" w:fill="CEFFE7"/>
          </w:tcPr>
          <w:p>
            <w:pPr>
              <w:jc w:val="right"/>
              <w:ind w:right="239"/>
              <w:spacing w:after="0"/>
              <w:rPr>
                <w:sz w:val="20"/>
                <w:szCs w:val="20"/>
                <w:color w:val="auto"/>
              </w:rPr>
            </w:pPr>
            <w:r>
              <w:rPr>
                <w:rFonts w:ascii="Arial" w:cs="Arial" w:eastAsia="Arial" w:hAnsi="Arial"/>
                <w:sz w:val="16"/>
                <w:szCs w:val="16"/>
                <w:color w:val="auto"/>
              </w:rPr>
              <w:t>30,568,738</w:t>
            </w:r>
          </w:p>
        </w:tc>
        <w:tc>
          <w:tcPr>
            <w:tcW w:w="9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28,230,795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760" w:type="dxa"/>
            <w:vAlign w:val="bottom"/>
          </w:tcPr>
          <w:p>
            <w:pPr>
              <w:ind w:left="20"/>
              <w:spacing w:after="0"/>
              <w:rPr>
                <w:sz w:val="20"/>
                <w:szCs w:val="20"/>
                <w:color w:val="auto"/>
              </w:rPr>
            </w:pPr>
            <w:r>
              <w:rPr>
                <w:rFonts w:ascii="Arial" w:cs="Arial" w:eastAsia="Arial" w:hAnsi="Arial"/>
                <w:sz w:val="16"/>
                <w:szCs w:val="16"/>
                <w:color w:val="auto"/>
              </w:rPr>
              <w:t>Commercial</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91,089</w:t>
            </w: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80,236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35,484</w:t>
            </w: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33,519</w:t>
            </w:r>
          </w:p>
        </w:tc>
        <w:tc>
          <w:tcPr>
            <w:tcW w:w="1560" w:type="dxa"/>
            <w:vAlign w:val="bottom"/>
            <w:gridSpan w:val="2"/>
          </w:tcPr>
          <w:p>
            <w:pPr>
              <w:jc w:val="right"/>
              <w:ind w:right="239"/>
              <w:spacing w:after="0"/>
              <w:rPr>
                <w:sz w:val="20"/>
                <w:szCs w:val="20"/>
                <w:color w:val="auto"/>
              </w:rPr>
            </w:pPr>
            <w:r>
              <w:rPr>
                <w:rFonts w:ascii="Arial" w:cs="Arial" w:eastAsia="Arial" w:hAnsi="Arial"/>
                <w:sz w:val="16"/>
                <w:szCs w:val="16"/>
                <w:color w:val="auto"/>
              </w:rPr>
              <w:t>13,812,321</w:t>
            </w:r>
          </w:p>
        </w:tc>
        <w:tc>
          <w:tcPr>
            <w:tcW w:w="960" w:type="dxa"/>
            <w:vAlign w:val="bottom"/>
          </w:tcPr>
          <w:p>
            <w:pPr>
              <w:jc w:val="right"/>
              <w:spacing w:after="0"/>
              <w:rPr>
                <w:sz w:val="20"/>
                <w:szCs w:val="20"/>
                <w:color w:val="auto"/>
              </w:rPr>
            </w:pPr>
            <w:r>
              <w:rPr>
                <w:rFonts w:ascii="Arial" w:cs="Arial" w:eastAsia="Arial" w:hAnsi="Arial"/>
                <w:sz w:val="16"/>
                <w:szCs w:val="16"/>
                <w:color w:val="auto"/>
              </w:rPr>
              <w:t>12,834,803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760" w:type="dxa"/>
            <w:vAlign w:val="bottom"/>
            <w:shd w:val="clear" w:color="auto" w:fill="CEFFE7"/>
          </w:tcPr>
          <w:p>
            <w:pPr>
              <w:ind w:left="20"/>
              <w:spacing w:after="0"/>
              <w:rPr>
                <w:sz w:val="20"/>
                <w:szCs w:val="20"/>
                <w:color w:val="auto"/>
              </w:rPr>
            </w:pPr>
            <w:r>
              <w:rPr>
                <w:rFonts w:ascii="Arial" w:cs="Arial" w:eastAsia="Arial" w:hAnsi="Arial"/>
                <w:sz w:val="16"/>
                <w:szCs w:val="16"/>
                <w:color w:val="auto"/>
              </w:rPr>
              <w:t>Industrial</w:t>
            </w:r>
          </w:p>
        </w:tc>
        <w:tc>
          <w:tcPr>
            <w:tcW w:w="260" w:type="dxa"/>
            <w:vAlign w:val="bottom"/>
            <w:shd w:val="clear" w:color="auto" w:fill="CEFFE7"/>
          </w:tcPr>
          <w:p>
            <w:pPr>
              <w:spacing w:after="0"/>
              <w:rPr>
                <w:sz w:val="19"/>
                <w:szCs w:val="19"/>
                <w:color w:val="auto"/>
              </w:rPr>
            </w:pPr>
          </w:p>
        </w:tc>
        <w:tc>
          <w:tcPr>
            <w:tcW w:w="9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4,902</w:t>
            </w:r>
          </w:p>
        </w:tc>
        <w:tc>
          <w:tcPr>
            <w:tcW w:w="380" w:type="dxa"/>
            <w:vAlign w:val="bottom"/>
            <w:shd w:val="clear" w:color="auto" w:fill="CEFFE7"/>
          </w:tcPr>
          <w:p>
            <w:pPr>
              <w:spacing w:after="0"/>
              <w:rPr>
                <w:sz w:val="19"/>
                <w:szCs w:val="19"/>
                <w:color w:val="auto"/>
              </w:rPr>
            </w:pPr>
          </w:p>
        </w:tc>
        <w:tc>
          <w:tcPr>
            <w:tcW w:w="8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5,200</w:t>
            </w:r>
          </w:p>
        </w:tc>
        <w:tc>
          <w:tcPr>
            <w:tcW w:w="100" w:type="dxa"/>
            <w:vAlign w:val="bottom"/>
            <w:shd w:val="clear" w:color="auto" w:fill="CEFFE7"/>
          </w:tcPr>
          <w:p>
            <w:pPr>
              <w:spacing w:after="0"/>
              <w:rPr>
                <w:sz w:val="19"/>
                <w:szCs w:val="19"/>
                <w:color w:val="auto"/>
              </w:rPr>
            </w:pPr>
          </w:p>
        </w:tc>
        <w:tc>
          <w:tcPr>
            <w:tcW w:w="180" w:type="dxa"/>
            <w:vAlign w:val="bottom"/>
            <w:shd w:val="clear" w:color="auto" w:fill="CEFFE7"/>
          </w:tcPr>
          <w:p>
            <w:pPr>
              <w:spacing w:after="0"/>
              <w:rPr>
                <w:sz w:val="19"/>
                <w:szCs w:val="19"/>
                <w:color w:val="auto"/>
              </w:rPr>
            </w:pPr>
          </w:p>
        </w:tc>
        <w:tc>
          <w:tcPr>
            <w:tcW w:w="10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1,789</w:t>
            </w:r>
          </w:p>
        </w:tc>
        <w:tc>
          <w:tcPr>
            <w:tcW w:w="400" w:type="dxa"/>
            <w:vAlign w:val="bottom"/>
            <w:shd w:val="clear" w:color="auto" w:fill="CEFFE7"/>
          </w:tcPr>
          <w:p>
            <w:pPr>
              <w:spacing w:after="0"/>
              <w:rPr>
                <w:sz w:val="19"/>
                <w:szCs w:val="19"/>
                <w:color w:val="auto"/>
              </w:rPr>
            </w:pPr>
          </w:p>
        </w:tc>
        <w:tc>
          <w:tcPr>
            <w:tcW w:w="8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2,043</w:t>
            </w:r>
          </w:p>
        </w:tc>
        <w:tc>
          <w:tcPr>
            <w:tcW w:w="1560" w:type="dxa"/>
            <w:vAlign w:val="bottom"/>
            <w:gridSpan w:val="2"/>
            <w:shd w:val="clear" w:color="auto" w:fill="CEFFE7"/>
          </w:tcPr>
          <w:p>
            <w:pPr>
              <w:jc w:val="right"/>
              <w:ind w:right="239"/>
              <w:spacing w:after="0"/>
              <w:rPr>
                <w:sz w:val="20"/>
                <w:szCs w:val="20"/>
                <w:color w:val="auto"/>
              </w:rPr>
            </w:pPr>
            <w:r>
              <w:rPr>
                <w:rFonts w:ascii="Arial" w:cs="Arial" w:eastAsia="Arial" w:hAnsi="Arial"/>
                <w:sz w:val="16"/>
                <w:szCs w:val="16"/>
                <w:color w:val="auto"/>
              </w:rPr>
              <w:t>898,289</w:t>
            </w:r>
          </w:p>
        </w:tc>
        <w:tc>
          <w:tcPr>
            <w:tcW w:w="9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1,061,052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760" w:type="dxa"/>
            <w:vAlign w:val="bottom"/>
            <w:tcBorders>
              <w:bottom w:val="single" w:sz="8" w:color="CEFFE7"/>
            </w:tcBorders>
          </w:tcPr>
          <w:p>
            <w:pPr>
              <w:ind w:left="2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(472)</w:t>
            </w:r>
          </w:p>
        </w:tc>
        <w:tc>
          <w:tcPr>
            <w:tcW w:w="3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(1,242)</w:t>
            </w:r>
          </w:p>
        </w:tc>
        <w:tc>
          <w:tcPr>
            <w:tcW w:w="100" w:type="dxa"/>
            <w:vAlign w:val="bottom"/>
            <w:tcBorders>
              <w:bottom w:val="single" w:sz="8" w:color="CEFFE7"/>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(472)</w:t>
            </w:r>
          </w:p>
        </w:tc>
        <w:tc>
          <w:tcPr>
            <w:tcW w:w="4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(1,242)</w:t>
            </w:r>
          </w:p>
        </w:tc>
        <w:tc>
          <w:tcPr>
            <w:tcW w:w="100" w:type="dxa"/>
            <w:vAlign w:val="bottom"/>
            <w:tcBorders>
              <w:bottom w:val="single" w:sz="8" w:color="CEFFE7"/>
            </w:tcBorders>
          </w:tcPr>
          <w:p>
            <w:pPr>
              <w:spacing w:after="0"/>
              <w:rPr>
                <w:sz w:val="18"/>
                <w:szCs w:val="18"/>
                <w:color w:val="auto"/>
              </w:rPr>
            </w:pPr>
          </w:p>
        </w:tc>
        <w:tc>
          <w:tcPr>
            <w:tcW w:w="14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60" w:type="dxa"/>
            <w:vAlign w:val="bottom"/>
            <w:shd w:val="clear" w:color="auto" w:fill="CEFFE7"/>
          </w:tcPr>
          <w:p>
            <w:pPr>
              <w:ind w:left="220"/>
              <w:spacing w:after="0"/>
              <w:rPr>
                <w:sz w:val="20"/>
                <w:szCs w:val="20"/>
                <w:color w:val="auto"/>
              </w:rPr>
            </w:pPr>
            <w:r>
              <w:rPr>
                <w:rFonts w:ascii="Arial" w:cs="Arial" w:eastAsia="Arial" w:hAnsi="Arial"/>
                <w:sz w:val="16"/>
                <w:szCs w:val="16"/>
                <w:color w:val="auto"/>
              </w:rPr>
              <w:t>Total Distribution</w:t>
            </w:r>
          </w:p>
        </w:tc>
        <w:tc>
          <w:tcPr>
            <w:tcW w:w="260" w:type="dxa"/>
            <w:vAlign w:val="bottom"/>
            <w:shd w:val="clear" w:color="auto" w:fill="CEFFE7"/>
          </w:tcPr>
          <w:p>
            <w:pPr>
              <w:spacing w:after="0"/>
              <w:rPr>
                <w:sz w:val="18"/>
                <w:szCs w:val="18"/>
                <w:color w:val="auto"/>
              </w:rPr>
            </w:pPr>
          </w:p>
        </w:tc>
        <w:tc>
          <w:tcPr>
            <w:tcW w:w="9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329,916</w:t>
            </w:r>
          </w:p>
        </w:tc>
        <w:tc>
          <w:tcPr>
            <w:tcW w:w="380" w:type="dxa"/>
            <w:vAlign w:val="bottom"/>
            <w:shd w:val="clear" w:color="auto" w:fill="CEFFE7"/>
          </w:tcPr>
          <w:p>
            <w:pPr>
              <w:spacing w:after="0"/>
              <w:rPr>
                <w:sz w:val="18"/>
                <w:szCs w:val="18"/>
                <w:color w:val="auto"/>
              </w:rPr>
            </w:pPr>
          </w:p>
        </w:tc>
        <w:tc>
          <w:tcPr>
            <w:tcW w:w="8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291,425</w:t>
            </w:r>
          </w:p>
        </w:tc>
        <w:tc>
          <w:tcPr>
            <w:tcW w:w="100" w:type="dxa"/>
            <w:vAlign w:val="bottom"/>
            <w:shd w:val="clear" w:color="auto" w:fill="CEFFE7"/>
          </w:tcPr>
          <w:p>
            <w:pPr>
              <w:spacing w:after="0"/>
              <w:rPr>
                <w:sz w:val="18"/>
                <w:szCs w:val="18"/>
                <w:color w:val="auto"/>
              </w:rPr>
            </w:pPr>
          </w:p>
        </w:tc>
        <w:tc>
          <w:tcPr>
            <w:tcW w:w="180" w:type="dxa"/>
            <w:vAlign w:val="bottom"/>
            <w:shd w:val="clear" w:color="auto" w:fill="CEFFE7"/>
          </w:tcPr>
          <w:p>
            <w:pPr>
              <w:spacing w:after="0"/>
              <w:rPr>
                <w:sz w:val="18"/>
                <w:szCs w:val="18"/>
                <w:color w:val="auto"/>
              </w:rPr>
            </w:pPr>
          </w:p>
        </w:tc>
        <w:tc>
          <w:tcPr>
            <w:tcW w:w="10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146,949</w:t>
            </w:r>
          </w:p>
        </w:tc>
        <w:tc>
          <w:tcPr>
            <w:tcW w:w="400" w:type="dxa"/>
            <w:vAlign w:val="bottom"/>
            <w:shd w:val="clear" w:color="auto" w:fill="CEFFE7"/>
          </w:tcPr>
          <w:p>
            <w:pPr>
              <w:spacing w:after="0"/>
              <w:rPr>
                <w:sz w:val="18"/>
                <w:szCs w:val="18"/>
                <w:color w:val="auto"/>
              </w:rPr>
            </w:pPr>
          </w:p>
        </w:tc>
        <w:tc>
          <w:tcPr>
            <w:tcW w:w="8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137,441</w:t>
            </w:r>
          </w:p>
        </w:tc>
        <w:tc>
          <w:tcPr>
            <w:tcW w:w="1560" w:type="dxa"/>
            <w:vAlign w:val="bottom"/>
            <w:gridSpan w:val="2"/>
            <w:shd w:val="clear" w:color="auto" w:fill="CEFFE7"/>
          </w:tcPr>
          <w:p>
            <w:pPr>
              <w:jc w:val="right"/>
              <w:ind w:right="239"/>
              <w:spacing w:after="0"/>
              <w:rPr>
                <w:sz w:val="20"/>
                <w:szCs w:val="20"/>
                <w:color w:val="auto"/>
              </w:rPr>
            </w:pPr>
            <w:r>
              <w:rPr>
                <w:rFonts w:ascii="Arial" w:cs="Arial" w:eastAsia="Arial" w:hAnsi="Arial"/>
                <w:sz w:val="16"/>
                <w:szCs w:val="16"/>
                <w:color w:val="auto"/>
              </w:rPr>
              <w:t>45,279,348</w:t>
            </w:r>
          </w:p>
        </w:tc>
        <w:tc>
          <w:tcPr>
            <w:tcW w:w="9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42,126,650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5"/>
        </w:trPr>
        <w:tc>
          <w:tcPr>
            <w:tcW w:w="376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760" w:type="dxa"/>
            <w:vAlign w:val="bottom"/>
            <w:shd w:val="clear" w:color="auto" w:fill="CEFFE7"/>
          </w:tcPr>
          <w:p>
            <w:pPr>
              <w:ind w:left="20"/>
              <w:spacing w:after="0"/>
              <w:rPr>
                <w:sz w:val="20"/>
                <w:szCs w:val="20"/>
                <w:color w:val="auto"/>
              </w:rPr>
            </w:pPr>
            <w:r>
              <w:rPr>
                <w:rFonts w:ascii="Arial" w:cs="Arial" w:eastAsia="Arial" w:hAnsi="Arial"/>
                <w:sz w:val="16"/>
                <w:szCs w:val="16"/>
                <w:color w:val="auto"/>
              </w:rPr>
              <w:t>Transportation and Transmission</w:t>
            </w:r>
          </w:p>
        </w:tc>
        <w:tc>
          <w:tcPr>
            <w:tcW w:w="260" w:type="dxa"/>
            <w:vAlign w:val="bottom"/>
            <w:shd w:val="clear" w:color="auto" w:fill="CEFFE7"/>
          </w:tcPr>
          <w:p>
            <w:pPr>
              <w:spacing w:after="0"/>
              <w:rPr>
                <w:sz w:val="18"/>
                <w:szCs w:val="18"/>
                <w:color w:val="auto"/>
              </w:rPr>
            </w:pPr>
          </w:p>
        </w:tc>
        <w:tc>
          <w:tcPr>
            <w:tcW w:w="9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48,161</w:t>
            </w:r>
          </w:p>
        </w:tc>
        <w:tc>
          <w:tcPr>
            <w:tcW w:w="380" w:type="dxa"/>
            <w:vAlign w:val="bottom"/>
            <w:shd w:val="clear" w:color="auto" w:fill="CEFFE7"/>
          </w:tcPr>
          <w:p>
            <w:pPr>
              <w:spacing w:after="0"/>
              <w:rPr>
                <w:sz w:val="18"/>
                <w:szCs w:val="18"/>
                <w:color w:val="auto"/>
              </w:rPr>
            </w:pPr>
          </w:p>
        </w:tc>
        <w:tc>
          <w:tcPr>
            <w:tcW w:w="8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44,472</w:t>
            </w:r>
          </w:p>
        </w:tc>
        <w:tc>
          <w:tcPr>
            <w:tcW w:w="100" w:type="dxa"/>
            <w:vAlign w:val="bottom"/>
            <w:shd w:val="clear" w:color="auto" w:fill="CEFFE7"/>
          </w:tcPr>
          <w:p>
            <w:pPr>
              <w:spacing w:after="0"/>
              <w:rPr>
                <w:sz w:val="18"/>
                <w:szCs w:val="18"/>
                <w:color w:val="auto"/>
              </w:rPr>
            </w:pPr>
          </w:p>
        </w:tc>
        <w:tc>
          <w:tcPr>
            <w:tcW w:w="180" w:type="dxa"/>
            <w:vAlign w:val="bottom"/>
            <w:shd w:val="clear" w:color="auto" w:fill="CEFFE7"/>
          </w:tcPr>
          <w:p>
            <w:pPr>
              <w:spacing w:after="0"/>
              <w:rPr>
                <w:sz w:val="18"/>
                <w:szCs w:val="18"/>
                <w:color w:val="auto"/>
              </w:rPr>
            </w:pPr>
          </w:p>
        </w:tc>
        <w:tc>
          <w:tcPr>
            <w:tcW w:w="10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48,161</w:t>
            </w:r>
          </w:p>
        </w:tc>
        <w:tc>
          <w:tcPr>
            <w:tcW w:w="400" w:type="dxa"/>
            <w:vAlign w:val="bottom"/>
            <w:shd w:val="clear" w:color="auto" w:fill="CEFFE7"/>
          </w:tcPr>
          <w:p>
            <w:pPr>
              <w:spacing w:after="0"/>
              <w:rPr>
                <w:sz w:val="18"/>
                <w:szCs w:val="18"/>
                <w:color w:val="auto"/>
              </w:rPr>
            </w:pPr>
          </w:p>
        </w:tc>
        <w:tc>
          <w:tcPr>
            <w:tcW w:w="8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44,457</w:t>
            </w:r>
          </w:p>
        </w:tc>
        <w:tc>
          <w:tcPr>
            <w:tcW w:w="1560" w:type="dxa"/>
            <w:vAlign w:val="bottom"/>
            <w:gridSpan w:val="2"/>
            <w:shd w:val="clear" w:color="auto" w:fill="CEFFE7"/>
          </w:tcPr>
          <w:p>
            <w:pPr>
              <w:jc w:val="right"/>
              <w:ind w:right="239"/>
              <w:spacing w:after="0"/>
              <w:rPr>
                <w:sz w:val="20"/>
                <w:szCs w:val="20"/>
                <w:color w:val="auto"/>
              </w:rPr>
            </w:pPr>
            <w:r>
              <w:rPr>
                <w:rFonts w:ascii="Arial" w:cs="Arial" w:eastAsia="Arial" w:hAnsi="Arial"/>
                <w:sz w:val="16"/>
                <w:szCs w:val="16"/>
                <w:color w:val="auto"/>
              </w:rPr>
              <w:t>45,314,438</w:t>
            </w:r>
          </w:p>
        </w:tc>
        <w:tc>
          <w:tcPr>
            <w:tcW w:w="9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45,055,507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760" w:type="dxa"/>
            <w:vAlign w:val="bottom"/>
            <w:tcBorders>
              <w:bottom w:val="single" w:sz="8" w:color="CEFFE7"/>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Borders>
              <w:bottom w:val="single" w:sz="8" w:color="CEFFE7"/>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Borders>
              <w:bottom w:val="single" w:sz="8" w:color="CEFFE7"/>
            </w:tcBorders>
          </w:tcPr>
          <w:p>
            <w:pPr>
              <w:spacing w:after="0"/>
              <w:rPr>
                <w:sz w:val="14"/>
                <w:szCs w:val="14"/>
                <w:color w:val="auto"/>
              </w:rPr>
            </w:pPr>
          </w:p>
        </w:tc>
        <w:tc>
          <w:tcPr>
            <w:tcW w:w="14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3760" w:type="dxa"/>
            <w:vAlign w:val="bottom"/>
            <w:shd w:val="clear" w:color="auto" w:fill="CEFFE7"/>
          </w:tcPr>
          <w:p>
            <w:pPr>
              <w:ind w:left="220"/>
              <w:spacing w:after="0"/>
              <w:rPr>
                <w:sz w:val="20"/>
                <w:szCs w:val="20"/>
                <w:color w:val="auto"/>
              </w:rPr>
            </w:pPr>
            <w:r>
              <w:rPr>
                <w:rFonts w:ascii="Arial" w:cs="Arial" w:eastAsia="Arial" w:hAnsi="Arial"/>
                <w:sz w:val="16"/>
                <w:szCs w:val="16"/>
                <w:color w:val="auto"/>
              </w:rPr>
              <w:t>Total Regulated</w:t>
            </w:r>
          </w:p>
        </w:tc>
        <w:tc>
          <w:tcPr>
            <w:tcW w:w="260" w:type="dxa"/>
            <w:vAlign w:val="bottom"/>
            <w:shd w:val="clear" w:color="auto" w:fill="CEFFE7"/>
          </w:tcPr>
          <w:p>
            <w:pPr>
              <w:spacing w:after="0"/>
              <w:rPr>
                <w:sz w:val="23"/>
                <w:szCs w:val="23"/>
                <w:color w:val="auto"/>
              </w:rPr>
            </w:pPr>
          </w:p>
        </w:tc>
        <w:tc>
          <w:tcPr>
            <w:tcW w:w="9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378,077</w:t>
            </w:r>
          </w:p>
        </w:tc>
        <w:tc>
          <w:tcPr>
            <w:tcW w:w="380" w:type="dxa"/>
            <w:vAlign w:val="bottom"/>
            <w:shd w:val="clear" w:color="auto" w:fill="CEFFE7"/>
          </w:tcPr>
          <w:p>
            <w:pPr>
              <w:spacing w:after="0"/>
              <w:rPr>
                <w:sz w:val="23"/>
                <w:szCs w:val="23"/>
                <w:color w:val="auto"/>
              </w:rPr>
            </w:pPr>
          </w:p>
        </w:tc>
        <w:tc>
          <w:tcPr>
            <w:tcW w:w="8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335,897</w:t>
            </w:r>
          </w:p>
        </w:tc>
        <w:tc>
          <w:tcPr>
            <w:tcW w:w="100" w:type="dxa"/>
            <w:vAlign w:val="bottom"/>
            <w:shd w:val="clear" w:color="auto" w:fill="CEFFE7"/>
          </w:tcPr>
          <w:p>
            <w:pPr>
              <w:spacing w:after="0"/>
              <w:rPr>
                <w:sz w:val="23"/>
                <w:szCs w:val="23"/>
                <w:color w:val="auto"/>
              </w:rPr>
            </w:pPr>
          </w:p>
        </w:tc>
        <w:tc>
          <w:tcPr>
            <w:tcW w:w="180" w:type="dxa"/>
            <w:vAlign w:val="bottom"/>
            <w:shd w:val="clear" w:color="auto" w:fill="CEFFE7"/>
          </w:tcPr>
          <w:p>
            <w:pPr>
              <w:spacing w:after="0"/>
              <w:rPr>
                <w:sz w:val="23"/>
                <w:szCs w:val="23"/>
                <w:color w:val="auto"/>
              </w:rPr>
            </w:pPr>
          </w:p>
        </w:tc>
        <w:tc>
          <w:tcPr>
            <w:tcW w:w="10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195,110</w:t>
            </w:r>
          </w:p>
        </w:tc>
        <w:tc>
          <w:tcPr>
            <w:tcW w:w="400" w:type="dxa"/>
            <w:vAlign w:val="bottom"/>
            <w:shd w:val="clear" w:color="auto" w:fill="CEFFE7"/>
          </w:tcPr>
          <w:p>
            <w:pPr>
              <w:spacing w:after="0"/>
              <w:rPr>
                <w:sz w:val="23"/>
                <w:szCs w:val="23"/>
                <w:color w:val="auto"/>
              </w:rPr>
            </w:pPr>
          </w:p>
        </w:tc>
        <w:tc>
          <w:tcPr>
            <w:tcW w:w="8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181,898</w:t>
            </w:r>
          </w:p>
        </w:tc>
        <w:tc>
          <w:tcPr>
            <w:tcW w:w="1560" w:type="dxa"/>
            <w:vAlign w:val="bottom"/>
            <w:gridSpan w:val="2"/>
            <w:shd w:val="clear" w:color="auto" w:fill="CEFFE7"/>
          </w:tcPr>
          <w:p>
            <w:pPr>
              <w:jc w:val="right"/>
              <w:ind w:right="239"/>
              <w:spacing w:after="0"/>
              <w:rPr>
                <w:sz w:val="20"/>
                <w:szCs w:val="20"/>
                <w:color w:val="auto"/>
              </w:rPr>
            </w:pPr>
            <w:r>
              <w:rPr>
                <w:rFonts w:ascii="Arial" w:cs="Arial" w:eastAsia="Arial" w:hAnsi="Arial"/>
                <w:sz w:val="16"/>
                <w:szCs w:val="16"/>
                <w:color w:val="auto"/>
              </w:rPr>
              <w:t>90,593,786</w:t>
            </w:r>
          </w:p>
        </w:tc>
        <w:tc>
          <w:tcPr>
            <w:tcW w:w="9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87,182,157</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9"/>
        </w:trPr>
        <w:tc>
          <w:tcPr>
            <w:tcW w:w="3760" w:type="dxa"/>
            <w:vAlign w:val="bottom"/>
            <w:tcBorders>
              <w:top w:val="single" w:sz="8" w:color="CEFFE7"/>
            </w:tcBorders>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94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820" w:type="dxa"/>
            <w:vAlign w:val="bottom"/>
            <w:tcBorders>
              <w:top w:val="single" w:sz="8" w:color="auto"/>
            </w:tcBorders>
          </w:tcPr>
          <w:p>
            <w:pPr>
              <w:spacing w:after="0"/>
              <w:rPr>
                <w:sz w:val="9"/>
                <w:szCs w:val="9"/>
                <w:color w:val="auto"/>
              </w:rPr>
            </w:pPr>
          </w:p>
        </w:tc>
        <w:tc>
          <w:tcPr>
            <w:tcW w:w="100" w:type="dxa"/>
            <w:vAlign w:val="bottom"/>
            <w:tcBorders>
              <w:top w:val="single" w:sz="8" w:color="CEFFE7"/>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102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100" w:type="dxa"/>
            <w:vAlign w:val="bottom"/>
            <w:tcBorders>
              <w:top w:val="single" w:sz="8" w:color="CEFFE7"/>
            </w:tcBorders>
          </w:tcPr>
          <w:p>
            <w:pPr>
              <w:spacing w:after="0"/>
              <w:rPr>
                <w:sz w:val="9"/>
                <w:szCs w:val="9"/>
                <w:color w:val="auto"/>
              </w:rPr>
            </w:pPr>
          </w:p>
        </w:tc>
        <w:tc>
          <w:tcPr>
            <w:tcW w:w="1460" w:type="dxa"/>
            <w:vAlign w:val="bottom"/>
            <w:tcBorders>
              <w:top w:val="single" w:sz="8" w:color="auto"/>
            </w:tcBorders>
          </w:tcPr>
          <w:p>
            <w:pPr>
              <w:spacing w:after="0"/>
              <w:rPr>
                <w:sz w:val="9"/>
                <w:szCs w:val="9"/>
                <w:color w:val="auto"/>
              </w:rPr>
            </w:pPr>
          </w:p>
        </w:tc>
        <w:tc>
          <w:tcPr>
            <w:tcW w:w="96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760" w:type="dxa"/>
            <w:vAlign w:val="bottom"/>
            <w:shd w:val="clear" w:color="auto" w:fill="CEFFE7"/>
          </w:tcPr>
          <w:p>
            <w:pPr>
              <w:ind w:left="20"/>
              <w:spacing w:after="0"/>
              <w:rPr>
                <w:sz w:val="20"/>
                <w:szCs w:val="20"/>
                <w:color w:val="auto"/>
              </w:rPr>
            </w:pPr>
            <w:r>
              <w:rPr>
                <w:rFonts w:ascii="Arial" w:cs="Arial" w:eastAsia="Arial" w:hAnsi="Arial"/>
                <w:sz w:val="16"/>
                <w:szCs w:val="16"/>
                <w:color w:val="auto"/>
              </w:rPr>
              <w:t>Non-regulated Services</w:t>
            </w:r>
          </w:p>
        </w:tc>
        <w:tc>
          <w:tcPr>
            <w:tcW w:w="260" w:type="dxa"/>
            <w:vAlign w:val="bottom"/>
            <w:shd w:val="clear" w:color="auto" w:fill="CEFFE7"/>
          </w:tcPr>
          <w:p>
            <w:pPr>
              <w:spacing w:after="0"/>
              <w:rPr>
                <w:sz w:val="18"/>
                <w:szCs w:val="18"/>
                <w:color w:val="auto"/>
              </w:rPr>
            </w:pPr>
          </w:p>
        </w:tc>
        <w:tc>
          <w:tcPr>
            <w:tcW w:w="9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24,442</w:t>
            </w:r>
          </w:p>
        </w:tc>
        <w:tc>
          <w:tcPr>
            <w:tcW w:w="380" w:type="dxa"/>
            <w:vAlign w:val="bottom"/>
            <w:shd w:val="clear" w:color="auto" w:fill="CEFFE7"/>
          </w:tcPr>
          <w:p>
            <w:pPr>
              <w:spacing w:after="0"/>
              <w:rPr>
                <w:sz w:val="18"/>
                <w:szCs w:val="18"/>
                <w:color w:val="auto"/>
              </w:rPr>
            </w:pPr>
          </w:p>
        </w:tc>
        <w:tc>
          <w:tcPr>
            <w:tcW w:w="8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24,876</w:t>
            </w:r>
          </w:p>
        </w:tc>
        <w:tc>
          <w:tcPr>
            <w:tcW w:w="100" w:type="dxa"/>
            <w:vAlign w:val="bottom"/>
            <w:shd w:val="clear" w:color="auto" w:fill="CEFFE7"/>
          </w:tcPr>
          <w:p>
            <w:pPr>
              <w:spacing w:after="0"/>
              <w:rPr>
                <w:sz w:val="18"/>
                <w:szCs w:val="18"/>
                <w:color w:val="auto"/>
              </w:rPr>
            </w:pPr>
          </w:p>
        </w:tc>
        <w:tc>
          <w:tcPr>
            <w:tcW w:w="180" w:type="dxa"/>
            <w:vAlign w:val="bottom"/>
            <w:shd w:val="clear" w:color="auto" w:fill="CEFFE7"/>
          </w:tcPr>
          <w:p>
            <w:pPr>
              <w:spacing w:after="0"/>
              <w:rPr>
                <w:sz w:val="18"/>
                <w:szCs w:val="18"/>
                <w:color w:val="auto"/>
              </w:rPr>
            </w:pPr>
          </w:p>
        </w:tc>
        <w:tc>
          <w:tcPr>
            <w:tcW w:w="10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14,359</w:t>
            </w:r>
          </w:p>
        </w:tc>
        <w:tc>
          <w:tcPr>
            <w:tcW w:w="400" w:type="dxa"/>
            <w:vAlign w:val="bottom"/>
            <w:shd w:val="clear" w:color="auto" w:fill="CEFFE7"/>
          </w:tcPr>
          <w:p>
            <w:pPr>
              <w:spacing w:after="0"/>
              <w:rPr>
                <w:sz w:val="18"/>
                <w:szCs w:val="18"/>
                <w:color w:val="auto"/>
              </w:rPr>
            </w:pPr>
          </w:p>
        </w:tc>
        <w:tc>
          <w:tcPr>
            <w:tcW w:w="8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23,513</w:t>
            </w:r>
          </w:p>
        </w:tc>
        <w:tc>
          <w:tcPr>
            <w:tcW w:w="100" w:type="dxa"/>
            <w:vAlign w:val="bottom"/>
            <w:shd w:val="clear" w:color="auto" w:fill="CEFFE7"/>
          </w:tcPr>
          <w:p>
            <w:pPr>
              <w:spacing w:after="0"/>
              <w:rPr>
                <w:sz w:val="18"/>
                <w:szCs w:val="18"/>
                <w:color w:val="auto"/>
              </w:rPr>
            </w:pPr>
          </w:p>
        </w:tc>
        <w:tc>
          <w:tcPr>
            <w:tcW w:w="1460" w:type="dxa"/>
            <w:vAlign w:val="bottom"/>
            <w:shd w:val="clear" w:color="auto" w:fill="CEFFE7"/>
          </w:tcPr>
          <w:p>
            <w:pPr>
              <w:spacing w:after="0"/>
              <w:rPr>
                <w:sz w:val="18"/>
                <w:szCs w:val="18"/>
                <w:color w:val="auto"/>
              </w:rPr>
            </w:pPr>
          </w:p>
        </w:tc>
        <w:tc>
          <w:tcPr>
            <w:tcW w:w="960" w:type="dxa"/>
            <w:vAlign w:val="bottom"/>
            <w:shd w:val="clear" w:color="auto" w:fill="CEFFE7"/>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760" w:type="dxa"/>
            <w:vAlign w:val="bottom"/>
            <w:tcBorders>
              <w:bottom w:val="single" w:sz="8" w:color="CEFFE7"/>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Borders>
              <w:bottom w:val="single" w:sz="8" w:color="CEFFE7"/>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Borders>
              <w:bottom w:val="single" w:sz="8" w:color="CEFFE7"/>
            </w:tcBorders>
          </w:tcPr>
          <w:p>
            <w:pPr>
              <w:spacing w:after="0"/>
              <w:rPr>
                <w:sz w:val="14"/>
                <w:szCs w:val="14"/>
                <w:color w:val="auto"/>
              </w:rPr>
            </w:pPr>
          </w:p>
        </w:tc>
        <w:tc>
          <w:tcPr>
            <w:tcW w:w="1460" w:type="dxa"/>
            <w:vAlign w:val="bottom"/>
            <w:tcBorders>
              <w:bottom w:val="single" w:sz="8" w:color="CEFFE7"/>
            </w:tcBorders>
          </w:tcPr>
          <w:p>
            <w:pPr>
              <w:spacing w:after="0"/>
              <w:rPr>
                <w:sz w:val="14"/>
                <w:szCs w:val="14"/>
                <w:color w:val="auto"/>
              </w:rPr>
            </w:pPr>
          </w:p>
        </w:tc>
        <w:tc>
          <w:tcPr>
            <w:tcW w:w="960" w:type="dxa"/>
            <w:vAlign w:val="bottom"/>
            <w:tcBorders>
              <w:bottom w:val="single" w:sz="8" w:color="CEFFE7"/>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3760" w:type="dxa"/>
            <w:vAlign w:val="bottom"/>
            <w:shd w:val="clear" w:color="auto" w:fill="CEFFE7"/>
          </w:tcPr>
          <w:p>
            <w:pPr>
              <w:ind w:left="220"/>
              <w:spacing w:after="0" w:line="158" w:lineRule="exact"/>
              <w:rPr>
                <w:sz w:val="20"/>
                <w:szCs w:val="20"/>
                <w:color w:val="auto"/>
              </w:rPr>
            </w:pPr>
            <w:r>
              <w:rPr>
                <w:rFonts w:ascii="Arial" w:cs="Arial" w:eastAsia="Arial" w:hAnsi="Arial"/>
                <w:sz w:val="16"/>
                <w:szCs w:val="16"/>
                <w:color w:val="auto"/>
              </w:rPr>
              <w:t>Total Gas Revenue &amp; Gross Margin (non-</w:t>
            </w:r>
          </w:p>
        </w:tc>
        <w:tc>
          <w:tcPr>
            <w:tcW w:w="260" w:type="dxa"/>
            <w:vAlign w:val="bottom"/>
            <w:vMerge w:val="restart"/>
            <w:shd w:val="clear" w:color="auto" w:fill="CEFFE7"/>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vMerge w:val="restart"/>
            <w:shd w:val="clear" w:color="auto" w:fill="CEFFE7"/>
          </w:tcPr>
          <w:p>
            <w:pPr>
              <w:jc w:val="right"/>
              <w:spacing w:after="0"/>
              <w:rPr>
                <w:sz w:val="20"/>
                <w:szCs w:val="20"/>
                <w:color w:val="auto"/>
              </w:rPr>
            </w:pPr>
            <w:r>
              <w:rPr>
                <w:rFonts w:ascii="Arial" w:cs="Arial" w:eastAsia="Arial" w:hAnsi="Arial"/>
                <w:sz w:val="16"/>
                <w:szCs w:val="16"/>
                <w:color w:val="auto"/>
              </w:rPr>
              <w:t>402,519</w:t>
            </w:r>
          </w:p>
        </w:tc>
        <w:tc>
          <w:tcPr>
            <w:tcW w:w="380" w:type="dxa"/>
            <w:vAlign w:val="bottom"/>
            <w:vMerge w:val="restart"/>
            <w:shd w:val="clear" w:color="auto" w:fill="CEFFE7"/>
          </w:tcPr>
          <w:p>
            <w:pPr>
              <w:jc w:val="right"/>
              <w:ind w:right="179"/>
              <w:spacing w:after="0"/>
              <w:rPr>
                <w:sz w:val="20"/>
                <w:szCs w:val="20"/>
                <w:color w:val="auto"/>
              </w:rPr>
            </w:pPr>
            <w:r>
              <w:rPr>
                <w:rFonts w:ascii="Arial" w:cs="Arial" w:eastAsia="Arial" w:hAnsi="Arial"/>
                <w:sz w:val="16"/>
                <w:szCs w:val="16"/>
                <w:color w:val="auto"/>
              </w:rPr>
              <w:t>$</w:t>
            </w:r>
          </w:p>
        </w:tc>
        <w:tc>
          <w:tcPr>
            <w:tcW w:w="820" w:type="dxa"/>
            <w:vAlign w:val="bottom"/>
            <w:vMerge w:val="restart"/>
            <w:shd w:val="clear" w:color="auto" w:fill="CEFFE7"/>
          </w:tcPr>
          <w:p>
            <w:pPr>
              <w:jc w:val="right"/>
              <w:spacing w:after="0"/>
              <w:rPr>
                <w:sz w:val="20"/>
                <w:szCs w:val="20"/>
                <w:color w:val="auto"/>
              </w:rPr>
            </w:pPr>
            <w:r>
              <w:rPr>
                <w:rFonts w:ascii="Arial" w:cs="Arial" w:eastAsia="Arial" w:hAnsi="Arial"/>
                <w:sz w:val="16"/>
                <w:szCs w:val="16"/>
                <w:color w:val="auto"/>
              </w:rPr>
              <w:t>360,773</w:t>
            </w:r>
          </w:p>
        </w:tc>
        <w:tc>
          <w:tcPr>
            <w:tcW w:w="100" w:type="dxa"/>
            <w:vAlign w:val="bottom"/>
            <w:shd w:val="clear" w:color="auto" w:fill="CEFFE7"/>
          </w:tcPr>
          <w:p>
            <w:pPr>
              <w:spacing w:after="0"/>
              <w:rPr>
                <w:sz w:val="13"/>
                <w:szCs w:val="13"/>
                <w:color w:val="auto"/>
              </w:rPr>
            </w:pPr>
          </w:p>
        </w:tc>
        <w:tc>
          <w:tcPr>
            <w:tcW w:w="180" w:type="dxa"/>
            <w:vAlign w:val="bottom"/>
            <w:vMerge w:val="restart"/>
            <w:shd w:val="clear" w:color="auto" w:fill="CEFFE7"/>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vMerge w:val="restart"/>
            <w:shd w:val="clear" w:color="auto" w:fill="CEFFE7"/>
          </w:tcPr>
          <w:p>
            <w:pPr>
              <w:jc w:val="right"/>
              <w:spacing w:after="0"/>
              <w:rPr>
                <w:sz w:val="20"/>
                <w:szCs w:val="20"/>
                <w:color w:val="auto"/>
              </w:rPr>
            </w:pPr>
            <w:r>
              <w:rPr>
                <w:rFonts w:ascii="Arial" w:cs="Arial" w:eastAsia="Arial" w:hAnsi="Arial"/>
                <w:sz w:val="16"/>
                <w:szCs w:val="16"/>
                <w:color w:val="auto"/>
              </w:rPr>
              <w:t>209,469</w:t>
            </w:r>
          </w:p>
        </w:tc>
        <w:tc>
          <w:tcPr>
            <w:tcW w:w="400" w:type="dxa"/>
            <w:vAlign w:val="bottom"/>
            <w:vMerge w:val="restart"/>
            <w:shd w:val="clear" w:color="auto" w:fill="CEFFE7"/>
          </w:tcPr>
          <w:p>
            <w:pPr>
              <w:jc w:val="right"/>
              <w:ind w:right="219"/>
              <w:spacing w:after="0"/>
              <w:rPr>
                <w:sz w:val="20"/>
                <w:szCs w:val="20"/>
                <w:color w:val="auto"/>
              </w:rPr>
            </w:pPr>
            <w:r>
              <w:rPr>
                <w:rFonts w:ascii="Arial" w:cs="Arial" w:eastAsia="Arial" w:hAnsi="Arial"/>
                <w:sz w:val="16"/>
                <w:szCs w:val="16"/>
                <w:color w:val="auto"/>
                <w:w w:val="89"/>
              </w:rPr>
              <w:t>$</w:t>
            </w:r>
          </w:p>
        </w:tc>
        <w:tc>
          <w:tcPr>
            <w:tcW w:w="800" w:type="dxa"/>
            <w:vAlign w:val="bottom"/>
            <w:vMerge w:val="restart"/>
            <w:shd w:val="clear" w:color="auto" w:fill="CEFFE7"/>
          </w:tcPr>
          <w:p>
            <w:pPr>
              <w:jc w:val="right"/>
              <w:spacing w:after="0"/>
              <w:rPr>
                <w:sz w:val="20"/>
                <w:szCs w:val="20"/>
                <w:color w:val="auto"/>
              </w:rPr>
            </w:pPr>
            <w:r>
              <w:rPr>
                <w:rFonts w:ascii="Arial" w:cs="Arial" w:eastAsia="Arial" w:hAnsi="Arial"/>
                <w:sz w:val="16"/>
                <w:szCs w:val="16"/>
                <w:color w:val="auto"/>
              </w:rPr>
              <w:t>205,411</w:t>
            </w:r>
          </w:p>
        </w:tc>
        <w:tc>
          <w:tcPr>
            <w:tcW w:w="100" w:type="dxa"/>
            <w:vAlign w:val="bottom"/>
            <w:shd w:val="clear" w:color="auto" w:fill="CEFFE7"/>
          </w:tcPr>
          <w:p>
            <w:pPr>
              <w:spacing w:after="0"/>
              <w:rPr>
                <w:sz w:val="13"/>
                <w:szCs w:val="13"/>
                <w:color w:val="auto"/>
              </w:rPr>
            </w:pPr>
          </w:p>
        </w:tc>
        <w:tc>
          <w:tcPr>
            <w:tcW w:w="1460" w:type="dxa"/>
            <w:vAlign w:val="bottom"/>
            <w:shd w:val="clear" w:color="auto" w:fill="CEFFE7"/>
          </w:tcPr>
          <w:p>
            <w:pPr>
              <w:spacing w:after="0"/>
              <w:rPr>
                <w:sz w:val="13"/>
                <w:szCs w:val="13"/>
                <w:color w:val="auto"/>
              </w:rPr>
            </w:pPr>
          </w:p>
        </w:tc>
        <w:tc>
          <w:tcPr>
            <w:tcW w:w="960" w:type="dxa"/>
            <w:vAlign w:val="bottom"/>
            <w:shd w:val="clear" w:color="auto" w:fill="CEFFE7"/>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3760" w:type="dxa"/>
            <w:vAlign w:val="bottom"/>
            <w:tcBorders>
              <w:bottom w:val="single" w:sz="8" w:color="CEFFE7"/>
            </w:tcBorders>
            <w:shd w:val="clear" w:color="auto" w:fill="CEFFE7"/>
          </w:tcPr>
          <w:p>
            <w:pPr>
              <w:ind w:left="220"/>
              <w:spacing w:after="0" w:line="174" w:lineRule="exact"/>
              <w:rPr>
                <w:sz w:val="20"/>
                <w:szCs w:val="20"/>
                <w:color w:val="auto"/>
              </w:rPr>
            </w:pPr>
            <w:r>
              <w:rPr>
                <w:rFonts w:ascii="Arial" w:cs="Arial" w:eastAsia="Arial" w:hAnsi="Arial"/>
                <w:sz w:val="16"/>
                <w:szCs w:val="16"/>
                <w:color w:val="auto"/>
              </w:rPr>
              <w:t>GAAP)</w:t>
            </w:r>
          </w:p>
        </w:tc>
        <w:tc>
          <w:tcPr>
            <w:tcW w:w="260" w:type="dxa"/>
            <w:vAlign w:val="bottom"/>
            <w:tcBorders>
              <w:bottom w:val="single" w:sz="8" w:color="auto"/>
            </w:tcBorders>
            <w:vMerge w:val="continue"/>
            <w:shd w:val="clear" w:color="auto" w:fill="CEFFE7"/>
          </w:tcPr>
          <w:p>
            <w:pPr>
              <w:spacing w:after="0"/>
              <w:rPr>
                <w:sz w:val="16"/>
                <w:szCs w:val="16"/>
                <w:color w:val="auto"/>
              </w:rPr>
            </w:pPr>
          </w:p>
        </w:tc>
        <w:tc>
          <w:tcPr>
            <w:tcW w:w="940" w:type="dxa"/>
            <w:vAlign w:val="bottom"/>
            <w:tcBorders>
              <w:bottom w:val="single" w:sz="8" w:color="auto"/>
            </w:tcBorders>
            <w:vMerge w:val="continue"/>
            <w:shd w:val="clear" w:color="auto" w:fill="CEFFE7"/>
          </w:tcPr>
          <w:p>
            <w:pPr>
              <w:spacing w:after="0"/>
              <w:rPr>
                <w:sz w:val="16"/>
                <w:szCs w:val="16"/>
                <w:color w:val="auto"/>
              </w:rPr>
            </w:pPr>
          </w:p>
        </w:tc>
        <w:tc>
          <w:tcPr>
            <w:tcW w:w="380" w:type="dxa"/>
            <w:vAlign w:val="bottom"/>
            <w:tcBorders>
              <w:bottom w:val="single" w:sz="8" w:color="auto"/>
            </w:tcBorders>
            <w:vMerge w:val="continue"/>
            <w:shd w:val="clear" w:color="auto" w:fill="CEFFE7"/>
          </w:tcPr>
          <w:p>
            <w:pPr>
              <w:spacing w:after="0"/>
              <w:rPr>
                <w:sz w:val="16"/>
                <w:szCs w:val="16"/>
                <w:color w:val="auto"/>
              </w:rPr>
            </w:pPr>
          </w:p>
        </w:tc>
        <w:tc>
          <w:tcPr>
            <w:tcW w:w="820" w:type="dxa"/>
            <w:vAlign w:val="bottom"/>
            <w:tcBorders>
              <w:bottom w:val="single" w:sz="8" w:color="auto"/>
            </w:tcBorders>
            <w:vMerge w:val="continue"/>
            <w:shd w:val="clear" w:color="auto" w:fill="CEFFE7"/>
          </w:tcPr>
          <w:p>
            <w:pPr>
              <w:spacing w:after="0"/>
              <w:rPr>
                <w:sz w:val="16"/>
                <w:szCs w:val="16"/>
                <w:color w:val="auto"/>
              </w:rPr>
            </w:pPr>
          </w:p>
        </w:tc>
        <w:tc>
          <w:tcPr>
            <w:tcW w:w="100" w:type="dxa"/>
            <w:vAlign w:val="bottom"/>
            <w:tcBorders>
              <w:bottom w:val="single" w:sz="8" w:color="CEFFE7"/>
            </w:tcBorders>
            <w:shd w:val="clear" w:color="auto" w:fill="CEFFE7"/>
          </w:tcPr>
          <w:p>
            <w:pPr>
              <w:spacing w:after="0"/>
              <w:rPr>
                <w:sz w:val="16"/>
                <w:szCs w:val="16"/>
                <w:color w:val="auto"/>
              </w:rPr>
            </w:pPr>
          </w:p>
        </w:tc>
        <w:tc>
          <w:tcPr>
            <w:tcW w:w="180" w:type="dxa"/>
            <w:vAlign w:val="bottom"/>
            <w:tcBorders>
              <w:bottom w:val="single" w:sz="8" w:color="auto"/>
            </w:tcBorders>
            <w:vMerge w:val="continue"/>
            <w:shd w:val="clear" w:color="auto" w:fill="CEFFE7"/>
          </w:tcPr>
          <w:p>
            <w:pPr>
              <w:spacing w:after="0"/>
              <w:rPr>
                <w:sz w:val="16"/>
                <w:szCs w:val="16"/>
                <w:color w:val="auto"/>
              </w:rPr>
            </w:pPr>
          </w:p>
        </w:tc>
        <w:tc>
          <w:tcPr>
            <w:tcW w:w="1020" w:type="dxa"/>
            <w:vAlign w:val="bottom"/>
            <w:tcBorders>
              <w:bottom w:val="single" w:sz="8" w:color="auto"/>
            </w:tcBorders>
            <w:vMerge w:val="continue"/>
            <w:shd w:val="clear" w:color="auto" w:fill="CEFFE7"/>
          </w:tcPr>
          <w:p>
            <w:pPr>
              <w:spacing w:after="0"/>
              <w:rPr>
                <w:sz w:val="16"/>
                <w:szCs w:val="16"/>
                <w:color w:val="auto"/>
              </w:rPr>
            </w:pPr>
          </w:p>
        </w:tc>
        <w:tc>
          <w:tcPr>
            <w:tcW w:w="400" w:type="dxa"/>
            <w:vAlign w:val="bottom"/>
            <w:tcBorders>
              <w:bottom w:val="single" w:sz="8" w:color="auto"/>
            </w:tcBorders>
            <w:vMerge w:val="continue"/>
            <w:shd w:val="clear" w:color="auto" w:fill="CEFFE7"/>
          </w:tcPr>
          <w:p>
            <w:pPr>
              <w:spacing w:after="0"/>
              <w:rPr>
                <w:sz w:val="16"/>
                <w:szCs w:val="16"/>
                <w:color w:val="auto"/>
              </w:rPr>
            </w:pPr>
          </w:p>
        </w:tc>
        <w:tc>
          <w:tcPr>
            <w:tcW w:w="800" w:type="dxa"/>
            <w:vAlign w:val="bottom"/>
            <w:tcBorders>
              <w:bottom w:val="single" w:sz="8" w:color="auto"/>
            </w:tcBorders>
            <w:vMerge w:val="continue"/>
            <w:shd w:val="clear" w:color="auto" w:fill="CEFFE7"/>
          </w:tcPr>
          <w:p>
            <w:pPr>
              <w:spacing w:after="0"/>
              <w:rPr>
                <w:sz w:val="16"/>
                <w:szCs w:val="16"/>
                <w:color w:val="auto"/>
              </w:rPr>
            </w:pPr>
          </w:p>
        </w:tc>
        <w:tc>
          <w:tcPr>
            <w:tcW w:w="100" w:type="dxa"/>
            <w:vAlign w:val="bottom"/>
            <w:tcBorders>
              <w:bottom w:val="single" w:sz="8" w:color="CEFFE7"/>
            </w:tcBorders>
            <w:shd w:val="clear" w:color="auto" w:fill="CEFFE7"/>
          </w:tcPr>
          <w:p>
            <w:pPr>
              <w:spacing w:after="0"/>
              <w:rPr>
                <w:sz w:val="16"/>
                <w:szCs w:val="16"/>
                <w:color w:val="auto"/>
              </w:rPr>
            </w:pPr>
          </w:p>
        </w:tc>
        <w:tc>
          <w:tcPr>
            <w:tcW w:w="1460" w:type="dxa"/>
            <w:vAlign w:val="bottom"/>
            <w:tcBorders>
              <w:bottom w:val="single" w:sz="8" w:color="CEFFE7"/>
            </w:tcBorders>
            <w:shd w:val="clear" w:color="auto" w:fill="CEFFE7"/>
          </w:tcPr>
          <w:p>
            <w:pPr>
              <w:spacing w:after="0"/>
              <w:rPr>
                <w:sz w:val="16"/>
                <w:szCs w:val="16"/>
                <w:color w:val="auto"/>
              </w:rPr>
            </w:pPr>
          </w:p>
        </w:tc>
        <w:tc>
          <w:tcPr>
            <w:tcW w:w="960" w:type="dxa"/>
            <w:vAlign w:val="bottom"/>
            <w:tcBorders>
              <w:bottom w:val="single" w:sz="8" w:color="CEFFE7"/>
            </w:tcBorders>
            <w:shd w:val="clear" w:color="auto" w:fill="CEFFE7"/>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760" w:type="dxa"/>
            <w:vAlign w:val="bottom"/>
            <w:tcBorders>
              <w:top w:val="single" w:sz="8" w:color="CEFFE7"/>
            </w:tcBorders>
          </w:tcPr>
          <w:p>
            <w:pPr>
              <w:spacing w:after="0" w:line="20" w:lineRule="exact"/>
              <w:rPr>
                <w:sz w:val="1"/>
                <w:szCs w:val="1"/>
                <w:color w:val="auto"/>
              </w:rPr>
            </w:pPr>
          </w:p>
        </w:tc>
        <w:tc>
          <w:tcPr>
            <w:tcW w:w="260" w:type="dxa"/>
            <w:vAlign w:val="bottom"/>
            <w:tcBorders>
              <w:top w:val="single" w:sz="8" w:color="CEFFE7"/>
              <w:bottom w:val="single" w:sz="8" w:color="auto"/>
            </w:tcBorders>
          </w:tcPr>
          <w:p>
            <w:pPr>
              <w:spacing w:after="0" w:line="20" w:lineRule="exact"/>
              <w:rPr>
                <w:sz w:val="1"/>
                <w:szCs w:val="1"/>
                <w:color w:val="auto"/>
              </w:rPr>
            </w:pPr>
          </w:p>
        </w:tc>
        <w:tc>
          <w:tcPr>
            <w:tcW w:w="940" w:type="dxa"/>
            <w:vAlign w:val="bottom"/>
            <w:tcBorders>
              <w:top w:val="single" w:sz="8" w:color="CEFFE7"/>
              <w:bottom w:val="single" w:sz="8" w:color="auto"/>
            </w:tcBorders>
          </w:tcPr>
          <w:p>
            <w:pPr>
              <w:spacing w:after="0" w:line="20" w:lineRule="exact"/>
              <w:rPr>
                <w:sz w:val="1"/>
                <w:szCs w:val="1"/>
                <w:color w:val="auto"/>
              </w:rPr>
            </w:pPr>
          </w:p>
        </w:tc>
        <w:tc>
          <w:tcPr>
            <w:tcW w:w="380" w:type="dxa"/>
            <w:vAlign w:val="bottom"/>
            <w:tcBorders>
              <w:top w:val="single" w:sz="8" w:color="CEFFE7"/>
              <w:bottom w:val="single" w:sz="8" w:color="auto"/>
            </w:tcBorders>
          </w:tcPr>
          <w:p>
            <w:pPr>
              <w:spacing w:after="0" w:line="20" w:lineRule="exact"/>
              <w:rPr>
                <w:sz w:val="1"/>
                <w:szCs w:val="1"/>
                <w:color w:val="auto"/>
              </w:rPr>
            </w:pPr>
          </w:p>
        </w:tc>
        <w:tc>
          <w:tcPr>
            <w:tcW w:w="820" w:type="dxa"/>
            <w:vAlign w:val="bottom"/>
            <w:tcBorders>
              <w:top w:val="single" w:sz="8" w:color="CEFFE7"/>
              <w:bottom w:val="single" w:sz="8" w:color="auto"/>
            </w:tcBorders>
          </w:tcPr>
          <w:p>
            <w:pPr>
              <w:spacing w:after="0" w:line="20" w:lineRule="exact"/>
              <w:rPr>
                <w:sz w:val="1"/>
                <w:szCs w:val="1"/>
                <w:color w:val="auto"/>
              </w:rPr>
            </w:pPr>
          </w:p>
        </w:tc>
        <w:tc>
          <w:tcPr>
            <w:tcW w:w="100" w:type="dxa"/>
            <w:vAlign w:val="bottom"/>
            <w:tcBorders>
              <w:top w:val="single" w:sz="8" w:color="CEFFE7"/>
            </w:tcBorders>
          </w:tcPr>
          <w:p>
            <w:pPr>
              <w:spacing w:after="0" w:line="20" w:lineRule="exact"/>
              <w:rPr>
                <w:sz w:val="1"/>
                <w:szCs w:val="1"/>
                <w:color w:val="auto"/>
              </w:rPr>
            </w:pPr>
          </w:p>
        </w:tc>
        <w:tc>
          <w:tcPr>
            <w:tcW w:w="180" w:type="dxa"/>
            <w:vAlign w:val="bottom"/>
            <w:tcBorders>
              <w:top w:val="single" w:sz="8" w:color="CEFFE7"/>
              <w:bottom w:val="single" w:sz="8" w:color="auto"/>
            </w:tcBorders>
          </w:tcPr>
          <w:p>
            <w:pPr>
              <w:spacing w:after="0" w:line="20" w:lineRule="exact"/>
              <w:rPr>
                <w:sz w:val="1"/>
                <w:szCs w:val="1"/>
                <w:color w:val="auto"/>
              </w:rPr>
            </w:pPr>
          </w:p>
        </w:tc>
        <w:tc>
          <w:tcPr>
            <w:tcW w:w="1020" w:type="dxa"/>
            <w:vAlign w:val="bottom"/>
            <w:tcBorders>
              <w:top w:val="single" w:sz="8" w:color="CEFFE7"/>
              <w:bottom w:val="single" w:sz="8" w:color="auto"/>
            </w:tcBorders>
          </w:tcPr>
          <w:p>
            <w:pPr>
              <w:spacing w:after="0" w:line="20" w:lineRule="exact"/>
              <w:rPr>
                <w:sz w:val="1"/>
                <w:szCs w:val="1"/>
                <w:color w:val="auto"/>
              </w:rPr>
            </w:pPr>
          </w:p>
        </w:tc>
        <w:tc>
          <w:tcPr>
            <w:tcW w:w="400" w:type="dxa"/>
            <w:vAlign w:val="bottom"/>
            <w:tcBorders>
              <w:top w:val="single" w:sz="8" w:color="CEFFE7"/>
              <w:bottom w:val="single" w:sz="8" w:color="auto"/>
            </w:tcBorders>
          </w:tcPr>
          <w:p>
            <w:pPr>
              <w:spacing w:after="0" w:line="20" w:lineRule="exact"/>
              <w:rPr>
                <w:sz w:val="1"/>
                <w:szCs w:val="1"/>
                <w:color w:val="auto"/>
              </w:rPr>
            </w:pPr>
          </w:p>
        </w:tc>
        <w:tc>
          <w:tcPr>
            <w:tcW w:w="800" w:type="dxa"/>
            <w:vAlign w:val="bottom"/>
            <w:tcBorders>
              <w:top w:val="single" w:sz="8" w:color="CEFFE7"/>
              <w:bottom w:val="single" w:sz="8" w:color="auto"/>
            </w:tcBorders>
          </w:tcPr>
          <w:p>
            <w:pPr>
              <w:spacing w:after="0" w:line="20" w:lineRule="exact"/>
              <w:rPr>
                <w:sz w:val="1"/>
                <w:szCs w:val="1"/>
                <w:color w:val="auto"/>
              </w:rPr>
            </w:pPr>
          </w:p>
        </w:tc>
        <w:tc>
          <w:tcPr>
            <w:tcW w:w="100" w:type="dxa"/>
            <w:vAlign w:val="bottom"/>
            <w:tcBorders>
              <w:top w:val="single" w:sz="8" w:color="CEFFE7"/>
            </w:tcBorders>
          </w:tcPr>
          <w:p>
            <w:pPr>
              <w:spacing w:after="0" w:line="20" w:lineRule="exact"/>
              <w:rPr>
                <w:sz w:val="1"/>
                <w:szCs w:val="1"/>
                <w:color w:val="auto"/>
              </w:rPr>
            </w:pPr>
          </w:p>
        </w:tc>
        <w:tc>
          <w:tcPr>
            <w:tcW w:w="1460" w:type="dxa"/>
            <w:vAlign w:val="bottom"/>
            <w:tcBorders>
              <w:top w:val="single" w:sz="8" w:color="CEFFE7"/>
            </w:tcBorders>
          </w:tcPr>
          <w:p>
            <w:pPr>
              <w:spacing w:after="0" w:line="20" w:lineRule="exact"/>
              <w:rPr>
                <w:sz w:val="1"/>
                <w:szCs w:val="1"/>
                <w:color w:val="auto"/>
              </w:rPr>
            </w:pPr>
          </w:p>
        </w:tc>
        <w:tc>
          <w:tcPr>
            <w:tcW w:w="960" w:type="dxa"/>
            <w:vAlign w:val="bottom"/>
            <w:tcBorders>
              <w:top w:val="single" w:sz="8" w:color="CEFFE7"/>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3"/>
        </w:trPr>
        <w:tc>
          <w:tcPr>
            <w:tcW w:w="3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jc w:val="right"/>
              <w:ind w:right="359"/>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37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7" w:name="page38"/>
    <w:bookmarkEnd w:id="37"/>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gridSpan w:val="2"/>
          </w:tcPr>
          <w:p>
            <w:pPr>
              <w:jc w:val="center"/>
              <w:ind w:left="419"/>
              <w:spacing w:after="0"/>
              <w:rPr>
                <w:sz w:val="20"/>
                <w:szCs w:val="20"/>
                <w:color w:val="auto"/>
              </w:rPr>
            </w:pPr>
            <w:r>
              <w:rPr>
                <w:rFonts w:ascii="Arial" w:cs="Arial" w:eastAsia="Arial" w:hAnsi="Arial"/>
                <w:sz w:val="16"/>
                <w:szCs w:val="16"/>
                <w:color w:val="auto"/>
              </w:rPr>
              <w:t>Revenue</w:t>
            </w: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60" w:type="dxa"/>
            <w:vAlign w:val="bottom"/>
            <w:gridSpan w:val="8"/>
          </w:tcPr>
          <w:p>
            <w:pPr>
              <w:jc w:val="center"/>
              <w:ind w:right="360"/>
              <w:spacing w:after="0"/>
              <w:rPr>
                <w:sz w:val="20"/>
                <w:szCs w:val="20"/>
                <w:color w:val="auto"/>
              </w:rPr>
            </w:pPr>
            <w:r>
              <w:rPr>
                <w:rFonts w:ascii="Arial" w:cs="Arial" w:eastAsia="Arial" w:hAnsi="Arial"/>
                <w:sz w:val="16"/>
                <w:szCs w:val="16"/>
                <w:color w:val="auto"/>
              </w:rPr>
              <w:t>Gross Margin (non-GAAP)</w:t>
            </w:r>
          </w:p>
        </w:tc>
        <w:tc>
          <w:tcPr>
            <w:tcW w:w="2420" w:type="dxa"/>
            <w:vAlign w:val="bottom"/>
            <w:gridSpan w:val="4"/>
          </w:tcPr>
          <w:p>
            <w:pPr>
              <w:ind w:left="120"/>
              <w:spacing w:after="0"/>
              <w:rPr>
                <w:sz w:val="20"/>
                <w:szCs w:val="20"/>
                <w:color w:val="auto"/>
              </w:rPr>
            </w:pPr>
            <w:r>
              <w:rPr>
                <w:rFonts w:ascii="Arial" w:cs="Arial" w:eastAsia="Arial" w:hAnsi="Arial"/>
                <w:sz w:val="16"/>
                <w:szCs w:val="16"/>
                <w:color w:val="auto"/>
              </w:rPr>
              <w:t>Gas Utilities Quantities Sold &amp;</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4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gridSpan w:val="4"/>
          </w:tcPr>
          <w:p>
            <w:pPr>
              <w:jc w:val="center"/>
              <w:ind w:right="380"/>
              <w:spacing w:after="0"/>
              <w:rPr>
                <w:sz w:val="20"/>
                <w:szCs w:val="20"/>
                <w:color w:val="auto"/>
              </w:rPr>
            </w:pPr>
            <w:r>
              <w:rPr>
                <w:rFonts w:ascii="Arial" w:cs="Arial" w:eastAsia="Arial" w:hAnsi="Arial"/>
                <w:sz w:val="16"/>
                <w:szCs w:val="16"/>
                <w:color w:val="auto"/>
              </w:rPr>
              <w:t>(in thousands)</w:t>
            </w:r>
          </w:p>
        </w:tc>
        <w:tc>
          <w:tcPr>
            <w:tcW w:w="24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gridSpan w:val="7"/>
          </w:tcPr>
          <w:p>
            <w:pPr>
              <w:jc w:val="center"/>
              <w:ind w:right="760"/>
              <w:spacing w:after="0"/>
              <w:rPr>
                <w:sz w:val="20"/>
                <w:szCs w:val="20"/>
                <w:color w:val="auto"/>
              </w:rPr>
            </w:pPr>
            <w:r>
              <w:rPr>
                <w:rFonts w:ascii="Arial" w:cs="Arial" w:eastAsia="Arial" w:hAnsi="Arial"/>
                <w:sz w:val="16"/>
                <w:szCs w:val="16"/>
                <w:color w:val="auto"/>
              </w:rPr>
              <w:t>(in thousands)</w:t>
            </w:r>
          </w:p>
        </w:tc>
        <w:tc>
          <w:tcPr>
            <w:tcW w:w="242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color w:val="auto"/>
              </w:rPr>
              <w:t>Transported (Dth)</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4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40" w:type="dxa"/>
            <w:vAlign w:val="bottom"/>
            <w:gridSpan w:val="4"/>
          </w:tcPr>
          <w:p>
            <w:pPr>
              <w:jc w:val="center"/>
              <w:ind w:right="380"/>
              <w:spacing w:after="0" w:line="174" w:lineRule="exact"/>
              <w:rPr>
                <w:sz w:val="20"/>
                <w:szCs w:val="20"/>
                <w:color w:val="auto"/>
              </w:rPr>
            </w:pPr>
            <w:r>
              <w:rPr>
                <w:rFonts w:ascii="Arial" w:cs="Arial" w:eastAsia="Arial" w:hAnsi="Arial"/>
                <w:sz w:val="16"/>
                <w:szCs w:val="16"/>
                <w:color w:val="auto"/>
              </w:rPr>
              <w:t>Three Months Ended</w:t>
            </w:r>
          </w:p>
        </w:tc>
        <w:tc>
          <w:tcPr>
            <w:tcW w:w="240" w:type="dxa"/>
            <w:vAlign w:val="bottom"/>
          </w:tcPr>
          <w:p>
            <w:pPr>
              <w:spacing w:after="0"/>
              <w:rPr>
                <w:sz w:val="15"/>
                <w:szCs w:val="15"/>
                <w:color w:val="auto"/>
              </w:rPr>
            </w:pPr>
          </w:p>
        </w:tc>
        <w:tc>
          <w:tcPr>
            <w:tcW w:w="2260" w:type="dxa"/>
            <w:vAlign w:val="bottom"/>
            <w:gridSpan w:val="8"/>
          </w:tcPr>
          <w:p>
            <w:pPr>
              <w:jc w:val="center"/>
              <w:ind w:right="340"/>
              <w:spacing w:after="0" w:line="174" w:lineRule="exact"/>
              <w:rPr>
                <w:sz w:val="20"/>
                <w:szCs w:val="20"/>
                <w:color w:val="auto"/>
              </w:rPr>
            </w:pPr>
            <w:r>
              <w:rPr>
                <w:rFonts w:ascii="Arial" w:cs="Arial" w:eastAsia="Arial" w:hAnsi="Arial"/>
                <w:sz w:val="16"/>
                <w:szCs w:val="16"/>
                <w:color w:val="auto"/>
              </w:rPr>
              <w:t>Three Months Ended</w:t>
            </w:r>
          </w:p>
        </w:tc>
        <w:tc>
          <w:tcPr>
            <w:tcW w:w="2420" w:type="dxa"/>
            <w:vAlign w:val="bottom"/>
            <w:gridSpan w:val="4"/>
          </w:tcPr>
          <w:p>
            <w:pPr>
              <w:jc w:val="center"/>
              <w:spacing w:after="0" w:line="174" w:lineRule="exact"/>
              <w:rPr>
                <w:sz w:val="20"/>
                <w:szCs w:val="20"/>
                <w:color w:val="auto"/>
              </w:rPr>
            </w:pPr>
            <w:r>
              <w:rPr>
                <w:rFonts w:ascii="Arial" w:cs="Arial" w:eastAsia="Arial" w:hAnsi="Arial"/>
                <w:sz w:val="16"/>
                <w:szCs w:val="16"/>
                <w:color w:val="auto"/>
              </w:rPr>
              <w:t>Three Months Ended</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gridSpan w:val="2"/>
          </w:tcPr>
          <w:p>
            <w:pPr>
              <w:jc w:val="center"/>
              <w:ind w:left="439"/>
              <w:spacing w:after="0"/>
              <w:rPr>
                <w:sz w:val="20"/>
                <w:szCs w:val="20"/>
                <w:color w:val="auto"/>
              </w:rPr>
            </w:pPr>
            <w:r>
              <w:rPr>
                <w:rFonts w:ascii="Arial" w:cs="Arial" w:eastAsia="Arial" w:hAnsi="Arial"/>
                <w:sz w:val="16"/>
                <w:szCs w:val="16"/>
                <w:color w:val="auto"/>
              </w:rPr>
              <w:t>March 31,</w:t>
            </w: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jc w:val="center"/>
              <w:spacing w:after="0"/>
              <w:rPr>
                <w:sz w:val="20"/>
                <w:szCs w:val="20"/>
                <w:color w:val="auto"/>
              </w:rPr>
            </w:pPr>
            <w:r>
              <w:rPr>
                <w:rFonts w:ascii="Arial" w:cs="Arial" w:eastAsia="Arial" w:hAnsi="Arial"/>
                <w:sz w:val="16"/>
                <w:szCs w:val="16"/>
                <w:color w:val="auto"/>
              </w:rPr>
              <w:t>March 31,</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20" w:type="dxa"/>
            <w:vAlign w:val="bottom"/>
            <w:gridSpan w:val="4"/>
          </w:tcPr>
          <w:p>
            <w:pPr>
              <w:jc w:val="center"/>
              <w:spacing w:after="0"/>
              <w:rPr>
                <w:sz w:val="20"/>
                <w:szCs w:val="20"/>
                <w:color w:val="auto"/>
              </w:rPr>
            </w:pPr>
            <w:r>
              <w:rPr>
                <w:rFonts w:ascii="Arial" w:cs="Arial" w:eastAsia="Arial" w:hAnsi="Arial"/>
                <w:sz w:val="16"/>
                <w:szCs w:val="16"/>
                <w:color w:val="auto"/>
              </w:rPr>
              <w:t>March 31,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37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2021</w:t>
            </w:r>
          </w:p>
        </w:tc>
        <w:tc>
          <w:tcPr>
            <w:tcW w:w="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2020</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3"/>
          </w:tcPr>
          <w:p>
            <w:pPr>
              <w:jc w:val="right"/>
              <w:ind w:right="299"/>
              <w:spacing w:after="0"/>
              <w:rPr>
                <w:sz w:val="20"/>
                <w:szCs w:val="20"/>
                <w:color w:val="auto"/>
              </w:rPr>
            </w:pPr>
            <w:r>
              <w:rPr>
                <w:rFonts w:ascii="Arial" w:cs="Arial" w:eastAsia="Arial" w:hAnsi="Arial"/>
                <w:sz w:val="16"/>
                <w:szCs w:val="16"/>
                <w:color w:val="auto"/>
              </w:rPr>
              <w:t>2021</w:t>
            </w:r>
          </w:p>
        </w:tc>
        <w:tc>
          <w:tcPr>
            <w:tcW w:w="4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2020</w:t>
            </w: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2021</w:t>
            </w: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2020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4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3760" w:type="dxa"/>
            <w:vAlign w:val="bottom"/>
            <w:shd w:val="clear" w:color="auto" w:fill="CEFFE7"/>
          </w:tcPr>
          <w:p>
            <w:pPr>
              <w:ind w:left="20"/>
              <w:spacing w:after="0"/>
              <w:rPr>
                <w:sz w:val="20"/>
                <w:szCs w:val="20"/>
                <w:color w:val="auto"/>
              </w:rPr>
            </w:pPr>
            <w:r>
              <w:rPr>
                <w:rFonts w:ascii="Arial" w:cs="Arial" w:eastAsia="Arial" w:hAnsi="Arial"/>
                <w:sz w:val="16"/>
                <w:szCs w:val="16"/>
                <w:color w:val="auto"/>
              </w:rPr>
              <w:t>Arkansas Gas</w:t>
            </w:r>
          </w:p>
        </w:tc>
        <w:tc>
          <w:tcPr>
            <w:tcW w:w="260" w:type="dxa"/>
            <w:vAlign w:val="bottom"/>
            <w:shd w:val="clear" w:color="auto" w:fill="CEFFE7"/>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86,994</w:t>
            </w:r>
          </w:p>
        </w:tc>
        <w:tc>
          <w:tcPr>
            <w:tcW w:w="420" w:type="dxa"/>
            <w:vAlign w:val="bottom"/>
            <w:shd w:val="clear" w:color="auto" w:fill="CEFFE7"/>
          </w:tcPr>
          <w:p>
            <w:pPr>
              <w:jc w:val="right"/>
              <w:ind w:right="199"/>
              <w:spacing w:after="0"/>
              <w:rPr>
                <w:sz w:val="20"/>
                <w:szCs w:val="20"/>
                <w:color w:val="auto"/>
              </w:rPr>
            </w:pPr>
            <w:r>
              <w:rPr>
                <w:rFonts w:ascii="Arial" w:cs="Arial" w:eastAsia="Arial" w:hAnsi="Arial"/>
                <w:sz w:val="16"/>
                <w:szCs w:val="16"/>
                <w:color w:val="auto"/>
              </w:rPr>
              <w:t>$</w:t>
            </w:r>
          </w:p>
        </w:tc>
        <w:tc>
          <w:tcPr>
            <w:tcW w:w="8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74,845</w:t>
            </w:r>
          </w:p>
        </w:tc>
        <w:tc>
          <w:tcPr>
            <w:tcW w:w="100" w:type="dxa"/>
            <w:vAlign w:val="bottom"/>
            <w:shd w:val="clear" w:color="auto" w:fill="CEFFE7"/>
          </w:tcPr>
          <w:p>
            <w:pPr>
              <w:spacing w:after="0"/>
              <w:rPr>
                <w:sz w:val="18"/>
                <w:szCs w:val="18"/>
                <w:color w:val="auto"/>
              </w:rPr>
            </w:pPr>
          </w:p>
        </w:tc>
        <w:tc>
          <w:tcPr>
            <w:tcW w:w="240" w:type="dxa"/>
            <w:vAlign w:val="bottom"/>
            <w:shd w:val="clear" w:color="auto" w:fill="CEFFE7"/>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gridSpan w:val="3"/>
            <w:shd w:val="clear" w:color="auto" w:fill="CEFFE7"/>
          </w:tcPr>
          <w:p>
            <w:pPr>
              <w:jc w:val="right"/>
              <w:spacing w:after="0"/>
              <w:rPr>
                <w:sz w:val="20"/>
                <w:szCs w:val="20"/>
                <w:color w:val="auto"/>
              </w:rPr>
            </w:pPr>
            <w:r>
              <w:rPr>
                <w:rFonts w:ascii="Arial" w:cs="Arial" w:eastAsia="Arial" w:hAnsi="Arial"/>
                <w:sz w:val="16"/>
                <w:szCs w:val="16"/>
                <w:color w:val="auto"/>
              </w:rPr>
              <w:t>51,949</w:t>
            </w:r>
          </w:p>
        </w:tc>
        <w:tc>
          <w:tcPr>
            <w:tcW w:w="420" w:type="dxa"/>
            <w:vAlign w:val="bottom"/>
            <w:shd w:val="clear" w:color="auto" w:fill="CEFFE7"/>
          </w:tcPr>
          <w:p>
            <w:pPr>
              <w:jc w:val="right"/>
              <w:ind w:right="199"/>
              <w:spacing w:after="0"/>
              <w:rPr>
                <w:sz w:val="20"/>
                <w:szCs w:val="20"/>
                <w:color w:val="auto"/>
              </w:rPr>
            </w:pPr>
            <w:r>
              <w:rPr>
                <w:rFonts w:ascii="Arial" w:cs="Arial" w:eastAsia="Arial" w:hAnsi="Arial"/>
                <w:sz w:val="16"/>
                <w:szCs w:val="16"/>
                <w:color w:val="auto"/>
              </w:rPr>
              <w:t>$</w:t>
            </w:r>
          </w:p>
        </w:tc>
        <w:tc>
          <w:tcPr>
            <w:tcW w:w="820" w:type="dxa"/>
            <w:vAlign w:val="bottom"/>
            <w:gridSpan w:val="3"/>
            <w:shd w:val="clear" w:color="auto" w:fill="CEFFE7"/>
          </w:tcPr>
          <w:p>
            <w:pPr>
              <w:jc w:val="right"/>
              <w:ind w:right="80"/>
              <w:spacing w:after="0"/>
              <w:rPr>
                <w:sz w:val="20"/>
                <w:szCs w:val="20"/>
                <w:color w:val="auto"/>
              </w:rPr>
            </w:pPr>
            <w:r>
              <w:rPr>
                <w:rFonts w:ascii="Arial" w:cs="Arial" w:eastAsia="Arial" w:hAnsi="Arial"/>
                <w:sz w:val="16"/>
                <w:szCs w:val="16"/>
                <w:color w:val="auto"/>
              </w:rPr>
              <w:t>48,855</w:t>
            </w:r>
          </w:p>
        </w:tc>
        <w:tc>
          <w:tcPr>
            <w:tcW w:w="100" w:type="dxa"/>
            <w:vAlign w:val="bottom"/>
            <w:shd w:val="clear" w:color="auto" w:fill="CEFFE7"/>
          </w:tcPr>
          <w:p>
            <w:pPr>
              <w:spacing w:after="0"/>
              <w:rPr>
                <w:sz w:val="18"/>
                <w:szCs w:val="18"/>
                <w:color w:val="auto"/>
              </w:rPr>
            </w:pPr>
          </w:p>
        </w:tc>
        <w:tc>
          <w:tcPr>
            <w:tcW w:w="1280" w:type="dxa"/>
            <w:vAlign w:val="bottom"/>
            <w:gridSpan w:val="3"/>
            <w:shd w:val="clear" w:color="auto" w:fill="CEFFE7"/>
          </w:tcPr>
          <w:p>
            <w:pPr>
              <w:ind w:left="320"/>
              <w:spacing w:after="0"/>
              <w:rPr>
                <w:sz w:val="20"/>
                <w:szCs w:val="20"/>
                <w:color w:val="auto"/>
              </w:rPr>
            </w:pPr>
            <w:r>
              <w:rPr>
                <w:rFonts w:ascii="Arial" w:cs="Arial" w:eastAsia="Arial" w:hAnsi="Arial"/>
                <w:sz w:val="16"/>
                <w:szCs w:val="16"/>
                <w:color w:val="auto"/>
              </w:rPr>
              <w:t>13,306,734</w:t>
            </w:r>
          </w:p>
        </w:tc>
        <w:tc>
          <w:tcPr>
            <w:tcW w:w="11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10,962,948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3760" w:type="dxa"/>
            <w:vAlign w:val="bottom"/>
          </w:tcPr>
          <w:p>
            <w:pPr>
              <w:ind w:left="20"/>
              <w:spacing w:after="0"/>
              <w:rPr>
                <w:sz w:val="20"/>
                <w:szCs w:val="20"/>
                <w:color w:val="auto"/>
              </w:rPr>
            </w:pPr>
            <w:r>
              <w:rPr>
                <w:rFonts w:ascii="Arial" w:cs="Arial" w:eastAsia="Arial" w:hAnsi="Arial"/>
                <w:sz w:val="16"/>
                <w:szCs w:val="16"/>
                <w:color w:val="auto"/>
              </w:rPr>
              <w:t>Colorado Gas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79,122</w:t>
            </w: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72,606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Arial" w:cs="Arial" w:eastAsia="Arial" w:hAnsi="Arial"/>
                <w:sz w:val="16"/>
                <w:szCs w:val="16"/>
                <w:color w:val="auto"/>
              </w:rPr>
              <w:t>38,212</w:t>
            </w:r>
          </w:p>
        </w:tc>
        <w:tc>
          <w:tcPr>
            <w:tcW w:w="420" w:type="dxa"/>
            <w:vAlign w:val="bottom"/>
          </w:tcPr>
          <w:p>
            <w:pPr>
              <w:spacing w:after="0"/>
              <w:rPr>
                <w:sz w:val="18"/>
                <w:szCs w:val="18"/>
                <w:color w:val="auto"/>
              </w:rPr>
            </w:pPr>
          </w:p>
        </w:tc>
        <w:tc>
          <w:tcPr>
            <w:tcW w:w="820" w:type="dxa"/>
            <w:vAlign w:val="bottom"/>
            <w:gridSpan w:val="3"/>
          </w:tcPr>
          <w:p>
            <w:pPr>
              <w:jc w:val="right"/>
              <w:ind w:right="80"/>
              <w:spacing w:after="0"/>
              <w:rPr>
                <w:sz w:val="20"/>
                <w:szCs w:val="20"/>
                <w:color w:val="auto"/>
              </w:rPr>
            </w:pPr>
            <w:r>
              <w:rPr>
                <w:rFonts w:ascii="Arial" w:cs="Arial" w:eastAsia="Arial" w:hAnsi="Arial"/>
                <w:sz w:val="16"/>
                <w:szCs w:val="16"/>
                <w:color w:val="auto"/>
              </w:rPr>
              <w:t>38,006</w:t>
            </w:r>
          </w:p>
        </w:tc>
        <w:tc>
          <w:tcPr>
            <w:tcW w:w="100" w:type="dxa"/>
            <w:vAlign w:val="bottom"/>
          </w:tcPr>
          <w:p>
            <w:pPr>
              <w:spacing w:after="0"/>
              <w:rPr>
                <w:sz w:val="18"/>
                <w:szCs w:val="18"/>
                <w:color w:val="auto"/>
              </w:rPr>
            </w:pPr>
          </w:p>
        </w:tc>
        <w:tc>
          <w:tcPr>
            <w:tcW w:w="1280" w:type="dxa"/>
            <w:vAlign w:val="bottom"/>
            <w:gridSpan w:val="3"/>
          </w:tcPr>
          <w:p>
            <w:pPr>
              <w:ind w:left="320"/>
              <w:spacing w:after="0"/>
              <w:rPr>
                <w:sz w:val="20"/>
                <w:szCs w:val="20"/>
                <w:color w:val="auto"/>
              </w:rPr>
            </w:pPr>
            <w:r>
              <w:rPr>
                <w:rFonts w:ascii="Arial" w:cs="Arial" w:eastAsia="Arial" w:hAnsi="Arial"/>
                <w:sz w:val="16"/>
                <w:szCs w:val="16"/>
                <w:color w:val="auto"/>
              </w:rPr>
              <w:t>13,366,015</w:t>
            </w:r>
          </w:p>
        </w:tc>
        <w:tc>
          <w:tcPr>
            <w:tcW w:w="1140" w:type="dxa"/>
            <w:vAlign w:val="bottom"/>
          </w:tcPr>
          <w:p>
            <w:pPr>
              <w:jc w:val="right"/>
              <w:spacing w:after="0"/>
              <w:rPr>
                <w:sz w:val="20"/>
                <w:szCs w:val="20"/>
                <w:color w:val="auto"/>
              </w:rPr>
            </w:pPr>
            <w:r>
              <w:rPr>
                <w:rFonts w:ascii="Arial" w:cs="Arial" w:eastAsia="Arial" w:hAnsi="Arial"/>
                <w:sz w:val="16"/>
                <w:szCs w:val="16"/>
                <w:color w:val="auto"/>
              </w:rPr>
              <w:t>13,096,405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3760" w:type="dxa"/>
            <w:vAlign w:val="bottom"/>
            <w:shd w:val="clear" w:color="auto" w:fill="CEFFE7"/>
          </w:tcPr>
          <w:p>
            <w:pPr>
              <w:ind w:left="20"/>
              <w:spacing w:after="0"/>
              <w:rPr>
                <w:sz w:val="20"/>
                <w:szCs w:val="20"/>
                <w:color w:val="auto"/>
              </w:rPr>
            </w:pPr>
            <w:r>
              <w:rPr>
                <w:rFonts w:ascii="Arial" w:cs="Arial" w:eastAsia="Arial" w:hAnsi="Arial"/>
                <w:sz w:val="16"/>
                <w:szCs w:val="16"/>
                <w:color w:val="auto"/>
              </w:rPr>
              <w:t>Iowa Gas</w:t>
            </w:r>
          </w:p>
        </w:tc>
        <w:tc>
          <w:tcPr>
            <w:tcW w:w="260" w:type="dxa"/>
            <w:vAlign w:val="bottom"/>
            <w:shd w:val="clear" w:color="auto" w:fill="CEFFE7"/>
          </w:tcPr>
          <w:p>
            <w:pPr>
              <w:spacing w:after="0"/>
              <w:rPr>
                <w:sz w:val="19"/>
                <w:szCs w:val="19"/>
                <w:color w:val="auto"/>
              </w:rPr>
            </w:pPr>
          </w:p>
        </w:tc>
        <w:tc>
          <w:tcPr>
            <w:tcW w:w="9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56,754</w:t>
            </w:r>
          </w:p>
        </w:tc>
        <w:tc>
          <w:tcPr>
            <w:tcW w:w="420" w:type="dxa"/>
            <w:vAlign w:val="bottom"/>
            <w:shd w:val="clear" w:color="auto" w:fill="CEFFE7"/>
          </w:tcPr>
          <w:p>
            <w:pPr>
              <w:spacing w:after="0"/>
              <w:rPr>
                <w:sz w:val="19"/>
                <w:szCs w:val="19"/>
                <w:color w:val="auto"/>
              </w:rPr>
            </w:pPr>
          </w:p>
        </w:tc>
        <w:tc>
          <w:tcPr>
            <w:tcW w:w="8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54,824</w:t>
            </w:r>
          </w:p>
        </w:tc>
        <w:tc>
          <w:tcPr>
            <w:tcW w:w="100" w:type="dxa"/>
            <w:vAlign w:val="bottom"/>
            <w:shd w:val="clear" w:color="auto" w:fill="CEFFE7"/>
          </w:tcPr>
          <w:p>
            <w:pPr>
              <w:spacing w:after="0"/>
              <w:rPr>
                <w:sz w:val="19"/>
                <w:szCs w:val="19"/>
                <w:color w:val="auto"/>
              </w:rPr>
            </w:pPr>
          </w:p>
        </w:tc>
        <w:tc>
          <w:tcPr>
            <w:tcW w:w="240" w:type="dxa"/>
            <w:vAlign w:val="bottom"/>
            <w:shd w:val="clear" w:color="auto" w:fill="CEFFE7"/>
          </w:tcPr>
          <w:p>
            <w:pPr>
              <w:spacing w:after="0"/>
              <w:rPr>
                <w:sz w:val="19"/>
                <w:szCs w:val="19"/>
                <w:color w:val="auto"/>
              </w:rPr>
            </w:pPr>
          </w:p>
        </w:tc>
        <w:tc>
          <w:tcPr>
            <w:tcW w:w="920" w:type="dxa"/>
            <w:vAlign w:val="bottom"/>
            <w:gridSpan w:val="3"/>
            <w:shd w:val="clear" w:color="auto" w:fill="CEFFE7"/>
          </w:tcPr>
          <w:p>
            <w:pPr>
              <w:jc w:val="right"/>
              <w:spacing w:after="0"/>
              <w:rPr>
                <w:sz w:val="20"/>
                <w:szCs w:val="20"/>
                <w:color w:val="auto"/>
              </w:rPr>
            </w:pPr>
            <w:r>
              <w:rPr>
                <w:rFonts w:ascii="Arial" w:cs="Arial" w:eastAsia="Arial" w:hAnsi="Arial"/>
                <w:sz w:val="16"/>
                <w:szCs w:val="16"/>
                <w:color w:val="auto"/>
              </w:rPr>
              <w:t>22,631</w:t>
            </w:r>
          </w:p>
        </w:tc>
        <w:tc>
          <w:tcPr>
            <w:tcW w:w="420" w:type="dxa"/>
            <w:vAlign w:val="bottom"/>
            <w:shd w:val="clear" w:color="auto" w:fill="CEFFE7"/>
          </w:tcPr>
          <w:p>
            <w:pPr>
              <w:spacing w:after="0"/>
              <w:rPr>
                <w:sz w:val="19"/>
                <w:szCs w:val="19"/>
                <w:color w:val="auto"/>
              </w:rPr>
            </w:pPr>
          </w:p>
        </w:tc>
        <w:tc>
          <w:tcPr>
            <w:tcW w:w="820" w:type="dxa"/>
            <w:vAlign w:val="bottom"/>
            <w:gridSpan w:val="3"/>
            <w:shd w:val="clear" w:color="auto" w:fill="CEFFE7"/>
          </w:tcPr>
          <w:p>
            <w:pPr>
              <w:jc w:val="right"/>
              <w:ind w:right="80"/>
              <w:spacing w:after="0"/>
              <w:rPr>
                <w:sz w:val="20"/>
                <w:szCs w:val="20"/>
                <w:color w:val="auto"/>
              </w:rPr>
            </w:pPr>
            <w:r>
              <w:rPr>
                <w:rFonts w:ascii="Arial" w:cs="Arial" w:eastAsia="Arial" w:hAnsi="Arial"/>
                <w:sz w:val="16"/>
                <w:szCs w:val="16"/>
                <w:color w:val="auto"/>
              </w:rPr>
              <w:t>21,328</w:t>
            </w:r>
          </w:p>
        </w:tc>
        <w:tc>
          <w:tcPr>
            <w:tcW w:w="100" w:type="dxa"/>
            <w:vAlign w:val="bottom"/>
            <w:shd w:val="clear" w:color="auto" w:fill="CEFFE7"/>
          </w:tcPr>
          <w:p>
            <w:pPr>
              <w:spacing w:after="0"/>
              <w:rPr>
                <w:sz w:val="19"/>
                <w:szCs w:val="19"/>
                <w:color w:val="auto"/>
              </w:rPr>
            </w:pPr>
          </w:p>
        </w:tc>
        <w:tc>
          <w:tcPr>
            <w:tcW w:w="1280" w:type="dxa"/>
            <w:vAlign w:val="bottom"/>
            <w:gridSpan w:val="3"/>
            <w:shd w:val="clear" w:color="auto" w:fill="CEFFE7"/>
          </w:tcPr>
          <w:p>
            <w:pPr>
              <w:ind w:left="320"/>
              <w:spacing w:after="0"/>
              <w:rPr>
                <w:sz w:val="20"/>
                <w:szCs w:val="20"/>
                <w:color w:val="auto"/>
              </w:rPr>
            </w:pPr>
            <w:r>
              <w:rPr>
                <w:rFonts w:ascii="Arial" w:cs="Arial" w:eastAsia="Arial" w:hAnsi="Arial"/>
                <w:sz w:val="16"/>
                <w:szCs w:val="16"/>
                <w:color w:val="auto"/>
              </w:rPr>
              <w:t>14,313,973</w:t>
            </w:r>
          </w:p>
        </w:tc>
        <w:tc>
          <w:tcPr>
            <w:tcW w:w="11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14,280,273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3760" w:type="dxa"/>
            <w:vAlign w:val="bottom"/>
          </w:tcPr>
          <w:p>
            <w:pPr>
              <w:ind w:left="20"/>
              <w:spacing w:after="0"/>
              <w:rPr>
                <w:sz w:val="20"/>
                <w:szCs w:val="20"/>
                <w:color w:val="auto"/>
              </w:rPr>
            </w:pPr>
            <w:r>
              <w:rPr>
                <w:rFonts w:ascii="Arial" w:cs="Arial" w:eastAsia="Arial" w:hAnsi="Arial"/>
                <w:sz w:val="16"/>
                <w:szCs w:val="16"/>
                <w:color w:val="auto"/>
              </w:rPr>
              <w:t>Kansas Gas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40,063</w:t>
            </w: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33,494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Arial" w:cs="Arial" w:eastAsia="Arial" w:hAnsi="Arial"/>
                <w:sz w:val="16"/>
                <w:szCs w:val="16"/>
                <w:color w:val="auto"/>
              </w:rPr>
              <w:t>18,766</w:t>
            </w:r>
          </w:p>
        </w:tc>
        <w:tc>
          <w:tcPr>
            <w:tcW w:w="420" w:type="dxa"/>
            <w:vAlign w:val="bottom"/>
          </w:tcPr>
          <w:p>
            <w:pPr>
              <w:spacing w:after="0"/>
              <w:rPr>
                <w:sz w:val="18"/>
                <w:szCs w:val="18"/>
                <w:color w:val="auto"/>
              </w:rPr>
            </w:pPr>
          </w:p>
        </w:tc>
        <w:tc>
          <w:tcPr>
            <w:tcW w:w="820" w:type="dxa"/>
            <w:vAlign w:val="bottom"/>
            <w:gridSpan w:val="3"/>
          </w:tcPr>
          <w:p>
            <w:pPr>
              <w:jc w:val="right"/>
              <w:ind w:right="80"/>
              <w:spacing w:after="0"/>
              <w:rPr>
                <w:sz w:val="20"/>
                <w:szCs w:val="20"/>
                <w:color w:val="auto"/>
              </w:rPr>
            </w:pPr>
            <w:r>
              <w:rPr>
                <w:rFonts w:ascii="Arial" w:cs="Arial" w:eastAsia="Arial" w:hAnsi="Arial"/>
                <w:sz w:val="16"/>
                <w:szCs w:val="16"/>
                <w:color w:val="auto"/>
              </w:rPr>
              <w:t>18,603</w:t>
            </w:r>
          </w:p>
        </w:tc>
        <w:tc>
          <w:tcPr>
            <w:tcW w:w="100" w:type="dxa"/>
            <w:vAlign w:val="bottom"/>
          </w:tcPr>
          <w:p>
            <w:pPr>
              <w:spacing w:after="0"/>
              <w:rPr>
                <w:sz w:val="18"/>
                <w:szCs w:val="18"/>
                <w:color w:val="auto"/>
              </w:rPr>
            </w:pPr>
          </w:p>
        </w:tc>
        <w:tc>
          <w:tcPr>
            <w:tcW w:w="1280" w:type="dxa"/>
            <w:vAlign w:val="bottom"/>
            <w:gridSpan w:val="3"/>
          </w:tcPr>
          <w:p>
            <w:pPr>
              <w:ind w:left="320"/>
              <w:spacing w:after="0"/>
              <w:rPr>
                <w:sz w:val="20"/>
                <w:szCs w:val="20"/>
                <w:color w:val="auto"/>
              </w:rPr>
            </w:pPr>
            <w:r>
              <w:rPr>
                <w:rFonts w:ascii="Arial" w:cs="Arial" w:eastAsia="Arial" w:hAnsi="Arial"/>
                <w:sz w:val="16"/>
                <w:szCs w:val="16"/>
                <w:color w:val="auto"/>
              </w:rPr>
              <w:t>10,462,797</w:t>
            </w:r>
          </w:p>
        </w:tc>
        <w:tc>
          <w:tcPr>
            <w:tcW w:w="1140" w:type="dxa"/>
            <w:vAlign w:val="bottom"/>
          </w:tcPr>
          <w:p>
            <w:pPr>
              <w:jc w:val="right"/>
              <w:spacing w:after="0"/>
              <w:rPr>
                <w:sz w:val="20"/>
                <w:szCs w:val="20"/>
                <w:color w:val="auto"/>
              </w:rPr>
            </w:pPr>
            <w:r>
              <w:rPr>
                <w:rFonts w:ascii="Arial" w:cs="Arial" w:eastAsia="Arial" w:hAnsi="Arial"/>
                <w:sz w:val="16"/>
                <w:szCs w:val="16"/>
                <w:color w:val="auto"/>
              </w:rPr>
              <w:t>9,914,858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3760" w:type="dxa"/>
            <w:vAlign w:val="bottom"/>
            <w:shd w:val="clear" w:color="auto" w:fill="CEFFE7"/>
          </w:tcPr>
          <w:p>
            <w:pPr>
              <w:ind w:left="20"/>
              <w:spacing w:after="0"/>
              <w:rPr>
                <w:sz w:val="20"/>
                <w:szCs w:val="20"/>
                <w:color w:val="auto"/>
              </w:rPr>
            </w:pPr>
            <w:r>
              <w:rPr>
                <w:rFonts w:ascii="Arial" w:cs="Arial" w:eastAsia="Arial" w:hAnsi="Arial"/>
                <w:sz w:val="16"/>
                <w:szCs w:val="16"/>
                <w:color w:val="auto"/>
              </w:rPr>
              <w:t>Nebraska Gas</w:t>
            </w:r>
          </w:p>
        </w:tc>
        <w:tc>
          <w:tcPr>
            <w:tcW w:w="260" w:type="dxa"/>
            <w:vAlign w:val="bottom"/>
            <w:shd w:val="clear" w:color="auto" w:fill="CEFFE7"/>
          </w:tcPr>
          <w:p>
            <w:pPr>
              <w:spacing w:after="0"/>
              <w:rPr>
                <w:sz w:val="19"/>
                <w:szCs w:val="19"/>
                <w:color w:val="auto"/>
              </w:rPr>
            </w:pPr>
          </w:p>
        </w:tc>
        <w:tc>
          <w:tcPr>
            <w:tcW w:w="9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93,098</w:t>
            </w:r>
          </w:p>
        </w:tc>
        <w:tc>
          <w:tcPr>
            <w:tcW w:w="420" w:type="dxa"/>
            <w:vAlign w:val="bottom"/>
            <w:shd w:val="clear" w:color="auto" w:fill="CEFFE7"/>
          </w:tcPr>
          <w:p>
            <w:pPr>
              <w:spacing w:after="0"/>
              <w:rPr>
                <w:sz w:val="19"/>
                <w:szCs w:val="19"/>
                <w:color w:val="auto"/>
              </w:rPr>
            </w:pPr>
          </w:p>
        </w:tc>
        <w:tc>
          <w:tcPr>
            <w:tcW w:w="8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83,666</w:t>
            </w:r>
          </w:p>
        </w:tc>
        <w:tc>
          <w:tcPr>
            <w:tcW w:w="100" w:type="dxa"/>
            <w:vAlign w:val="bottom"/>
            <w:shd w:val="clear" w:color="auto" w:fill="CEFFE7"/>
          </w:tcPr>
          <w:p>
            <w:pPr>
              <w:spacing w:after="0"/>
              <w:rPr>
                <w:sz w:val="19"/>
                <w:szCs w:val="19"/>
                <w:color w:val="auto"/>
              </w:rPr>
            </w:pPr>
          </w:p>
        </w:tc>
        <w:tc>
          <w:tcPr>
            <w:tcW w:w="240" w:type="dxa"/>
            <w:vAlign w:val="bottom"/>
            <w:shd w:val="clear" w:color="auto" w:fill="CEFFE7"/>
          </w:tcPr>
          <w:p>
            <w:pPr>
              <w:spacing w:after="0"/>
              <w:rPr>
                <w:sz w:val="19"/>
                <w:szCs w:val="19"/>
                <w:color w:val="auto"/>
              </w:rPr>
            </w:pPr>
          </w:p>
        </w:tc>
        <w:tc>
          <w:tcPr>
            <w:tcW w:w="920" w:type="dxa"/>
            <w:vAlign w:val="bottom"/>
            <w:gridSpan w:val="3"/>
            <w:shd w:val="clear" w:color="auto" w:fill="CEFFE7"/>
          </w:tcPr>
          <w:p>
            <w:pPr>
              <w:jc w:val="right"/>
              <w:spacing w:after="0"/>
              <w:rPr>
                <w:sz w:val="20"/>
                <w:szCs w:val="20"/>
                <w:color w:val="auto"/>
              </w:rPr>
            </w:pPr>
            <w:r>
              <w:rPr>
                <w:rFonts w:ascii="Arial" w:cs="Arial" w:eastAsia="Arial" w:hAnsi="Arial"/>
                <w:sz w:val="16"/>
                <w:szCs w:val="16"/>
                <w:color w:val="auto"/>
              </w:rPr>
              <w:t>49,932</w:t>
            </w:r>
          </w:p>
        </w:tc>
        <w:tc>
          <w:tcPr>
            <w:tcW w:w="420" w:type="dxa"/>
            <w:vAlign w:val="bottom"/>
            <w:shd w:val="clear" w:color="auto" w:fill="CEFFE7"/>
          </w:tcPr>
          <w:p>
            <w:pPr>
              <w:spacing w:after="0"/>
              <w:rPr>
                <w:sz w:val="19"/>
                <w:szCs w:val="19"/>
                <w:color w:val="auto"/>
              </w:rPr>
            </w:pPr>
          </w:p>
        </w:tc>
        <w:tc>
          <w:tcPr>
            <w:tcW w:w="820" w:type="dxa"/>
            <w:vAlign w:val="bottom"/>
            <w:gridSpan w:val="3"/>
            <w:shd w:val="clear" w:color="auto" w:fill="CEFFE7"/>
          </w:tcPr>
          <w:p>
            <w:pPr>
              <w:jc w:val="right"/>
              <w:ind w:right="80"/>
              <w:spacing w:after="0"/>
              <w:rPr>
                <w:sz w:val="20"/>
                <w:szCs w:val="20"/>
                <w:color w:val="auto"/>
              </w:rPr>
            </w:pPr>
            <w:r>
              <w:rPr>
                <w:rFonts w:ascii="Arial" w:cs="Arial" w:eastAsia="Arial" w:hAnsi="Arial"/>
                <w:sz w:val="16"/>
                <w:szCs w:val="16"/>
                <w:color w:val="auto"/>
              </w:rPr>
              <w:t>51,666</w:t>
            </w:r>
          </w:p>
        </w:tc>
        <w:tc>
          <w:tcPr>
            <w:tcW w:w="100" w:type="dxa"/>
            <w:vAlign w:val="bottom"/>
            <w:shd w:val="clear" w:color="auto" w:fill="CEFFE7"/>
          </w:tcPr>
          <w:p>
            <w:pPr>
              <w:spacing w:after="0"/>
              <w:rPr>
                <w:sz w:val="19"/>
                <w:szCs w:val="19"/>
                <w:color w:val="auto"/>
              </w:rPr>
            </w:pPr>
          </w:p>
        </w:tc>
        <w:tc>
          <w:tcPr>
            <w:tcW w:w="1280" w:type="dxa"/>
            <w:vAlign w:val="bottom"/>
            <w:gridSpan w:val="3"/>
            <w:shd w:val="clear" w:color="auto" w:fill="CEFFE7"/>
          </w:tcPr>
          <w:p>
            <w:pPr>
              <w:ind w:left="320"/>
              <w:spacing w:after="0"/>
              <w:rPr>
                <w:sz w:val="20"/>
                <w:szCs w:val="20"/>
                <w:color w:val="auto"/>
              </w:rPr>
            </w:pPr>
            <w:r>
              <w:rPr>
                <w:rFonts w:ascii="Arial" w:cs="Arial" w:eastAsia="Arial" w:hAnsi="Arial"/>
                <w:sz w:val="16"/>
                <w:szCs w:val="16"/>
                <w:color w:val="auto"/>
              </w:rPr>
              <w:t>27,284,101</w:t>
            </w:r>
          </w:p>
        </w:tc>
        <w:tc>
          <w:tcPr>
            <w:tcW w:w="11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26,509,036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3760" w:type="dxa"/>
            <w:vAlign w:val="bottom"/>
            <w:tcBorders>
              <w:bottom w:val="single" w:sz="8" w:color="CEFFE7"/>
            </w:tcBorders>
          </w:tcPr>
          <w:p>
            <w:pPr>
              <w:ind w:left="20"/>
              <w:spacing w:after="0"/>
              <w:rPr>
                <w:sz w:val="20"/>
                <w:szCs w:val="20"/>
                <w:color w:val="auto"/>
              </w:rPr>
            </w:pPr>
            <w:r>
              <w:rPr>
                <w:rFonts w:ascii="Arial" w:cs="Arial" w:eastAsia="Arial" w:hAnsi="Arial"/>
                <w:sz w:val="16"/>
                <w:szCs w:val="16"/>
                <w:color w:val="auto"/>
              </w:rPr>
              <w:t>Wyoming Gas</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46,488</w:t>
            </w:r>
          </w:p>
        </w:tc>
        <w:tc>
          <w:tcPr>
            <w:tcW w:w="4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41,338</w:t>
            </w:r>
          </w:p>
        </w:tc>
        <w:tc>
          <w:tcPr>
            <w:tcW w:w="100" w:type="dxa"/>
            <w:vAlign w:val="bottom"/>
            <w:tcBorders>
              <w:bottom w:val="single" w:sz="8" w:color="CEFFE7"/>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27,979</w:t>
            </w:r>
          </w:p>
        </w:tc>
        <w:tc>
          <w:tcPr>
            <w:tcW w:w="4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6"/>
                <w:szCs w:val="16"/>
                <w:color w:val="auto"/>
              </w:rPr>
              <w:t>26,953</w:t>
            </w:r>
          </w:p>
        </w:tc>
        <w:tc>
          <w:tcPr>
            <w:tcW w:w="100" w:type="dxa"/>
            <w:vAlign w:val="bottom"/>
            <w:tcBorders>
              <w:bottom w:val="single" w:sz="8" w:color="CEFFE7"/>
            </w:tcBorders>
          </w:tcPr>
          <w:p>
            <w:pPr>
              <w:spacing w:after="0"/>
              <w:rPr>
                <w:sz w:val="18"/>
                <w:szCs w:val="18"/>
                <w:color w:val="auto"/>
              </w:rPr>
            </w:pPr>
          </w:p>
        </w:tc>
        <w:tc>
          <w:tcPr>
            <w:tcW w:w="1280" w:type="dxa"/>
            <w:vAlign w:val="bottom"/>
            <w:tcBorders>
              <w:bottom w:val="single" w:sz="8" w:color="auto"/>
            </w:tcBorders>
            <w:gridSpan w:val="3"/>
          </w:tcPr>
          <w:p>
            <w:pPr>
              <w:ind w:left="320"/>
              <w:spacing w:after="0"/>
              <w:rPr>
                <w:sz w:val="20"/>
                <w:szCs w:val="20"/>
                <w:color w:val="auto"/>
              </w:rPr>
            </w:pPr>
            <w:r>
              <w:rPr>
                <w:rFonts w:ascii="Arial" w:cs="Arial" w:eastAsia="Arial" w:hAnsi="Arial"/>
                <w:sz w:val="16"/>
                <w:szCs w:val="16"/>
                <w:color w:val="auto"/>
              </w:rPr>
              <w:t>11,860,166</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12,418,637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3760" w:type="dxa"/>
            <w:vAlign w:val="bottom"/>
            <w:shd w:val="clear" w:color="auto" w:fill="CEFFE7"/>
          </w:tcPr>
          <w:p>
            <w:pPr>
              <w:ind w:left="220"/>
              <w:spacing w:after="0" w:line="161" w:lineRule="exact"/>
              <w:rPr>
                <w:sz w:val="20"/>
                <w:szCs w:val="20"/>
                <w:color w:val="auto"/>
              </w:rPr>
            </w:pPr>
            <w:r>
              <w:rPr>
                <w:rFonts w:ascii="Arial" w:cs="Arial" w:eastAsia="Arial" w:hAnsi="Arial"/>
                <w:sz w:val="16"/>
                <w:szCs w:val="16"/>
                <w:color w:val="auto"/>
              </w:rPr>
              <w:t>Total Gas Revenue &amp; Gross Margin (non-</w:t>
            </w:r>
          </w:p>
        </w:tc>
        <w:tc>
          <w:tcPr>
            <w:tcW w:w="260" w:type="dxa"/>
            <w:vAlign w:val="bottom"/>
            <w:vMerge w:val="restart"/>
            <w:shd w:val="clear" w:color="auto" w:fill="CEFFE7"/>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vMerge w:val="restart"/>
            <w:shd w:val="clear" w:color="auto" w:fill="CEFFE7"/>
          </w:tcPr>
          <w:p>
            <w:pPr>
              <w:jc w:val="right"/>
              <w:spacing w:after="0"/>
              <w:rPr>
                <w:sz w:val="20"/>
                <w:szCs w:val="20"/>
                <w:color w:val="auto"/>
              </w:rPr>
            </w:pPr>
            <w:r>
              <w:rPr>
                <w:rFonts w:ascii="Arial" w:cs="Arial" w:eastAsia="Arial" w:hAnsi="Arial"/>
                <w:sz w:val="16"/>
                <w:szCs w:val="16"/>
                <w:color w:val="auto"/>
              </w:rPr>
              <w:t>402,519</w:t>
            </w:r>
          </w:p>
        </w:tc>
        <w:tc>
          <w:tcPr>
            <w:tcW w:w="420" w:type="dxa"/>
            <w:vAlign w:val="bottom"/>
            <w:vMerge w:val="restart"/>
            <w:shd w:val="clear" w:color="auto" w:fill="CEFFE7"/>
          </w:tcPr>
          <w:p>
            <w:pPr>
              <w:jc w:val="right"/>
              <w:ind w:right="199"/>
              <w:spacing w:after="0"/>
              <w:rPr>
                <w:sz w:val="20"/>
                <w:szCs w:val="20"/>
                <w:color w:val="auto"/>
              </w:rPr>
            </w:pPr>
            <w:r>
              <w:rPr>
                <w:rFonts w:ascii="Arial" w:cs="Arial" w:eastAsia="Arial" w:hAnsi="Arial"/>
                <w:sz w:val="16"/>
                <w:szCs w:val="16"/>
                <w:color w:val="auto"/>
              </w:rPr>
              <w:t>$</w:t>
            </w:r>
          </w:p>
        </w:tc>
        <w:tc>
          <w:tcPr>
            <w:tcW w:w="820" w:type="dxa"/>
            <w:vAlign w:val="bottom"/>
            <w:vMerge w:val="restart"/>
            <w:shd w:val="clear" w:color="auto" w:fill="CEFFE7"/>
          </w:tcPr>
          <w:p>
            <w:pPr>
              <w:jc w:val="right"/>
              <w:spacing w:after="0"/>
              <w:rPr>
                <w:sz w:val="20"/>
                <w:szCs w:val="20"/>
                <w:color w:val="auto"/>
              </w:rPr>
            </w:pPr>
            <w:r>
              <w:rPr>
                <w:rFonts w:ascii="Arial" w:cs="Arial" w:eastAsia="Arial" w:hAnsi="Arial"/>
                <w:sz w:val="16"/>
                <w:szCs w:val="16"/>
                <w:color w:val="auto"/>
              </w:rPr>
              <w:t>360,773</w:t>
            </w:r>
          </w:p>
        </w:tc>
        <w:tc>
          <w:tcPr>
            <w:tcW w:w="100" w:type="dxa"/>
            <w:vAlign w:val="bottom"/>
            <w:shd w:val="clear" w:color="auto" w:fill="CEFFE7"/>
          </w:tcPr>
          <w:p>
            <w:pPr>
              <w:spacing w:after="0"/>
              <w:rPr>
                <w:sz w:val="13"/>
                <w:szCs w:val="13"/>
                <w:color w:val="auto"/>
              </w:rPr>
            </w:pPr>
          </w:p>
        </w:tc>
        <w:tc>
          <w:tcPr>
            <w:tcW w:w="240" w:type="dxa"/>
            <w:vAlign w:val="bottom"/>
            <w:vMerge w:val="restart"/>
            <w:shd w:val="clear" w:color="auto" w:fill="CEFFE7"/>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gridSpan w:val="3"/>
            <w:vMerge w:val="restart"/>
            <w:shd w:val="clear" w:color="auto" w:fill="CEFFE7"/>
          </w:tcPr>
          <w:p>
            <w:pPr>
              <w:jc w:val="right"/>
              <w:spacing w:after="0"/>
              <w:rPr>
                <w:sz w:val="20"/>
                <w:szCs w:val="20"/>
                <w:color w:val="auto"/>
              </w:rPr>
            </w:pPr>
            <w:r>
              <w:rPr>
                <w:rFonts w:ascii="Arial" w:cs="Arial" w:eastAsia="Arial" w:hAnsi="Arial"/>
                <w:sz w:val="16"/>
                <w:szCs w:val="16"/>
                <w:color w:val="auto"/>
              </w:rPr>
              <w:t>209,469</w:t>
            </w:r>
          </w:p>
        </w:tc>
        <w:tc>
          <w:tcPr>
            <w:tcW w:w="420" w:type="dxa"/>
            <w:vAlign w:val="bottom"/>
            <w:vMerge w:val="restart"/>
            <w:shd w:val="clear" w:color="auto" w:fill="CEFFE7"/>
          </w:tcPr>
          <w:p>
            <w:pPr>
              <w:jc w:val="right"/>
              <w:ind w:right="199"/>
              <w:spacing w:after="0"/>
              <w:rPr>
                <w:sz w:val="20"/>
                <w:szCs w:val="20"/>
                <w:color w:val="auto"/>
              </w:rPr>
            </w:pPr>
            <w:r>
              <w:rPr>
                <w:rFonts w:ascii="Arial" w:cs="Arial" w:eastAsia="Arial" w:hAnsi="Arial"/>
                <w:sz w:val="16"/>
                <w:szCs w:val="16"/>
                <w:color w:val="auto"/>
              </w:rPr>
              <w:t>$</w:t>
            </w:r>
          </w:p>
        </w:tc>
        <w:tc>
          <w:tcPr>
            <w:tcW w:w="820" w:type="dxa"/>
            <w:vAlign w:val="bottom"/>
            <w:gridSpan w:val="3"/>
            <w:vMerge w:val="restart"/>
            <w:shd w:val="clear" w:color="auto" w:fill="CEFFE7"/>
          </w:tcPr>
          <w:p>
            <w:pPr>
              <w:jc w:val="right"/>
              <w:ind w:right="80"/>
              <w:spacing w:after="0"/>
              <w:rPr>
                <w:sz w:val="20"/>
                <w:szCs w:val="20"/>
                <w:color w:val="auto"/>
              </w:rPr>
            </w:pPr>
            <w:r>
              <w:rPr>
                <w:rFonts w:ascii="Arial" w:cs="Arial" w:eastAsia="Arial" w:hAnsi="Arial"/>
                <w:sz w:val="16"/>
                <w:szCs w:val="16"/>
                <w:color w:val="auto"/>
              </w:rPr>
              <w:t>205,411</w:t>
            </w:r>
          </w:p>
        </w:tc>
        <w:tc>
          <w:tcPr>
            <w:tcW w:w="100" w:type="dxa"/>
            <w:vAlign w:val="bottom"/>
            <w:shd w:val="clear" w:color="auto" w:fill="CEFFE7"/>
          </w:tcPr>
          <w:p>
            <w:pPr>
              <w:spacing w:after="0"/>
              <w:rPr>
                <w:sz w:val="13"/>
                <w:szCs w:val="13"/>
                <w:color w:val="auto"/>
              </w:rPr>
            </w:pPr>
          </w:p>
        </w:tc>
        <w:tc>
          <w:tcPr>
            <w:tcW w:w="1280" w:type="dxa"/>
            <w:vAlign w:val="bottom"/>
            <w:gridSpan w:val="3"/>
            <w:vMerge w:val="restart"/>
            <w:shd w:val="clear" w:color="auto" w:fill="CEFFE7"/>
          </w:tcPr>
          <w:p>
            <w:pPr>
              <w:ind w:left="320"/>
              <w:spacing w:after="0"/>
              <w:rPr>
                <w:sz w:val="20"/>
                <w:szCs w:val="20"/>
                <w:color w:val="auto"/>
              </w:rPr>
            </w:pPr>
            <w:r>
              <w:rPr>
                <w:rFonts w:ascii="Arial" w:cs="Arial" w:eastAsia="Arial" w:hAnsi="Arial"/>
                <w:sz w:val="16"/>
                <w:szCs w:val="16"/>
                <w:color w:val="auto"/>
              </w:rPr>
              <w:t>90,593,786</w:t>
            </w:r>
          </w:p>
        </w:tc>
        <w:tc>
          <w:tcPr>
            <w:tcW w:w="1140" w:type="dxa"/>
            <w:vAlign w:val="bottom"/>
            <w:vMerge w:val="restart"/>
            <w:shd w:val="clear" w:color="auto" w:fill="CEFFE7"/>
          </w:tcPr>
          <w:p>
            <w:pPr>
              <w:jc w:val="right"/>
              <w:spacing w:after="0"/>
              <w:rPr>
                <w:sz w:val="20"/>
                <w:szCs w:val="20"/>
                <w:color w:val="auto"/>
              </w:rPr>
            </w:pPr>
            <w:r>
              <w:rPr>
                <w:rFonts w:ascii="Arial" w:cs="Arial" w:eastAsia="Arial" w:hAnsi="Arial"/>
                <w:sz w:val="16"/>
                <w:szCs w:val="16"/>
                <w:color w:val="auto"/>
              </w:rPr>
              <w:t>87,182,157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3760" w:type="dxa"/>
            <w:vAlign w:val="bottom"/>
            <w:tcBorders>
              <w:bottom w:val="single" w:sz="8" w:color="CEFFE7"/>
            </w:tcBorders>
            <w:shd w:val="clear" w:color="auto" w:fill="CEFFE7"/>
          </w:tcPr>
          <w:p>
            <w:pPr>
              <w:ind w:left="220"/>
              <w:spacing w:after="0" w:line="174" w:lineRule="exact"/>
              <w:rPr>
                <w:sz w:val="20"/>
                <w:szCs w:val="20"/>
                <w:color w:val="auto"/>
              </w:rPr>
            </w:pPr>
            <w:r>
              <w:rPr>
                <w:rFonts w:ascii="Arial" w:cs="Arial" w:eastAsia="Arial" w:hAnsi="Arial"/>
                <w:sz w:val="16"/>
                <w:szCs w:val="16"/>
                <w:color w:val="auto"/>
              </w:rPr>
              <w:t>GAAP)</w:t>
            </w:r>
          </w:p>
        </w:tc>
        <w:tc>
          <w:tcPr>
            <w:tcW w:w="260" w:type="dxa"/>
            <w:vAlign w:val="bottom"/>
            <w:tcBorders>
              <w:bottom w:val="single" w:sz="8" w:color="auto"/>
            </w:tcBorders>
            <w:vMerge w:val="continue"/>
            <w:shd w:val="clear" w:color="auto" w:fill="CEFFE7"/>
          </w:tcPr>
          <w:p>
            <w:pPr>
              <w:spacing w:after="0"/>
              <w:rPr>
                <w:sz w:val="16"/>
                <w:szCs w:val="16"/>
                <w:color w:val="auto"/>
              </w:rPr>
            </w:pPr>
          </w:p>
        </w:tc>
        <w:tc>
          <w:tcPr>
            <w:tcW w:w="900" w:type="dxa"/>
            <w:vAlign w:val="bottom"/>
            <w:tcBorders>
              <w:bottom w:val="single" w:sz="8" w:color="auto"/>
            </w:tcBorders>
            <w:vMerge w:val="continue"/>
            <w:shd w:val="clear" w:color="auto" w:fill="CEFFE7"/>
          </w:tcPr>
          <w:p>
            <w:pPr>
              <w:spacing w:after="0"/>
              <w:rPr>
                <w:sz w:val="16"/>
                <w:szCs w:val="16"/>
                <w:color w:val="auto"/>
              </w:rPr>
            </w:pPr>
          </w:p>
        </w:tc>
        <w:tc>
          <w:tcPr>
            <w:tcW w:w="420" w:type="dxa"/>
            <w:vAlign w:val="bottom"/>
            <w:tcBorders>
              <w:bottom w:val="single" w:sz="8" w:color="auto"/>
            </w:tcBorders>
            <w:vMerge w:val="continue"/>
            <w:shd w:val="clear" w:color="auto" w:fill="CEFFE7"/>
          </w:tcPr>
          <w:p>
            <w:pPr>
              <w:spacing w:after="0"/>
              <w:rPr>
                <w:sz w:val="16"/>
                <w:szCs w:val="16"/>
                <w:color w:val="auto"/>
              </w:rPr>
            </w:pPr>
          </w:p>
        </w:tc>
        <w:tc>
          <w:tcPr>
            <w:tcW w:w="820" w:type="dxa"/>
            <w:vAlign w:val="bottom"/>
            <w:tcBorders>
              <w:bottom w:val="single" w:sz="8" w:color="auto"/>
            </w:tcBorders>
            <w:vMerge w:val="continue"/>
            <w:shd w:val="clear" w:color="auto" w:fill="CEFFE7"/>
          </w:tcPr>
          <w:p>
            <w:pPr>
              <w:spacing w:after="0"/>
              <w:rPr>
                <w:sz w:val="16"/>
                <w:szCs w:val="16"/>
                <w:color w:val="auto"/>
              </w:rPr>
            </w:pPr>
          </w:p>
        </w:tc>
        <w:tc>
          <w:tcPr>
            <w:tcW w:w="100" w:type="dxa"/>
            <w:vAlign w:val="bottom"/>
            <w:tcBorders>
              <w:bottom w:val="single" w:sz="8" w:color="CEFFE7"/>
            </w:tcBorders>
            <w:shd w:val="clear" w:color="auto" w:fill="CEFFE7"/>
          </w:tcPr>
          <w:p>
            <w:pPr>
              <w:spacing w:after="0"/>
              <w:rPr>
                <w:sz w:val="16"/>
                <w:szCs w:val="16"/>
                <w:color w:val="auto"/>
              </w:rPr>
            </w:pPr>
          </w:p>
        </w:tc>
        <w:tc>
          <w:tcPr>
            <w:tcW w:w="240" w:type="dxa"/>
            <w:vAlign w:val="bottom"/>
            <w:tcBorders>
              <w:bottom w:val="single" w:sz="8" w:color="auto"/>
            </w:tcBorders>
            <w:vMerge w:val="continue"/>
            <w:shd w:val="clear" w:color="auto" w:fill="CEFFE7"/>
          </w:tcPr>
          <w:p>
            <w:pPr>
              <w:spacing w:after="0"/>
              <w:rPr>
                <w:sz w:val="16"/>
                <w:szCs w:val="16"/>
                <w:color w:val="auto"/>
              </w:rPr>
            </w:pPr>
          </w:p>
        </w:tc>
        <w:tc>
          <w:tcPr>
            <w:tcW w:w="920" w:type="dxa"/>
            <w:vAlign w:val="bottom"/>
            <w:tcBorders>
              <w:bottom w:val="single" w:sz="8" w:color="auto"/>
            </w:tcBorders>
            <w:gridSpan w:val="3"/>
            <w:vMerge w:val="continue"/>
            <w:shd w:val="clear" w:color="auto" w:fill="CEFFE7"/>
          </w:tcPr>
          <w:p>
            <w:pPr>
              <w:spacing w:after="0"/>
              <w:rPr>
                <w:sz w:val="16"/>
                <w:szCs w:val="16"/>
                <w:color w:val="auto"/>
              </w:rPr>
            </w:pPr>
          </w:p>
        </w:tc>
        <w:tc>
          <w:tcPr>
            <w:tcW w:w="420" w:type="dxa"/>
            <w:vAlign w:val="bottom"/>
            <w:tcBorders>
              <w:bottom w:val="single" w:sz="8" w:color="auto"/>
            </w:tcBorders>
            <w:vMerge w:val="continue"/>
            <w:shd w:val="clear" w:color="auto" w:fill="CEFFE7"/>
          </w:tcPr>
          <w:p>
            <w:pPr>
              <w:spacing w:after="0"/>
              <w:rPr>
                <w:sz w:val="16"/>
                <w:szCs w:val="16"/>
                <w:color w:val="auto"/>
              </w:rPr>
            </w:pPr>
          </w:p>
        </w:tc>
        <w:tc>
          <w:tcPr>
            <w:tcW w:w="820" w:type="dxa"/>
            <w:vAlign w:val="bottom"/>
            <w:tcBorders>
              <w:bottom w:val="single" w:sz="8" w:color="auto"/>
            </w:tcBorders>
            <w:gridSpan w:val="3"/>
            <w:vMerge w:val="continue"/>
            <w:shd w:val="clear" w:color="auto" w:fill="CEFFE7"/>
          </w:tcPr>
          <w:p>
            <w:pPr>
              <w:spacing w:after="0"/>
              <w:rPr>
                <w:sz w:val="16"/>
                <w:szCs w:val="16"/>
                <w:color w:val="auto"/>
              </w:rPr>
            </w:pPr>
          </w:p>
        </w:tc>
        <w:tc>
          <w:tcPr>
            <w:tcW w:w="100" w:type="dxa"/>
            <w:vAlign w:val="bottom"/>
            <w:tcBorders>
              <w:bottom w:val="single" w:sz="8" w:color="CEFFE7"/>
            </w:tcBorders>
            <w:shd w:val="clear" w:color="auto" w:fill="CEFFE7"/>
          </w:tcPr>
          <w:p>
            <w:pPr>
              <w:spacing w:after="0"/>
              <w:rPr>
                <w:sz w:val="16"/>
                <w:szCs w:val="16"/>
                <w:color w:val="auto"/>
              </w:rPr>
            </w:pPr>
          </w:p>
        </w:tc>
        <w:tc>
          <w:tcPr>
            <w:tcW w:w="1280" w:type="dxa"/>
            <w:vAlign w:val="bottom"/>
            <w:tcBorders>
              <w:bottom w:val="single" w:sz="8" w:color="auto"/>
            </w:tcBorders>
            <w:gridSpan w:val="3"/>
            <w:vMerge w:val="continue"/>
            <w:shd w:val="clear" w:color="auto" w:fill="CEFFE7"/>
          </w:tcPr>
          <w:p>
            <w:pPr>
              <w:spacing w:after="0"/>
              <w:rPr>
                <w:sz w:val="16"/>
                <w:szCs w:val="16"/>
                <w:color w:val="auto"/>
              </w:rPr>
            </w:pPr>
          </w:p>
        </w:tc>
        <w:tc>
          <w:tcPr>
            <w:tcW w:w="1140" w:type="dxa"/>
            <w:vAlign w:val="bottom"/>
            <w:tcBorders>
              <w:bottom w:val="single" w:sz="8" w:color="auto"/>
            </w:tcBorders>
            <w:vMerge w:val="continue"/>
            <w:shd w:val="clear" w:color="auto" w:fill="CEFFE7"/>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760" w:type="dxa"/>
            <w:vAlign w:val="bottom"/>
            <w:tcBorders>
              <w:top w:val="single" w:sz="8" w:color="CEFFE7"/>
            </w:tcBorders>
          </w:tcPr>
          <w:p>
            <w:pPr>
              <w:spacing w:after="0" w:line="20" w:lineRule="exact"/>
              <w:rPr>
                <w:sz w:val="1"/>
                <w:szCs w:val="1"/>
                <w:color w:val="auto"/>
              </w:rPr>
            </w:pPr>
          </w:p>
        </w:tc>
        <w:tc>
          <w:tcPr>
            <w:tcW w:w="260" w:type="dxa"/>
            <w:vAlign w:val="bottom"/>
            <w:tcBorders>
              <w:top w:val="single" w:sz="8" w:color="CEFFE7"/>
              <w:bottom w:val="single" w:sz="8" w:color="auto"/>
            </w:tcBorders>
          </w:tcPr>
          <w:p>
            <w:pPr>
              <w:spacing w:after="0" w:line="20" w:lineRule="exact"/>
              <w:rPr>
                <w:sz w:val="1"/>
                <w:szCs w:val="1"/>
                <w:color w:val="auto"/>
              </w:rPr>
            </w:pPr>
          </w:p>
        </w:tc>
        <w:tc>
          <w:tcPr>
            <w:tcW w:w="900" w:type="dxa"/>
            <w:vAlign w:val="bottom"/>
            <w:tcBorders>
              <w:top w:val="single" w:sz="8" w:color="CEFFE7"/>
              <w:bottom w:val="single" w:sz="8" w:color="auto"/>
            </w:tcBorders>
          </w:tcPr>
          <w:p>
            <w:pPr>
              <w:spacing w:after="0" w:line="20" w:lineRule="exact"/>
              <w:rPr>
                <w:sz w:val="1"/>
                <w:szCs w:val="1"/>
                <w:color w:val="auto"/>
              </w:rPr>
            </w:pPr>
          </w:p>
        </w:tc>
        <w:tc>
          <w:tcPr>
            <w:tcW w:w="420" w:type="dxa"/>
            <w:vAlign w:val="bottom"/>
            <w:tcBorders>
              <w:top w:val="single" w:sz="8" w:color="CEFFE7"/>
              <w:bottom w:val="single" w:sz="8" w:color="auto"/>
            </w:tcBorders>
          </w:tcPr>
          <w:p>
            <w:pPr>
              <w:spacing w:after="0" w:line="20" w:lineRule="exact"/>
              <w:rPr>
                <w:sz w:val="1"/>
                <w:szCs w:val="1"/>
                <w:color w:val="auto"/>
              </w:rPr>
            </w:pPr>
          </w:p>
        </w:tc>
        <w:tc>
          <w:tcPr>
            <w:tcW w:w="820" w:type="dxa"/>
            <w:vAlign w:val="bottom"/>
            <w:tcBorders>
              <w:top w:val="single" w:sz="8" w:color="CEFFE7"/>
              <w:bottom w:val="single" w:sz="8" w:color="auto"/>
            </w:tcBorders>
          </w:tcPr>
          <w:p>
            <w:pPr>
              <w:spacing w:after="0" w:line="20" w:lineRule="exact"/>
              <w:rPr>
                <w:sz w:val="1"/>
                <w:szCs w:val="1"/>
                <w:color w:val="auto"/>
              </w:rPr>
            </w:pPr>
          </w:p>
        </w:tc>
        <w:tc>
          <w:tcPr>
            <w:tcW w:w="100" w:type="dxa"/>
            <w:vAlign w:val="bottom"/>
            <w:tcBorders>
              <w:top w:val="single" w:sz="8" w:color="CEFFE7"/>
            </w:tcBorders>
          </w:tcPr>
          <w:p>
            <w:pPr>
              <w:spacing w:after="0" w:line="20" w:lineRule="exact"/>
              <w:rPr>
                <w:sz w:val="1"/>
                <w:szCs w:val="1"/>
                <w:color w:val="auto"/>
              </w:rPr>
            </w:pPr>
          </w:p>
        </w:tc>
        <w:tc>
          <w:tcPr>
            <w:tcW w:w="240" w:type="dxa"/>
            <w:vAlign w:val="bottom"/>
            <w:tcBorders>
              <w:top w:val="single" w:sz="8" w:color="CEFFE7"/>
              <w:bottom w:val="single" w:sz="8" w:color="auto"/>
            </w:tcBorders>
          </w:tcPr>
          <w:p>
            <w:pPr>
              <w:spacing w:after="0" w:line="20" w:lineRule="exact"/>
              <w:rPr>
                <w:sz w:val="1"/>
                <w:szCs w:val="1"/>
                <w:color w:val="auto"/>
              </w:rPr>
            </w:pPr>
          </w:p>
        </w:tc>
        <w:tc>
          <w:tcPr>
            <w:tcW w:w="400" w:type="dxa"/>
            <w:vAlign w:val="bottom"/>
            <w:tcBorders>
              <w:top w:val="single" w:sz="8" w:color="CEFFE7"/>
              <w:bottom w:val="single" w:sz="8" w:color="auto"/>
            </w:tcBorders>
          </w:tcPr>
          <w:p>
            <w:pPr>
              <w:spacing w:after="0" w:line="20" w:lineRule="exact"/>
              <w:rPr>
                <w:sz w:val="1"/>
                <w:szCs w:val="1"/>
                <w:color w:val="auto"/>
              </w:rPr>
            </w:pPr>
          </w:p>
        </w:tc>
        <w:tc>
          <w:tcPr>
            <w:tcW w:w="120" w:type="dxa"/>
            <w:vAlign w:val="bottom"/>
            <w:tcBorders>
              <w:top w:val="single" w:sz="8" w:color="CEFFE7"/>
              <w:bottom w:val="single" w:sz="8" w:color="auto"/>
            </w:tcBorders>
          </w:tcPr>
          <w:p>
            <w:pPr>
              <w:spacing w:after="0" w:line="20" w:lineRule="exact"/>
              <w:rPr>
                <w:sz w:val="1"/>
                <w:szCs w:val="1"/>
                <w:color w:val="auto"/>
              </w:rPr>
            </w:pPr>
          </w:p>
        </w:tc>
        <w:tc>
          <w:tcPr>
            <w:tcW w:w="1320" w:type="dxa"/>
            <w:vAlign w:val="bottom"/>
            <w:tcBorders>
              <w:top w:val="single" w:sz="8" w:color="CEFFE7"/>
              <w:bottom w:val="single" w:sz="8" w:color="auto"/>
            </w:tcBorders>
            <w:gridSpan w:val="3"/>
          </w:tcPr>
          <w:p>
            <w:pPr>
              <w:spacing w:after="0" w:line="20" w:lineRule="exact"/>
              <w:rPr>
                <w:sz w:val="1"/>
                <w:szCs w:val="1"/>
                <w:color w:val="auto"/>
              </w:rPr>
            </w:pPr>
          </w:p>
        </w:tc>
        <w:tc>
          <w:tcPr>
            <w:tcW w:w="100" w:type="dxa"/>
            <w:vAlign w:val="bottom"/>
            <w:tcBorders>
              <w:top w:val="single" w:sz="8" w:color="CEFFE7"/>
              <w:bottom w:val="single" w:sz="8" w:color="auto"/>
            </w:tcBorders>
          </w:tcPr>
          <w:p>
            <w:pPr>
              <w:spacing w:after="0" w:line="20" w:lineRule="exact"/>
              <w:rPr>
                <w:sz w:val="1"/>
                <w:szCs w:val="1"/>
                <w:color w:val="auto"/>
              </w:rPr>
            </w:pPr>
          </w:p>
        </w:tc>
        <w:tc>
          <w:tcPr>
            <w:tcW w:w="220" w:type="dxa"/>
            <w:vAlign w:val="bottom"/>
            <w:tcBorders>
              <w:top w:val="single" w:sz="8" w:color="CEFFE7"/>
              <w:bottom w:val="single" w:sz="8" w:color="auto"/>
            </w:tcBorders>
          </w:tcPr>
          <w:p>
            <w:pPr>
              <w:spacing w:after="0" w:line="20" w:lineRule="exact"/>
              <w:rPr>
                <w:sz w:val="1"/>
                <w:szCs w:val="1"/>
                <w:color w:val="auto"/>
              </w:rPr>
            </w:pPr>
          </w:p>
        </w:tc>
        <w:tc>
          <w:tcPr>
            <w:tcW w:w="100" w:type="dxa"/>
            <w:vAlign w:val="bottom"/>
            <w:tcBorders>
              <w:top w:val="single" w:sz="8" w:color="CEFFE7"/>
            </w:tcBorders>
          </w:tcPr>
          <w:p>
            <w:pPr>
              <w:spacing w:after="0" w:line="20" w:lineRule="exact"/>
              <w:rPr>
                <w:sz w:val="1"/>
                <w:szCs w:val="1"/>
                <w:color w:val="auto"/>
              </w:rPr>
            </w:pPr>
          </w:p>
        </w:tc>
        <w:tc>
          <w:tcPr>
            <w:tcW w:w="1000" w:type="dxa"/>
            <w:vAlign w:val="bottom"/>
            <w:tcBorders>
              <w:top w:val="single" w:sz="8" w:color="CEFFE7"/>
              <w:bottom w:val="single" w:sz="8" w:color="auto"/>
            </w:tcBorders>
          </w:tcPr>
          <w:p>
            <w:pPr>
              <w:spacing w:after="0" w:line="20" w:lineRule="exact"/>
              <w:rPr>
                <w:sz w:val="1"/>
                <w:szCs w:val="1"/>
                <w:color w:val="auto"/>
              </w:rPr>
            </w:pPr>
          </w:p>
        </w:tc>
        <w:tc>
          <w:tcPr>
            <w:tcW w:w="120" w:type="dxa"/>
            <w:vAlign w:val="bottom"/>
            <w:tcBorders>
              <w:top w:val="single" w:sz="8" w:color="CEFFE7"/>
              <w:bottom w:val="single" w:sz="8" w:color="auto"/>
            </w:tcBorders>
          </w:tcPr>
          <w:p>
            <w:pPr>
              <w:spacing w:after="0" w:line="20" w:lineRule="exact"/>
              <w:rPr>
                <w:sz w:val="1"/>
                <w:szCs w:val="1"/>
                <w:color w:val="auto"/>
              </w:rPr>
            </w:pPr>
          </w:p>
        </w:tc>
        <w:tc>
          <w:tcPr>
            <w:tcW w:w="160" w:type="dxa"/>
            <w:vAlign w:val="bottom"/>
            <w:tcBorders>
              <w:top w:val="single" w:sz="8" w:color="CEFFE7"/>
              <w:bottom w:val="single" w:sz="8" w:color="auto"/>
            </w:tcBorders>
          </w:tcPr>
          <w:p>
            <w:pPr>
              <w:spacing w:after="0" w:line="20" w:lineRule="exact"/>
              <w:rPr>
                <w:sz w:val="1"/>
                <w:szCs w:val="1"/>
                <w:color w:val="auto"/>
              </w:rPr>
            </w:pPr>
          </w:p>
        </w:tc>
        <w:tc>
          <w:tcPr>
            <w:tcW w:w="1140" w:type="dxa"/>
            <w:vAlign w:val="bottom"/>
            <w:tcBorders>
              <w:top w:val="single" w:sz="8" w:color="CEFFE7"/>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5"/>
        </w:trPr>
        <w:tc>
          <w:tcPr>
            <w:tcW w:w="4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20" w:type="dxa"/>
            <w:vAlign w:val="bottom"/>
            <w:gridSpan w:val="9"/>
          </w:tcPr>
          <w:p>
            <w:pPr>
              <w:jc w:val="right"/>
              <w:ind w:right="500"/>
              <w:spacing w:after="0"/>
              <w:rPr>
                <w:sz w:val="20"/>
                <w:szCs w:val="20"/>
                <w:color w:val="auto"/>
              </w:rPr>
            </w:pPr>
            <w:r>
              <w:rPr>
                <w:rFonts w:ascii="Arial" w:cs="Arial" w:eastAsia="Arial" w:hAnsi="Arial"/>
                <w:sz w:val="16"/>
                <w:szCs w:val="16"/>
                <w:color w:val="auto"/>
              </w:rPr>
              <w:t>Three Months Ended March 31,</w:t>
            </w: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40" w:type="dxa"/>
            <w:vAlign w:val="bottom"/>
            <w:tcBorders>
              <w:bottom w:val="single" w:sz="8" w:color="auto"/>
            </w:tcBorders>
          </w:tcPr>
          <w:p>
            <w:pPr>
              <w:spacing w:after="0"/>
              <w:rPr>
                <w:sz w:val="19"/>
                <w:szCs w:val="19"/>
                <w:color w:val="auto"/>
              </w:rPr>
            </w:pPr>
          </w:p>
        </w:tc>
        <w:tc>
          <w:tcPr>
            <w:tcW w:w="37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3"/>
          </w:tcPr>
          <w:p>
            <w:pPr>
              <w:jc w:val="right"/>
              <w:ind w:right="199"/>
              <w:spacing w:after="0"/>
              <w:rPr>
                <w:sz w:val="20"/>
                <w:szCs w:val="20"/>
                <w:color w:val="auto"/>
              </w:rPr>
            </w:pPr>
            <w:r>
              <w:rPr>
                <w:rFonts w:ascii="Arial" w:cs="Arial" w:eastAsia="Arial" w:hAnsi="Arial"/>
                <w:sz w:val="16"/>
                <w:szCs w:val="16"/>
                <w:color w:val="auto"/>
              </w:rPr>
              <w:t>2021</w:t>
            </w:r>
          </w:p>
        </w:tc>
        <w:tc>
          <w:tcPr>
            <w:tcW w:w="4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3"/>
          </w:tcPr>
          <w:p>
            <w:pPr>
              <w:ind w:left="880"/>
              <w:spacing w:after="0"/>
              <w:rPr>
                <w:sz w:val="20"/>
                <w:szCs w:val="20"/>
                <w:color w:val="auto"/>
              </w:rPr>
            </w:pPr>
            <w:r>
              <w:rPr>
                <w:rFonts w:ascii="Arial" w:cs="Arial" w:eastAsia="Arial" w:hAnsi="Arial"/>
                <w:sz w:val="16"/>
                <w:szCs w:val="16"/>
                <w:color w:val="auto"/>
              </w:rPr>
              <w:t>2020</w:t>
            </w:r>
          </w:p>
        </w:tc>
        <w:tc>
          <w:tcPr>
            <w:tcW w:w="11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4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40" w:type="dxa"/>
            <w:vAlign w:val="bottom"/>
            <w:gridSpan w:val="6"/>
          </w:tcPr>
          <w:p>
            <w:pPr>
              <w:jc w:val="center"/>
              <w:ind w:right="420"/>
              <w:spacing w:after="0" w:line="174" w:lineRule="exact"/>
              <w:rPr>
                <w:sz w:val="20"/>
                <w:szCs w:val="20"/>
                <w:color w:val="auto"/>
              </w:rPr>
            </w:pPr>
            <w:r>
              <w:rPr>
                <w:rFonts w:ascii="Arial" w:cs="Arial" w:eastAsia="Arial" w:hAnsi="Arial"/>
                <w:sz w:val="16"/>
                <w:szCs w:val="16"/>
                <w:color w:val="auto"/>
              </w:rPr>
              <w:t>Variance</w:t>
            </w: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jc w:val="right"/>
              <w:ind w:right="239"/>
              <w:spacing w:after="0" w:line="174" w:lineRule="exact"/>
              <w:rPr>
                <w:sz w:val="20"/>
                <w:szCs w:val="20"/>
                <w:color w:val="auto"/>
              </w:rPr>
            </w:pPr>
            <w:r>
              <w:rPr>
                <w:rFonts w:ascii="Arial" w:cs="Arial" w:eastAsia="Arial" w:hAnsi="Arial"/>
                <w:sz w:val="16"/>
                <w:szCs w:val="16"/>
                <w:color w:val="auto"/>
              </w:rPr>
              <w:t>Variance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3800" w:type="dxa"/>
            <w:vAlign w:val="bottom"/>
            <w:gridSpan w:val="2"/>
          </w:tcPr>
          <w:p>
            <w:pPr>
              <w:ind w:left="20"/>
              <w:spacing w:after="0"/>
              <w:rPr>
                <w:sz w:val="20"/>
                <w:szCs w:val="20"/>
                <w:color w:val="auto"/>
              </w:rPr>
            </w:pPr>
            <w:r>
              <w:rPr>
                <w:rFonts w:ascii="Arial" w:cs="Arial" w:eastAsia="Arial" w:hAnsi="Arial"/>
                <w:sz w:val="16"/>
                <w:szCs w:val="16"/>
                <w:color w:val="auto"/>
              </w:rPr>
              <w:t>Heating Degree Days:</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60" w:type="dxa"/>
            <w:vAlign w:val="bottom"/>
            <w:gridSpan w:val="3"/>
          </w:tcPr>
          <w:p>
            <w:pPr>
              <w:ind w:left="680"/>
              <w:spacing w:after="0"/>
              <w:rPr>
                <w:sz w:val="20"/>
                <w:szCs w:val="20"/>
                <w:color w:val="auto"/>
              </w:rPr>
            </w:pPr>
            <w:r>
              <w:rPr>
                <w:rFonts w:ascii="Arial" w:cs="Arial" w:eastAsia="Arial" w:hAnsi="Arial"/>
                <w:sz w:val="16"/>
                <w:szCs w:val="16"/>
                <w:color w:val="auto"/>
              </w:rPr>
              <w:t>Actual</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gridSpan w:val="6"/>
          </w:tcPr>
          <w:p>
            <w:pPr>
              <w:jc w:val="center"/>
              <w:ind w:right="420"/>
              <w:spacing w:after="0"/>
              <w:rPr>
                <w:sz w:val="20"/>
                <w:szCs w:val="20"/>
                <w:color w:val="auto"/>
              </w:rPr>
            </w:pPr>
            <w:r>
              <w:rPr>
                <w:rFonts w:ascii="Arial" w:cs="Arial" w:eastAsia="Arial" w:hAnsi="Arial"/>
                <w:sz w:val="16"/>
                <w:szCs w:val="16"/>
                <w:color w:val="auto"/>
                <w:w w:val="99"/>
              </w:rPr>
              <w:t>from Normal</w:t>
            </w:r>
          </w:p>
        </w:tc>
        <w:tc>
          <w:tcPr>
            <w:tcW w:w="1280" w:type="dxa"/>
            <w:vAlign w:val="bottom"/>
            <w:gridSpan w:val="3"/>
          </w:tcPr>
          <w:p>
            <w:pPr>
              <w:ind w:left="120"/>
              <w:spacing w:after="0"/>
              <w:rPr>
                <w:sz w:val="20"/>
                <w:szCs w:val="20"/>
                <w:color w:val="auto"/>
              </w:rPr>
            </w:pPr>
            <w:r>
              <w:rPr>
                <w:rFonts w:ascii="Arial" w:cs="Arial" w:eastAsia="Arial" w:hAnsi="Arial"/>
                <w:sz w:val="16"/>
                <w:szCs w:val="16"/>
                <w:color w:val="auto"/>
              </w:rPr>
              <w:t>Actual</w:t>
            </w: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from Normal</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0" w:type="dxa"/>
            <w:vAlign w:val="bottom"/>
            <w:tcBorders>
              <w:top w:val="single" w:sz="8" w:color="auto"/>
            </w:tcBorders>
            <w:shd w:val="clear" w:color="auto" w:fill="CEFFE7"/>
          </w:tcPr>
          <w:p>
            <w:pPr>
              <w:spacing w:after="0"/>
              <w:rPr>
                <w:sz w:val="18"/>
                <w:szCs w:val="18"/>
                <w:color w:val="auto"/>
              </w:rPr>
            </w:pPr>
          </w:p>
        </w:tc>
        <w:tc>
          <w:tcPr>
            <w:tcW w:w="3760" w:type="dxa"/>
            <w:vAlign w:val="bottom"/>
            <w:tcBorders>
              <w:top w:val="single" w:sz="8" w:color="auto"/>
            </w:tcBorders>
            <w:shd w:val="clear" w:color="auto" w:fill="CEFFE7"/>
          </w:tcPr>
          <w:p>
            <w:pPr>
              <w:ind w:left="100"/>
              <w:spacing w:after="0" w:line="213" w:lineRule="exact"/>
              <w:rPr>
                <w:sz w:val="20"/>
                <w:szCs w:val="20"/>
                <w:color w:val="auto"/>
              </w:rPr>
            </w:pPr>
            <w:r>
              <w:rPr>
                <w:rFonts w:ascii="Arial" w:cs="Arial" w:eastAsia="Arial" w:hAnsi="Arial"/>
                <w:sz w:val="16"/>
                <w:szCs w:val="16"/>
                <w:color w:val="auto"/>
              </w:rPr>
              <w:t xml:space="preserve">Arkansas Gas </w:t>
            </w:r>
            <w:r>
              <w:rPr>
                <w:rFonts w:ascii="Arial" w:cs="Arial" w:eastAsia="Arial" w:hAnsi="Arial"/>
                <w:sz w:val="21"/>
                <w:szCs w:val="21"/>
                <w:color w:val="auto"/>
                <w:vertAlign w:val="superscript"/>
              </w:rPr>
              <w:t>(a)</w:t>
            </w:r>
          </w:p>
        </w:tc>
        <w:tc>
          <w:tcPr>
            <w:tcW w:w="260" w:type="dxa"/>
            <w:vAlign w:val="bottom"/>
            <w:tcBorders>
              <w:top w:val="single" w:sz="8" w:color="auto"/>
            </w:tcBorders>
            <w:shd w:val="clear" w:color="auto" w:fill="CEFFE7"/>
          </w:tcPr>
          <w:p>
            <w:pPr>
              <w:spacing w:after="0"/>
              <w:rPr>
                <w:sz w:val="18"/>
                <w:szCs w:val="18"/>
                <w:color w:val="auto"/>
              </w:rPr>
            </w:pPr>
          </w:p>
        </w:tc>
        <w:tc>
          <w:tcPr>
            <w:tcW w:w="900" w:type="dxa"/>
            <w:vAlign w:val="bottom"/>
            <w:tcBorders>
              <w:top w:val="single" w:sz="8" w:color="auto"/>
            </w:tcBorders>
            <w:shd w:val="clear" w:color="auto" w:fill="CEFFE7"/>
          </w:tcPr>
          <w:p>
            <w:pPr>
              <w:spacing w:after="0"/>
              <w:rPr>
                <w:sz w:val="18"/>
                <w:szCs w:val="18"/>
                <w:color w:val="auto"/>
              </w:rPr>
            </w:pPr>
          </w:p>
        </w:tc>
        <w:tc>
          <w:tcPr>
            <w:tcW w:w="420" w:type="dxa"/>
            <w:vAlign w:val="bottom"/>
            <w:tcBorders>
              <w:top w:val="single" w:sz="8" w:color="auto"/>
            </w:tcBorders>
            <w:shd w:val="clear" w:color="auto" w:fill="CEFFE7"/>
          </w:tcPr>
          <w:p>
            <w:pPr>
              <w:spacing w:after="0"/>
              <w:rPr>
                <w:sz w:val="18"/>
                <w:szCs w:val="18"/>
                <w:color w:val="auto"/>
              </w:rPr>
            </w:pPr>
          </w:p>
        </w:tc>
        <w:tc>
          <w:tcPr>
            <w:tcW w:w="1160" w:type="dxa"/>
            <w:vAlign w:val="bottom"/>
            <w:tcBorders>
              <w:top w:val="single" w:sz="8" w:color="auto"/>
            </w:tcBorders>
            <w:gridSpan w:val="3"/>
            <w:shd w:val="clear" w:color="auto" w:fill="CEFFE7"/>
          </w:tcPr>
          <w:p>
            <w:pPr>
              <w:ind w:left="700"/>
              <w:spacing w:after="0"/>
              <w:rPr>
                <w:sz w:val="20"/>
                <w:szCs w:val="20"/>
                <w:color w:val="auto"/>
              </w:rPr>
            </w:pPr>
            <w:r>
              <w:rPr>
                <w:rFonts w:ascii="Arial" w:cs="Arial" w:eastAsia="Arial" w:hAnsi="Arial"/>
                <w:sz w:val="16"/>
                <w:szCs w:val="16"/>
                <w:color w:val="auto"/>
              </w:rPr>
              <w:t>2,121</w:t>
            </w:r>
          </w:p>
        </w:tc>
        <w:tc>
          <w:tcPr>
            <w:tcW w:w="400" w:type="dxa"/>
            <w:vAlign w:val="bottom"/>
            <w:tcBorders>
              <w:top w:val="single" w:sz="8" w:color="auto"/>
            </w:tcBorders>
            <w:shd w:val="clear" w:color="auto" w:fill="CEFFE7"/>
          </w:tcPr>
          <w:p>
            <w:pPr>
              <w:spacing w:after="0"/>
              <w:rPr>
                <w:sz w:val="18"/>
                <w:szCs w:val="18"/>
                <w:color w:val="auto"/>
              </w:rPr>
            </w:pPr>
          </w:p>
        </w:tc>
        <w:tc>
          <w:tcPr>
            <w:tcW w:w="120" w:type="dxa"/>
            <w:vAlign w:val="bottom"/>
            <w:tcBorders>
              <w:top w:val="single" w:sz="8" w:color="CEFFE7"/>
            </w:tcBorders>
            <w:shd w:val="clear" w:color="auto" w:fill="CEFFE7"/>
          </w:tcPr>
          <w:p>
            <w:pPr>
              <w:spacing w:after="0"/>
              <w:rPr>
                <w:sz w:val="18"/>
                <w:szCs w:val="18"/>
                <w:color w:val="auto"/>
              </w:rPr>
            </w:pPr>
          </w:p>
        </w:tc>
        <w:tc>
          <w:tcPr>
            <w:tcW w:w="400" w:type="dxa"/>
            <w:vAlign w:val="bottom"/>
            <w:tcBorders>
              <w:top w:val="single" w:sz="8" w:color="auto"/>
            </w:tcBorders>
            <w:shd w:val="clear" w:color="auto" w:fill="CEFFE7"/>
          </w:tcPr>
          <w:p>
            <w:pPr>
              <w:spacing w:after="0"/>
              <w:rPr>
                <w:sz w:val="18"/>
                <w:szCs w:val="18"/>
                <w:color w:val="auto"/>
              </w:rPr>
            </w:pPr>
          </w:p>
        </w:tc>
        <w:tc>
          <w:tcPr>
            <w:tcW w:w="420" w:type="dxa"/>
            <w:vAlign w:val="bottom"/>
            <w:tcBorders>
              <w:top w:val="single" w:sz="8" w:color="auto"/>
            </w:tcBorders>
            <w:shd w:val="clear" w:color="auto" w:fill="CEFFE7"/>
          </w:tcPr>
          <w:p>
            <w:pPr>
              <w:jc w:val="center"/>
              <w:ind w:left="19"/>
              <w:spacing w:after="0"/>
              <w:rPr>
                <w:sz w:val="20"/>
                <w:szCs w:val="20"/>
                <w:color w:val="auto"/>
              </w:rPr>
            </w:pPr>
            <w:r>
              <w:rPr>
                <w:rFonts w:ascii="Arial" w:cs="Arial" w:eastAsia="Arial" w:hAnsi="Arial"/>
                <w:sz w:val="16"/>
                <w:szCs w:val="16"/>
                <w:color w:val="auto"/>
              </w:rPr>
              <w:t>1%</w:t>
            </w:r>
          </w:p>
        </w:tc>
        <w:tc>
          <w:tcPr>
            <w:tcW w:w="500" w:type="dxa"/>
            <w:vAlign w:val="bottom"/>
            <w:tcBorders>
              <w:top w:val="single" w:sz="8" w:color="auto"/>
            </w:tcBorders>
            <w:shd w:val="clear" w:color="auto" w:fill="CEFFE7"/>
          </w:tcPr>
          <w:p>
            <w:pPr>
              <w:spacing w:after="0"/>
              <w:rPr>
                <w:sz w:val="18"/>
                <w:szCs w:val="18"/>
                <w:color w:val="auto"/>
              </w:rPr>
            </w:pPr>
          </w:p>
        </w:tc>
        <w:tc>
          <w:tcPr>
            <w:tcW w:w="100" w:type="dxa"/>
            <w:vAlign w:val="bottom"/>
            <w:tcBorders>
              <w:top w:val="single" w:sz="8" w:color="CEFFE7"/>
            </w:tcBorders>
            <w:shd w:val="clear" w:color="auto" w:fill="CEFFE7"/>
          </w:tcPr>
          <w:p>
            <w:pPr>
              <w:spacing w:after="0"/>
              <w:rPr>
                <w:sz w:val="18"/>
                <w:szCs w:val="18"/>
                <w:color w:val="auto"/>
              </w:rPr>
            </w:pPr>
          </w:p>
        </w:tc>
        <w:tc>
          <w:tcPr>
            <w:tcW w:w="220" w:type="dxa"/>
            <w:vAlign w:val="bottom"/>
            <w:tcBorders>
              <w:top w:val="single" w:sz="8" w:color="auto"/>
            </w:tcBorders>
            <w:shd w:val="clear" w:color="auto" w:fill="CEFFE7"/>
          </w:tcPr>
          <w:p>
            <w:pPr>
              <w:spacing w:after="0"/>
              <w:rPr>
                <w:sz w:val="18"/>
                <w:szCs w:val="18"/>
                <w:color w:val="auto"/>
              </w:rPr>
            </w:pPr>
          </w:p>
        </w:tc>
        <w:tc>
          <w:tcPr>
            <w:tcW w:w="100" w:type="dxa"/>
            <w:vAlign w:val="bottom"/>
            <w:tcBorders>
              <w:top w:val="single" w:sz="8" w:color="auto"/>
            </w:tcBorders>
            <w:shd w:val="clear" w:color="auto" w:fill="CEFFE7"/>
          </w:tcPr>
          <w:p>
            <w:pPr>
              <w:spacing w:after="0"/>
              <w:rPr>
                <w:sz w:val="18"/>
                <w:szCs w:val="18"/>
                <w:color w:val="auto"/>
              </w:rPr>
            </w:pPr>
          </w:p>
        </w:tc>
        <w:tc>
          <w:tcPr>
            <w:tcW w:w="1000" w:type="dxa"/>
            <w:vAlign w:val="bottom"/>
            <w:tcBorders>
              <w:top w:val="single" w:sz="8" w:color="auto"/>
            </w:tcBorders>
            <w:shd w:val="clear" w:color="auto" w:fill="CEFFE7"/>
          </w:tcPr>
          <w:p>
            <w:pPr>
              <w:ind w:left="140"/>
              <w:spacing w:after="0"/>
              <w:rPr>
                <w:sz w:val="20"/>
                <w:szCs w:val="20"/>
                <w:color w:val="auto"/>
              </w:rPr>
            </w:pPr>
            <w:r>
              <w:rPr>
                <w:rFonts w:ascii="Arial" w:cs="Arial" w:eastAsia="Arial" w:hAnsi="Arial"/>
                <w:sz w:val="16"/>
                <w:szCs w:val="16"/>
                <w:color w:val="auto"/>
              </w:rPr>
              <w:t>1,659</w:t>
            </w:r>
          </w:p>
        </w:tc>
        <w:tc>
          <w:tcPr>
            <w:tcW w:w="120" w:type="dxa"/>
            <w:vAlign w:val="bottom"/>
            <w:tcBorders>
              <w:top w:val="single" w:sz="8" w:color="CEFFE7"/>
            </w:tcBorders>
            <w:shd w:val="clear" w:color="auto" w:fill="CEFFE7"/>
          </w:tcPr>
          <w:p>
            <w:pPr>
              <w:spacing w:after="0"/>
              <w:rPr>
                <w:sz w:val="18"/>
                <w:szCs w:val="18"/>
                <w:color w:val="auto"/>
              </w:rPr>
            </w:pPr>
          </w:p>
        </w:tc>
        <w:tc>
          <w:tcPr>
            <w:tcW w:w="160" w:type="dxa"/>
            <w:vAlign w:val="bottom"/>
            <w:tcBorders>
              <w:top w:val="single" w:sz="8" w:color="auto"/>
            </w:tcBorders>
            <w:shd w:val="clear" w:color="auto" w:fill="CEFFE7"/>
          </w:tcPr>
          <w:p>
            <w:pPr>
              <w:spacing w:after="0"/>
              <w:rPr>
                <w:sz w:val="18"/>
                <w:szCs w:val="18"/>
                <w:color w:val="auto"/>
              </w:rPr>
            </w:pPr>
          </w:p>
        </w:tc>
        <w:tc>
          <w:tcPr>
            <w:tcW w:w="1140" w:type="dxa"/>
            <w:vAlign w:val="bottom"/>
            <w:tcBorders>
              <w:top w:val="single" w:sz="8" w:color="auto"/>
            </w:tcBorders>
            <w:shd w:val="clear" w:color="auto" w:fill="CEFFE7"/>
          </w:tcPr>
          <w:p>
            <w:pPr>
              <w:jc w:val="center"/>
              <w:ind w:right="59"/>
              <w:spacing w:after="0"/>
              <w:rPr>
                <w:sz w:val="20"/>
                <w:szCs w:val="20"/>
                <w:color w:val="auto"/>
              </w:rPr>
            </w:pPr>
            <w:r>
              <w:rPr>
                <w:rFonts w:ascii="Arial" w:cs="Arial" w:eastAsia="Arial" w:hAnsi="Arial"/>
                <w:sz w:val="16"/>
                <w:szCs w:val="16"/>
                <w:color w:val="auto"/>
              </w:rPr>
              <w:t>(21)%</w:t>
            </w:r>
          </w:p>
        </w:tc>
        <w:tc>
          <w:tcPr>
            <w:tcW w:w="20" w:type="dxa"/>
            <w:vAlign w:val="bottom"/>
            <w:tcBorders>
              <w:top w:val="single" w:sz="8" w:color="auto"/>
            </w:tcBorders>
            <w:shd w:val="clear" w:color="auto" w:fill="CEFFE7"/>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3760" w:type="dxa"/>
            <w:vAlign w:val="bottom"/>
          </w:tcPr>
          <w:p>
            <w:pPr>
              <w:ind w:left="100"/>
              <w:spacing w:after="0"/>
              <w:rPr>
                <w:sz w:val="20"/>
                <w:szCs w:val="20"/>
                <w:color w:val="auto"/>
              </w:rPr>
            </w:pPr>
            <w:r>
              <w:rPr>
                <w:rFonts w:ascii="Arial" w:cs="Arial" w:eastAsia="Arial" w:hAnsi="Arial"/>
                <w:sz w:val="16"/>
                <w:szCs w:val="16"/>
                <w:color w:val="auto"/>
              </w:rPr>
              <w:t>Colorado Gas</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3"/>
          </w:tcPr>
          <w:p>
            <w:pPr>
              <w:ind w:left="700"/>
              <w:spacing w:after="0"/>
              <w:rPr>
                <w:sz w:val="20"/>
                <w:szCs w:val="20"/>
                <w:color w:val="auto"/>
              </w:rPr>
            </w:pPr>
            <w:r>
              <w:rPr>
                <w:rFonts w:ascii="Arial" w:cs="Arial" w:eastAsia="Arial" w:hAnsi="Arial"/>
                <w:sz w:val="16"/>
                <w:szCs w:val="16"/>
                <w:color w:val="auto"/>
              </w:rPr>
              <w:t>2,965</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jc w:val="center"/>
              <w:ind w:left="19"/>
              <w:spacing w:after="0"/>
              <w:rPr>
                <w:sz w:val="20"/>
                <w:szCs w:val="20"/>
                <w:color w:val="auto"/>
              </w:rPr>
            </w:pPr>
            <w:r>
              <w:rPr>
                <w:rFonts w:ascii="Arial" w:cs="Arial" w:eastAsia="Arial" w:hAnsi="Arial"/>
                <w:sz w:val="16"/>
                <w:szCs w:val="16"/>
                <w:color w:val="auto"/>
              </w:rPr>
              <w:t>1%</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ind w:left="140"/>
              <w:spacing w:after="0"/>
              <w:rPr>
                <w:sz w:val="20"/>
                <w:szCs w:val="20"/>
                <w:color w:val="auto"/>
              </w:rPr>
            </w:pPr>
            <w:r>
              <w:rPr>
                <w:rFonts w:ascii="Arial" w:cs="Arial" w:eastAsia="Arial" w:hAnsi="Arial"/>
                <w:sz w:val="16"/>
                <w:szCs w:val="16"/>
                <w:color w:val="auto"/>
              </w:rPr>
              <w:t>2,829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center"/>
              <w:ind w:right="79"/>
              <w:spacing w:after="0"/>
              <w:rPr>
                <w:sz w:val="20"/>
                <w:szCs w:val="20"/>
                <w:color w:val="auto"/>
              </w:rPr>
            </w:pPr>
            <w:r>
              <w:rPr>
                <w:rFonts w:ascii="Arial" w:cs="Arial" w:eastAsia="Arial" w:hAnsi="Arial"/>
                <w:sz w:val="16"/>
                <w:szCs w:val="16"/>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 w:type="dxa"/>
            <w:vAlign w:val="bottom"/>
            <w:shd w:val="clear" w:color="auto" w:fill="CEFFE7"/>
          </w:tcPr>
          <w:p>
            <w:pPr>
              <w:spacing w:after="0"/>
              <w:rPr>
                <w:sz w:val="19"/>
                <w:szCs w:val="19"/>
                <w:color w:val="auto"/>
              </w:rPr>
            </w:pPr>
          </w:p>
        </w:tc>
        <w:tc>
          <w:tcPr>
            <w:tcW w:w="3760" w:type="dxa"/>
            <w:vAlign w:val="bottom"/>
            <w:shd w:val="clear" w:color="auto" w:fill="CEFFE7"/>
          </w:tcPr>
          <w:p>
            <w:pPr>
              <w:ind w:left="100"/>
              <w:spacing w:after="0"/>
              <w:rPr>
                <w:sz w:val="20"/>
                <w:szCs w:val="20"/>
                <w:color w:val="auto"/>
              </w:rPr>
            </w:pPr>
            <w:r>
              <w:rPr>
                <w:rFonts w:ascii="Arial" w:cs="Arial" w:eastAsia="Arial" w:hAnsi="Arial"/>
                <w:sz w:val="16"/>
                <w:szCs w:val="16"/>
                <w:color w:val="auto"/>
              </w:rPr>
              <w:t>Iowa Gas</w:t>
            </w:r>
          </w:p>
        </w:tc>
        <w:tc>
          <w:tcPr>
            <w:tcW w:w="260" w:type="dxa"/>
            <w:vAlign w:val="bottom"/>
            <w:shd w:val="clear" w:color="auto" w:fill="CEFFE7"/>
          </w:tcPr>
          <w:p>
            <w:pPr>
              <w:spacing w:after="0"/>
              <w:rPr>
                <w:sz w:val="19"/>
                <w:szCs w:val="19"/>
                <w:color w:val="auto"/>
              </w:rPr>
            </w:pPr>
          </w:p>
        </w:tc>
        <w:tc>
          <w:tcPr>
            <w:tcW w:w="900" w:type="dxa"/>
            <w:vAlign w:val="bottom"/>
            <w:shd w:val="clear" w:color="auto" w:fill="CEFFE7"/>
          </w:tcPr>
          <w:p>
            <w:pPr>
              <w:spacing w:after="0"/>
              <w:rPr>
                <w:sz w:val="19"/>
                <w:szCs w:val="19"/>
                <w:color w:val="auto"/>
              </w:rPr>
            </w:pPr>
          </w:p>
        </w:tc>
        <w:tc>
          <w:tcPr>
            <w:tcW w:w="420" w:type="dxa"/>
            <w:vAlign w:val="bottom"/>
            <w:shd w:val="clear" w:color="auto" w:fill="CEFFE7"/>
          </w:tcPr>
          <w:p>
            <w:pPr>
              <w:spacing w:after="0"/>
              <w:rPr>
                <w:sz w:val="19"/>
                <w:szCs w:val="19"/>
                <w:color w:val="auto"/>
              </w:rPr>
            </w:pPr>
          </w:p>
        </w:tc>
        <w:tc>
          <w:tcPr>
            <w:tcW w:w="1160" w:type="dxa"/>
            <w:vAlign w:val="bottom"/>
            <w:gridSpan w:val="3"/>
            <w:shd w:val="clear" w:color="auto" w:fill="CEFFE7"/>
          </w:tcPr>
          <w:p>
            <w:pPr>
              <w:ind w:left="700"/>
              <w:spacing w:after="0"/>
              <w:rPr>
                <w:sz w:val="20"/>
                <w:szCs w:val="20"/>
                <w:color w:val="auto"/>
              </w:rPr>
            </w:pPr>
            <w:r>
              <w:rPr>
                <w:rFonts w:ascii="Arial" w:cs="Arial" w:eastAsia="Arial" w:hAnsi="Arial"/>
                <w:sz w:val="16"/>
                <w:szCs w:val="16"/>
                <w:color w:val="auto"/>
              </w:rPr>
              <w:t>3,422</w:t>
            </w:r>
          </w:p>
        </w:tc>
        <w:tc>
          <w:tcPr>
            <w:tcW w:w="400" w:type="dxa"/>
            <w:vAlign w:val="bottom"/>
            <w:shd w:val="clear" w:color="auto" w:fill="CEFFE7"/>
          </w:tcPr>
          <w:p>
            <w:pPr>
              <w:spacing w:after="0"/>
              <w:rPr>
                <w:sz w:val="19"/>
                <w:szCs w:val="19"/>
                <w:color w:val="auto"/>
              </w:rPr>
            </w:pPr>
          </w:p>
        </w:tc>
        <w:tc>
          <w:tcPr>
            <w:tcW w:w="120" w:type="dxa"/>
            <w:vAlign w:val="bottom"/>
            <w:shd w:val="clear" w:color="auto" w:fill="CEFFE7"/>
          </w:tcPr>
          <w:p>
            <w:pPr>
              <w:spacing w:after="0"/>
              <w:rPr>
                <w:sz w:val="19"/>
                <w:szCs w:val="19"/>
                <w:color w:val="auto"/>
              </w:rPr>
            </w:pPr>
          </w:p>
        </w:tc>
        <w:tc>
          <w:tcPr>
            <w:tcW w:w="400" w:type="dxa"/>
            <w:vAlign w:val="bottom"/>
            <w:shd w:val="clear" w:color="auto" w:fill="CEFFE7"/>
          </w:tcPr>
          <w:p>
            <w:pPr>
              <w:spacing w:after="0"/>
              <w:rPr>
                <w:sz w:val="19"/>
                <w:szCs w:val="19"/>
                <w:color w:val="auto"/>
              </w:rPr>
            </w:pPr>
          </w:p>
        </w:tc>
        <w:tc>
          <w:tcPr>
            <w:tcW w:w="420" w:type="dxa"/>
            <w:vAlign w:val="bottom"/>
            <w:shd w:val="clear" w:color="auto" w:fill="CEFFE7"/>
          </w:tcPr>
          <w:p>
            <w:pPr>
              <w:jc w:val="center"/>
              <w:ind w:left="19"/>
              <w:spacing w:after="0"/>
              <w:rPr>
                <w:sz w:val="20"/>
                <w:szCs w:val="20"/>
                <w:color w:val="auto"/>
              </w:rPr>
            </w:pPr>
            <w:r>
              <w:rPr>
                <w:rFonts w:ascii="Arial" w:cs="Arial" w:eastAsia="Arial" w:hAnsi="Arial"/>
                <w:sz w:val="16"/>
                <w:szCs w:val="16"/>
                <w:color w:val="auto"/>
              </w:rPr>
              <w:t>1%</w:t>
            </w:r>
          </w:p>
        </w:tc>
        <w:tc>
          <w:tcPr>
            <w:tcW w:w="500" w:type="dxa"/>
            <w:vAlign w:val="bottom"/>
            <w:shd w:val="clear" w:color="auto" w:fill="CEFFE7"/>
          </w:tcPr>
          <w:p>
            <w:pPr>
              <w:spacing w:after="0"/>
              <w:rPr>
                <w:sz w:val="19"/>
                <w:szCs w:val="19"/>
                <w:color w:val="auto"/>
              </w:rPr>
            </w:pPr>
          </w:p>
        </w:tc>
        <w:tc>
          <w:tcPr>
            <w:tcW w:w="100" w:type="dxa"/>
            <w:vAlign w:val="bottom"/>
            <w:shd w:val="clear" w:color="auto" w:fill="CEFFE7"/>
          </w:tcPr>
          <w:p>
            <w:pPr>
              <w:spacing w:after="0"/>
              <w:rPr>
                <w:sz w:val="19"/>
                <w:szCs w:val="19"/>
                <w:color w:val="auto"/>
              </w:rPr>
            </w:pPr>
          </w:p>
        </w:tc>
        <w:tc>
          <w:tcPr>
            <w:tcW w:w="220" w:type="dxa"/>
            <w:vAlign w:val="bottom"/>
            <w:shd w:val="clear" w:color="auto" w:fill="CEFFE7"/>
          </w:tcPr>
          <w:p>
            <w:pPr>
              <w:spacing w:after="0"/>
              <w:rPr>
                <w:sz w:val="19"/>
                <w:szCs w:val="19"/>
                <w:color w:val="auto"/>
              </w:rPr>
            </w:pPr>
          </w:p>
        </w:tc>
        <w:tc>
          <w:tcPr>
            <w:tcW w:w="100" w:type="dxa"/>
            <w:vAlign w:val="bottom"/>
            <w:shd w:val="clear" w:color="auto" w:fill="CEFFE7"/>
          </w:tcPr>
          <w:p>
            <w:pPr>
              <w:spacing w:after="0"/>
              <w:rPr>
                <w:sz w:val="19"/>
                <w:szCs w:val="19"/>
                <w:color w:val="auto"/>
              </w:rPr>
            </w:pPr>
          </w:p>
        </w:tc>
        <w:tc>
          <w:tcPr>
            <w:tcW w:w="1000" w:type="dxa"/>
            <w:vAlign w:val="bottom"/>
            <w:shd w:val="clear" w:color="auto" w:fill="CEFFE7"/>
          </w:tcPr>
          <w:p>
            <w:pPr>
              <w:ind w:left="140"/>
              <w:spacing w:after="0"/>
              <w:rPr>
                <w:sz w:val="20"/>
                <w:szCs w:val="20"/>
                <w:color w:val="auto"/>
              </w:rPr>
            </w:pPr>
            <w:r>
              <w:rPr>
                <w:rFonts w:ascii="Arial" w:cs="Arial" w:eastAsia="Arial" w:hAnsi="Arial"/>
                <w:sz w:val="16"/>
                <w:szCs w:val="16"/>
                <w:color w:val="auto"/>
              </w:rPr>
              <w:t>3,181</w:t>
            </w:r>
          </w:p>
        </w:tc>
        <w:tc>
          <w:tcPr>
            <w:tcW w:w="120" w:type="dxa"/>
            <w:vAlign w:val="bottom"/>
            <w:shd w:val="clear" w:color="auto" w:fill="CEFFE7"/>
          </w:tcPr>
          <w:p>
            <w:pPr>
              <w:spacing w:after="0"/>
              <w:rPr>
                <w:sz w:val="19"/>
                <w:szCs w:val="19"/>
                <w:color w:val="auto"/>
              </w:rPr>
            </w:pPr>
          </w:p>
        </w:tc>
        <w:tc>
          <w:tcPr>
            <w:tcW w:w="160" w:type="dxa"/>
            <w:vAlign w:val="bottom"/>
            <w:shd w:val="clear" w:color="auto" w:fill="CEFFE7"/>
          </w:tcPr>
          <w:p>
            <w:pPr>
              <w:spacing w:after="0"/>
              <w:rPr>
                <w:sz w:val="19"/>
                <w:szCs w:val="19"/>
                <w:color w:val="auto"/>
              </w:rPr>
            </w:pPr>
          </w:p>
        </w:tc>
        <w:tc>
          <w:tcPr>
            <w:tcW w:w="1140" w:type="dxa"/>
            <w:vAlign w:val="bottom"/>
            <w:shd w:val="clear" w:color="auto" w:fill="CEFFE7"/>
          </w:tcPr>
          <w:p>
            <w:pPr>
              <w:jc w:val="center"/>
              <w:ind w:right="79"/>
              <w:spacing w:after="0"/>
              <w:rPr>
                <w:sz w:val="20"/>
                <w:szCs w:val="20"/>
                <w:color w:val="auto"/>
              </w:rPr>
            </w:pPr>
            <w:r>
              <w:rPr>
                <w:rFonts w:ascii="Arial" w:cs="Arial" w:eastAsia="Arial" w:hAnsi="Arial"/>
                <w:sz w:val="16"/>
                <w:szCs w:val="16"/>
                <w:color w:val="auto"/>
              </w:rPr>
              <w:t>(6)%</w:t>
            </w:r>
          </w:p>
        </w:tc>
        <w:tc>
          <w:tcPr>
            <w:tcW w:w="20" w:type="dxa"/>
            <w:vAlign w:val="bottom"/>
            <w:shd w:val="clear" w:color="auto" w:fill="CEFFE7"/>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3760" w:type="dxa"/>
            <w:vAlign w:val="bottom"/>
          </w:tcPr>
          <w:p>
            <w:pPr>
              <w:ind w:left="100"/>
              <w:spacing w:after="0" w:line="216" w:lineRule="exact"/>
              <w:rPr>
                <w:sz w:val="20"/>
                <w:szCs w:val="20"/>
                <w:color w:val="auto"/>
              </w:rPr>
            </w:pPr>
            <w:r>
              <w:rPr>
                <w:rFonts w:ascii="Arial" w:cs="Arial" w:eastAsia="Arial" w:hAnsi="Arial"/>
                <w:sz w:val="16"/>
                <w:szCs w:val="16"/>
                <w:color w:val="auto"/>
              </w:rPr>
              <w:t xml:space="preserve">Kansas Gas </w:t>
            </w:r>
            <w:r>
              <w:rPr>
                <w:rFonts w:ascii="Arial" w:cs="Arial" w:eastAsia="Arial" w:hAnsi="Arial"/>
                <w:sz w:val="21"/>
                <w:szCs w:val="21"/>
                <w:color w:val="auto"/>
                <w:vertAlign w:val="superscript"/>
              </w:rPr>
              <w:t>(a)</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3"/>
          </w:tcPr>
          <w:p>
            <w:pPr>
              <w:ind w:left="700"/>
              <w:spacing w:after="0"/>
              <w:rPr>
                <w:sz w:val="20"/>
                <w:szCs w:val="20"/>
                <w:color w:val="auto"/>
              </w:rPr>
            </w:pPr>
            <w:r>
              <w:rPr>
                <w:rFonts w:ascii="Arial" w:cs="Arial" w:eastAsia="Arial" w:hAnsi="Arial"/>
                <w:sz w:val="16"/>
                <w:szCs w:val="16"/>
                <w:color w:val="auto"/>
              </w:rPr>
              <w:t>2,576</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jc w:val="center"/>
              <w:ind w:left="19"/>
              <w:spacing w:after="0"/>
              <w:rPr>
                <w:sz w:val="20"/>
                <w:szCs w:val="20"/>
                <w:color w:val="auto"/>
              </w:rPr>
            </w:pPr>
            <w:r>
              <w:rPr>
                <w:rFonts w:ascii="Arial" w:cs="Arial" w:eastAsia="Arial" w:hAnsi="Arial"/>
                <w:sz w:val="16"/>
                <w:szCs w:val="16"/>
                <w:color w:val="auto"/>
              </w:rPr>
              <w:t>5%</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ind w:left="140"/>
              <w:spacing w:after="0"/>
              <w:rPr>
                <w:sz w:val="20"/>
                <w:szCs w:val="20"/>
                <w:color w:val="auto"/>
              </w:rPr>
            </w:pPr>
            <w:r>
              <w:rPr>
                <w:rFonts w:ascii="Arial" w:cs="Arial" w:eastAsia="Arial" w:hAnsi="Arial"/>
                <w:sz w:val="16"/>
                <w:szCs w:val="16"/>
                <w:color w:val="auto"/>
              </w:rPr>
              <w:t>2,304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center"/>
              <w:ind w:right="79"/>
              <w:spacing w:after="0"/>
              <w:rPr>
                <w:sz w:val="20"/>
                <w:szCs w:val="20"/>
                <w:color w:val="auto"/>
              </w:rPr>
            </w:pPr>
            <w:r>
              <w:rPr>
                <w:rFonts w:ascii="Arial" w:cs="Arial" w:eastAsia="Arial" w:hAnsi="Arial"/>
                <w:sz w:val="16"/>
                <w:szCs w:val="16"/>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shd w:val="clear" w:color="auto" w:fill="CEFFE7"/>
          </w:tcPr>
          <w:p>
            <w:pPr>
              <w:spacing w:after="0"/>
              <w:rPr>
                <w:sz w:val="18"/>
                <w:szCs w:val="18"/>
                <w:color w:val="auto"/>
              </w:rPr>
            </w:pPr>
          </w:p>
        </w:tc>
        <w:tc>
          <w:tcPr>
            <w:tcW w:w="3760" w:type="dxa"/>
            <w:vAlign w:val="bottom"/>
            <w:shd w:val="clear" w:color="auto" w:fill="CEFFE7"/>
          </w:tcPr>
          <w:p>
            <w:pPr>
              <w:ind w:left="100"/>
              <w:spacing w:after="0"/>
              <w:rPr>
                <w:sz w:val="20"/>
                <w:szCs w:val="20"/>
                <w:color w:val="auto"/>
              </w:rPr>
            </w:pPr>
            <w:r>
              <w:rPr>
                <w:rFonts w:ascii="Arial" w:cs="Arial" w:eastAsia="Arial" w:hAnsi="Arial"/>
                <w:sz w:val="16"/>
                <w:szCs w:val="16"/>
                <w:color w:val="auto"/>
              </w:rPr>
              <w:t>Nebraska Gas</w:t>
            </w:r>
          </w:p>
        </w:tc>
        <w:tc>
          <w:tcPr>
            <w:tcW w:w="260" w:type="dxa"/>
            <w:vAlign w:val="bottom"/>
            <w:shd w:val="clear" w:color="auto" w:fill="CEFFE7"/>
          </w:tcPr>
          <w:p>
            <w:pPr>
              <w:spacing w:after="0"/>
              <w:rPr>
                <w:sz w:val="18"/>
                <w:szCs w:val="18"/>
                <w:color w:val="auto"/>
              </w:rPr>
            </w:pPr>
          </w:p>
        </w:tc>
        <w:tc>
          <w:tcPr>
            <w:tcW w:w="900" w:type="dxa"/>
            <w:vAlign w:val="bottom"/>
            <w:shd w:val="clear" w:color="auto" w:fill="CEFFE7"/>
          </w:tcPr>
          <w:p>
            <w:pPr>
              <w:spacing w:after="0"/>
              <w:rPr>
                <w:sz w:val="18"/>
                <w:szCs w:val="18"/>
                <w:color w:val="auto"/>
              </w:rPr>
            </w:pPr>
          </w:p>
        </w:tc>
        <w:tc>
          <w:tcPr>
            <w:tcW w:w="420" w:type="dxa"/>
            <w:vAlign w:val="bottom"/>
            <w:shd w:val="clear" w:color="auto" w:fill="CEFFE7"/>
          </w:tcPr>
          <w:p>
            <w:pPr>
              <w:spacing w:after="0"/>
              <w:rPr>
                <w:sz w:val="18"/>
                <w:szCs w:val="18"/>
                <w:color w:val="auto"/>
              </w:rPr>
            </w:pPr>
          </w:p>
        </w:tc>
        <w:tc>
          <w:tcPr>
            <w:tcW w:w="1160" w:type="dxa"/>
            <w:vAlign w:val="bottom"/>
            <w:gridSpan w:val="3"/>
            <w:shd w:val="clear" w:color="auto" w:fill="CEFFE7"/>
          </w:tcPr>
          <w:p>
            <w:pPr>
              <w:ind w:left="700"/>
              <w:spacing w:after="0"/>
              <w:rPr>
                <w:sz w:val="20"/>
                <w:szCs w:val="20"/>
                <w:color w:val="auto"/>
              </w:rPr>
            </w:pPr>
            <w:r>
              <w:rPr>
                <w:rFonts w:ascii="Arial" w:cs="Arial" w:eastAsia="Arial" w:hAnsi="Arial"/>
                <w:sz w:val="16"/>
                <w:szCs w:val="16"/>
                <w:color w:val="auto"/>
              </w:rPr>
              <w:t>3,097</w:t>
            </w:r>
          </w:p>
        </w:tc>
        <w:tc>
          <w:tcPr>
            <w:tcW w:w="400" w:type="dxa"/>
            <w:vAlign w:val="bottom"/>
            <w:shd w:val="clear" w:color="auto" w:fill="CEFFE7"/>
          </w:tcPr>
          <w:p>
            <w:pPr>
              <w:spacing w:after="0"/>
              <w:rPr>
                <w:sz w:val="18"/>
                <w:szCs w:val="18"/>
                <w:color w:val="auto"/>
              </w:rPr>
            </w:pPr>
          </w:p>
        </w:tc>
        <w:tc>
          <w:tcPr>
            <w:tcW w:w="120" w:type="dxa"/>
            <w:vAlign w:val="bottom"/>
            <w:shd w:val="clear" w:color="auto" w:fill="CEFFE7"/>
          </w:tcPr>
          <w:p>
            <w:pPr>
              <w:spacing w:after="0"/>
              <w:rPr>
                <w:sz w:val="18"/>
                <w:szCs w:val="18"/>
                <w:color w:val="auto"/>
              </w:rPr>
            </w:pPr>
          </w:p>
        </w:tc>
        <w:tc>
          <w:tcPr>
            <w:tcW w:w="400" w:type="dxa"/>
            <w:vAlign w:val="bottom"/>
            <w:shd w:val="clear" w:color="auto" w:fill="CEFFE7"/>
          </w:tcPr>
          <w:p>
            <w:pPr>
              <w:spacing w:after="0"/>
              <w:rPr>
                <w:sz w:val="18"/>
                <w:szCs w:val="18"/>
                <w:color w:val="auto"/>
              </w:rPr>
            </w:pPr>
          </w:p>
        </w:tc>
        <w:tc>
          <w:tcPr>
            <w:tcW w:w="420" w:type="dxa"/>
            <w:vAlign w:val="bottom"/>
            <w:shd w:val="clear" w:color="auto" w:fill="CEFFE7"/>
          </w:tcPr>
          <w:p>
            <w:pPr>
              <w:jc w:val="center"/>
              <w:ind w:left="19"/>
              <w:spacing w:after="0"/>
              <w:rPr>
                <w:sz w:val="20"/>
                <w:szCs w:val="20"/>
                <w:color w:val="auto"/>
              </w:rPr>
            </w:pPr>
            <w:r>
              <w:rPr>
                <w:rFonts w:ascii="Arial" w:cs="Arial" w:eastAsia="Arial" w:hAnsi="Arial"/>
                <w:sz w:val="16"/>
                <w:szCs w:val="16"/>
                <w:color w:val="auto"/>
              </w:rPr>
              <w:t>2%</w:t>
            </w:r>
          </w:p>
        </w:tc>
        <w:tc>
          <w:tcPr>
            <w:tcW w:w="500" w:type="dxa"/>
            <w:vAlign w:val="bottom"/>
            <w:shd w:val="clear" w:color="auto" w:fill="CEFFE7"/>
          </w:tcPr>
          <w:p>
            <w:pPr>
              <w:spacing w:after="0"/>
              <w:rPr>
                <w:sz w:val="18"/>
                <w:szCs w:val="18"/>
                <w:color w:val="auto"/>
              </w:rPr>
            </w:pPr>
          </w:p>
        </w:tc>
        <w:tc>
          <w:tcPr>
            <w:tcW w:w="100" w:type="dxa"/>
            <w:vAlign w:val="bottom"/>
            <w:shd w:val="clear" w:color="auto" w:fill="CEFFE7"/>
          </w:tcPr>
          <w:p>
            <w:pPr>
              <w:spacing w:after="0"/>
              <w:rPr>
                <w:sz w:val="18"/>
                <w:szCs w:val="18"/>
                <w:color w:val="auto"/>
              </w:rPr>
            </w:pPr>
          </w:p>
        </w:tc>
        <w:tc>
          <w:tcPr>
            <w:tcW w:w="220" w:type="dxa"/>
            <w:vAlign w:val="bottom"/>
            <w:shd w:val="clear" w:color="auto" w:fill="CEFFE7"/>
          </w:tcPr>
          <w:p>
            <w:pPr>
              <w:spacing w:after="0"/>
              <w:rPr>
                <w:sz w:val="18"/>
                <w:szCs w:val="18"/>
                <w:color w:val="auto"/>
              </w:rPr>
            </w:pPr>
          </w:p>
        </w:tc>
        <w:tc>
          <w:tcPr>
            <w:tcW w:w="100" w:type="dxa"/>
            <w:vAlign w:val="bottom"/>
            <w:shd w:val="clear" w:color="auto" w:fill="CEFFE7"/>
          </w:tcPr>
          <w:p>
            <w:pPr>
              <w:spacing w:after="0"/>
              <w:rPr>
                <w:sz w:val="18"/>
                <w:szCs w:val="18"/>
                <w:color w:val="auto"/>
              </w:rPr>
            </w:pPr>
          </w:p>
        </w:tc>
        <w:tc>
          <w:tcPr>
            <w:tcW w:w="1000" w:type="dxa"/>
            <w:vAlign w:val="bottom"/>
            <w:shd w:val="clear" w:color="auto" w:fill="CEFFE7"/>
          </w:tcPr>
          <w:p>
            <w:pPr>
              <w:ind w:left="140"/>
              <w:spacing w:after="0"/>
              <w:rPr>
                <w:sz w:val="20"/>
                <w:szCs w:val="20"/>
                <w:color w:val="auto"/>
              </w:rPr>
            </w:pPr>
            <w:r>
              <w:rPr>
                <w:rFonts w:ascii="Arial" w:cs="Arial" w:eastAsia="Arial" w:hAnsi="Arial"/>
                <w:sz w:val="16"/>
                <w:szCs w:val="16"/>
                <w:color w:val="auto"/>
              </w:rPr>
              <w:t>2,835</w:t>
            </w:r>
          </w:p>
        </w:tc>
        <w:tc>
          <w:tcPr>
            <w:tcW w:w="120" w:type="dxa"/>
            <w:vAlign w:val="bottom"/>
            <w:shd w:val="clear" w:color="auto" w:fill="CEFFE7"/>
          </w:tcPr>
          <w:p>
            <w:pPr>
              <w:spacing w:after="0"/>
              <w:rPr>
                <w:sz w:val="18"/>
                <w:szCs w:val="18"/>
                <w:color w:val="auto"/>
              </w:rPr>
            </w:pPr>
          </w:p>
        </w:tc>
        <w:tc>
          <w:tcPr>
            <w:tcW w:w="160" w:type="dxa"/>
            <w:vAlign w:val="bottom"/>
            <w:shd w:val="clear" w:color="auto" w:fill="CEFFE7"/>
          </w:tcPr>
          <w:p>
            <w:pPr>
              <w:spacing w:after="0"/>
              <w:rPr>
                <w:sz w:val="18"/>
                <w:szCs w:val="18"/>
                <w:color w:val="auto"/>
              </w:rPr>
            </w:pPr>
          </w:p>
        </w:tc>
        <w:tc>
          <w:tcPr>
            <w:tcW w:w="1140" w:type="dxa"/>
            <w:vAlign w:val="bottom"/>
            <w:shd w:val="clear" w:color="auto" w:fill="CEFFE7"/>
          </w:tcPr>
          <w:p>
            <w:pPr>
              <w:jc w:val="center"/>
              <w:ind w:right="79"/>
              <w:spacing w:after="0"/>
              <w:rPr>
                <w:sz w:val="20"/>
                <w:szCs w:val="20"/>
                <w:color w:val="auto"/>
              </w:rPr>
            </w:pPr>
            <w:r>
              <w:rPr>
                <w:rFonts w:ascii="Arial" w:cs="Arial" w:eastAsia="Arial" w:hAnsi="Arial"/>
                <w:sz w:val="16"/>
                <w:szCs w:val="16"/>
                <w:color w:val="auto"/>
              </w:rPr>
              <w:t>(7)%</w:t>
            </w:r>
          </w:p>
        </w:tc>
        <w:tc>
          <w:tcPr>
            <w:tcW w:w="20" w:type="dxa"/>
            <w:vAlign w:val="bottom"/>
            <w:shd w:val="clear" w:color="auto" w:fill="CEFFE7"/>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3760" w:type="dxa"/>
            <w:vAlign w:val="bottom"/>
          </w:tcPr>
          <w:p>
            <w:pPr>
              <w:ind w:left="100"/>
              <w:spacing w:after="0"/>
              <w:rPr>
                <w:sz w:val="20"/>
                <w:szCs w:val="20"/>
                <w:color w:val="auto"/>
              </w:rPr>
            </w:pPr>
            <w:r>
              <w:rPr>
                <w:rFonts w:ascii="Arial" w:cs="Arial" w:eastAsia="Arial" w:hAnsi="Arial"/>
                <w:sz w:val="16"/>
                <w:szCs w:val="16"/>
                <w:color w:val="auto"/>
              </w:rPr>
              <w:t>Wyoming Gas</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3"/>
          </w:tcPr>
          <w:p>
            <w:pPr>
              <w:ind w:left="700"/>
              <w:spacing w:after="0"/>
              <w:rPr>
                <w:sz w:val="20"/>
                <w:szCs w:val="20"/>
                <w:color w:val="auto"/>
              </w:rPr>
            </w:pPr>
            <w:r>
              <w:rPr>
                <w:rFonts w:ascii="Arial" w:cs="Arial" w:eastAsia="Arial" w:hAnsi="Arial"/>
                <w:sz w:val="16"/>
                <w:szCs w:val="16"/>
                <w:color w:val="auto"/>
              </w:rPr>
              <w:t>3,425</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jc w:val="center"/>
              <w:ind w:left="19"/>
              <w:spacing w:after="0"/>
              <w:rPr>
                <w:sz w:val="20"/>
                <w:szCs w:val="20"/>
                <w:color w:val="auto"/>
              </w:rPr>
            </w:pPr>
            <w:r>
              <w:rPr>
                <w:rFonts w:ascii="Arial" w:cs="Arial" w:eastAsia="Arial" w:hAnsi="Arial"/>
                <w:sz w:val="16"/>
                <w:szCs w:val="16"/>
                <w:color w:val="auto"/>
              </w:rPr>
              <w:t>7%</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ind w:left="140"/>
              <w:spacing w:after="0"/>
              <w:rPr>
                <w:sz w:val="20"/>
                <w:szCs w:val="20"/>
                <w:color w:val="auto"/>
              </w:rPr>
            </w:pPr>
            <w:r>
              <w:rPr>
                <w:rFonts w:ascii="Arial" w:cs="Arial" w:eastAsia="Arial" w:hAnsi="Arial"/>
                <w:sz w:val="16"/>
                <w:szCs w:val="16"/>
                <w:color w:val="auto"/>
              </w:rPr>
              <w:t>3,217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center"/>
              <w:ind w:right="59"/>
              <w:spacing w:after="0"/>
              <w:rPr>
                <w:sz w:val="20"/>
                <w:szCs w:val="20"/>
                <w:color w:val="auto"/>
              </w:rPr>
            </w:pPr>
            <w:r>
              <w:rPr>
                <w:rFonts w:ascii="Arial" w:cs="Arial" w:eastAsia="Arial" w:hAnsi="Arial"/>
                <w:sz w:val="16"/>
                <w:szCs w:val="16"/>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 w:type="dxa"/>
            <w:vAlign w:val="bottom"/>
            <w:shd w:val="clear" w:color="auto" w:fill="CEFFE7"/>
          </w:tcPr>
          <w:p>
            <w:pPr>
              <w:spacing w:after="0"/>
              <w:rPr>
                <w:sz w:val="19"/>
                <w:szCs w:val="19"/>
                <w:color w:val="auto"/>
              </w:rPr>
            </w:pPr>
          </w:p>
        </w:tc>
        <w:tc>
          <w:tcPr>
            <w:tcW w:w="3760" w:type="dxa"/>
            <w:vAlign w:val="bottom"/>
            <w:shd w:val="clear" w:color="auto" w:fill="CEFFE7"/>
          </w:tcPr>
          <w:p>
            <w:pPr>
              <w:ind w:left="100"/>
              <w:spacing w:after="0" w:line="219" w:lineRule="exact"/>
              <w:rPr>
                <w:sz w:val="20"/>
                <w:szCs w:val="20"/>
                <w:color w:val="auto"/>
              </w:rPr>
            </w:pPr>
            <w:r>
              <w:rPr>
                <w:rFonts w:ascii="Arial" w:cs="Arial" w:eastAsia="Arial" w:hAnsi="Arial"/>
                <w:sz w:val="16"/>
                <w:szCs w:val="16"/>
                <w:color w:val="auto"/>
              </w:rPr>
              <w:t xml:space="preserve">Combined Gas </w:t>
            </w:r>
            <w:r>
              <w:rPr>
                <w:rFonts w:ascii="Arial" w:cs="Arial" w:eastAsia="Arial" w:hAnsi="Arial"/>
                <w:sz w:val="21"/>
                <w:szCs w:val="21"/>
                <w:color w:val="auto"/>
                <w:vertAlign w:val="superscript"/>
              </w:rPr>
              <w:t>(b)</w:t>
            </w:r>
          </w:p>
        </w:tc>
        <w:tc>
          <w:tcPr>
            <w:tcW w:w="260" w:type="dxa"/>
            <w:vAlign w:val="bottom"/>
            <w:shd w:val="clear" w:color="auto" w:fill="CEFFE7"/>
          </w:tcPr>
          <w:p>
            <w:pPr>
              <w:spacing w:after="0"/>
              <w:rPr>
                <w:sz w:val="19"/>
                <w:szCs w:val="19"/>
                <w:color w:val="auto"/>
              </w:rPr>
            </w:pPr>
          </w:p>
        </w:tc>
        <w:tc>
          <w:tcPr>
            <w:tcW w:w="900" w:type="dxa"/>
            <w:vAlign w:val="bottom"/>
            <w:shd w:val="clear" w:color="auto" w:fill="CEFFE7"/>
          </w:tcPr>
          <w:p>
            <w:pPr>
              <w:spacing w:after="0"/>
              <w:rPr>
                <w:sz w:val="19"/>
                <w:szCs w:val="19"/>
                <w:color w:val="auto"/>
              </w:rPr>
            </w:pPr>
          </w:p>
        </w:tc>
        <w:tc>
          <w:tcPr>
            <w:tcW w:w="420" w:type="dxa"/>
            <w:vAlign w:val="bottom"/>
            <w:shd w:val="clear" w:color="auto" w:fill="CEFFE7"/>
          </w:tcPr>
          <w:p>
            <w:pPr>
              <w:spacing w:after="0"/>
              <w:rPr>
                <w:sz w:val="19"/>
                <w:szCs w:val="19"/>
                <w:color w:val="auto"/>
              </w:rPr>
            </w:pPr>
          </w:p>
        </w:tc>
        <w:tc>
          <w:tcPr>
            <w:tcW w:w="1160" w:type="dxa"/>
            <w:vAlign w:val="bottom"/>
            <w:gridSpan w:val="3"/>
            <w:shd w:val="clear" w:color="auto" w:fill="CEFFE7"/>
          </w:tcPr>
          <w:p>
            <w:pPr>
              <w:ind w:left="700"/>
              <w:spacing w:after="0"/>
              <w:rPr>
                <w:sz w:val="20"/>
                <w:szCs w:val="20"/>
                <w:color w:val="auto"/>
              </w:rPr>
            </w:pPr>
            <w:r>
              <w:rPr>
                <w:rFonts w:ascii="Arial" w:cs="Arial" w:eastAsia="Arial" w:hAnsi="Arial"/>
                <w:sz w:val="16"/>
                <w:szCs w:val="16"/>
                <w:color w:val="auto"/>
              </w:rPr>
              <w:t>3,186</w:t>
            </w:r>
          </w:p>
        </w:tc>
        <w:tc>
          <w:tcPr>
            <w:tcW w:w="400" w:type="dxa"/>
            <w:vAlign w:val="bottom"/>
            <w:shd w:val="clear" w:color="auto" w:fill="CEFFE7"/>
          </w:tcPr>
          <w:p>
            <w:pPr>
              <w:spacing w:after="0"/>
              <w:rPr>
                <w:sz w:val="19"/>
                <w:szCs w:val="19"/>
                <w:color w:val="auto"/>
              </w:rPr>
            </w:pPr>
          </w:p>
        </w:tc>
        <w:tc>
          <w:tcPr>
            <w:tcW w:w="120" w:type="dxa"/>
            <w:vAlign w:val="bottom"/>
            <w:shd w:val="clear" w:color="auto" w:fill="CEFFE7"/>
          </w:tcPr>
          <w:p>
            <w:pPr>
              <w:spacing w:after="0"/>
              <w:rPr>
                <w:sz w:val="19"/>
                <w:szCs w:val="19"/>
                <w:color w:val="auto"/>
              </w:rPr>
            </w:pPr>
          </w:p>
        </w:tc>
        <w:tc>
          <w:tcPr>
            <w:tcW w:w="400" w:type="dxa"/>
            <w:vAlign w:val="bottom"/>
            <w:shd w:val="clear" w:color="auto" w:fill="CEFFE7"/>
          </w:tcPr>
          <w:p>
            <w:pPr>
              <w:spacing w:after="0"/>
              <w:rPr>
                <w:sz w:val="19"/>
                <w:szCs w:val="19"/>
                <w:color w:val="auto"/>
              </w:rPr>
            </w:pPr>
          </w:p>
        </w:tc>
        <w:tc>
          <w:tcPr>
            <w:tcW w:w="420" w:type="dxa"/>
            <w:vAlign w:val="bottom"/>
            <w:shd w:val="clear" w:color="auto" w:fill="CEFFE7"/>
          </w:tcPr>
          <w:p>
            <w:pPr>
              <w:jc w:val="center"/>
              <w:ind w:left="19"/>
              <w:spacing w:after="0"/>
              <w:rPr>
                <w:sz w:val="20"/>
                <w:szCs w:val="20"/>
                <w:color w:val="auto"/>
              </w:rPr>
            </w:pPr>
            <w:r>
              <w:rPr>
                <w:rFonts w:ascii="Arial" w:cs="Arial" w:eastAsia="Arial" w:hAnsi="Arial"/>
                <w:sz w:val="16"/>
                <w:szCs w:val="16"/>
                <w:color w:val="auto"/>
              </w:rPr>
              <w:t>3%</w:t>
            </w:r>
          </w:p>
        </w:tc>
        <w:tc>
          <w:tcPr>
            <w:tcW w:w="500" w:type="dxa"/>
            <w:vAlign w:val="bottom"/>
            <w:shd w:val="clear" w:color="auto" w:fill="CEFFE7"/>
          </w:tcPr>
          <w:p>
            <w:pPr>
              <w:spacing w:after="0"/>
              <w:rPr>
                <w:sz w:val="19"/>
                <w:szCs w:val="19"/>
                <w:color w:val="auto"/>
              </w:rPr>
            </w:pPr>
          </w:p>
        </w:tc>
        <w:tc>
          <w:tcPr>
            <w:tcW w:w="100" w:type="dxa"/>
            <w:vAlign w:val="bottom"/>
            <w:shd w:val="clear" w:color="auto" w:fill="CEFFE7"/>
          </w:tcPr>
          <w:p>
            <w:pPr>
              <w:spacing w:after="0"/>
              <w:rPr>
                <w:sz w:val="19"/>
                <w:szCs w:val="19"/>
                <w:color w:val="auto"/>
              </w:rPr>
            </w:pPr>
          </w:p>
        </w:tc>
        <w:tc>
          <w:tcPr>
            <w:tcW w:w="220" w:type="dxa"/>
            <w:vAlign w:val="bottom"/>
            <w:shd w:val="clear" w:color="auto" w:fill="CEFFE7"/>
          </w:tcPr>
          <w:p>
            <w:pPr>
              <w:spacing w:after="0"/>
              <w:rPr>
                <w:sz w:val="19"/>
                <w:szCs w:val="19"/>
                <w:color w:val="auto"/>
              </w:rPr>
            </w:pPr>
          </w:p>
        </w:tc>
        <w:tc>
          <w:tcPr>
            <w:tcW w:w="100" w:type="dxa"/>
            <w:vAlign w:val="bottom"/>
            <w:shd w:val="clear" w:color="auto" w:fill="CEFFE7"/>
          </w:tcPr>
          <w:p>
            <w:pPr>
              <w:spacing w:after="0"/>
              <w:rPr>
                <w:sz w:val="19"/>
                <w:szCs w:val="19"/>
                <w:color w:val="auto"/>
              </w:rPr>
            </w:pPr>
          </w:p>
        </w:tc>
        <w:tc>
          <w:tcPr>
            <w:tcW w:w="1000" w:type="dxa"/>
            <w:vAlign w:val="bottom"/>
            <w:shd w:val="clear" w:color="auto" w:fill="CEFFE7"/>
          </w:tcPr>
          <w:p>
            <w:pPr>
              <w:ind w:left="140"/>
              <w:spacing w:after="0"/>
              <w:rPr>
                <w:sz w:val="20"/>
                <w:szCs w:val="20"/>
                <w:color w:val="auto"/>
              </w:rPr>
            </w:pPr>
            <w:r>
              <w:rPr>
                <w:rFonts w:ascii="Arial" w:cs="Arial" w:eastAsia="Arial" w:hAnsi="Arial"/>
                <w:sz w:val="16"/>
                <w:szCs w:val="16"/>
                <w:color w:val="auto"/>
              </w:rPr>
              <w:t>2,918</w:t>
            </w:r>
          </w:p>
        </w:tc>
        <w:tc>
          <w:tcPr>
            <w:tcW w:w="120" w:type="dxa"/>
            <w:vAlign w:val="bottom"/>
            <w:shd w:val="clear" w:color="auto" w:fill="CEFFE7"/>
          </w:tcPr>
          <w:p>
            <w:pPr>
              <w:spacing w:after="0"/>
              <w:rPr>
                <w:sz w:val="19"/>
                <w:szCs w:val="19"/>
                <w:color w:val="auto"/>
              </w:rPr>
            </w:pPr>
          </w:p>
        </w:tc>
        <w:tc>
          <w:tcPr>
            <w:tcW w:w="160" w:type="dxa"/>
            <w:vAlign w:val="bottom"/>
            <w:shd w:val="clear" w:color="auto" w:fill="CEFFE7"/>
          </w:tcPr>
          <w:p>
            <w:pPr>
              <w:spacing w:after="0"/>
              <w:rPr>
                <w:sz w:val="19"/>
                <w:szCs w:val="19"/>
                <w:color w:val="auto"/>
              </w:rPr>
            </w:pPr>
          </w:p>
        </w:tc>
        <w:tc>
          <w:tcPr>
            <w:tcW w:w="1140" w:type="dxa"/>
            <w:vAlign w:val="bottom"/>
            <w:shd w:val="clear" w:color="auto" w:fill="CEFFE7"/>
          </w:tcPr>
          <w:p>
            <w:pPr>
              <w:jc w:val="center"/>
              <w:ind w:right="79"/>
              <w:spacing w:after="0"/>
              <w:rPr>
                <w:sz w:val="20"/>
                <w:szCs w:val="20"/>
                <w:color w:val="auto"/>
              </w:rPr>
            </w:pPr>
            <w:r>
              <w:rPr>
                <w:rFonts w:ascii="Arial" w:cs="Arial" w:eastAsia="Arial" w:hAnsi="Arial"/>
                <w:sz w:val="16"/>
                <w:szCs w:val="16"/>
                <w:color w:val="auto"/>
              </w:rPr>
              <w:t>(6)%</w:t>
            </w:r>
          </w:p>
        </w:tc>
        <w:tc>
          <w:tcPr>
            <w:tcW w:w="20" w:type="dxa"/>
            <w:vAlign w:val="bottom"/>
            <w:shd w:val="clear" w:color="auto" w:fill="CEFFE7"/>
          </w:tcPr>
          <w:p>
            <w:pPr>
              <w:spacing w:after="0"/>
              <w:rPr>
                <w:sz w:val="19"/>
                <w:szCs w:val="19"/>
                <w:color w:val="auto"/>
              </w:rPr>
            </w:pPr>
          </w:p>
        </w:tc>
        <w:tc>
          <w:tcPr>
            <w:tcW w:w="0" w:type="dxa"/>
            <w:vAlign w:val="bottom"/>
          </w:tcPr>
          <w:p>
            <w:pPr>
              <w:spacing w:after="0"/>
              <w:rPr>
                <w:sz w:val="1"/>
                <w:szCs w:val="1"/>
                <w:color w:val="auto"/>
              </w:rPr>
            </w:pPr>
          </w:p>
        </w:tc>
      </w:tr>
    </w:tbl>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8" w:lineRule="exact"/>
        <w:rPr>
          <w:sz w:val="20"/>
          <w:szCs w:val="20"/>
          <w:color w:val="auto"/>
        </w:rPr>
      </w:pPr>
    </w:p>
    <w:p>
      <w:pPr>
        <w:ind w:left="340" w:hanging="332"/>
        <w:spacing w:after="0"/>
        <w:tabs>
          <w:tab w:leader="none" w:pos="3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Arkansas and Kansas have weather normalization mechanisms that mitigate the weather impact on gross margins.</w:t>
      </w:r>
    </w:p>
    <w:p>
      <w:pPr>
        <w:spacing w:after="0" w:line="1" w:lineRule="exact"/>
        <w:rPr>
          <w:rFonts w:ascii="Arial" w:cs="Arial" w:eastAsia="Arial" w:hAnsi="Arial"/>
          <w:sz w:val="14"/>
          <w:szCs w:val="14"/>
          <w:color w:val="auto"/>
        </w:rPr>
      </w:pPr>
    </w:p>
    <w:p>
      <w:pPr>
        <w:ind w:left="340" w:hanging="332"/>
        <w:spacing w:after="0" w:line="258" w:lineRule="auto"/>
        <w:tabs>
          <w:tab w:leader="none" w:pos="349"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combined heating degree days are calculated based on a weighted average of total customers by state excluding Kansas due to its weather normalization mechanism. Arkansas is partially excluded based on the weather normalization mechanism in effect from November through April.</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Regulatory Matters</w:t>
      </w:r>
    </w:p>
    <w:p>
      <w:pPr>
        <w:spacing w:after="0" w:line="268" w:lineRule="exact"/>
        <w:rPr>
          <w:sz w:val="20"/>
          <w:szCs w:val="20"/>
          <w:color w:val="auto"/>
        </w:rPr>
      </w:pPr>
    </w:p>
    <w:p>
      <w:pPr>
        <w:ind w:right="260"/>
        <w:spacing w:after="0" w:line="260" w:lineRule="auto"/>
        <w:rPr>
          <w:rFonts w:ascii="Arial" w:cs="Arial" w:eastAsia="Arial" w:hAnsi="Arial"/>
          <w:sz w:val="16"/>
          <w:szCs w:val="16"/>
          <w:color w:val="auto"/>
        </w:rPr>
      </w:pPr>
      <w:r>
        <w:rPr>
          <w:rFonts w:ascii="Arial" w:cs="Arial" w:eastAsia="Arial" w:hAnsi="Arial"/>
          <w:sz w:val="16"/>
          <w:szCs w:val="16"/>
          <w:color w:val="auto"/>
        </w:rPr>
        <w:t xml:space="preserve">For more information on recent regulatory activity and enacted regulatory provisions with respect to the states in which our Utilities operate, see </w:t>
      </w:r>
      <w:hyperlink w:anchor="page15">
        <w:r>
          <w:rPr>
            <w:rFonts w:ascii="Arial" w:cs="Arial" w:eastAsia="Arial" w:hAnsi="Arial"/>
            <w:sz w:val="16"/>
            <w:szCs w:val="16"/>
            <w:u w:val="single" w:color="auto"/>
            <w:color w:val="0000FF"/>
          </w:rPr>
          <w:t>Note 2</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of the Notes to Condensed Consolidated Financial Statements and Part I, Items 1 and 2 and Part II, Item 8 of our 2020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184"/>
        </w:trPr>
        <w:tc>
          <w:tcPr>
            <w:tcW w:w="7240" w:type="dxa"/>
            <w:vAlign w:val="bottom"/>
            <w:gridSpan w:val="2"/>
          </w:tcPr>
          <w:p>
            <w:pPr>
              <w:spacing w:after="0"/>
              <w:rPr>
                <w:rFonts w:ascii="Arial" w:cs="Arial" w:eastAsia="Arial" w:hAnsi="Arial"/>
                <w:sz w:val="16"/>
                <w:szCs w:val="16"/>
                <w:b w:val="1"/>
                <w:bCs w:val="1"/>
                <w:color w:val="0000FF"/>
              </w:rPr>
            </w:pPr>
            <w:hyperlink w:anchor="page1">
              <w:r>
                <w:rPr>
                  <w:rFonts w:ascii="Arial" w:cs="Arial" w:eastAsia="Arial" w:hAnsi="Arial"/>
                  <w:sz w:val="16"/>
                  <w:szCs w:val="16"/>
                  <w:b w:val="1"/>
                  <w:bCs w:val="1"/>
                  <w:color w:val="0000FF"/>
                </w:rPr>
                <w:t>Table of Contents</w:t>
              </w:r>
            </w:hyperlink>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0"/>
        </w:trPr>
        <w:tc>
          <w:tcPr>
            <w:tcW w:w="1360" w:type="dxa"/>
            <w:vAlign w:val="bottom"/>
            <w:shd w:val="clear" w:color="auto" w:fill="0000FF"/>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784"/>
        </w:trPr>
        <w:tc>
          <w:tcPr>
            <w:tcW w:w="7240" w:type="dxa"/>
            <w:vAlign w:val="bottom"/>
            <w:gridSpan w:val="2"/>
          </w:tcPr>
          <w:p>
            <w:pPr>
              <w:spacing w:after="0"/>
              <w:rPr>
                <w:sz w:val="20"/>
                <w:szCs w:val="20"/>
                <w:color w:val="auto"/>
              </w:rPr>
            </w:pPr>
            <w:r>
              <w:rPr>
                <w:rFonts w:ascii="Arial" w:cs="Arial" w:eastAsia="Arial" w:hAnsi="Arial"/>
                <w:sz w:val="16"/>
                <w:szCs w:val="16"/>
                <w:b w:val="1"/>
                <w:bCs w:val="1"/>
                <w:color w:val="auto"/>
              </w:rPr>
              <w:t>Power Generation</w:t>
            </w: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432"/>
        </w:trPr>
        <w:tc>
          <w:tcPr>
            <w:tcW w:w="7240" w:type="dxa"/>
            <w:vAlign w:val="bottom"/>
            <w:gridSpan w:val="2"/>
          </w:tcPr>
          <w:p>
            <w:pPr>
              <w:spacing w:after="0"/>
              <w:rPr>
                <w:sz w:val="20"/>
                <w:szCs w:val="20"/>
                <w:color w:val="auto"/>
              </w:rPr>
            </w:pPr>
            <w:r>
              <w:rPr>
                <w:rFonts w:ascii="Arial" w:cs="Arial" w:eastAsia="Arial" w:hAnsi="Arial"/>
                <w:sz w:val="16"/>
                <w:szCs w:val="16"/>
                <w:color w:val="auto"/>
              </w:rPr>
              <w:t>Our Power Generation segment operating results were as follows (in thousands):</w:t>
            </w: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24"/>
        </w:trPr>
        <w:tc>
          <w:tcPr>
            <w:tcW w:w="1360" w:type="dxa"/>
            <w:vAlign w:val="bottom"/>
          </w:tcPr>
          <w:p>
            <w:pPr>
              <w:spacing w:after="0"/>
              <w:rPr>
                <w:sz w:val="24"/>
                <w:szCs w:val="24"/>
                <w:color w:val="auto"/>
              </w:rPr>
            </w:pPr>
          </w:p>
        </w:tc>
        <w:tc>
          <w:tcPr>
            <w:tcW w:w="5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720" w:type="dxa"/>
            <w:vAlign w:val="bottom"/>
            <w:gridSpan w:val="5"/>
          </w:tcPr>
          <w:p>
            <w:pPr>
              <w:jc w:val="right"/>
              <w:ind w:right="779"/>
              <w:spacing w:after="0"/>
              <w:rPr>
                <w:sz w:val="20"/>
                <w:szCs w:val="20"/>
                <w:color w:val="auto"/>
              </w:rPr>
            </w:pPr>
            <w:r>
              <w:rPr>
                <w:rFonts w:ascii="Arial" w:cs="Arial" w:eastAsia="Arial" w:hAnsi="Arial"/>
                <w:sz w:val="16"/>
                <w:szCs w:val="16"/>
                <w:color w:val="auto"/>
              </w:rPr>
              <w:t>Three Months Ended March 31,</w:t>
            </w:r>
          </w:p>
        </w:tc>
      </w:tr>
      <w:tr>
        <w:trPr>
          <w:trHeight w:val="219"/>
        </w:trPr>
        <w:tc>
          <w:tcPr>
            <w:tcW w:w="1360" w:type="dxa"/>
            <w:vAlign w:val="bottom"/>
          </w:tcPr>
          <w:p>
            <w:pPr>
              <w:spacing w:after="0"/>
              <w:rPr>
                <w:sz w:val="19"/>
                <w:szCs w:val="19"/>
                <w:color w:val="auto"/>
              </w:rPr>
            </w:pPr>
          </w:p>
        </w:tc>
        <w:tc>
          <w:tcPr>
            <w:tcW w:w="58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2021</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2020</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Variance</w:t>
            </w:r>
          </w:p>
        </w:tc>
      </w:tr>
      <w:tr>
        <w:trPr>
          <w:trHeight w:val="253"/>
        </w:trPr>
        <w:tc>
          <w:tcPr>
            <w:tcW w:w="1360" w:type="dxa"/>
            <w:vAlign w:val="bottom"/>
          </w:tcPr>
          <w:p>
            <w:pPr>
              <w:spacing w:after="0"/>
              <w:rPr>
                <w:sz w:val="22"/>
                <w:szCs w:val="22"/>
                <w:color w:val="auto"/>
              </w:rPr>
            </w:pPr>
          </w:p>
        </w:tc>
        <w:tc>
          <w:tcPr>
            <w:tcW w:w="58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13"/>
        </w:trPr>
        <w:tc>
          <w:tcPr>
            <w:tcW w:w="7240" w:type="dxa"/>
            <w:vAlign w:val="bottom"/>
            <w:gridSpan w:val="2"/>
            <w:shd w:val="clear" w:color="auto" w:fill="CEFFE7"/>
          </w:tcPr>
          <w:p>
            <w:pPr>
              <w:ind w:left="20"/>
              <w:spacing w:after="0"/>
              <w:rPr>
                <w:sz w:val="20"/>
                <w:szCs w:val="20"/>
                <w:color w:val="auto"/>
              </w:rPr>
            </w:pPr>
            <w:r>
              <w:rPr>
                <w:rFonts w:ascii="Arial" w:cs="Arial" w:eastAsia="Arial" w:hAnsi="Arial"/>
                <w:sz w:val="16"/>
                <w:szCs w:val="16"/>
                <w:color w:val="auto"/>
              </w:rPr>
              <w:t>Revenue</w:t>
            </w:r>
          </w:p>
        </w:tc>
        <w:tc>
          <w:tcPr>
            <w:tcW w:w="280" w:type="dxa"/>
            <w:vAlign w:val="bottom"/>
            <w:tcBorders>
              <w:bottom w:val="single" w:sz="8" w:color="auto"/>
            </w:tcBorders>
            <w:shd w:val="clear" w:color="auto" w:fill="CEFFE7"/>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29,163</w:t>
            </w:r>
          </w:p>
        </w:tc>
        <w:tc>
          <w:tcPr>
            <w:tcW w:w="320" w:type="dxa"/>
            <w:vAlign w:val="bottom"/>
            <w:tcBorders>
              <w:bottom w:val="single" w:sz="8" w:color="auto"/>
            </w:tcBorders>
            <w:shd w:val="clear" w:color="auto" w:fill="CEFFE7"/>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25,966</w:t>
            </w:r>
          </w:p>
        </w:tc>
        <w:tc>
          <w:tcPr>
            <w:tcW w:w="260" w:type="dxa"/>
            <w:vAlign w:val="bottom"/>
            <w:tcBorders>
              <w:bottom w:val="single" w:sz="8" w:color="auto"/>
            </w:tcBorders>
            <w:shd w:val="clear" w:color="auto" w:fill="CEFFE7"/>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3,197</w:t>
            </w:r>
          </w:p>
        </w:tc>
      </w:tr>
      <w:tr>
        <w:trPr>
          <w:trHeight w:val="253"/>
        </w:trPr>
        <w:tc>
          <w:tcPr>
            <w:tcW w:w="1360" w:type="dxa"/>
            <w:vAlign w:val="bottom"/>
          </w:tcPr>
          <w:p>
            <w:pPr>
              <w:spacing w:after="0"/>
              <w:rPr>
                <w:sz w:val="22"/>
                <w:szCs w:val="22"/>
                <w:color w:val="auto"/>
              </w:rPr>
            </w:pPr>
          </w:p>
        </w:tc>
        <w:tc>
          <w:tcPr>
            <w:tcW w:w="58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16"/>
        </w:trPr>
        <w:tc>
          <w:tcPr>
            <w:tcW w:w="7240" w:type="dxa"/>
            <w:vAlign w:val="bottom"/>
            <w:gridSpan w:val="2"/>
            <w:shd w:val="clear" w:color="auto" w:fill="CEFFE7"/>
          </w:tcPr>
          <w:p>
            <w:pPr>
              <w:ind w:left="20"/>
              <w:spacing w:after="0"/>
              <w:rPr>
                <w:sz w:val="20"/>
                <w:szCs w:val="20"/>
                <w:color w:val="auto"/>
              </w:rPr>
            </w:pPr>
            <w:r>
              <w:rPr>
                <w:rFonts w:ascii="Arial" w:cs="Arial" w:eastAsia="Arial" w:hAnsi="Arial"/>
                <w:sz w:val="16"/>
                <w:szCs w:val="16"/>
                <w:color w:val="auto"/>
              </w:rPr>
              <w:t>Fuel expense</w:t>
            </w:r>
          </w:p>
        </w:tc>
        <w:tc>
          <w:tcPr>
            <w:tcW w:w="280" w:type="dxa"/>
            <w:vAlign w:val="bottom"/>
            <w:shd w:val="clear" w:color="auto" w:fill="CEFFE7"/>
          </w:tcPr>
          <w:p>
            <w:pPr>
              <w:spacing w:after="0"/>
              <w:rPr>
                <w:sz w:val="18"/>
                <w:szCs w:val="18"/>
                <w:color w:val="auto"/>
              </w:rPr>
            </w:pPr>
          </w:p>
        </w:tc>
        <w:tc>
          <w:tcPr>
            <w:tcW w:w="10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2,671</w:t>
            </w:r>
          </w:p>
        </w:tc>
        <w:tc>
          <w:tcPr>
            <w:tcW w:w="320" w:type="dxa"/>
            <w:vAlign w:val="bottom"/>
            <w:shd w:val="clear" w:color="auto" w:fill="CEFFE7"/>
          </w:tcPr>
          <w:p>
            <w:pPr>
              <w:spacing w:after="0"/>
              <w:rPr>
                <w:sz w:val="18"/>
                <w:szCs w:val="18"/>
                <w:color w:val="auto"/>
              </w:rPr>
            </w:pPr>
          </w:p>
        </w:tc>
        <w:tc>
          <w:tcPr>
            <w:tcW w:w="10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2,285</w:t>
            </w:r>
          </w:p>
        </w:tc>
        <w:tc>
          <w:tcPr>
            <w:tcW w:w="260" w:type="dxa"/>
            <w:vAlign w:val="bottom"/>
            <w:shd w:val="clear" w:color="auto" w:fill="CEFFE7"/>
          </w:tcPr>
          <w:p>
            <w:pPr>
              <w:spacing w:after="0"/>
              <w:rPr>
                <w:sz w:val="18"/>
                <w:szCs w:val="18"/>
                <w:color w:val="auto"/>
              </w:rPr>
            </w:pPr>
          </w:p>
        </w:tc>
        <w:tc>
          <w:tcPr>
            <w:tcW w:w="11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386</w:t>
            </w:r>
          </w:p>
        </w:tc>
      </w:tr>
      <w:tr>
        <w:trPr>
          <w:trHeight w:val="213"/>
        </w:trPr>
        <w:tc>
          <w:tcPr>
            <w:tcW w:w="7240" w:type="dxa"/>
            <w:vAlign w:val="bottom"/>
            <w:gridSpan w:val="2"/>
          </w:tcPr>
          <w:p>
            <w:pPr>
              <w:ind w:left="20"/>
              <w:spacing w:after="0"/>
              <w:rPr>
                <w:sz w:val="20"/>
                <w:szCs w:val="20"/>
                <w:color w:val="auto"/>
              </w:rPr>
            </w:pPr>
            <w:r>
              <w:rPr>
                <w:rFonts w:ascii="Arial" w:cs="Arial" w:eastAsia="Arial" w:hAnsi="Arial"/>
                <w:sz w:val="16"/>
                <w:szCs w:val="16"/>
                <w:color w:val="auto"/>
              </w:rPr>
              <w:t>Operations and maintenance</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7,358</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6,997</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361</w:t>
            </w:r>
          </w:p>
        </w:tc>
      </w:tr>
      <w:tr>
        <w:trPr>
          <w:trHeight w:val="216"/>
        </w:trPr>
        <w:tc>
          <w:tcPr>
            <w:tcW w:w="7240" w:type="dxa"/>
            <w:vAlign w:val="bottom"/>
            <w:gridSpan w:val="2"/>
            <w:shd w:val="clear" w:color="auto" w:fill="CEFFE7"/>
          </w:tcPr>
          <w:p>
            <w:pPr>
              <w:ind w:left="20"/>
              <w:spacing w:after="0"/>
              <w:rPr>
                <w:sz w:val="20"/>
                <w:szCs w:val="20"/>
                <w:color w:val="auto"/>
              </w:rPr>
            </w:pPr>
            <w:r>
              <w:rPr>
                <w:rFonts w:ascii="Arial" w:cs="Arial" w:eastAsia="Arial" w:hAnsi="Arial"/>
                <w:sz w:val="16"/>
                <w:szCs w:val="16"/>
                <w:color w:val="auto"/>
              </w:rPr>
              <w:t>Depreciation and amortization</w:t>
            </w:r>
          </w:p>
        </w:tc>
        <w:tc>
          <w:tcPr>
            <w:tcW w:w="280" w:type="dxa"/>
            <w:vAlign w:val="bottom"/>
            <w:tcBorders>
              <w:bottom w:val="single" w:sz="8" w:color="auto"/>
            </w:tcBorders>
            <w:shd w:val="clear" w:color="auto" w:fill="CEFFE7"/>
          </w:tcPr>
          <w:p>
            <w:pPr>
              <w:spacing w:after="0"/>
              <w:rPr>
                <w:sz w:val="18"/>
                <w:szCs w:val="18"/>
                <w:color w:val="auto"/>
              </w:rPr>
            </w:pPr>
          </w:p>
        </w:tc>
        <w:tc>
          <w:tcPr>
            <w:tcW w:w="10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4,865</w:t>
            </w:r>
          </w:p>
        </w:tc>
        <w:tc>
          <w:tcPr>
            <w:tcW w:w="320" w:type="dxa"/>
            <w:vAlign w:val="bottom"/>
            <w:tcBorders>
              <w:bottom w:val="single" w:sz="8" w:color="auto"/>
            </w:tcBorders>
            <w:shd w:val="clear" w:color="auto" w:fill="CEFFE7"/>
          </w:tcPr>
          <w:p>
            <w:pPr>
              <w:spacing w:after="0"/>
              <w:rPr>
                <w:sz w:val="18"/>
                <w:szCs w:val="18"/>
                <w:color w:val="auto"/>
              </w:rPr>
            </w:pPr>
          </w:p>
        </w:tc>
        <w:tc>
          <w:tcPr>
            <w:tcW w:w="10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5,335</w:t>
            </w:r>
          </w:p>
        </w:tc>
        <w:tc>
          <w:tcPr>
            <w:tcW w:w="260" w:type="dxa"/>
            <w:vAlign w:val="bottom"/>
            <w:tcBorders>
              <w:bottom w:val="single" w:sz="8" w:color="auto"/>
            </w:tcBorders>
            <w:shd w:val="clear" w:color="auto" w:fill="CEFFE7"/>
          </w:tcPr>
          <w:p>
            <w:pPr>
              <w:spacing w:after="0"/>
              <w:rPr>
                <w:sz w:val="18"/>
                <w:szCs w:val="18"/>
                <w:color w:val="auto"/>
              </w:rPr>
            </w:pPr>
          </w:p>
        </w:tc>
        <w:tc>
          <w:tcPr>
            <w:tcW w:w="11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(470)</w:t>
            </w:r>
          </w:p>
        </w:tc>
      </w:tr>
      <w:tr>
        <w:trPr>
          <w:trHeight w:val="209"/>
        </w:trPr>
        <w:tc>
          <w:tcPr>
            <w:tcW w:w="7240" w:type="dxa"/>
            <w:vAlign w:val="bottom"/>
            <w:tcBorders>
              <w:bottom w:val="single" w:sz="8" w:color="CEFFE7"/>
            </w:tcBorders>
            <w:gridSpan w:val="2"/>
          </w:tcPr>
          <w:p>
            <w:pPr>
              <w:ind w:left="560"/>
              <w:spacing w:after="0"/>
              <w:rPr>
                <w:sz w:val="20"/>
                <w:szCs w:val="20"/>
                <w:color w:val="auto"/>
              </w:rPr>
            </w:pPr>
            <w:r>
              <w:rPr>
                <w:rFonts w:ascii="Arial" w:cs="Arial" w:eastAsia="Arial" w:hAnsi="Arial"/>
                <w:sz w:val="16"/>
                <w:szCs w:val="16"/>
                <w:color w:val="auto"/>
              </w:rPr>
              <w:t>Total operating expense</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14,894</w:t>
            </w: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14,617</w:t>
            </w: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277</w:t>
            </w:r>
          </w:p>
        </w:tc>
      </w:tr>
      <w:tr>
        <w:trPr>
          <w:trHeight w:val="253"/>
        </w:trPr>
        <w:tc>
          <w:tcPr>
            <w:tcW w:w="1360" w:type="dxa"/>
            <w:vAlign w:val="bottom"/>
            <w:shd w:val="clear" w:color="auto" w:fill="CEFFE7"/>
          </w:tcPr>
          <w:p>
            <w:pPr>
              <w:spacing w:after="0"/>
              <w:rPr>
                <w:sz w:val="22"/>
                <w:szCs w:val="22"/>
                <w:color w:val="auto"/>
              </w:rPr>
            </w:pPr>
          </w:p>
        </w:tc>
        <w:tc>
          <w:tcPr>
            <w:tcW w:w="5880" w:type="dxa"/>
            <w:vAlign w:val="bottom"/>
            <w:shd w:val="clear" w:color="auto" w:fill="CEFFE7"/>
          </w:tcPr>
          <w:p>
            <w:pPr>
              <w:spacing w:after="0"/>
              <w:rPr>
                <w:sz w:val="22"/>
                <w:szCs w:val="22"/>
                <w:color w:val="auto"/>
              </w:rPr>
            </w:pPr>
          </w:p>
        </w:tc>
        <w:tc>
          <w:tcPr>
            <w:tcW w:w="280" w:type="dxa"/>
            <w:vAlign w:val="bottom"/>
            <w:tcBorders>
              <w:bottom w:val="single" w:sz="8" w:color="auto"/>
            </w:tcBorders>
            <w:shd w:val="clear" w:color="auto" w:fill="CEFFE7"/>
          </w:tcPr>
          <w:p>
            <w:pPr>
              <w:spacing w:after="0"/>
              <w:rPr>
                <w:sz w:val="22"/>
                <w:szCs w:val="22"/>
                <w:color w:val="auto"/>
              </w:rPr>
            </w:pPr>
          </w:p>
        </w:tc>
        <w:tc>
          <w:tcPr>
            <w:tcW w:w="1020" w:type="dxa"/>
            <w:vAlign w:val="bottom"/>
            <w:tcBorders>
              <w:bottom w:val="single" w:sz="8" w:color="auto"/>
            </w:tcBorders>
            <w:shd w:val="clear" w:color="auto" w:fill="CEFFE7"/>
          </w:tcPr>
          <w:p>
            <w:pPr>
              <w:spacing w:after="0"/>
              <w:rPr>
                <w:sz w:val="22"/>
                <w:szCs w:val="22"/>
                <w:color w:val="auto"/>
              </w:rPr>
            </w:pPr>
          </w:p>
        </w:tc>
        <w:tc>
          <w:tcPr>
            <w:tcW w:w="320" w:type="dxa"/>
            <w:vAlign w:val="bottom"/>
            <w:tcBorders>
              <w:bottom w:val="single" w:sz="8" w:color="auto"/>
            </w:tcBorders>
            <w:shd w:val="clear" w:color="auto" w:fill="CEFFE7"/>
          </w:tcPr>
          <w:p>
            <w:pPr>
              <w:spacing w:after="0"/>
              <w:rPr>
                <w:sz w:val="22"/>
                <w:szCs w:val="22"/>
                <w:color w:val="auto"/>
              </w:rPr>
            </w:pPr>
          </w:p>
        </w:tc>
        <w:tc>
          <w:tcPr>
            <w:tcW w:w="1020" w:type="dxa"/>
            <w:vAlign w:val="bottom"/>
            <w:tcBorders>
              <w:bottom w:val="single" w:sz="8" w:color="auto"/>
            </w:tcBorders>
            <w:shd w:val="clear" w:color="auto" w:fill="CEFFE7"/>
          </w:tcPr>
          <w:p>
            <w:pPr>
              <w:spacing w:after="0"/>
              <w:rPr>
                <w:sz w:val="22"/>
                <w:szCs w:val="22"/>
                <w:color w:val="auto"/>
              </w:rPr>
            </w:pPr>
          </w:p>
        </w:tc>
        <w:tc>
          <w:tcPr>
            <w:tcW w:w="260" w:type="dxa"/>
            <w:vAlign w:val="bottom"/>
            <w:tcBorders>
              <w:bottom w:val="single" w:sz="8" w:color="auto"/>
            </w:tcBorders>
            <w:shd w:val="clear" w:color="auto" w:fill="CEFFE7"/>
          </w:tcPr>
          <w:p>
            <w:pPr>
              <w:spacing w:after="0"/>
              <w:rPr>
                <w:sz w:val="22"/>
                <w:szCs w:val="22"/>
                <w:color w:val="auto"/>
              </w:rPr>
            </w:pPr>
          </w:p>
        </w:tc>
        <w:tc>
          <w:tcPr>
            <w:tcW w:w="1100" w:type="dxa"/>
            <w:vAlign w:val="bottom"/>
            <w:tcBorders>
              <w:bottom w:val="single" w:sz="8" w:color="auto"/>
            </w:tcBorders>
            <w:shd w:val="clear" w:color="auto" w:fill="CEFFE7"/>
          </w:tcPr>
          <w:p>
            <w:pPr>
              <w:spacing w:after="0"/>
              <w:rPr>
                <w:sz w:val="22"/>
                <w:szCs w:val="22"/>
                <w:color w:val="auto"/>
              </w:rPr>
            </w:pPr>
          </w:p>
        </w:tc>
      </w:tr>
      <w:tr>
        <w:trPr>
          <w:trHeight w:val="209"/>
        </w:trPr>
        <w:tc>
          <w:tcPr>
            <w:tcW w:w="7240" w:type="dxa"/>
            <w:vAlign w:val="bottom"/>
            <w:gridSpan w:val="2"/>
          </w:tcPr>
          <w:p>
            <w:pPr>
              <w:ind w:left="20"/>
              <w:spacing w:after="0"/>
              <w:rPr>
                <w:sz w:val="20"/>
                <w:szCs w:val="20"/>
                <w:color w:val="auto"/>
              </w:rPr>
            </w:pPr>
            <w:r>
              <w:rPr>
                <w:rFonts w:ascii="Arial" w:cs="Arial" w:eastAsia="Arial" w:hAnsi="Arial"/>
                <w:sz w:val="16"/>
                <w:szCs w:val="16"/>
                <w:color w:val="auto"/>
              </w:rPr>
              <w:t>Adjusted operating income</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14,269</w:t>
            </w:r>
          </w:p>
        </w:tc>
        <w:tc>
          <w:tcPr>
            <w:tcW w:w="3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11,349</w:t>
            </w:r>
          </w:p>
        </w:tc>
        <w:tc>
          <w:tcPr>
            <w:tcW w:w="2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2,920</w:t>
            </w:r>
          </w:p>
        </w:tc>
      </w:tr>
      <w:tr>
        <w:trPr>
          <w:trHeight w:val="21"/>
        </w:trPr>
        <w:tc>
          <w:tcPr>
            <w:tcW w:w="136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2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Three Months Ended March 31, 2021 Compared to the Three Months Ended March 31, 2020:</w:t>
      </w:r>
    </w:p>
    <w:p>
      <w:pPr>
        <w:spacing w:after="0" w:line="248" w:lineRule="exact"/>
        <w:rPr>
          <w:sz w:val="20"/>
          <w:szCs w:val="20"/>
          <w:color w:val="auto"/>
        </w:rPr>
      </w:pPr>
    </w:p>
    <w:p>
      <w:pPr>
        <w:ind w:right="140"/>
        <w:spacing w:after="0" w:line="260" w:lineRule="auto"/>
        <w:rPr>
          <w:sz w:val="20"/>
          <w:szCs w:val="20"/>
          <w:color w:val="auto"/>
        </w:rPr>
      </w:pPr>
      <w:r>
        <w:rPr>
          <w:rFonts w:ascii="Arial" w:cs="Arial" w:eastAsia="Arial" w:hAnsi="Arial"/>
          <w:sz w:val="16"/>
          <w:szCs w:val="16"/>
          <w:color w:val="auto"/>
        </w:rPr>
        <w:t>Operating income increased $1.7 million due to Winter Storm Uri’s favorable impact to Black Hills Wyoming under the economy energy PSA. Revenue also increased due to higher Wygen I MWh sold driven by a prior year planned outage.</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320" w:type="dxa"/>
            <w:vAlign w:val="bottom"/>
          </w:tcPr>
          <w:p>
            <w:pPr>
              <w:spacing w:after="0"/>
              <w:rPr>
                <w:sz w:val="20"/>
                <w:szCs w:val="20"/>
                <w:color w:val="auto"/>
              </w:rPr>
            </w:pPr>
            <w:r>
              <w:rPr>
                <w:rFonts w:ascii="Arial" w:cs="Arial" w:eastAsia="Arial" w:hAnsi="Arial"/>
                <w:sz w:val="16"/>
                <w:szCs w:val="16"/>
                <w:i w:val="1"/>
                <w:iCs w:val="1"/>
                <w:color w:val="auto"/>
              </w:rPr>
              <w:t>Operating Statistics</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5"/>
        </w:trPr>
        <w:tc>
          <w:tcPr>
            <w:tcW w:w="53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4"/>
          </w:tcPr>
          <w:p>
            <w:pPr>
              <w:jc w:val="right"/>
              <w:ind w:right="600"/>
              <w:spacing w:after="0"/>
              <w:rPr>
                <w:sz w:val="20"/>
                <w:szCs w:val="20"/>
                <w:color w:val="auto"/>
              </w:rPr>
            </w:pPr>
            <w:r>
              <w:rPr>
                <w:rFonts w:ascii="Arial" w:cs="Arial" w:eastAsia="Arial" w:hAnsi="Arial"/>
                <w:sz w:val="16"/>
                <w:szCs w:val="16"/>
                <w:color w:val="auto"/>
              </w:rPr>
              <w:t>Revenue (in thousands)</w:t>
            </w:r>
          </w:p>
        </w:tc>
        <w:tc>
          <w:tcPr>
            <w:tcW w:w="120" w:type="dxa"/>
            <w:vAlign w:val="bottom"/>
          </w:tcPr>
          <w:p>
            <w:pPr>
              <w:spacing w:after="0"/>
              <w:rPr>
                <w:sz w:val="20"/>
                <w:szCs w:val="20"/>
                <w:color w:val="auto"/>
              </w:rPr>
            </w:pPr>
          </w:p>
        </w:tc>
        <w:tc>
          <w:tcPr>
            <w:tcW w:w="2880" w:type="dxa"/>
            <w:vAlign w:val="bottom"/>
            <w:tcBorders>
              <w:bottom w:val="single" w:sz="8" w:color="auto"/>
            </w:tcBorders>
            <w:gridSpan w:val="2"/>
          </w:tcPr>
          <w:p>
            <w:pPr>
              <w:jc w:val="right"/>
              <w:ind w:right="479"/>
              <w:spacing w:after="0" w:line="236" w:lineRule="exact"/>
              <w:rPr>
                <w:sz w:val="20"/>
                <w:szCs w:val="20"/>
                <w:color w:val="auto"/>
              </w:rPr>
            </w:pPr>
            <w:r>
              <w:rPr>
                <w:rFonts w:ascii="Arial" w:cs="Arial" w:eastAsia="Arial" w:hAnsi="Arial"/>
                <w:sz w:val="16"/>
                <w:szCs w:val="16"/>
                <w:color w:val="auto"/>
              </w:rPr>
              <w:t xml:space="preserve">Quantities Sold (MWh) </w:t>
            </w:r>
            <w:r>
              <w:rPr>
                <w:rFonts w:ascii="Arial" w:cs="Arial" w:eastAsia="Arial" w:hAnsi="Arial"/>
                <w:sz w:val="21"/>
                <w:szCs w:val="21"/>
                <w:color w:val="auto"/>
                <w:vertAlign w:val="superscript"/>
              </w:rPr>
              <w:t>(a)</w:t>
            </w:r>
          </w:p>
        </w:tc>
      </w:tr>
      <w:tr>
        <w:trPr>
          <w:trHeight w:val="206"/>
        </w:trPr>
        <w:tc>
          <w:tcPr>
            <w:tcW w:w="53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Three Months Ended March 31,</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rPr>
              <w:t>2021</w:t>
            </w:r>
          </w:p>
        </w:tc>
        <w:tc>
          <w:tcPr>
            <w:tcW w:w="54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2020</w:t>
            </w:r>
          </w:p>
        </w:tc>
        <w:tc>
          <w:tcPr>
            <w:tcW w:w="520" w:type="dxa"/>
            <w:vAlign w:val="bottom"/>
            <w:tcBorders>
              <w:bottom w:val="single" w:sz="8" w:color="auto"/>
            </w:tcBorders>
          </w:tcPr>
          <w:p>
            <w:pPr>
              <w:spacing w:after="0"/>
              <w:rPr>
                <w:sz w:val="17"/>
                <w:szCs w:val="17"/>
                <w:color w:val="auto"/>
              </w:rPr>
            </w:pPr>
          </w:p>
        </w:tc>
        <w:tc>
          <w:tcPr>
            <w:tcW w:w="120" w:type="dxa"/>
            <w:vAlign w:val="bottom"/>
            <w:tcBorders>
              <w:bottom w:val="single" w:sz="8" w:color="CEFFE7"/>
            </w:tcBorders>
          </w:tcPr>
          <w:p>
            <w:pPr>
              <w:spacing w:after="0"/>
              <w:rPr>
                <w:sz w:val="17"/>
                <w:szCs w:val="17"/>
                <w:color w:val="auto"/>
              </w:rPr>
            </w:pPr>
          </w:p>
        </w:tc>
        <w:tc>
          <w:tcPr>
            <w:tcW w:w="158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color w:val="auto"/>
              </w:rPr>
              <w:t>2021</w:t>
            </w:r>
          </w:p>
        </w:tc>
        <w:tc>
          <w:tcPr>
            <w:tcW w:w="13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2020</w:t>
            </w:r>
          </w:p>
        </w:tc>
      </w:tr>
      <w:tr>
        <w:trPr>
          <w:trHeight w:val="213"/>
        </w:trPr>
        <w:tc>
          <w:tcPr>
            <w:tcW w:w="5320" w:type="dxa"/>
            <w:vAlign w:val="bottom"/>
            <w:shd w:val="clear" w:color="auto" w:fill="CEFFE7"/>
          </w:tcPr>
          <w:p>
            <w:pPr>
              <w:ind w:left="20"/>
              <w:spacing w:after="0"/>
              <w:rPr>
                <w:sz w:val="20"/>
                <w:szCs w:val="20"/>
                <w:color w:val="auto"/>
              </w:rPr>
            </w:pPr>
            <w:r>
              <w:rPr>
                <w:rFonts w:ascii="Arial" w:cs="Arial" w:eastAsia="Arial" w:hAnsi="Arial"/>
                <w:sz w:val="16"/>
                <w:szCs w:val="16"/>
                <w:color w:val="auto"/>
              </w:rPr>
              <w:t>Black Hills Colorado IPP</w:t>
            </w:r>
          </w:p>
        </w:tc>
        <w:tc>
          <w:tcPr>
            <w:tcW w:w="340" w:type="dxa"/>
            <w:vAlign w:val="bottom"/>
            <w:shd w:val="clear" w:color="auto" w:fill="CEFFE7"/>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14,254</w:t>
            </w:r>
          </w:p>
        </w:tc>
        <w:tc>
          <w:tcPr>
            <w:tcW w:w="540" w:type="dxa"/>
            <w:vAlign w:val="bottom"/>
            <w:shd w:val="clear" w:color="auto" w:fill="CEFFE7"/>
          </w:tcPr>
          <w:p>
            <w:pPr>
              <w:jc w:val="right"/>
              <w:ind w:right="319"/>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EFFE7"/>
          </w:tcPr>
          <w:p>
            <w:pPr>
              <w:jc w:val="right"/>
              <w:ind w:right="60"/>
              <w:spacing w:after="0"/>
              <w:rPr>
                <w:sz w:val="20"/>
                <w:szCs w:val="20"/>
                <w:color w:val="auto"/>
              </w:rPr>
            </w:pPr>
            <w:r>
              <w:rPr>
                <w:rFonts w:ascii="Arial" w:cs="Arial" w:eastAsia="Arial" w:hAnsi="Arial"/>
                <w:sz w:val="16"/>
                <w:szCs w:val="16"/>
                <w:color w:val="auto"/>
              </w:rPr>
              <w:t>14,179</w:t>
            </w:r>
          </w:p>
        </w:tc>
        <w:tc>
          <w:tcPr>
            <w:tcW w:w="1700" w:type="dxa"/>
            <w:vAlign w:val="bottom"/>
            <w:gridSpan w:val="2"/>
            <w:shd w:val="clear" w:color="auto" w:fill="CEFFE7"/>
          </w:tcPr>
          <w:p>
            <w:pPr>
              <w:jc w:val="right"/>
              <w:ind w:right="139"/>
              <w:spacing w:after="0"/>
              <w:rPr>
                <w:sz w:val="20"/>
                <w:szCs w:val="20"/>
                <w:color w:val="auto"/>
              </w:rPr>
            </w:pPr>
            <w:r>
              <w:rPr>
                <w:rFonts w:ascii="Arial" w:cs="Arial" w:eastAsia="Arial" w:hAnsi="Arial"/>
                <w:sz w:val="16"/>
                <w:szCs w:val="16"/>
                <w:color w:val="auto"/>
              </w:rPr>
              <w:t>239,194</w:t>
            </w:r>
          </w:p>
        </w:tc>
        <w:tc>
          <w:tcPr>
            <w:tcW w:w="13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265,225</w:t>
            </w:r>
          </w:p>
        </w:tc>
      </w:tr>
      <w:tr>
        <w:trPr>
          <w:trHeight w:val="216"/>
        </w:trPr>
        <w:tc>
          <w:tcPr>
            <w:tcW w:w="532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Black Hills Wyoming </w:t>
            </w:r>
            <w:r>
              <w:rPr>
                <w:rFonts w:ascii="Arial" w:cs="Arial" w:eastAsia="Arial" w:hAnsi="Arial"/>
                <w:sz w:val="21"/>
                <w:szCs w:val="21"/>
                <w:color w:val="auto"/>
                <w:vertAlign w:val="superscript"/>
              </w:rPr>
              <w:t>(b)</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13,433</w:t>
            </w:r>
          </w:p>
        </w:tc>
        <w:tc>
          <w:tcPr>
            <w:tcW w:w="54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10,158</w:t>
            </w:r>
          </w:p>
        </w:tc>
        <w:tc>
          <w:tcPr>
            <w:tcW w:w="1700" w:type="dxa"/>
            <w:vAlign w:val="bottom"/>
            <w:gridSpan w:val="2"/>
          </w:tcPr>
          <w:p>
            <w:pPr>
              <w:jc w:val="right"/>
              <w:ind w:right="139"/>
              <w:spacing w:after="0"/>
              <w:rPr>
                <w:sz w:val="20"/>
                <w:szCs w:val="20"/>
                <w:color w:val="auto"/>
              </w:rPr>
            </w:pPr>
            <w:r>
              <w:rPr>
                <w:rFonts w:ascii="Arial" w:cs="Arial" w:eastAsia="Arial" w:hAnsi="Arial"/>
                <w:sz w:val="16"/>
                <w:szCs w:val="16"/>
                <w:color w:val="auto"/>
              </w:rPr>
              <w:t>164,957</w:t>
            </w:r>
          </w:p>
        </w:tc>
        <w:tc>
          <w:tcPr>
            <w:tcW w:w="1300" w:type="dxa"/>
            <w:vAlign w:val="bottom"/>
          </w:tcPr>
          <w:p>
            <w:pPr>
              <w:jc w:val="right"/>
              <w:spacing w:after="0"/>
              <w:rPr>
                <w:sz w:val="20"/>
                <w:szCs w:val="20"/>
                <w:color w:val="auto"/>
              </w:rPr>
            </w:pPr>
            <w:r>
              <w:rPr>
                <w:rFonts w:ascii="Arial" w:cs="Arial" w:eastAsia="Arial" w:hAnsi="Arial"/>
                <w:sz w:val="16"/>
                <w:szCs w:val="16"/>
                <w:color w:val="auto"/>
              </w:rPr>
              <w:t>156,352</w:t>
            </w:r>
          </w:p>
        </w:tc>
      </w:tr>
      <w:tr>
        <w:trPr>
          <w:trHeight w:val="213"/>
        </w:trPr>
        <w:tc>
          <w:tcPr>
            <w:tcW w:w="5320" w:type="dxa"/>
            <w:vAlign w:val="bottom"/>
            <w:shd w:val="clear" w:color="auto" w:fill="CEFFE7"/>
          </w:tcPr>
          <w:p>
            <w:pPr>
              <w:ind w:left="20"/>
              <w:spacing w:after="0"/>
              <w:rPr>
                <w:sz w:val="20"/>
                <w:szCs w:val="20"/>
                <w:color w:val="auto"/>
              </w:rPr>
            </w:pPr>
            <w:r>
              <w:rPr>
                <w:rFonts w:ascii="Arial" w:cs="Arial" w:eastAsia="Arial" w:hAnsi="Arial"/>
                <w:sz w:val="16"/>
                <w:szCs w:val="16"/>
                <w:color w:val="auto"/>
              </w:rPr>
              <w:t>Black Hills Electric Generation</w:t>
            </w:r>
          </w:p>
        </w:tc>
        <w:tc>
          <w:tcPr>
            <w:tcW w:w="340" w:type="dxa"/>
            <w:vAlign w:val="bottom"/>
            <w:tcBorders>
              <w:bottom w:val="single" w:sz="8" w:color="auto"/>
            </w:tcBorders>
            <w:shd w:val="clear" w:color="auto" w:fill="CEFFE7"/>
          </w:tcPr>
          <w:p>
            <w:pPr>
              <w:spacing w:after="0"/>
              <w:rPr>
                <w:sz w:val="18"/>
                <w:szCs w:val="18"/>
                <w:color w:val="auto"/>
              </w:rPr>
            </w:pPr>
          </w:p>
        </w:tc>
        <w:tc>
          <w:tcPr>
            <w:tcW w:w="11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1,476</w:t>
            </w:r>
          </w:p>
        </w:tc>
        <w:tc>
          <w:tcPr>
            <w:tcW w:w="540" w:type="dxa"/>
            <w:vAlign w:val="bottom"/>
            <w:tcBorders>
              <w:bottom w:val="single" w:sz="8" w:color="auto"/>
            </w:tcBorders>
            <w:shd w:val="clear" w:color="auto" w:fill="CEFFE7"/>
          </w:tcPr>
          <w:p>
            <w:pPr>
              <w:spacing w:after="0"/>
              <w:rPr>
                <w:sz w:val="18"/>
                <w:szCs w:val="18"/>
                <w:color w:val="auto"/>
              </w:rPr>
            </w:pPr>
          </w:p>
        </w:tc>
        <w:tc>
          <w:tcPr>
            <w:tcW w:w="940" w:type="dxa"/>
            <w:vAlign w:val="bottom"/>
            <w:tcBorders>
              <w:bottom w:val="single" w:sz="8" w:color="auto"/>
            </w:tcBorders>
            <w:gridSpan w:val="2"/>
            <w:shd w:val="clear" w:color="auto" w:fill="CEFFE7"/>
          </w:tcPr>
          <w:p>
            <w:pPr>
              <w:jc w:val="right"/>
              <w:ind w:right="60"/>
              <w:spacing w:after="0"/>
              <w:rPr>
                <w:sz w:val="20"/>
                <w:szCs w:val="20"/>
                <w:color w:val="auto"/>
              </w:rPr>
            </w:pPr>
            <w:r>
              <w:rPr>
                <w:rFonts w:ascii="Arial" w:cs="Arial" w:eastAsia="Arial" w:hAnsi="Arial"/>
                <w:sz w:val="16"/>
                <w:szCs w:val="16"/>
                <w:color w:val="auto"/>
              </w:rPr>
              <w:t>1,629</w:t>
            </w:r>
          </w:p>
        </w:tc>
        <w:tc>
          <w:tcPr>
            <w:tcW w:w="120" w:type="dxa"/>
            <w:vAlign w:val="bottom"/>
            <w:shd w:val="clear" w:color="auto" w:fill="CEFFE7"/>
          </w:tcPr>
          <w:p>
            <w:pPr>
              <w:spacing w:after="0"/>
              <w:rPr>
                <w:sz w:val="18"/>
                <w:szCs w:val="18"/>
                <w:color w:val="auto"/>
              </w:rPr>
            </w:pPr>
          </w:p>
        </w:tc>
        <w:tc>
          <w:tcPr>
            <w:tcW w:w="1580" w:type="dxa"/>
            <w:vAlign w:val="bottom"/>
            <w:tcBorders>
              <w:bottom w:val="single" w:sz="8" w:color="auto"/>
            </w:tcBorders>
            <w:shd w:val="clear" w:color="auto" w:fill="CEFFE7"/>
          </w:tcPr>
          <w:p>
            <w:pPr>
              <w:jc w:val="right"/>
              <w:ind w:right="139"/>
              <w:spacing w:after="0"/>
              <w:rPr>
                <w:sz w:val="20"/>
                <w:szCs w:val="20"/>
                <w:color w:val="auto"/>
              </w:rPr>
            </w:pPr>
            <w:r>
              <w:rPr>
                <w:rFonts w:ascii="Arial" w:cs="Arial" w:eastAsia="Arial" w:hAnsi="Arial"/>
                <w:sz w:val="16"/>
                <w:szCs w:val="16"/>
                <w:color w:val="auto"/>
              </w:rPr>
              <w:t>96,294</w:t>
            </w:r>
          </w:p>
        </w:tc>
        <w:tc>
          <w:tcPr>
            <w:tcW w:w="13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97,279</w:t>
            </w:r>
          </w:p>
        </w:tc>
      </w:tr>
      <w:tr>
        <w:trPr>
          <w:trHeight w:val="213"/>
        </w:trPr>
        <w:tc>
          <w:tcPr>
            <w:tcW w:w="5320" w:type="dxa"/>
            <w:vAlign w:val="bottom"/>
          </w:tcPr>
          <w:p>
            <w:pPr>
              <w:ind w:left="140"/>
              <w:spacing w:after="0"/>
              <w:rPr>
                <w:sz w:val="20"/>
                <w:szCs w:val="20"/>
                <w:color w:val="auto"/>
              </w:rPr>
            </w:pPr>
            <w:r>
              <w:rPr>
                <w:rFonts w:ascii="Arial" w:cs="Arial" w:eastAsia="Arial" w:hAnsi="Arial"/>
                <w:sz w:val="16"/>
                <w:szCs w:val="16"/>
                <w:color w:val="auto"/>
              </w:rPr>
              <w:t>Total Power Generation Revenue and Quantities Sold</w:t>
            </w: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29,163</w:t>
            </w:r>
          </w:p>
        </w:tc>
        <w:tc>
          <w:tcPr>
            <w:tcW w:w="54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25,966</w:t>
            </w:r>
          </w:p>
        </w:tc>
        <w:tc>
          <w:tcPr>
            <w:tcW w:w="120" w:type="dxa"/>
            <w:vAlign w:val="bottom"/>
          </w:tcPr>
          <w:p>
            <w:pPr>
              <w:spacing w:after="0"/>
              <w:rPr>
                <w:sz w:val="18"/>
                <w:szCs w:val="18"/>
                <w:color w:val="auto"/>
              </w:rPr>
            </w:pPr>
          </w:p>
        </w:tc>
        <w:tc>
          <w:tcPr>
            <w:tcW w:w="15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500,445</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518,856</w:t>
            </w:r>
          </w:p>
        </w:tc>
      </w:tr>
      <w:tr>
        <w:trPr>
          <w:trHeight w:val="21"/>
        </w:trPr>
        <w:tc>
          <w:tcPr>
            <w:tcW w:w="5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80" w:type="dxa"/>
            <w:vAlign w:val="bottom"/>
            <w:tcBorders>
              <w:bottom w:val="single" w:sz="8" w:color="auto"/>
            </w:tcBorders>
            <w:gridSpan w:val="2"/>
          </w:tcPr>
          <w:p>
            <w:pPr>
              <w:spacing w:after="0" w:line="20" w:lineRule="exact"/>
              <w:rPr>
                <w:sz w:val="1"/>
                <w:szCs w:val="1"/>
                <w:color w:val="auto"/>
              </w:rPr>
            </w:pPr>
          </w:p>
        </w:tc>
      </w:tr>
      <w:tr>
        <w:trPr>
          <w:trHeight w:val="581"/>
        </w:trPr>
        <w:tc>
          <w:tcPr>
            <w:tcW w:w="5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0" w:type="dxa"/>
            <w:vAlign w:val="bottom"/>
            <w:gridSpan w:val="3"/>
          </w:tcPr>
          <w:p>
            <w:pPr>
              <w:jc w:val="right"/>
              <w:ind w:right="539"/>
              <w:spacing w:after="0"/>
              <w:rPr>
                <w:sz w:val="20"/>
                <w:szCs w:val="20"/>
                <w:color w:val="auto"/>
              </w:rPr>
            </w:pPr>
            <w:r>
              <w:rPr>
                <w:rFonts w:ascii="Arial" w:cs="Arial" w:eastAsia="Arial" w:hAnsi="Arial"/>
                <w:sz w:val="16"/>
                <w:szCs w:val="16"/>
                <w:color w:val="auto"/>
              </w:rPr>
              <w:t>Three Months Ended March 31,</w:t>
            </w:r>
          </w:p>
        </w:tc>
      </w:tr>
      <w:tr>
        <w:trPr>
          <w:trHeight w:val="222"/>
        </w:trPr>
        <w:tc>
          <w:tcPr>
            <w:tcW w:w="5320" w:type="dxa"/>
            <w:vAlign w:val="bottom"/>
            <w:tcBorders>
              <w:bottom w:val="single" w:sz="8" w:color="auto"/>
            </w:tcBorders>
          </w:tcPr>
          <w:p>
            <w:pPr>
              <w:ind w:left="20"/>
              <w:spacing w:after="0" w:line="222" w:lineRule="exact"/>
              <w:rPr>
                <w:sz w:val="20"/>
                <w:szCs w:val="20"/>
                <w:color w:val="auto"/>
              </w:rPr>
            </w:pPr>
            <w:r>
              <w:rPr>
                <w:rFonts w:ascii="Arial" w:cs="Arial" w:eastAsia="Arial" w:hAnsi="Arial"/>
                <w:sz w:val="16"/>
                <w:szCs w:val="16"/>
                <w:color w:val="auto"/>
              </w:rPr>
              <w:t xml:space="preserve">Quantities Generated and Purchased (MWh) </w:t>
            </w:r>
            <w:r>
              <w:rPr>
                <w:rFonts w:ascii="Arial" w:cs="Arial" w:eastAsia="Arial" w:hAnsi="Arial"/>
                <w:sz w:val="21"/>
                <w:szCs w:val="21"/>
                <w:color w:val="auto"/>
                <w:vertAlign w:val="superscript"/>
              </w:rPr>
              <w:t>(a)</w:t>
            </w:r>
          </w:p>
        </w:tc>
        <w:tc>
          <w:tcPr>
            <w:tcW w:w="3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2"/>
          </w:tcPr>
          <w:p>
            <w:pPr>
              <w:jc w:val="center"/>
              <w:ind w:left="599"/>
              <w:spacing w:after="0"/>
              <w:rPr>
                <w:sz w:val="20"/>
                <w:szCs w:val="20"/>
                <w:color w:val="auto"/>
              </w:rPr>
            </w:pPr>
            <w:r>
              <w:rPr>
                <w:rFonts w:ascii="Arial" w:cs="Arial" w:eastAsia="Arial" w:hAnsi="Arial"/>
                <w:sz w:val="16"/>
                <w:szCs w:val="16"/>
                <w:color w:val="auto"/>
              </w:rPr>
              <w:t>Fuel Type</w:t>
            </w:r>
          </w:p>
        </w:tc>
        <w:tc>
          <w:tcPr>
            <w:tcW w:w="4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2"/>
          </w:tcPr>
          <w:p>
            <w:pPr>
              <w:jc w:val="right"/>
              <w:ind w:right="1079"/>
              <w:spacing w:after="0"/>
              <w:rPr>
                <w:sz w:val="20"/>
                <w:szCs w:val="20"/>
                <w:color w:val="auto"/>
              </w:rPr>
            </w:pPr>
            <w:r>
              <w:rPr>
                <w:rFonts w:ascii="Arial" w:cs="Arial" w:eastAsia="Arial" w:hAnsi="Arial"/>
                <w:sz w:val="16"/>
                <w:szCs w:val="16"/>
                <w:color w:val="auto"/>
              </w:rPr>
              <w:t>2021</w:t>
            </w:r>
          </w:p>
        </w:tc>
        <w:tc>
          <w:tcPr>
            <w:tcW w:w="130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color w:val="auto"/>
              </w:rPr>
              <w:t>2020</w:t>
            </w:r>
          </w:p>
        </w:tc>
      </w:tr>
      <w:tr>
        <w:trPr>
          <w:trHeight w:val="207"/>
        </w:trPr>
        <w:tc>
          <w:tcPr>
            <w:tcW w:w="5320" w:type="dxa"/>
            <w:vAlign w:val="bottom"/>
          </w:tcPr>
          <w:p>
            <w:pPr>
              <w:ind w:left="20"/>
              <w:spacing w:after="0"/>
              <w:rPr>
                <w:sz w:val="20"/>
                <w:szCs w:val="20"/>
                <w:color w:val="auto"/>
              </w:rPr>
            </w:pPr>
            <w:r>
              <w:rPr>
                <w:rFonts w:ascii="Arial" w:cs="Arial" w:eastAsia="Arial" w:hAnsi="Arial"/>
                <w:sz w:val="16"/>
                <w:szCs w:val="16"/>
                <w:color w:val="auto"/>
              </w:rPr>
              <w:t>Generated</w:t>
            </w: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19"/>
        </w:trPr>
        <w:tc>
          <w:tcPr>
            <w:tcW w:w="5320" w:type="dxa"/>
            <w:vAlign w:val="bottom"/>
            <w:shd w:val="clear" w:color="auto" w:fill="CEFFE7"/>
          </w:tcPr>
          <w:p>
            <w:pPr>
              <w:ind w:left="360"/>
              <w:spacing w:after="0"/>
              <w:rPr>
                <w:sz w:val="20"/>
                <w:szCs w:val="20"/>
                <w:color w:val="auto"/>
              </w:rPr>
            </w:pPr>
            <w:r>
              <w:rPr>
                <w:rFonts w:ascii="Arial" w:cs="Arial" w:eastAsia="Arial" w:hAnsi="Arial"/>
                <w:sz w:val="16"/>
                <w:szCs w:val="16"/>
                <w:color w:val="auto"/>
              </w:rPr>
              <w:t>Black Hills Colorado IPP</w:t>
            </w:r>
          </w:p>
        </w:tc>
        <w:tc>
          <w:tcPr>
            <w:tcW w:w="340" w:type="dxa"/>
            <w:vAlign w:val="bottom"/>
            <w:shd w:val="clear" w:color="auto" w:fill="CEFFE7"/>
          </w:tcPr>
          <w:p>
            <w:pPr>
              <w:spacing w:after="0"/>
              <w:rPr>
                <w:sz w:val="19"/>
                <w:szCs w:val="19"/>
                <w:color w:val="auto"/>
              </w:rPr>
            </w:pPr>
          </w:p>
        </w:tc>
        <w:tc>
          <w:tcPr>
            <w:tcW w:w="1640" w:type="dxa"/>
            <w:vAlign w:val="bottom"/>
            <w:gridSpan w:val="2"/>
            <w:shd w:val="clear" w:color="auto" w:fill="CEFFE7"/>
          </w:tcPr>
          <w:p>
            <w:pPr>
              <w:jc w:val="center"/>
              <w:ind w:left="599"/>
              <w:spacing w:after="0"/>
              <w:rPr>
                <w:sz w:val="20"/>
                <w:szCs w:val="20"/>
                <w:color w:val="auto"/>
              </w:rPr>
            </w:pPr>
            <w:r>
              <w:rPr>
                <w:rFonts w:ascii="Arial" w:cs="Arial" w:eastAsia="Arial" w:hAnsi="Arial"/>
                <w:sz w:val="16"/>
                <w:szCs w:val="16"/>
                <w:color w:val="auto"/>
              </w:rPr>
              <w:t>Natural Gas</w:t>
            </w:r>
          </w:p>
        </w:tc>
        <w:tc>
          <w:tcPr>
            <w:tcW w:w="420" w:type="dxa"/>
            <w:vAlign w:val="bottom"/>
            <w:shd w:val="clear" w:color="auto" w:fill="CEFFE7"/>
          </w:tcPr>
          <w:p>
            <w:pPr>
              <w:spacing w:after="0"/>
              <w:rPr>
                <w:sz w:val="19"/>
                <w:szCs w:val="19"/>
                <w:color w:val="auto"/>
              </w:rPr>
            </w:pPr>
          </w:p>
        </w:tc>
        <w:tc>
          <w:tcPr>
            <w:tcW w:w="520" w:type="dxa"/>
            <w:vAlign w:val="bottom"/>
            <w:shd w:val="clear" w:color="auto" w:fill="CEFFE7"/>
          </w:tcPr>
          <w:p>
            <w:pPr>
              <w:spacing w:after="0"/>
              <w:rPr>
                <w:sz w:val="19"/>
                <w:szCs w:val="19"/>
                <w:color w:val="auto"/>
              </w:rPr>
            </w:pPr>
          </w:p>
        </w:tc>
        <w:tc>
          <w:tcPr>
            <w:tcW w:w="1700" w:type="dxa"/>
            <w:vAlign w:val="bottom"/>
            <w:gridSpan w:val="2"/>
            <w:shd w:val="clear" w:color="auto" w:fill="CEFFE7"/>
          </w:tcPr>
          <w:p>
            <w:pPr>
              <w:jc w:val="right"/>
              <w:ind w:right="459"/>
              <w:spacing w:after="0"/>
              <w:rPr>
                <w:sz w:val="20"/>
                <w:szCs w:val="20"/>
                <w:color w:val="auto"/>
              </w:rPr>
            </w:pPr>
            <w:r>
              <w:rPr>
                <w:rFonts w:ascii="Arial" w:cs="Arial" w:eastAsia="Arial" w:hAnsi="Arial"/>
                <w:sz w:val="16"/>
                <w:szCs w:val="16"/>
                <w:color w:val="auto"/>
              </w:rPr>
              <w:t>239,194</w:t>
            </w:r>
          </w:p>
        </w:tc>
        <w:tc>
          <w:tcPr>
            <w:tcW w:w="13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265,225</w:t>
            </w:r>
          </w:p>
        </w:tc>
      </w:tr>
      <w:tr>
        <w:trPr>
          <w:trHeight w:val="216"/>
        </w:trPr>
        <w:tc>
          <w:tcPr>
            <w:tcW w:w="5320" w:type="dxa"/>
            <w:vAlign w:val="bottom"/>
          </w:tcPr>
          <w:p>
            <w:pPr>
              <w:ind w:left="360"/>
              <w:spacing w:after="0" w:line="216" w:lineRule="exact"/>
              <w:rPr>
                <w:sz w:val="20"/>
                <w:szCs w:val="20"/>
                <w:color w:val="auto"/>
              </w:rPr>
            </w:pPr>
            <w:r>
              <w:rPr>
                <w:rFonts w:ascii="Arial" w:cs="Arial" w:eastAsia="Arial" w:hAnsi="Arial"/>
                <w:sz w:val="16"/>
                <w:szCs w:val="16"/>
                <w:color w:val="auto"/>
              </w:rPr>
              <w:t xml:space="preserve">Black Hills Wyoming </w:t>
            </w:r>
            <w:r>
              <w:rPr>
                <w:rFonts w:ascii="Arial" w:cs="Arial" w:eastAsia="Arial" w:hAnsi="Arial"/>
                <w:sz w:val="21"/>
                <w:szCs w:val="21"/>
                <w:color w:val="auto"/>
                <w:vertAlign w:val="superscript"/>
              </w:rPr>
              <w:t>(b)</w:t>
            </w:r>
          </w:p>
        </w:tc>
        <w:tc>
          <w:tcPr>
            <w:tcW w:w="340" w:type="dxa"/>
            <w:vAlign w:val="bottom"/>
          </w:tcPr>
          <w:p>
            <w:pPr>
              <w:spacing w:after="0"/>
              <w:rPr>
                <w:sz w:val="18"/>
                <w:szCs w:val="18"/>
                <w:color w:val="auto"/>
              </w:rPr>
            </w:pPr>
          </w:p>
        </w:tc>
        <w:tc>
          <w:tcPr>
            <w:tcW w:w="1640" w:type="dxa"/>
            <w:vAlign w:val="bottom"/>
            <w:gridSpan w:val="2"/>
          </w:tcPr>
          <w:p>
            <w:pPr>
              <w:jc w:val="center"/>
              <w:ind w:left="599"/>
              <w:spacing w:after="0"/>
              <w:rPr>
                <w:sz w:val="20"/>
                <w:szCs w:val="20"/>
                <w:color w:val="auto"/>
              </w:rPr>
            </w:pPr>
            <w:r>
              <w:rPr>
                <w:rFonts w:ascii="Arial" w:cs="Arial" w:eastAsia="Arial" w:hAnsi="Arial"/>
                <w:sz w:val="16"/>
                <w:szCs w:val="16"/>
                <w:color w:val="auto"/>
                <w:w w:val="97"/>
              </w:rPr>
              <w:t>Coal</w:t>
            </w: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700" w:type="dxa"/>
            <w:vAlign w:val="bottom"/>
            <w:gridSpan w:val="2"/>
          </w:tcPr>
          <w:p>
            <w:pPr>
              <w:jc w:val="right"/>
              <w:ind w:right="459"/>
              <w:spacing w:after="0"/>
              <w:rPr>
                <w:sz w:val="20"/>
                <w:szCs w:val="20"/>
                <w:color w:val="auto"/>
              </w:rPr>
            </w:pPr>
            <w:r>
              <w:rPr>
                <w:rFonts w:ascii="Arial" w:cs="Arial" w:eastAsia="Arial" w:hAnsi="Arial"/>
                <w:sz w:val="16"/>
                <w:szCs w:val="16"/>
                <w:color w:val="auto"/>
              </w:rPr>
              <w:t>136,104</w:t>
            </w:r>
          </w:p>
        </w:tc>
        <w:tc>
          <w:tcPr>
            <w:tcW w:w="1300" w:type="dxa"/>
            <w:vAlign w:val="bottom"/>
          </w:tcPr>
          <w:p>
            <w:pPr>
              <w:jc w:val="right"/>
              <w:spacing w:after="0"/>
              <w:rPr>
                <w:sz w:val="20"/>
                <w:szCs w:val="20"/>
                <w:color w:val="auto"/>
              </w:rPr>
            </w:pPr>
            <w:r>
              <w:rPr>
                <w:rFonts w:ascii="Arial" w:cs="Arial" w:eastAsia="Arial" w:hAnsi="Arial"/>
                <w:sz w:val="16"/>
                <w:szCs w:val="16"/>
                <w:color w:val="auto"/>
              </w:rPr>
              <w:t>126,485</w:t>
            </w:r>
          </w:p>
        </w:tc>
      </w:tr>
      <w:tr>
        <w:trPr>
          <w:trHeight w:val="213"/>
        </w:trPr>
        <w:tc>
          <w:tcPr>
            <w:tcW w:w="5320" w:type="dxa"/>
            <w:vAlign w:val="bottom"/>
            <w:shd w:val="clear" w:color="auto" w:fill="CEFFE7"/>
          </w:tcPr>
          <w:p>
            <w:pPr>
              <w:ind w:left="360"/>
              <w:spacing w:after="0"/>
              <w:rPr>
                <w:sz w:val="20"/>
                <w:szCs w:val="20"/>
                <w:color w:val="auto"/>
              </w:rPr>
            </w:pPr>
            <w:r>
              <w:rPr>
                <w:rFonts w:ascii="Arial" w:cs="Arial" w:eastAsia="Arial" w:hAnsi="Arial"/>
                <w:sz w:val="16"/>
                <w:szCs w:val="16"/>
                <w:color w:val="auto"/>
              </w:rPr>
              <w:t>Black Hills Electric Generation</w:t>
            </w:r>
          </w:p>
        </w:tc>
        <w:tc>
          <w:tcPr>
            <w:tcW w:w="340" w:type="dxa"/>
            <w:vAlign w:val="bottom"/>
            <w:shd w:val="clear" w:color="auto" w:fill="CEFFE7"/>
          </w:tcPr>
          <w:p>
            <w:pPr>
              <w:spacing w:after="0"/>
              <w:rPr>
                <w:sz w:val="18"/>
                <w:szCs w:val="18"/>
                <w:color w:val="auto"/>
              </w:rPr>
            </w:pPr>
          </w:p>
        </w:tc>
        <w:tc>
          <w:tcPr>
            <w:tcW w:w="1640" w:type="dxa"/>
            <w:vAlign w:val="bottom"/>
            <w:gridSpan w:val="2"/>
            <w:shd w:val="clear" w:color="auto" w:fill="CEFFE7"/>
          </w:tcPr>
          <w:p>
            <w:pPr>
              <w:jc w:val="center"/>
              <w:ind w:left="599"/>
              <w:spacing w:after="0"/>
              <w:rPr>
                <w:sz w:val="20"/>
                <w:szCs w:val="20"/>
                <w:color w:val="auto"/>
              </w:rPr>
            </w:pPr>
            <w:r>
              <w:rPr>
                <w:rFonts w:ascii="Arial" w:cs="Arial" w:eastAsia="Arial" w:hAnsi="Arial"/>
                <w:sz w:val="16"/>
                <w:szCs w:val="16"/>
                <w:color w:val="auto"/>
                <w:w w:val="98"/>
              </w:rPr>
              <w:t>Wind</w:t>
            </w:r>
          </w:p>
        </w:tc>
        <w:tc>
          <w:tcPr>
            <w:tcW w:w="420" w:type="dxa"/>
            <w:vAlign w:val="bottom"/>
            <w:shd w:val="clear" w:color="auto" w:fill="CEFFE7"/>
          </w:tcPr>
          <w:p>
            <w:pPr>
              <w:spacing w:after="0"/>
              <w:rPr>
                <w:sz w:val="18"/>
                <w:szCs w:val="18"/>
                <w:color w:val="auto"/>
              </w:rPr>
            </w:pPr>
          </w:p>
        </w:tc>
        <w:tc>
          <w:tcPr>
            <w:tcW w:w="520" w:type="dxa"/>
            <w:vAlign w:val="bottom"/>
            <w:tcBorders>
              <w:bottom w:val="single" w:sz="8" w:color="auto"/>
            </w:tcBorders>
            <w:shd w:val="clear" w:color="auto" w:fill="CEFFE7"/>
          </w:tcPr>
          <w:p>
            <w:pPr>
              <w:spacing w:after="0"/>
              <w:rPr>
                <w:sz w:val="18"/>
                <w:szCs w:val="18"/>
                <w:color w:val="auto"/>
              </w:rPr>
            </w:pPr>
          </w:p>
        </w:tc>
        <w:tc>
          <w:tcPr>
            <w:tcW w:w="1700" w:type="dxa"/>
            <w:vAlign w:val="bottom"/>
            <w:tcBorders>
              <w:bottom w:val="single" w:sz="8" w:color="auto"/>
            </w:tcBorders>
            <w:gridSpan w:val="2"/>
            <w:shd w:val="clear" w:color="auto" w:fill="CEFFE7"/>
          </w:tcPr>
          <w:p>
            <w:pPr>
              <w:jc w:val="right"/>
              <w:ind w:right="459"/>
              <w:spacing w:after="0"/>
              <w:rPr>
                <w:sz w:val="20"/>
                <w:szCs w:val="20"/>
                <w:color w:val="auto"/>
              </w:rPr>
            </w:pPr>
            <w:r>
              <w:rPr>
                <w:rFonts w:ascii="Arial" w:cs="Arial" w:eastAsia="Arial" w:hAnsi="Arial"/>
                <w:sz w:val="16"/>
                <w:szCs w:val="16"/>
                <w:color w:val="auto"/>
              </w:rPr>
              <w:t>96,294</w:t>
            </w:r>
          </w:p>
        </w:tc>
        <w:tc>
          <w:tcPr>
            <w:tcW w:w="13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97,279</w:t>
            </w:r>
          </w:p>
        </w:tc>
      </w:tr>
      <w:tr>
        <w:trPr>
          <w:trHeight w:val="213"/>
        </w:trPr>
        <w:tc>
          <w:tcPr>
            <w:tcW w:w="5320" w:type="dxa"/>
            <w:vAlign w:val="bottom"/>
          </w:tcPr>
          <w:p>
            <w:pPr>
              <w:ind w:left="800"/>
              <w:spacing w:after="0"/>
              <w:rPr>
                <w:sz w:val="20"/>
                <w:szCs w:val="20"/>
                <w:color w:val="auto"/>
              </w:rPr>
            </w:pPr>
            <w:r>
              <w:rPr>
                <w:rFonts w:ascii="Arial" w:cs="Arial" w:eastAsia="Arial" w:hAnsi="Arial"/>
                <w:sz w:val="16"/>
                <w:szCs w:val="16"/>
                <w:color w:val="auto"/>
              </w:rPr>
              <w:t>Total Generated</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2"/>
          </w:tcPr>
          <w:p>
            <w:pPr>
              <w:jc w:val="right"/>
              <w:ind w:right="459"/>
              <w:spacing w:after="0"/>
              <w:rPr>
                <w:sz w:val="20"/>
                <w:szCs w:val="20"/>
                <w:color w:val="auto"/>
              </w:rPr>
            </w:pPr>
            <w:r>
              <w:rPr>
                <w:rFonts w:ascii="Arial" w:cs="Arial" w:eastAsia="Arial" w:hAnsi="Arial"/>
                <w:sz w:val="16"/>
                <w:szCs w:val="16"/>
                <w:color w:val="auto"/>
              </w:rPr>
              <w:t>471,592</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488,989</w:t>
            </w:r>
          </w:p>
        </w:tc>
      </w:tr>
      <w:tr>
        <w:trPr>
          <w:trHeight w:val="20"/>
        </w:trPr>
        <w:tc>
          <w:tcPr>
            <w:tcW w:w="5320" w:type="dxa"/>
            <w:vAlign w:val="bottom"/>
            <w:tcBorders>
              <w:bottom w:val="single" w:sz="8" w:color="CEFFE7"/>
            </w:tcBorders>
          </w:tcPr>
          <w:p>
            <w:pPr>
              <w:spacing w:after="0" w:line="20" w:lineRule="exact"/>
              <w:rPr>
                <w:sz w:val="1"/>
                <w:szCs w:val="1"/>
                <w:color w:val="auto"/>
              </w:rPr>
            </w:pPr>
          </w:p>
        </w:tc>
        <w:tc>
          <w:tcPr>
            <w:tcW w:w="340" w:type="dxa"/>
            <w:vAlign w:val="bottom"/>
            <w:tcBorders>
              <w:bottom w:val="single" w:sz="8" w:color="CEFFE7"/>
            </w:tcBorders>
          </w:tcPr>
          <w:p>
            <w:pPr>
              <w:spacing w:after="0" w:line="20" w:lineRule="exact"/>
              <w:rPr>
                <w:sz w:val="1"/>
                <w:szCs w:val="1"/>
                <w:color w:val="auto"/>
              </w:rPr>
            </w:pPr>
          </w:p>
        </w:tc>
        <w:tc>
          <w:tcPr>
            <w:tcW w:w="1100" w:type="dxa"/>
            <w:vAlign w:val="bottom"/>
            <w:tcBorders>
              <w:bottom w:val="single" w:sz="8" w:color="CEFFE7"/>
            </w:tcBorders>
          </w:tcPr>
          <w:p>
            <w:pPr>
              <w:spacing w:after="0" w:line="20" w:lineRule="exact"/>
              <w:rPr>
                <w:sz w:val="1"/>
                <w:szCs w:val="1"/>
                <w:color w:val="auto"/>
              </w:rPr>
            </w:pPr>
          </w:p>
        </w:tc>
        <w:tc>
          <w:tcPr>
            <w:tcW w:w="540" w:type="dxa"/>
            <w:vAlign w:val="bottom"/>
            <w:tcBorders>
              <w:bottom w:val="single" w:sz="8" w:color="CEFFE7"/>
            </w:tcBorders>
          </w:tcPr>
          <w:p>
            <w:pPr>
              <w:spacing w:after="0" w:line="20" w:lineRule="exact"/>
              <w:rPr>
                <w:sz w:val="1"/>
                <w:szCs w:val="1"/>
                <w:color w:val="auto"/>
              </w:rPr>
            </w:pPr>
          </w:p>
        </w:tc>
        <w:tc>
          <w:tcPr>
            <w:tcW w:w="420" w:type="dxa"/>
            <w:vAlign w:val="bottom"/>
            <w:tcBorders>
              <w:bottom w:val="single" w:sz="8" w:color="CEFFE7"/>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37"/>
        </w:trPr>
        <w:tc>
          <w:tcPr>
            <w:tcW w:w="5320" w:type="dxa"/>
            <w:vAlign w:val="bottom"/>
            <w:shd w:val="clear" w:color="auto" w:fill="CEFFE7"/>
          </w:tcPr>
          <w:p>
            <w:pPr>
              <w:spacing w:after="0"/>
              <w:rPr>
                <w:sz w:val="20"/>
                <w:szCs w:val="20"/>
                <w:color w:val="auto"/>
              </w:rPr>
            </w:pPr>
          </w:p>
        </w:tc>
        <w:tc>
          <w:tcPr>
            <w:tcW w:w="340" w:type="dxa"/>
            <w:vAlign w:val="bottom"/>
            <w:shd w:val="clear" w:color="auto" w:fill="CEFFE7"/>
          </w:tcPr>
          <w:p>
            <w:pPr>
              <w:spacing w:after="0"/>
              <w:rPr>
                <w:sz w:val="20"/>
                <w:szCs w:val="20"/>
                <w:color w:val="auto"/>
              </w:rPr>
            </w:pPr>
          </w:p>
        </w:tc>
        <w:tc>
          <w:tcPr>
            <w:tcW w:w="1100" w:type="dxa"/>
            <w:vAlign w:val="bottom"/>
            <w:shd w:val="clear" w:color="auto" w:fill="CEFFE7"/>
          </w:tcPr>
          <w:p>
            <w:pPr>
              <w:spacing w:after="0"/>
              <w:rPr>
                <w:sz w:val="20"/>
                <w:szCs w:val="20"/>
                <w:color w:val="auto"/>
              </w:rPr>
            </w:pPr>
          </w:p>
        </w:tc>
        <w:tc>
          <w:tcPr>
            <w:tcW w:w="540" w:type="dxa"/>
            <w:vAlign w:val="bottom"/>
            <w:shd w:val="clear" w:color="auto" w:fill="CEFFE7"/>
          </w:tcPr>
          <w:p>
            <w:pPr>
              <w:spacing w:after="0"/>
              <w:rPr>
                <w:sz w:val="20"/>
                <w:szCs w:val="20"/>
                <w:color w:val="auto"/>
              </w:rPr>
            </w:pPr>
          </w:p>
        </w:tc>
        <w:tc>
          <w:tcPr>
            <w:tcW w:w="420" w:type="dxa"/>
            <w:vAlign w:val="bottom"/>
            <w:shd w:val="clear" w:color="auto" w:fill="CEFFE7"/>
          </w:tcPr>
          <w:p>
            <w:pPr>
              <w:spacing w:after="0"/>
              <w:rPr>
                <w:sz w:val="20"/>
                <w:szCs w:val="20"/>
                <w:color w:val="auto"/>
              </w:rPr>
            </w:pPr>
          </w:p>
        </w:tc>
        <w:tc>
          <w:tcPr>
            <w:tcW w:w="520" w:type="dxa"/>
            <w:vAlign w:val="bottom"/>
            <w:shd w:val="clear" w:color="auto" w:fill="CEFFE7"/>
          </w:tcPr>
          <w:p>
            <w:pPr>
              <w:spacing w:after="0"/>
              <w:rPr>
                <w:sz w:val="20"/>
                <w:szCs w:val="20"/>
                <w:color w:val="auto"/>
              </w:rPr>
            </w:pPr>
          </w:p>
        </w:tc>
        <w:tc>
          <w:tcPr>
            <w:tcW w:w="120" w:type="dxa"/>
            <w:vAlign w:val="bottom"/>
            <w:shd w:val="clear" w:color="auto" w:fill="CEFFE7"/>
          </w:tcPr>
          <w:p>
            <w:pPr>
              <w:spacing w:after="0"/>
              <w:rPr>
                <w:sz w:val="20"/>
                <w:szCs w:val="20"/>
                <w:color w:val="auto"/>
              </w:rPr>
            </w:pPr>
          </w:p>
        </w:tc>
        <w:tc>
          <w:tcPr>
            <w:tcW w:w="1580" w:type="dxa"/>
            <w:vAlign w:val="bottom"/>
            <w:shd w:val="clear" w:color="auto" w:fill="CEFFE7"/>
          </w:tcPr>
          <w:p>
            <w:pPr>
              <w:spacing w:after="0"/>
              <w:rPr>
                <w:sz w:val="20"/>
                <w:szCs w:val="20"/>
                <w:color w:val="auto"/>
              </w:rPr>
            </w:pPr>
          </w:p>
        </w:tc>
        <w:tc>
          <w:tcPr>
            <w:tcW w:w="1300" w:type="dxa"/>
            <w:vAlign w:val="bottom"/>
            <w:shd w:val="clear" w:color="auto" w:fill="CEFFE7"/>
          </w:tcPr>
          <w:p>
            <w:pPr>
              <w:spacing w:after="0"/>
              <w:rPr>
                <w:sz w:val="20"/>
                <w:szCs w:val="20"/>
                <w:color w:val="auto"/>
              </w:rPr>
            </w:pPr>
          </w:p>
        </w:tc>
      </w:tr>
      <w:tr>
        <w:trPr>
          <w:trHeight w:val="213"/>
        </w:trPr>
        <w:tc>
          <w:tcPr>
            <w:tcW w:w="5320" w:type="dxa"/>
            <w:vAlign w:val="bottom"/>
          </w:tcPr>
          <w:p>
            <w:pPr>
              <w:ind w:left="20"/>
              <w:spacing w:after="0"/>
              <w:rPr>
                <w:sz w:val="20"/>
                <w:szCs w:val="20"/>
                <w:color w:val="auto"/>
              </w:rPr>
            </w:pPr>
            <w:r>
              <w:rPr>
                <w:rFonts w:ascii="Arial" w:cs="Arial" w:eastAsia="Arial" w:hAnsi="Arial"/>
                <w:sz w:val="16"/>
                <w:szCs w:val="16"/>
                <w:color w:val="auto"/>
              </w:rPr>
              <w:t>Purchased</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9"/>
        </w:trPr>
        <w:tc>
          <w:tcPr>
            <w:tcW w:w="5320" w:type="dxa"/>
            <w:vAlign w:val="bottom"/>
            <w:shd w:val="clear" w:color="auto" w:fill="CEFFE7"/>
          </w:tcPr>
          <w:p>
            <w:pPr>
              <w:ind w:left="360"/>
              <w:spacing w:after="0" w:line="219" w:lineRule="exact"/>
              <w:rPr>
                <w:sz w:val="20"/>
                <w:szCs w:val="20"/>
                <w:color w:val="auto"/>
              </w:rPr>
            </w:pPr>
            <w:r>
              <w:rPr>
                <w:rFonts w:ascii="Arial" w:cs="Arial" w:eastAsia="Arial" w:hAnsi="Arial"/>
                <w:sz w:val="16"/>
                <w:szCs w:val="16"/>
                <w:color w:val="auto"/>
              </w:rPr>
              <w:t xml:space="preserve">Black Hills Wyoming </w:t>
            </w:r>
            <w:r>
              <w:rPr>
                <w:rFonts w:ascii="Arial" w:cs="Arial" w:eastAsia="Arial" w:hAnsi="Arial"/>
                <w:sz w:val="21"/>
                <w:szCs w:val="21"/>
                <w:color w:val="auto"/>
                <w:vertAlign w:val="superscript"/>
              </w:rPr>
              <w:t>(b)</w:t>
            </w:r>
          </w:p>
        </w:tc>
        <w:tc>
          <w:tcPr>
            <w:tcW w:w="340" w:type="dxa"/>
            <w:vAlign w:val="bottom"/>
            <w:shd w:val="clear" w:color="auto" w:fill="CEFFE7"/>
          </w:tcPr>
          <w:p>
            <w:pPr>
              <w:spacing w:after="0"/>
              <w:rPr>
                <w:sz w:val="19"/>
                <w:szCs w:val="19"/>
                <w:color w:val="auto"/>
              </w:rPr>
            </w:pPr>
          </w:p>
        </w:tc>
        <w:tc>
          <w:tcPr>
            <w:tcW w:w="1640" w:type="dxa"/>
            <w:vAlign w:val="bottom"/>
            <w:gridSpan w:val="2"/>
            <w:shd w:val="clear" w:color="auto" w:fill="CEFFE7"/>
          </w:tcPr>
          <w:p>
            <w:pPr>
              <w:jc w:val="center"/>
              <w:ind w:left="599"/>
              <w:spacing w:after="0"/>
              <w:rPr>
                <w:sz w:val="20"/>
                <w:szCs w:val="20"/>
                <w:color w:val="auto"/>
              </w:rPr>
            </w:pPr>
            <w:r>
              <w:rPr>
                <w:rFonts w:ascii="Arial" w:cs="Arial" w:eastAsia="Arial" w:hAnsi="Arial"/>
                <w:sz w:val="16"/>
                <w:szCs w:val="16"/>
                <w:color w:val="auto"/>
                <w:w w:val="95"/>
              </w:rPr>
              <w:t>Various</w:t>
            </w:r>
          </w:p>
        </w:tc>
        <w:tc>
          <w:tcPr>
            <w:tcW w:w="420" w:type="dxa"/>
            <w:vAlign w:val="bottom"/>
            <w:shd w:val="clear" w:color="auto" w:fill="CEFFE7"/>
          </w:tcPr>
          <w:p>
            <w:pPr>
              <w:spacing w:after="0"/>
              <w:rPr>
                <w:sz w:val="19"/>
                <w:szCs w:val="19"/>
                <w:color w:val="auto"/>
              </w:rPr>
            </w:pPr>
          </w:p>
        </w:tc>
        <w:tc>
          <w:tcPr>
            <w:tcW w:w="520" w:type="dxa"/>
            <w:vAlign w:val="bottom"/>
            <w:tcBorders>
              <w:bottom w:val="single" w:sz="8" w:color="auto"/>
            </w:tcBorders>
            <w:shd w:val="clear" w:color="auto" w:fill="CEFFE7"/>
          </w:tcPr>
          <w:p>
            <w:pPr>
              <w:spacing w:after="0"/>
              <w:rPr>
                <w:sz w:val="19"/>
                <w:szCs w:val="19"/>
                <w:color w:val="auto"/>
              </w:rPr>
            </w:pPr>
          </w:p>
        </w:tc>
        <w:tc>
          <w:tcPr>
            <w:tcW w:w="1700" w:type="dxa"/>
            <w:vAlign w:val="bottom"/>
            <w:tcBorders>
              <w:bottom w:val="single" w:sz="8" w:color="auto"/>
            </w:tcBorders>
            <w:gridSpan w:val="2"/>
            <w:shd w:val="clear" w:color="auto" w:fill="CEFFE7"/>
          </w:tcPr>
          <w:p>
            <w:pPr>
              <w:jc w:val="right"/>
              <w:ind w:right="459"/>
              <w:spacing w:after="0"/>
              <w:rPr>
                <w:sz w:val="20"/>
                <w:szCs w:val="20"/>
                <w:color w:val="auto"/>
              </w:rPr>
            </w:pPr>
            <w:r>
              <w:rPr>
                <w:rFonts w:ascii="Arial" w:cs="Arial" w:eastAsia="Arial" w:hAnsi="Arial"/>
                <w:sz w:val="16"/>
                <w:szCs w:val="16"/>
                <w:color w:val="auto"/>
              </w:rPr>
              <w:t>29,567</w:t>
            </w:r>
          </w:p>
        </w:tc>
        <w:tc>
          <w:tcPr>
            <w:tcW w:w="13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29,856</w:t>
            </w:r>
          </w:p>
        </w:tc>
      </w:tr>
      <w:tr>
        <w:trPr>
          <w:trHeight w:val="210"/>
        </w:trPr>
        <w:tc>
          <w:tcPr>
            <w:tcW w:w="5320" w:type="dxa"/>
            <w:vAlign w:val="bottom"/>
          </w:tcPr>
          <w:p>
            <w:pPr>
              <w:ind w:left="800"/>
              <w:spacing w:after="0"/>
              <w:rPr>
                <w:sz w:val="20"/>
                <w:szCs w:val="20"/>
                <w:color w:val="auto"/>
              </w:rPr>
            </w:pPr>
            <w:r>
              <w:rPr>
                <w:rFonts w:ascii="Arial" w:cs="Arial" w:eastAsia="Arial" w:hAnsi="Arial"/>
                <w:sz w:val="16"/>
                <w:szCs w:val="16"/>
                <w:color w:val="auto"/>
              </w:rPr>
              <w:t>Total Purchased</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2"/>
          </w:tcPr>
          <w:p>
            <w:pPr>
              <w:jc w:val="right"/>
              <w:ind w:right="459"/>
              <w:spacing w:after="0"/>
              <w:rPr>
                <w:sz w:val="20"/>
                <w:szCs w:val="20"/>
                <w:color w:val="auto"/>
              </w:rPr>
            </w:pPr>
            <w:r>
              <w:rPr>
                <w:rFonts w:ascii="Arial" w:cs="Arial" w:eastAsia="Arial" w:hAnsi="Arial"/>
                <w:sz w:val="16"/>
                <w:szCs w:val="16"/>
                <w:color w:val="auto"/>
              </w:rPr>
              <w:t>29,567</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29,856</w:t>
            </w:r>
          </w:p>
        </w:tc>
      </w:tr>
      <w:tr>
        <w:trPr>
          <w:trHeight w:val="20"/>
        </w:trPr>
        <w:tc>
          <w:tcPr>
            <w:tcW w:w="5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____________</w:t>
      </w:r>
    </w:p>
    <w:p>
      <w:pPr>
        <w:spacing w:after="0" w:line="8" w:lineRule="exact"/>
        <w:rPr>
          <w:sz w:val="20"/>
          <w:szCs w:val="20"/>
          <w:color w:val="auto"/>
        </w:rPr>
      </w:pPr>
    </w:p>
    <w:p>
      <w:pPr>
        <w:ind w:left="340" w:hanging="332"/>
        <w:spacing w:after="0"/>
        <w:tabs>
          <w:tab w:leader="none" w:pos="3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Company uses and losses are not included in the quantities sold, generated, and purchased.</w:t>
      </w:r>
    </w:p>
    <w:p>
      <w:pPr>
        <w:spacing w:after="0" w:line="1" w:lineRule="exact"/>
        <w:rPr>
          <w:rFonts w:ascii="Arial" w:cs="Arial" w:eastAsia="Arial" w:hAnsi="Arial"/>
          <w:sz w:val="14"/>
          <w:szCs w:val="14"/>
          <w:color w:val="auto"/>
        </w:rPr>
      </w:pPr>
    </w:p>
    <w:p>
      <w:pPr>
        <w:ind w:left="340" w:right="20" w:hanging="332"/>
        <w:spacing w:after="0" w:line="249" w:lineRule="auto"/>
        <w:tabs>
          <w:tab w:leader="none" w:pos="352" w:val="left"/>
        </w:tabs>
        <w:numPr>
          <w:ilvl w:val="0"/>
          <w:numId w:val="30"/>
        </w:numPr>
        <w:rPr>
          <w:rFonts w:ascii="Arial" w:cs="Arial" w:eastAsia="Arial" w:hAnsi="Arial"/>
          <w:sz w:val="14"/>
          <w:szCs w:val="14"/>
          <w:color w:val="auto"/>
        </w:rPr>
      </w:pPr>
      <w:r>
        <w:rPr>
          <w:rFonts w:ascii="Arial" w:cs="Arial" w:eastAsia="Arial" w:hAnsi="Arial"/>
          <w:sz w:val="14"/>
          <w:szCs w:val="14"/>
          <w:color w:val="auto"/>
        </w:rPr>
        <w:t>Under the 20-year economy energy PSA with the City of Gillette effective September 2014, Black Hills Wyoming purchases energy on behalf of the City of Gillette and sells that energy to the City of Gillette. MWh sold may not equal MWh generated and purchased due to a dispatch agreement that Black Hills Wyoming has with South Dakota Electric to cover energy imbalances.</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9" w:name="page40"/>
    <w:bookmarkEnd w:id="39"/>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160" w:type="dxa"/>
            <w:vAlign w:val="bottom"/>
          </w:tcPr>
          <w:p>
            <w:pPr>
              <w:spacing w:after="0"/>
              <w:rPr>
                <w:sz w:val="16"/>
                <w:szCs w:val="16"/>
                <w:color w:val="auto"/>
              </w:rPr>
            </w:pPr>
          </w:p>
        </w:tc>
        <w:tc>
          <w:tcPr>
            <w:tcW w:w="5080" w:type="dxa"/>
            <w:vAlign w:val="bottom"/>
            <w:gridSpan w:val="2"/>
          </w:tcPr>
          <w:p>
            <w:pPr>
              <w:jc w:val="right"/>
              <w:ind w:right="639"/>
              <w:spacing w:after="0"/>
              <w:rPr>
                <w:sz w:val="20"/>
                <w:szCs w:val="20"/>
                <w:color w:val="auto"/>
              </w:rPr>
            </w:pPr>
            <w:r>
              <w:rPr>
                <w:rFonts w:ascii="Arial" w:cs="Arial" w:eastAsia="Arial" w:hAnsi="Arial"/>
                <w:sz w:val="16"/>
                <w:szCs w:val="16"/>
                <w:color w:val="auto"/>
              </w:rPr>
              <w:t>Three Months Ended March 31,</w:t>
            </w:r>
          </w:p>
        </w:tc>
      </w:tr>
      <w:tr>
        <w:trPr>
          <w:trHeight w:val="222"/>
        </w:trPr>
        <w:tc>
          <w:tcPr>
            <w:tcW w:w="6160" w:type="dxa"/>
            <w:vAlign w:val="bottom"/>
            <w:tcBorders>
              <w:bottom w:val="single" w:sz="8" w:color="auto"/>
            </w:tcBorders>
          </w:tcPr>
          <w:p>
            <w:pPr>
              <w:ind w:left="20"/>
              <w:spacing w:after="0" w:line="222" w:lineRule="exact"/>
              <w:rPr>
                <w:sz w:val="20"/>
                <w:szCs w:val="20"/>
                <w:color w:val="auto"/>
              </w:rPr>
            </w:pPr>
            <w:r>
              <w:rPr>
                <w:rFonts w:ascii="Arial" w:cs="Arial" w:eastAsia="Arial" w:hAnsi="Arial"/>
                <w:sz w:val="16"/>
                <w:szCs w:val="16"/>
                <w:color w:val="auto"/>
              </w:rPr>
              <w:t xml:space="preserve">Contracted generating facilities availability by fuel type </w:t>
            </w:r>
            <w:r>
              <w:rPr>
                <w:rFonts w:ascii="Arial" w:cs="Arial" w:eastAsia="Arial" w:hAnsi="Arial"/>
                <w:sz w:val="21"/>
                <w:szCs w:val="21"/>
                <w:color w:val="auto"/>
                <w:vertAlign w:val="superscript"/>
              </w:rPr>
              <w:t>(a)</w:t>
            </w:r>
          </w:p>
        </w:tc>
        <w:tc>
          <w:tcPr>
            <w:tcW w:w="3580" w:type="dxa"/>
            <w:vAlign w:val="bottom"/>
            <w:tcBorders>
              <w:bottom w:val="single" w:sz="8" w:color="auto"/>
            </w:tcBorders>
          </w:tcPr>
          <w:p>
            <w:pPr>
              <w:jc w:val="right"/>
              <w:ind w:right="1039"/>
              <w:spacing w:after="0"/>
              <w:rPr>
                <w:sz w:val="20"/>
                <w:szCs w:val="20"/>
                <w:color w:val="auto"/>
              </w:rPr>
            </w:pPr>
            <w:r>
              <w:rPr>
                <w:rFonts w:ascii="Arial" w:cs="Arial" w:eastAsia="Arial" w:hAnsi="Arial"/>
                <w:sz w:val="16"/>
                <w:szCs w:val="16"/>
                <w:color w:val="auto"/>
              </w:rPr>
              <w:t>2021</w:t>
            </w:r>
          </w:p>
        </w:tc>
        <w:tc>
          <w:tcPr>
            <w:tcW w:w="150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color w:val="auto"/>
              </w:rPr>
              <w:t>2020</w:t>
            </w:r>
          </w:p>
        </w:tc>
      </w:tr>
      <w:tr>
        <w:trPr>
          <w:trHeight w:val="250"/>
        </w:trPr>
        <w:tc>
          <w:tcPr>
            <w:tcW w:w="6160" w:type="dxa"/>
            <w:vAlign w:val="bottom"/>
          </w:tcPr>
          <w:p>
            <w:pPr>
              <w:spacing w:after="0"/>
              <w:rPr>
                <w:sz w:val="21"/>
                <w:szCs w:val="21"/>
                <w:color w:val="auto"/>
              </w:rPr>
            </w:pPr>
          </w:p>
        </w:tc>
        <w:tc>
          <w:tcPr>
            <w:tcW w:w="358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16"/>
        </w:trPr>
        <w:tc>
          <w:tcPr>
            <w:tcW w:w="6160" w:type="dxa"/>
            <w:vAlign w:val="bottom"/>
            <w:shd w:val="clear" w:color="auto" w:fill="CEFFE7"/>
          </w:tcPr>
          <w:p>
            <w:pPr>
              <w:ind w:left="20"/>
              <w:spacing w:after="0" w:line="216" w:lineRule="exact"/>
              <w:rPr>
                <w:sz w:val="20"/>
                <w:szCs w:val="20"/>
                <w:color w:val="auto"/>
              </w:rPr>
            </w:pPr>
            <w:r>
              <w:rPr>
                <w:rFonts w:ascii="Arial" w:cs="Arial" w:eastAsia="Arial" w:hAnsi="Arial"/>
                <w:sz w:val="16"/>
                <w:szCs w:val="16"/>
                <w:color w:val="auto"/>
              </w:rPr>
              <w:t xml:space="preserve">Coal </w:t>
            </w:r>
            <w:r>
              <w:rPr>
                <w:rFonts w:ascii="Arial" w:cs="Arial" w:eastAsia="Arial" w:hAnsi="Arial"/>
                <w:sz w:val="21"/>
                <w:szCs w:val="21"/>
                <w:color w:val="auto"/>
                <w:vertAlign w:val="superscript"/>
              </w:rPr>
              <w:t>(b)</w:t>
            </w:r>
          </w:p>
        </w:tc>
        <w:tc>
          <w:tcPr>
            <w:tcW w:w="3580" w:type="dxa"/>
            <w:vAlign w:val="bottom"/>
            <w:shd w:val="clear" w:color="auto" w:fill="CEFFE7"/>
          </w:tcPr>
          <w:p>
            <w:pPr>
              <w:jc w:val="right"/>
              <w:ind w:right="299"/>
              <w:spacing w:after="0"/>
              <w:rPr>
                <w:sz w:val="20"/>
                <w:szCs w:val="20"/>
                <w:color w:val="auto"/>
              </w:rPr>
            </w:pPr>
            <w:r>
              <w:rPr>
                <w:rFonts w:ascii="Arial" w:cs="Arial" w:eastAsia="Arial" w:hAnsi="Arial"/>
                <w:sz w:val="16"/>
                <w:szCs w:val="16"/>
                <w:color w:val="auto"/>
              </w:rPr>
              <w:t>97.0 %</w:t>
            </w:r>
          </w:p>
        </w:tc>
        <w:tc>
          <w:tcPr>
            <w:tcW w:w="15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89.3 %</w:t>
            </w:r>
          </w:p>
        </w:tc>
      </w:tr>
      <w:tr>
        <w:trPr>
          <w:trHeight w:val="213"/>
        </w:trPr>
        <w:tc>
          <w:tcPr>
            <w:tcW w:w="6160" w:type="dxa"/>
            <w:vAlign w:val="bottom"/>
          </w:tcPr>
          <w:p>
            <w:pPr>
              <w:ind w:left="20"/>
              <w:spacing w:after="0"/>
              <w:rPr>
                <w:sz w:val="20"/>
                <w:szCs w:val="20"/>
                <w:color w:val="auto"/>
              </w:rPr>
            </w:pPr>
            <w:r>
              <w:rPr>
                <w:rFonts w:ascii="Arial" w:cs="Arial" w:eastAsia="Arial" w:hAnsi="Arial"/>
                <w:sz w:val="16"/>
                <w:szCs w:val="16"/>
                <w:color w:val="auto"/>
              </w:rPr>
              <w:t>Natural gas</w:t>
            </w:r>
          </w:p>
        </w:tc>
        <w:tc>
          <w:tcPr>
            <w:tcW w:w="3580" w:type="dxa"/>
            <w:vAlign w:val="bottom"/>
          </w:tcPr>
          <w:p>
            <w:pPr>
              <w:jc w:val="right"/>
              <w:ind w:right="299"/>
              <w:spacing w:after="0"/>
              <w:rPr>
                <w:sz w:val="20"/>
                <w:szCs w:val="20"/>
                <w:color w:val="auto"/>
              </w:rPr>
            </w:pPr>
            <w:r>
              <w:rPr>
                <w:rFonts w:ascii="Arial" w:cs="Arial" w:eastAsia="Arial" w:hAnsi="Arial"/>
                <w:sz w:val="16"/>
                <w:szCs w:val="16"/>
                <w:color w:val="auto"/>
              </w:rPr>
              <w:t>98.6 %</w:t>
            </w:r>
          </w:p>
        </w:tc>
        <w:tc>
          <w:tcPr>
            <w:tcW w:w="1500" w:type="dxa"/>
            <w:vAlign w:val="bottom"/>
          </w:tcPr>
          <w:p>
            <w:pPr>
              <w:jc w:val="right"/>
              <w:spacing w:after="0"/>
              <w:rPr>
                <w:sz w:val="20"/>
                <w:szCs w:val="20"/>
                <w:color w:val="auto"/>
              </w:rPr>
            </w:pPr>
            <w:r>
              <w:rPr>
                <w:rFonts w:ascii="Arial" w:cs="Arial" w:eastAsia="Arial" w:hAnsi="Arial"/>
                <w:sz w:val="16"/>
                <w:szCs w:val="16"/>
                <w:color w:val="auto"/>
              </w:rPr>
              <w:t>99.5 %</w:t>
            </w:r>
          </w:p>
        </w:tc>
      </w:tr>
      <w:tr>
        <w:trPr>
          <w:trHeight w:val="219"/>
        </w:trPr>
        <w:tc>
          <w:tcPr>
            <w:tcW w:w="6160" w:type="dxa"/>
            <w:vAlign w:val="bottom"/>
            <w:shd w:val="clear" w:color="auto" w:fill="CEFFE7"/>
          </w:tcPr>
          <w:p>
            <w:pPr>
              <w:ind w:left="20"/>
              <w:spacing w:after="0"/>
              <w:rPr>
                <w:sz w:val="20"/>
                <w:szCs w:val="20"/>
                <w:color w:val="auto"/>
              </w:rPr>
            </w:pPr>
            <w:r>
              <w:rPr>
                <w:rFonts w:ascii="Arial" w:cs="Arial" w:eastAsia="Arial" w:hAnsi="Arial"/>
                <w:sz w:val="16"/>
                <w:szCs w:val="16"/>
                <w:color w:val="auto"/>
              </w:rPr>
              <w:t>Wind</w:t>
            </w:r>
          </w:p>
        </w:tc>
        <w:tc>
          <w:tcPr>
            <w:tcW w:w="3580" w:type="dxa"/>
            <w:vAlign w:val="bottom"/>
            <w:shd w:val="clear" w:color="auto" w:fill="CEFFE7"/>
          </w:tcPr>
          <w:p>
            <w:pPr>
              <w:jc w:val="right"/>
              <w:ind w:right="299"/>
              <w:spacing w:after="0"/>
              <w:rPr>
                <w:sz w:val="20"/>
                <w:szCs w:val="20"/>
                <w:color w:val="auto"/>
              </w:rPr>
            </w:pPr>
            <w:r>
              <w:rPr>
                <w:rFonts w:ascii="Arial" w:cs="Arial" w:eastAsia="Arial" w:hAnsi="Arial"/>
                <w:sz w:val="16"/>
                <w:szCs w:val="16"/>
                <w:color w:val="auto"/>
              </w:rPr>
              <w:t>94.2 %</w:t>
            </w:r>
          </w:p>
        </w:tc>
        <w:tc>
          <w:tcPr>
            <w:tcW w:w="15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99.3 %</w:t>
            </w:r>
          </w:p>
        </w:tc>
      </w:tr>
      <w:tr>
        <w:trPr>
          <w:trHeight w:val="213"/>
        </w:trPr>
        <w:tc>
          <w:tcPr>
            <w:tcW w:w="6160" w:type="dxa"/>
            <w:vAlign w:val="bottom"/>
          </w:tcPr>
          <w:p>
            <w:pPr>
              <w:ind w:left="20"/>
              <w:spacing w:after="0"/>
              <w:rPr>
                <w:sz w:val="20"/>
                <w:szCs w:val="20"/>
                <w:color w:val="auto"/>
              </w:rPr>
            </w:pPr>
            <w:r>
              <w:rPr>
                <w:rFonts w:ascii="Arial" w:cs="Arial" w:eastAsia="Arial" w:hAnsi="Arial"/>
                <w:sz w:val="16"/>
                <w:szCs w:val="16"/>
                <w:color w:val="auto"/>
              </w:rPr>
              <w:t>Total availability</w:t>
            </w:r>
          </w:p>
        </w:tc>
        <w:tc>
          <w:tcPr>
            <w:tcW w:w="3580" w:type="dxa"/>
            <w:vAlign w:val="bottom"/>
          </w:tcPr>
          <w:p>
            <w:pPr>
              <w:jc w:val="right"/>
              <w:ind w:right="299"/>
              <w:spacing w:after="0"/>
              <w:rPr>
                <w:sz w:val="20"/>
                <w:szCs w:val="20"/>
                <w:color w:val="auto"/>
              </w:rPr>
            </w:pPr>
            <w:r>
              <w:rPr>
                <w:rFonts w:ascii="Arial" w:cs="Arial" w:eastAsia="Arial" w:hAnsi="Arial"/>
                <w:sz w:val="16"/>
                <w:szCs w:val="16"/>
                <w:color w:val="auto"/>
              </w:rPr>
              <w:t>96.7 %</w:t>
            </w:r>
          </w:p>
        </w:tc>
        <w:tc>
          <w:tcPr>
            <w:tcW w:w="1500" w:type="dxa"/>
            <w:vAlign w:val="bottom"/>
          </w:tcPr>
          <w:p>
            <w:pPr>
              <w:jc w:val="right"/>
              <w:spacing w:after="0"/>
              <w:rPr>
                <w:sz w:val="20"/>
                <w:szCs w:val="20"/>
                <w:color w:val="auto"/>
              </w:rPr>
            </w:pPr>
            <w:r>
              <w:rPr>
                <w:rFonts w:ascii="Arial" w:cs="Arial" w:eastAsia="Arial" w:hAnsi="Arial"/>
                <w:sz w:val="16"/>
                <w:szCs w:val="16"/>
                <w:color w:val="auto"/>
              </w:rPr>
              <w:t>97.8 %</w:t>
            </w:r>
          </w:p>
        </w:tc>
      </w:tr>
      <w:tr>
        <w:trPr>
          <w:trHeight w:val="165"/>
        </w:trPr>
        <w:tc>
          <w:tcPr>
            <w:tcW w:w="6160" w:type="dxa"/>
            <w:vAlign w:val="bottom"/>
            <w:shd w:val="clear" w:color="auto" w:fill="CEFFE7"/>
          </w:tcPr>
          <w:p>
            <w:pPr>
              <w:spacing w:after="0"/>
              <w:rPr>
                <w:sz w:val="14"/>
                <w:szCs w:val="14"/>
                <w:color w:val="auto"/>
              </w:rPr>
            </w:pPr>
          </w:p>
        </w:tc>
        <w:tc>
          <w:tcPr>
            <w:tcW w:w="3580" w:type="dxa"/>
            <w:vAlign w:val="bottom"/>
            <w:shd w:val="clear" w:color="auto" w:fill="CEFFE7"/>
          </w:tcPr>
          <w:p>
            <w:pPr>
              <w:spacing w:after="0"/>
              <w:rPr>
                <w:sz w:val="14"/>
                <w:szCs w:val="14"/>
                <w:color w:val="auto"/>
              </w:rPr>
            </w:pPr>
          </w:p>
        </w:tc>
        <w:tc>
          <w:tcPr>
            <w:tcW w:w="1500" w:type="dxa"/>
            <w:vAlign w:val="bottom"/>
            <w:shd w:val="clear" w:color="auto" w:fill="CEFFE7"/>
          </w:tcPr>
          <w:p>
            <w:pPr>
              <w:spacing w:after="0"/>
              <w:rPr>
                <w:sz w:val="14"/>
                <w:szCs w:val="14"/>
                <w:color w:val="auto"/>
              </w:rPr>
            </w:pPr>
          </w:p>
        </w:tc>
      </w:tr>
      <w:tr>
        <w:trPr>
          <w:trHeight w:val="210"/>
        </w:trPr>
        <w:tc>
          <w:tcPr>
            <w:tcW w:w="6160" w:type="dxa"/>
            <w:vAlign w:val="bottom"/>
          </w:tcPr>
          <w:p>
            <w:pPr>
              <w:ind w:left="20"/>
              <w:spacing w:after="0"/>
              <w:rPr>
                <w:sz w:val="20"/>
                <w:szCs w:val="20"/>
                <w:color w:val="auto"/>
              </w:rPr>
            </w:pPr>
            <w:r>
              <w:rPr>
                <w:rFonts w:ascii="Arial" w:cs="Arial" w:eastAsia="Arial" w:hAnsi="Arial"/>
                <w:sz w:val="16"/>
                <w:szCs w:val="16"/>
                <w:color w:val="auto"/>
              </w:rPr>
              <w:t>Wind capacity factor</w:t>
            </w:r>
          </w:p>
        </w:tc>
        <w:tc>
          <w:tcPr>
            <w:tcW w:w="3580" w:type="dxa"/>
            <w:vAlign w:val="bottom"/>
          </w:tcPr>
          <w:p>
            <w:pPr>
              <w:jc w:val="right"/>
              <w:ind w:right="299"/>
              <w:spacing w:after="0"/>
              <w:rPr>
                <w:sz w:val="20"/>
                <w:szCs w:val="20"/>
                <w:color w:val="auto"/>
              </w:rPr>
            </w:pPr>
            <w:r>
              <w:rPr>
                <w:rFonts w:ascii="Arial" w:cs="Arial" w:eastAsia="Arial" w:hAnsi="Arial"/>
                <w:sz w:val="16"/>
                <w:szCs w:val="16"/>
                <w:color w:val="auto"/>
              </w:rPr>
              <w:t>32.6 %</w:t>
            </w:r>
          </w:p>
        </w:tc>
        <w:tc>
          <w:tcPr>
            <w:tcW w:w="1500" w:type="dxa"/>
            <w:vAlign w:val="bottom"/>
          </w:tcPr>
          <w:p>
            <w:pPr>
              <w:jc w:val="right"/>
              <w:spacing w:after="0"/>
              <w:rPr>
                <w:sz w:val="20"/>
                <w:szCs w:val="20"/>
                <w:color w:val="auto"/>
              </w:rPr>
            </w:pPr>
            <w:r>
              <w:rPr>
                <w:rFonts w:ascii="Arial" w:cs="Arial" w:eastAsia="Arial" w:hAnsi="Arial"/>
                <w:sz w:val="16"/>
                <w:szCs w:val="16"/>
                <w:color w:val="auto"/>
              </w:rPr>
              <w:t>30.4 %</w:t>
            </w:r>
          </w:p>
        </w:tc>
      </w:tr>
      <w:tr>
        <w:trPr>
          <w:trHeight w:val="294"/>
        </w:trPr>
        <w:tc>
          <w:tcPr>
            <w:tcW w:w="6160" w:type="dxa"/>
            <w:vAlign w:val="bottom"/>
          </w:tcPr>
          <w:p>
            <w:pPr>
              <w:spacing w:after="0"/>
              <w:rPr>
                <w:sz w:val="20"/>
                <w:szCs w:val="20"/>
                <w:color w:val="auto"/>
              </w:rPr>
            </w:pPr>
            <w:r>
              <w:rPr>
                <w:rFonts w:ascii="Arial" w:cs="Arial" w:eastAsia="Arial" w:hAnsi="Arial"/>
                <w:sz w:val="16"/>
                <w:szCs w:val="16"/>
                <w:color w:val="auto"/>
              </w:rPr>
              <w:t>____________________</w:t>
            </w:r>
          </w:p>
        </w:tc>
        <w:tc>
          <w:tcPr>
            <w:tcW w:w="3580" w:type="dxa"/>
            <w:vAlign w:val="bottom"/>
          </w:tcPr>
          <w:p>
            <w:pPr>
              <w:spacing w:after="0"/>
              <w:rPr>
                <w:sz w:val="24"/>
                <w:szCs w:val="24"/>
                <w:color w:val="auto"/>
              </w:rPr>
            </w:pPr>
          </w:p>
        </w:tc>
        <w:tc>
          <w:tcPr>
            <w:tcW w:w="1500" w:type="dxa"/>
            <w:vAlign w:val="bottom"/>
          </w:tcPr>
          <w:p>
            <w:pPr>
              <w:spacing w:after="0"/>
              <w:rPr>
                <w:sz w:val="24"/>
                <w:szCs w:val="24"/>
                <w:color w:val="auto"/>
              </w:rPr>
            </w:pPr>
          </w:p>
        </w:tc>
      </w:tr>
    </w:tbl>
    <w:p>
      <w:pPr>
        <w:ind w:left="340" w:hanging="332"/>
        <w:spacing w:after="0"/>
        <w:tabs>
          <w:tab w:leader="none" w:pos="3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Availability and Wind Capacity Factor are calculated using a weighted average based on capacity of our generating fleet.</w:t>
      </w:r>
    </w:p>
    <w:p>
      <w:pPr>
        <w:spacing w:after="0" w:line="1" w:lineRule="exact"/>
        <w:rPr>
          <w:rFonts w:ascii="Arial" w:cs="Arial" w:eastAsia="Arial" w:hAnsi="Arial"/>
          <w:sz w:val="14"/>
          <w:szCs w:val="14"/>
          <w:color w:val="auto"/>
        </w:rPr>
      </w:pPr>
    </w:p>
    <w:p>
      <w:pPr>
        <w:ind w:left="380" w:hanging="372"/>
        <w:spacing w:after="0"/>
        <w:tabs>
          <w:tab w:leader="none" w:pos="380" w:val="left"/>
        </w:tabs>
        <w:numPr>
          <w:ilvl w:val="0"/>
          <w:numId w:val="31"/>
        </w:numPr>
        <w:rPr>
          <w:rFonts w:ascii="Arial" w:cs="Arial" w:eastAsia="Arial" w:hAnsi="Arial"/>
          <w:sz w:val="14"/>
          <w:szCs w:val="14"/>
          <w:color w:val="auto"/>
        </w:rPr>
      </w:pPr>
      <w:r>
        <w:rPr>
          <w:rFonts w:ascii="Arial" w:cs="Arial" w:eastAsia="Arial" w:hAnsi="Arial"/>
          <w:sz w:val="14"/>
          <w:szCs w:val="14"/>
          <w:color w:val="auto"/>
        </w:rPr>
        <w:t>2020 included a planned outage at Wygen I.</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220" w:type="dxa"/>
            <w:vAlign w:val="bottom"/>
            <w:gridSpan w:val="2"/>
          </w:tcPr>
          <w:p>
            <w:pPr>
              <w:spacing w:after="0"/>
              <w:rPr>
                <w:sz w:val="20"/>
                <w:szCs w:val="20"/>
                <w:color w:val="auto"/>
              </w:rPr>
            </w:pPr>
            <w:r>
              <w:rPr>
                <w:rFonts w:ascii="Arial" w:cs="Arial" w:eastAsia="Arial" w:hAnsi="Arial"/>
                <w:sz w:val="16"/>
                <w:szCs w:val="16"/>
                <w:b w:val="1"/>
                <w:bCs w:val="1"/>
                <w:color w:val="auto"/>
              </w:rPr>
              <w:t>Mining</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432"/>
        </w:trPr>
        <w:tc>
          <w:tcPr>
            <w:tcW w:w="7220" w:type="dxa"/>
            <w:vAlign w:val="bottom"/>
            <w:gridSpan w:val="2"/>
          </w:tcPr>
          <w:p>
            <w:pPr>
              <w:spacing w:after="0"/>
              <w:rPr>
                <w:sz w:val="20"/>
                <w:szCs w:val="20"/>
                <w:color w:val="auto"/>
              </w:rPr>
            </w:pPr>
            <w:r>
              <w:rPr>
                <w:rFonts w:ascii="Arial" w:cs="Arial" w:eastAsia="Arial" w:hAnsi="Arial"/>
                <w:sz w:val="16"/>
                <w:szCs w:val="16"/>
                <w:color w:val="auto"/>
              </w:rPr>
              <w:t>Our Mining segment operating results were as follows (in thousands):</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10"/>
        </w:trPr>
        <w:tc>
          <w:tcPr>
            <w:tcW w:w="20" w:type="dxa"/>
            <w:vAlign w:val="bottom"/>
          </w:tcPr>
          <w:p>
            <w:pPr>
              <w:spacing w:after="0"/>
              <w:rPr>
                <w:sz w:val="24"/>
                <w:szCs w:val="24"/>
                <w:color w:val="auto"/>
              </w:rPr>
            </w:pPr>
          </w:p>
        </w:tc>
        <w:tc>
          <w:tcPr>
            <w:tcW w:w="7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700" w:type="dxa"/>
            <w:vAlign w:val="bottom"/>
            <w:gridSpan w:val="5"/>
          </w:tcPr>
          <w:p>
            <w:pPr>
              <w:jc w:val="right"/>
              <w:ind w:right="779"/>
              <w:spacing w:after="0"/>
              <w:rPr>
                <w:sz w:val="20"/>
                <w:szCs w:val="20"/>
                <w:color w:val="auto"/>
              </w:rPr>
            </w:pPr>
            <w:r>
              <w:rPr>
                <w:rFonts w:ascii="Arial" w:cs="Arial" w:eastAsia="Arial" w:hAnsi="Arial"/>
                <w:sz w:val="16"/>
                <w:szCs w:val="16"/>
                <w:color w:val="auto"/>
              </w:rPr>
              <w:t>Three Months Ended March 31,</w:t>
            </w:r>
          </w:p>
        </w:tc>
      </w:tr>
      <w:tr>
        <w:trPr>
          <w:trHeight w:val="219"/>
        </w:trPr>
        <w:tc>
          <w:tcPr>
            <w:tcW w:w="20" w:type="dxa"/>
            <w:vAlign w:val="bottom"/>
          </w:tcPr>
          <w:p>
            <w:pPr>
              <w:spacing w:after="0"/>
              <w:rPr>
                <w:sz w:val="19"/>
                <w:szCs w:val="19"/>
                <w:color w:val="auto"/>
              </w:rPr>
            </w:pPr>
          </w:p>
        </w:tc>
        <w:tc>
          <w:tcPr>
            <w:tcW w:w="72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2021</w:t>
            </w: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2020</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Variance</w:t>
            </w:r>
          </w:p>
        </w:tc>
      </w:tr>
      <w:tr>
        <w:trPr>
          <w:trHeight w:val="253"/>
        </w:trPr>
        <w:tc>
          <w:tcPr>
            <w:tcW w:w="20" w:type="dxa"/>
            <w:vAlign w:val="bottom"/>
          </w:tcPr>
          <w:p>
            <w:pPr>
              <w:spacing w:after="0"/>
              <w:rPr>
                <w:sz w:val="22"/>
                <w:szCs w:val="22"/>
                <w:color w:val="auto"/>
              </w:rPr>
            </w:pPr>
          </w:p>
        </w:tc>
        <w:tc>
          <w:tcPr>
            <w:tcW w:w="7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13"/>
        </w:trPr>
        <w:tc>
          <w:tcPr>
            <w:tcW w:w="20" w:type="dxa"/>
            <w:vAlign w:val="bottom"/>
          </w:tcPr>
          <w:p>
            <w:pPr>
              <w:spacing w:after="0"/>
              <w:rPr>
                <w:sz w:val="18"/>
                <w:szCs w:val="18"/>
                <w:color w:val="auto"/>
              </w:rPr>
            </w:pPr>
          </w:p>
        </w:tc>
        <w:tc>
          <w:tcPr>
            <w:tcW w:w="7200" w:type="dxa"/>
            <w:vAlign w:val="bottom"/>
            <w:shd w:val="clear" w:color="auto" w:fill="CEFFE7"/>
          </w:tcPr>
          <w:p>
            <w:pPr>
              <w:ind w:left="20"/>
              <w:spacing w:after="0"/>
              <w:rPr>
                <w:sz w:val="20"/>
                <w:szCs w:val="20"/>
                <w:color w:val="auto"/>
              </w:rPr>
            </w:pPr>
            <w:r>
              <w:rPr>
                <w:rFonts w:ascii="Arial" w:cs="Arial" w:eastAsia="Arial" w:hAnsi="Arial"/>
                <w:sz w:val="16"/>
                <w:szCs w:val="16"/>
                <w:color w:val="auto"/>
              </w:rPr>
              <w:t>Revenue</w:t>
            </w:r>
          </w:p>
        </w:tc>
        <w:tc>
          <w:tcPr>
            <w:tcW w:w="300" w:type="dxa"/>
            <w:vAlign w:val="bottom"/>
            <w:tcBorders>
              <w:bottom w:val="single" w:sz="8" w:color="auto"/>
            </w:tcBorders>
            <w:shd w:val="clear" w:color="auto" w:fill="CEFFE7"/>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14,672</w:t>
            </w:r>
          </w:p>
        </w:tc>
        <w:tc>
          <w:tcPr>
            <w:tcW w:w="340" w:type="dxa"/>
            <w:vAlign w:val="bottom"/>
            <w:tcBorders>
              <w:bottom w:val="single" w:sz="8" w:color="auto"/>
            </w:tcBorders>
            <w:shd w:val="clear" w:color="auto" w:fill="CEFFE7"/>
          </w:tcPr>
          <w:p>
            <w:pPr>
              <w:jc w:val="right"/>
              <w:ind w:right="1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15,205</w:t>
            </w:r>
          </w:p>
        </w:tc>
        <w:tc>
          <w:tcPr>
            <w:tcW w:w="260" w:type="dxa"/>
            <w:vAlign w:val="bottom"/>
            <w:tcBorders>
              <w:bottom w:val="single" w:sz="8" w:color="auto"/>
            </w:tcBorders>
            <w:shd w:val="clear" w:color="auto" w:fill="CEFFE7"/>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(533)</w:t>
            </w:r>
          </w:p>
        </w:tc>
      </w:tr>
      <w:tr>
        <w:trPr>
          <w:trHeight w:val="253"/>
        </w:trPr>
        <w:tc>
          <w:tcPr>
            <w:tcW w:w="20" w:type="dxa"/>
            <w:vAlign w:val="bottom"/>
          </w:tcPr>
          <w:p>
            <w:pPr>
              <w:spacing w:after="0"/>
              <w:rPr>
                <w:sz w:val="22"/>
                <w:szCs w:val="22"/>
                <w:color w:val="auto"/>
              </w:rPr>
            </w:pPr>
          </w:p>
        </w:tc>
        <w:tc>
          <w:tcPr>
            <w:tcW w:w="7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EFFE7"/>
          </w:tcPr>
          <w:p>
            <w:pPr>
              <w:ind w:left="20"/>
              <w:spacing w:after="0"/>
              <w:rPr>
                <w:sz w:val="20"/>
                <w:szCs w:val="20"/>
                <w:color w:val="auto"/>
              </w:rPr>
            </w:pPr>
            <w:r>
              <w:rPr>
                <w:rFonts w:ascii="Arial" w:cs="Arial" w:eastAsia="Arial" w:hAnsi="Arial"/>
                <w:sz w:val="16"/>
                <w:szCs w:val="16"/>
                <w:color w:val="auto"/>
              </w:rPr>
              <w:t>Operations and maintenance</w:t>
            </w:r>
          </w:p>
        </w:tc>
        <w:tc>
          <w:tcPr>
            <w:tcW w:w="300" w:type="dxa"/>
            <w:vAlign w:val="bottom"/>
            <w:shd w:val="clear" w:color="auto" w:fill="CEFFE7"/>
          </w:tcPr>
          <w:p>
            <w:pPr>
              <w:spacing w:after="0"/>
              <w:rPr>
                <w:sz w:val="18"/>
                <w:szCs w:val="18"/>
                <w:color w:val="auto"/>
              </w:rPr>
            </w:pPr>
          </w:p>
        </w:tc>
        <w:tc>
          <w:tcPr>
            <w:tcW w:w="10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9,197</w:t>
            </w:r>
          </w:p>
        </w:tc>
        <w:tc>
          <w:tcPr>
            <w:tcW w:w="340" w:type="dxa"/>
            <w:vAlign w:val="bottom"/>
            <w:shd w:val="clear" w:color="auto" w:fill="CEFFE7"/>
          </w:tcPr>
          <w:p>
            <w:pPr>
              <w:spacing w:after="0"/>
              <w:rPr>
                <w:sz w:val="18"/>
                <w:szCs w:val="18"/>
                <w:color w:val="auto"/>
              </w:rPr>
            </w:pPr>
          </w:p>
        </w:tc>
        <w:tc>
          <w:tcPr>
            <w:tcW w:w="10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9,826</w:t>
            </w:r>
          </w:p>
        </w:tc>
        <w:tc>
          <w:tcPr>
            <w:tcW w:w="260" w:type="dxa"/>
            <w:vAlign w:val="bottom"/>
            <w:shd w:val="clear" w:color="auto" w:fill="CEFFE7"/>
          </w:tcPr>
          <w:p>
            <w:pPr>
              <w:spacing w:after="0"/>
              <w:rPr>
                <w:sz w:val="18"/>
                <w:szCs w:val="18"/>
                <w:color w:val="auto"/>
              </w:rPr>
            </w:pPr>
          </w:p>
        </w:tc>
        <w:tc>
          <w:tcPr>
            <w:tcW w:w="11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(629)</w:t>
            </w:r>
          </w:p>
        </w:tc>
      </w:tr>
      <w:tr>
        <w:trPr>
          <w:trHeight w:val="213"/>
        </w:trPr>
        <w:tc>
          <w:tcPr>
            <w:tcW w:w="20" w:type="dxa"/>
            <w:vAlign w:val="bottom"/>
          </w:tcPr>
          <w:p>
            <w:pPr>
              <w:spacing w:after="0"/>
              <w:rPr>
                <w:sz w:val="18"/>
                <w:szCs w:val="18"/>
                <w:color w:val="auto"/>
              </w:rPr>
            </w:pPr>
          </w:p>
        </w:tc>
        <w:tc>
          <w:tcPr>
            <w:tcW w:w="7200" w:type="dxa"/>
            <w:vAlign w:val="bottom"/>
            <w:tcBorders>
              <w:bottom w:val="single" w:sz="8" w:color="CEFFE7"/>
            </w:tcBorders>
          </w:tcPr>
          <w:p>
            <w:pPr>
              <w:ind w:left="20"/>
              <w:spacing w:after="0"/>
              <w:rPr>
                <w:sz w:val="20"/>
                <w:szCs w:val="20"/>
                <w:color w:val="auto"/>
              </w:rPr>
            </w:pPr>
            <w:r>
              <w:rPr>
                <w:rFonts w:ascii="Arial" w:cs="Arial" w:eastAsia="Arial" w:hAnsi="Arial"/>
                <w:sz w:val="16"/>
                <w:szCs w:val="16"/>
                <w:color w:val="auto"/>
              </w:rPr>
              <w:t>Depreciation, depletion and amortization</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2,214</w:t>
            </w:r>
          </w:p>
        </w:tc>
        <w:tc>
          <w:tcPr>
            <w:tcW w:w="3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2,250</w:t>
            </w: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w:t>
            </w:r>
          </w:p>
        </w:tc>
      </w:tr>
      <w:tr>
        <w:trPr>
          <w:trHeight w:val="210"/>
        </w:trPr>
        <w:tc>
          <w:tcPr>
            <w:tcW w:w="20" w:type="dxa"/>
            <w:vAlign w:val="bottom"/>
          </w:tcPr>
          <w:p>
            <w:pPr>
              <w:spacing w:after="0"/>
              <w:rPr>
                <w:sz w:val="18"/>
                <w:szCs w:val="18"/>
                <w:color w:val="auto"/>
              </w:rPr>
            </w:pPr>
          </w:p>
        </w:tc>
        <w:tc>
          <w:tcPr>
            <w:tcW w:w="7200" w:type="dxa"/>
            <w:vAlign w:val="bottom"/>
            <w:shd w:val="clear" w:color="auto" w:fill="CEFFE7"/>
          </w:tcPr>
          <w:p>
            <w:pPr>
              <w:ind w:left="540"/>
              <w:spacing w:after="0"/>
              <w:rPr>
                <w:sz w:val="20"/>
                <w:szCs w:val="20"/>
                <w:color w:val="auto"/>
              </w:rPr>
            </w:pPr>
            <w:r>
              <w:rPr>
                <w:rFonts w:ascii="Arial" w:cs="Arial" w:eastAsia="Arial" w:hAnsi="Arial"/>
                <w:sz w:val="16"/>
                <w:szCs w:val="16"/>
                <w:color w:val="auto"/>
              </w:rPr>
              <w:t>Total operating expenses</w:t>
            </w:r>
          </w:p>
        </w:tc>
        <w:tc>
          <w:tcPr>
            <w:tcW w:w="300" w:type="dxa"/>
            <w:vAlign w:val="bottom"/>
            <w:tcBorders>
              <w:bottom w:val="single" w:sz="8" w:color="auto"/>
            </w:tcBorders>
            <w:shd w:val="clear" w:color="auto" w:fill="CEFFE7"/>
          </w:tcPr>
          <w:p>
            <w:pPr>
              <w:spacing w:after="0"/>
              <w:rPr>
                <w:sz w:val="18"/>
                <w:szCs w:val="18"/>
                <w:color w:val="auto"/>
              </w:rPr>
            </w:pPr>
          </w:p>
        </w:tc>
        <w:tc>
          <w:tcPr>
            <w:tcW w:w="10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11,411</w:t>
            </w:r>
          </w:p>
        </w:tc>
        <w:tc>
          <w:tcPr>
            <w:tcW w:w="340" w:type="dxa"/>
            <w:vAlign w:val="bottom"/>
            <w:tcBorders>
              <w:bottom w:val="single" w:sz="8" w:color="auto"/>
            </w:tcBorders>
            <w:shd w:val="clear" w:color="auto" w:fill="CEFFE7"/>
          </w:tcPr>
          <w:p>
            <w:pPr>
              <w:spacing w:after="0"/>
              <w:rPr>
                <w:sz w:val="18"/>
                <w:szCs w:val="18"/>
                <w:color w:val="auto"/>
              </w:rPr>
            </w:pPr>
          </w:p>
        </w:tc>
        <w:tc>
          <w:tcPr>
            <w:tcW w:w="10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12,076</w:t>
            </w:r>
          </w:p>
        </w:tc>
        <w:tc>
          <w:tcPr>
            <w:tcW w:w="260" w:type="dxa"/>
            <w:vAlign w:val="bottom"/>
            <w:tcBorders>
              <w:bottom w:val="single" w:sz="8" w:color="auto"/>
            </w:tcBorders>
            <w:shd w:val="clear" w:color="auto" w:fill="CEFFE7"/>
          </w:tcPr>
          <w:p>
            <w:pPr>
              <w:spacing w:after="0"/>
              <w:rPr>
                <w:sz w:val="18"/>
                <w:szCs w:val="18"/>
                <w:color w:val="auto"/>
              </w:rPr>
            </w:pPr>
          </w:p>
        </w:tc>
        <w:tc>
          <w:tcPr>
            <w:tcW w:w="11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(665)</w:t>
            </w:r>
          </w:p>
        </w:tc>
      </w:tr>
      <w:tr>
        <w:trPr>
          <w:trHeight w:val="253"/>
        </w:trPr>
        <w:tc>
          <w:tcPr>
            <w:tcW w:w="20" w:type="dxa"/>
            <w:vAlign w:val="bottom"/>
          </w:tcPr>
          <w:p>
            <w:pPr>
              <w:spacing w:after="0"/>
              <w:rPr>
                <w:sz w:val="22"/>
                <w:szCs w:val="22"/>
                <w:color w:val="auto"/>
              </w:rPr>
            </w:pPr>
          </w:p>
        </w:tc>
        <w:tc>
          <w:tcPr>
            <w:tcW w:w="7200" w:type="dxa"/>
            <w:vAlign w:val="bottom"/>
            <w:tcBorders>
              <w:bottom w:val="single" w:sz="8" w:color="CEFFE7"/>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r>
      <w:tr>
        <w:trPr>
          <w:trHeight w:val="234"/>
        </w:trPr>
        <w:tc>
          <w:tcPr>
            <w:tcW w:w="20" w:type="dxa"/>
            <w:vAlign w:val="bottom"/>
          </w:tcPr>
          <w:p>
            <w:pPr>
              <w:spacing w:after="0"/>
              <w:rPr>
                <w:sz w:val="19"/>
                <w:szCs w:val="19"/>
                <w:color w:val="auto"/>
              </w:rPr>
            </w:pPr>
          </w:p>
        </w:tc>
        <w:tc>
          <w:tcPr>
            <w:tcW w:w="720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Adjusted operating income</w:t>
            </w:r>
          </w:p>
        </w:tc>
        <w:tc>
          <w:tcPr>
            <w:tcW w:w="300" w:type="dxa"/>
            <w:vAlign w:val="bottom"/>
            <w:tcBorders>
              <w:bottom w:val="single" w:sz="8" w:color="auto"/>
            </w:tcBorders>
            <w:shd w:val="clear" w:color="auto" w:fill="CEFFE7"/>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3,261</w:t>
            </w:r>
          </w:p>
        </w:tc>
        <w:tc>
          <w:tcPr>
            <w:tcW w:w="340" w:type="dxa"/>
            <w:vAlign w:val="bottom"/>
            <w:tcBorders>
              <w:bottom w:val="single" w:sz="8" w:color="auto"/>
            </w:tcBorders>
            <w:shd w:val="clear" w:color="auto" w:fill="CEFFE7"/>
          </w:tcPr>
          <w:p>
            <w:pPr>
              <w:jc w:val="right"/>
              <w:ind w:right="1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3,129</w:t>
            </w:r>
          </w:p>
        </w:tc>
        <w:tc>
          <w:tcPr>
            <w:tcW w:w="260" w:type="dxa"/>
            <w:vAlign w:val="bottom"/>
            <w:tcBorders>
              <w:bottom w:val="single" w:sz="8" w:color="auto"/>
            </w:tcBorders>
            <w:shd w:val="clear" w:color="auto" w:fill="CEFFE7"/>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132</w:t>
            </w:r>
          </w:p>
        </w:tc>
      </w:tr>
      <w:tr>
        <w:trPr>
          <w:trHeight w:val="20"/>
        </w:trPr>
        <w:tc>
          <w:tcPr>
            <w:tcW w:w="20" w:type="dxa"/>
            <w:vAlign w:val="bottom"/>
          </w:tcPr>
          <w:p>
            <w:pPr>
              <w:spacing w:after="0" w:line="20" w:lineRule="exact"/>
              <w:rPr>
                <w:sz w:val="1"/>
                <w:szCs w:val="1"/>
                <w:color w:val="auto"/>
              </w:rPr>
            </w:pPr>
          </w:p>
        </w:tc>
        <w:tc>
          <w:tcPr>
            <w:tcW w:w="7200" w:type="dxa"/>
            <w:vAlign w:val="bottom"/>
            <w:tcBorders>
              <w:top w:val="single" w:sz="8" w:color="CEFFE7"/>
            </w:tcBorders>
          </w:tcPr>
          <w:p>
            <w:pPr>
              <w:spacing w:after="0" w:line="20" w:lineRule="exact"/>
              <w:rPr>
                <w:sz w:val="1"/>
                <w:szCs w:val="1"/>
                <w:color w:val="auto"/>
              </w:rPr>
            </w:pPr>
          </w:p>
        </w:tc>
        <w:tc>
          <w:tcPr>
            <w:tcW w:w="300" w:type="dxa"/>
            <w:vAlign w:val="bottom"/>
            <w:tcBorders>
              <w:top w:val="single" w:sz="8" w:color="CEFFE7"/>
              <w:bottom w:val="single" w:sz="8" w:color="auto"/>
            </w:tcBorders>
          </w:tcPr>
          <w:p>
            <w:pPr>
              <w:spacing w:after="0" w:line="20" w:lineRule="exact"/>
              <w:rPr>
                <w:sz w:val="1"/>
                <w:szCs w:val="1"/>
                <w:color w:val="auto"/>
              </w:rPr>
            </w:pPr>
          </w:p>
        </w:tc>
        <w:tc>
          <w:tcPr>
            <w:tcW w:w="1000" w:type="dxa"/>
            <w:vAlign w:val="bottom"/>
            <w:tcBorders>
              <w:top w:val="single" w:sz="8" w:color="CEFFE7"/>
              <w:bottom w:val="single" w:sz="8" w:color="auto"/>
            </w:tcBorders>
          </w:tcPr>
          <w:p>
            <w:pPr>
              <w:spacing w:after="0" w:line="20" w:lineRule="exact"/>
              <w:rPr>
                <w:sz w:val="1"/>
                <w:szCs w:val="1"/>
                <w:color w:val="auto"/>
              </w:rPr>
            </w:pPr>
          </w:p>
        </w:tc>
        <w:tc>
          <w:tcPr>
            <w:tcW w:w="340" w:type="dxa"/>
            <w:vAlign w:val="bottom"/>
            <w:tcBorders>
              <w:top w:val="single" w:sz="8" w:color="CEFFE7"/>
              <w:bottom w:val="single" w:sz="8" w:color="auto"/>
            </w:tcBorders>
          </w:tcPr>
          <w:p>
            <w:pPr>
              <w:spacing w:after="0" w:line="20" w:lineRule="exact"/>
              <w:rPr>
                <w:sz w:val="1"/>
                <w:szCs w:val="1"/>
                <w:color w:val="auto"/>
              </w:rPr>
            </w:pPr>
          </w:p>
        </w:tc>
        <w:tc>
          <w:tcPr>
            <w:tcW w:w="1000" w:type="dxa"/>
            <w:vAlign w:val="bottom"/>
            <w:tcBorders>
              <w:top w:val="single" w:sz="8" w:color="CEFFE7"/>
              <w:bottom w:val="single" w:sz="8" w:color="auto"/>
            </w:tcBorders>
          </w:tcPr>
          <w:p>
            <w:pPr>
              <w:spacing w:after="0" w:line="20" w:lineRule="exact"/>
              <w:rPr>
                <w:sz w:val="1"/>
                <w:szCs w:val="1"/>
                <w:color w:val="auto"/>
              </w:rPr>
            </w:pPr>
          </w:p>
        </w:tc>
        <w:tc>
          <w:tcPr>
            <w:tcW w:w="260" w:type="dxa"/>
            <w:vAlign w:val="bottom"/>
            <w:tcBorders>
              <w:top w:val="single" w:sz="8" w:color="CEFFE7"/>
              <w:bottom w:val="single" w:sz="8" w:color="auto"/>
            </w:tcBorders>
          </w:tcPr>
          <w:p>
            <w:pPr>
              <w:spacing w:after="0" w:line="20" w:lineRule="exact"/>
              <w:rPr>
                <w:sz w:val="1"/>
                <w:szCs w:val="1"/>
                <w:color w:val="auto"/>
              </w:rPr>
            </w:pPr>
          </w:p>
        </w:tc>
        <w:tc>
          <w:tcPr>
            <w:tcW w:w="1100" w:type="dxa"/>
            <w:vAlign w:val="bottom"/>
            <w:tcBorders>
              <w:top w:val="single" w:sz="8" w:color="CEFFE7"/>
              <w:bottom w:val="single" w:sz="8" w:color="auto"/>
            </w:tcBorders>
          </w:tcPr>
          <w:p>
            <w:pPr>
              <w:spacing w:after="0" w:line="20" w:lineRule="exact"/>
              <w:rPr>
                <w:sz w:val="1"/>
                <w:szCs w:val="1"/>
                <w:color w:val="auto"/>
              </w:rPr>
            </w:pPr>
          </w:p>
        </w:tc>
      </w:tr>
    </w:tbl>
    <w:p>
      <w:pPr>
        <w:spacing w:after="0" w:line="33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Three Months Ended March 31, 2021 Compared to the Three Months Ended March 31, 2020:</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Adjusted operating income was comparable to the same period in the prior year.</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Operating Statistics</w:t>
      </w: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certain operating statistics for our Mining segment (in thousands, except for Revenue per ton):</w:t>
      </w:r>
    </w:p>
    <w:p>
      <w:pPr>
        <w:spacing w:after="0" w:line="127"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7660" w:type="dxa"/>
            <w:vAlign w:val="bottom"/>
          </w:tcPr>
          <w:p>
            <w:pPr>
              <w:spacing w:after="0"/>
              <w:rPr>
                <w:sz w:val="16"/>
                <w:szCs w:val="16"/>
                <w:color w:val="auto"/>
              </w:rPr>
            </w:pPr>
          </w:p>
        </w:tc>
        <w:tc>
          <w:tcPr>
            <w:tcW w:w="3000" w:type="dxa"/>
            <w:vAlign w:val="bottom"/>
            <w:gridSpan w:val="3"/>
          </w:tcPr>
          <w:p>
            <w:pPr>
              <w:jc w:val="right"/>
              <w:spacing w:after="0"/>
              <w:rPr>
                <w:sz w:val="20"/>
                <w:szCs w:val="20"/>
                <w:color w:val="auto"/>
              </w:rPr>
            </w:pPr>
            <w:r>
              <w:rPr>
                <w:rFonts w:ascii="Arial" w:cs="Arial" w:eastAsia="Arial" w:hAnsi="Arial"/>
                <w:sz w:val="16"/>
                <w:szCs w:val="16"/>
                <w:color w:val="auto"/>
              </w:rPr>
              <w:t>Three Months Ended March 31,</w:t>
            </w:r>
          </w:p>
        </w:tc>
        <w:tc>
          <w:tcPr>
            <w:tcW w:w="540" w:type="dxa"/>
            <w:vAlign w:val="bottom"/>
          </w:tcPr>
          <w:p>
            <w:pPr>
              <w:spacing w:after="0"/>
              <w:rPr>
                <w:sz w:val="16"/>
                <w:szCs w:val="16"/>
                <w:color w:val="auto"/>
              </w:rPr>
            </w:pPr>
          </w:p>
        </w:tc>
      </w:tr>
      <w:tr>
        <w:trPr>
          <w:trHeight w:val="219"/>
        </w:trPr>
        <w:tc>
          <w:tcPr>
            <w:tcW w:w="7660" w:type="dxa"/>
            <w:vAlign w:val="bottom"/>
            <w:tcBorders>
              <w:bottom w:val="single" w:sz="8" w:color="CEFFE7"/>
            </w:tcBorders>
          </w:tcPr>
          <w:p>
            <w:pPr>
              <w:spacing w:after="0"/>
              <w:rPr>
                <w:sz w:val="19"/>
                <w:szCs w:val="19"/>
                <w:color w:val="auto"/>
              </w:rPr>
            </w:pP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2021</w:t>
            </w:r>
          </w:p>
        </w:tc>
        <w:tc>
          <w:tcPr>
            <w:tcW w:w="5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2020</w:t>
            </w:r>
          </w:p>
        </w:tc>
        <w:tc>
          <w:tcPr>
            <w:tcW w:w="540" w:type="dxa"/>
            <w:vAlign w:val="bottom"/>
            <w:tcBorders>
              <w:bottom w:val="single" w:sz="8" w:color="auto"/>
            </w:tcBorders>
          </w:tcPr>
          <w:p>
            <w:pPr>
              <w:spacing w:after="0"/>
              <w:rPr>
                <w:sz w:val="19"/>
                <w:szCs w:val="19"/>
                <w:color w:val="auto"/>
              </w:rPr>
            </w:pPr>
          </w:p>
        </w:tc>
      </w:tr>
      <w:tr>
        <w:trPr>
          <w:trHeight w:val="213"/>
        </w:trPr>
        <w:tc>
          <w:tcPr>
            <w:tcW w:w="7660" w:type="dxa"/>
            <w:vAlign w:val="bottom"/>
            <w:shd w:val="clear" w:color="auto" w:fill="CEFFE7"/>
          </w:tcPr>
          <w:p>
            <w:pPr>
              <w:ind w:left="20"/>
              <w:spacing w:after="0"/>
              <w:rPr>
                <w:sz w:val="20"/>
                <w:szCs w:val="20"/>
                <w:color w:val="auto"/>
              </w:rPr>
            </w:pPr>
            <w:r>
              <w:rPr>
                <w:rFonts w:ascii="Arial" w:cs="Arial" w:eastAsia="Arial" w:hAnsi="Arial"/>
                <w:sz w:val="16"/>
                <w:szCs w:val="16"/>
                <w:color w:val="auto"/>
              </w:rPr>
              <w:t>Tons of coal sold</w:t>
            </w:r>
          </w:p>
        </w:tc>
        <w:tc>
          <w:tcPr>
            <w:tcW w:w="1180" w:type="dxa"/>
            <w:vAlign w:val="bottom"/>
            <w:shd w:val="clear" w:color="auto" w:fill="CEFFE7"/>
          </w:tcPr>
          <w:p>
            <w:pPr>
              <w:spacing w:after="0"/>
              <w:rPr>
                <w:sz w:val="18"/>
                <w:szCs w:val="18"/>
                <w:color w:val="auto"/>
              </w:rPr>
            </w:pPr>
          </w:p>
        </w:tc>
        <w:tc>
          <w:tcPr>
            <w:tcW w:w="5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875</w:t>
            </w:r>
          </w:p>
        </w:tc>
        <w:tc>
          <w:tcPr>
            <w:tcW w:w="1240" w:type="dxa"/>
            <w:vAlign w:val="bottom"/>
            <w:shd w:val="clear" w:color="auto" w:fill="CEFFE7"/>
          </w:tcPr>
          <w:p>
            <w:pPr>
              <w:spacing w:after="0"/>
              <w:rPr>
                <w:sz w:val="18"/>
                <w:szCs w:val="18"/>
                <w:color w:val="auto"/>
              </w:rPr>
            </w:pPr>
          </w:p>
        </w:tc>
        <w:tc>
          <w:tcPr>
            <w:tcW w:w="5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896</w:t>
            </w:r>
          </w:p>
        </w:tc>
      </w:tr>
      <w:tr>
        <w:trPr>
          <w:trHeight w:val="213"/>
        </w:trPr>
        <w:tc>
          <w:tcPr>
            <w:tcW w:w="7660" w:type="dxa"/>
            <w:vAlign w:val="bottom"/>
          </w:tcPr>
          <w:p>
            <w:pPr>
              <w:ind w:left="20"/>
              <w:spacing w:after="0"/>
              <w:rPr>
                <w:sz w:val="20"/>
                <w:szCs w:val="20"/>
                <w:color w:val="auto"/>
              </w:rPr>
            </w:pPr>
            <w:r>
              <w:rPr>
                <w:rFonts w:ascii="Arial" w:cs="Arial" w:eastAsia="Arial" w:hAnsi="Arial"/>
                <w:sz w:val="16"/>
                <w:szCs w:val="16"/>
                <w:color w:val="auto"/>
              </w:rPr>
              <w:t>Cubic yards of overburden moved</w:t>
            </w:r>
          </w:p>
        </w:tc>
        <w:tc>
          <w:tcPr>
            <w:tcW w:w="1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1,822</w:t>
            </w:r>
          </w:p>
        </w:tc>
        <w:tc>
          <w:tcPr>
            <w:tcW w:w="12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2,267</w:t>
            </w:r>
          </w:p>
        </w:tc>
      </w:tr>
      <w:tr>
        <w:trPr>
          <w:trHeight w:val="273"/>
        </w:trPr>
        <w:tc>
          <w:tcPr>
            <w:tcW w:w="7660" w:type="dxa"/>
            <w:vAlign w:val="bottom"/>
            <w:shd w:val="clear" w:color="auto" w:fill="CEFFE7"/>
          </w:tcPr>
          <w:p>
            <w:pPr>
              <w:spacing w:after="0"/>
              <w:rPr>
                <w:sz w:val="23"/>
                <w:szCs w:val="23"/>
                <w:color w:val="auto"/>
              </w:rPr>
            </w:pPr>
          </w:p>
        </w:tc>
        <w:tc>
          <w:tcPr>
            <w:tcW w:w="1180" w:type="dxa"/>
            <w:vAlign w:val="bottom"/>
            <w:shd w:val="clear" w:color="auto" w:fill="CEFFE7"/>
          </w:tcPr>
          <w:p>
            <w:pPr>
              <w:spacing w:after="0"/>
              <w:rPr>
                <w:sz w:val="23"/>
                <w:szCs w:val="23"/>
                <w:color w:val="auto"/>
              </w:rPr>
            </w:pPr>
          </w:p>
        </w:tc>
        <w:tc>
          <w:tcPr>
            <w:tcW w:w="580" w:type="dxa"/>
            <w:vAlign w:val="bottom"/>
            <w:shd w:val="clear" w:color="auto" w:fill="CEFFE7"/>
          </w:tcPr>
          <w:p>
            <w:pPr>
              <w:spacing w:after="0"/>
              <w:rPr>
                <w:sz w:val="23"/>
                <w:szCs w:val="23"/>
                <w:color w:val="auto"/>
              </w:rPr>
            </w:pPr>
          </w:p>
        </w:tc>
        <w:tc>
          <w:tcPr>
            <w:tcW w:w="1240" w:type="dxa"/>
            <w:vAlign w:val="bottom"/>
            <w:shd w:val="clear" w:color="auto" w:fill="CEFFE7"/>
          </w:tcPr>
          <w:p>
            <w:pPr>
              <w:spacing w:after="0"/>
              <w:rPr>
                <w:sz w:val="23"/>
                <w:szCs w:val="23"/>
                <w:color w:val="auto"/>
              </w:rPr>
            </w:pPr>
          </w:p>
        </w:tc>
        <w:tc>
          <w:tcPr>
            <w:tcW w:w="540" w:type="dxa"/>
            <w:vAlign w:val="bottom"/>
            <w:shd w:val="clear" w:color="auto" w:fill="CEFFE7"/>
          </w:tcPr>
          <w:p>
            <w:pPr>
              <w:spacing w:after="0"/>
              <w:rPr>
                <w:sz w:val="23"/>
                <w:szCs w:val="23"/>
                <w:color w:val="auto"/>
              </w:rPr>
            </w:pPr>
          </w:p>
        </w:tc>
      </w:tr>
      <w:tr>
        <w:trPr>
          <w:trHeight w:val="210"/>
        </w:trPr>
        <w:tc>
          <w:tcPr>
            <w:tcW w:w="7660" w:type="dxa"/>
            <w:vAlign w:val="bottom"/>
          </w:tcPr>
          <w:p>
            <w:pPr>
              <w:ind w:left="20"/>
              <w:spacing w:after="0"/>
              <w:rPr>
                <w:sz w:val="20"/>
                <w:szCs w:val="20"/>
                <w:color w:val="auto"/>
              </w:rPr>
            </w:pPr>
            <w:r>
              <w:rPr>
                <w:rFonts w:ascii="Arial" w:cs="Arial" w:eastAsia="Arial" w:hAnsi="Arial"/>
                <w:sz w:val="16"/>
                <w:szCs w:val="16"/>
                <w:color w:val="auto"/>
              </w:rPr>
              <w:t>Revenue per ton</w:t>
            </w:r>
          </w:p>
        </w:tc>
        <w:tc>
          <w:tcPr>
            <w:tcW w:w="1180" w:type="dxa"/>
            <w:vAlign w:val="bottom"/>
          </w:tcPr>
          <w:p>
            <w:pPr>
              <w:jc w:val="right"/>
              <w:ind w:right="979"/>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16.09</w:t>
            </w:r>
          </w:p>
        </w:tc>
        <w:tc>
          <w:tcPr>
            <w:tcW w:w="1240" w:type="dxa"/>
            <w:vAlign w:val="bottom"/>
          </w:tcPr>
          <w:p>
            <w:pPr>
              <w:jc w:val="right"/>
              <w:ind w:right="1039"/>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16.08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184"/>
        </w:trPr>
        <w:tc>
          <w:tcPr>
            <w:tcW w:w="7240" w:type="dxa"/>
            <w:vAlign w:val="bottom"/>
            <w:gridSpan w:val="2"/>
          </w:tcPr>
          <w:p>
            <w:pPr>
              <w:spacing w:after="0"/>
              <w:rPr>
                <w:rFonts w:ascii="Arial" w:cs="Arial" w:eastAsia="Arial" w:hAnsi="Arial"/>
                <w:sz w:val="16"/>
                <w:szCs w:val="16"/>
                <w:b w:val="1"/>
                <w:bCs w:val="1"/>
                <w:color w:val="0000FF"/>
              </w:rPr>
            </w:pPr>
            <w:hyperlink w:anchor="page1">
              <w:r>
                <w:rPr>
                  <w:rFonts w:ascii="Arial" w:cs="Arial" w:eastAsia="Arial" w:hAnsi="Arial"/>
                  <w:sz w:val="16"/>
                  <w:szCs w:val="16"/>
                  <w:b w:val="1"/>
                  <w:bCs w:val="1"/>
                  <w:color w:val="0000FF"/>
                </w:rPr>
                <w:t>Table of Contents</w:t>
              </w:r>
            </w:hyperlink>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0"/>
        </w:trPr>
        <w:tc>
          <w:tcPr>
            <w:tcW w:w="1360" w:type="dxa"/>
            <w:vAlign w:val="bottom"/>
            <w:shd w:val="clear" w:color="auto" w:fill="0000FF"/>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784"/>
        </w:trPr>
        <w:tc>
          <w:tcPr>
            <w:tcW w:w="7240" w:type="dxa"/>
            <w:vAlign w:val="bottom"/>
            <w:gridSpan w:val="2"/>
          </w:tcPr>
          <w:p>
            <w:pPr>
              <w:spacing w:after="0"/>
              <w:rPr>
                <w:sz w:val="20"/>
                <w:szCs w:val="20"/>
                <w:color w:val="auto"/>
              </w:rPr>
            </w:pPr>
            <w:r>
              <w:rPr>
                <w:rFonts w:ascii="Arial" w:cs="Arial" w:eastAsia="Arial" w:hAnsi="Arial"/>
                <w:sz w:val="16"/>
                <w:szCs w:val="16"/>
                <w:b w:val="1"/>
                <w:bCs w:val="1"/>
                <w:color w:val="auto"/>
              </w:rPr>
              <w:t>Corporate and Other</w:t>
            </w: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432"/>
        </w:trPr>
        <w:tc>
          <w:tcPr>
            <w:tcW w:w="7240" w:type="dxa"/>
            <w:vAlign w:val="bottom"/>
            <w:gridSpan w:val="2"/>
          </w:tcPr>
          <w:p>
            <w:pPr>
              <w:spacing w:after="0"/>
              <w:rPr>
                <w:sz w:val="20"/>
                <w:szCs w:val="20"/>
                <w:color w:val="auto"/>
              </w:rPr>
            </w:pPr>
            <w:r>
              <w:rPr>
                <w:rFonts w:ascii="Arial" w:cs="Arial" w:eastAsia="Arial" w:hAnsi="Arial"/>
                <w:sz w:val="16"/>
                <w:szCs w:val="16"/>
                <w:color w:val="auto"/>
              </w:rPr>
              <w:t>Corporate and Other operating results were as follows (in thousands):</w:t>
            </w: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24"/>
        </w:trPr>
        <w:tc>
          <w:tcPr>
            <w:tcW w:w="1360" w:type="dxa"/>
            <w:vAlign w:val="bottom"/>
          </w:tcPr>
          <w:p>
            <w:pPr>
              <w:spacing w:after="0"/>
              <w:rPr>
                <w:sz w:val="24"/>
                <w:szCs w:val="24"/>
                <w:color w:val="auto"/>
              </w:rPr>
            </w:pPr>
          </w:p>
        </w:tc>
        <w:tc>
          <w:tcPr>
            <w:tcW w:w="5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720" w:type="dxa"/>
            <w:vAlign w:val="bottom"/>
            <w:gridSpan w:val="5"/>
          </w:tcPr>
          <w:p>
            <w:pPr>
              <w:jc w:val="center"/>
              <w:ind w:right="199"/>
              <w:spacing w:after="0"/>
              <w:rPr>
                <w:sz w:val="20"/>
                <w:szCs w:val="20"/>
                <w:color w:val="auto"/>
              </w:rPr>
            </w:pPr>
            <w:r>
              <w:rPr>
                <w:rFonts w:ascii="Arial" w:cs="Arial" w:eastAsia="Arial" w:hAnsi="Arial"/>
                <w:sz w:val="16"/>
                <w:szCs w:val="16"/>
                <w:color w:val="auto"/>
              </w:rPr>
              <w:t>Three Months Ended March 31,</w:t>
            </w:r>
          </w:p>
        </w:tc>
      </w:tr>
      <w:tr>
        <w:trPr>
          <w:trHeight w:val="219"/>
        </w:trPr>
        <w:tc>
          <w:tcPr>
            <w:tcW w:w="1360" w:type="dxa"/>
            <w:vAlign w:val="bottom"/>
          </w:tcPr>
          <w:p>
            <w:pPr>
              <w:spacing w:after="0"/>
              <w:rPr>
                <w:sz w:val="19"/>
                <w:szCs w:val="19"/>
                <w:color w:val="auto"/>
              </w:rPr>
            </w:pPr>
          </w:p>
        </w:tc>
        <w:tc>
          <w:tcPr>
            <w:tcW w:w="58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2021</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2020</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Variance</w:t>
            </w:r>
          </w:p>
        </w:tc>
      </w:tr>
      <w:tr>
        <w:trPr>
          <w:trHeight w:val="253"/>
        </w:trPr>
        <w:tc>
          <w:tcPr>
            <w:tcW w:w="1360" w:type="dxa"/>
            <w:vAlign w:val="bottom"/>
          </w:tcPr>
          <w:p>
            <w:pPr>
              <w:spacing w:after="0"/>
              <w:rPr>
                <w:sz w:val="22"/>
                <w:szCs w:val="22"/>
                <w:color w:val="auto"/>
              </w:rPr>
            </w:pPr>
          </w:p>
        </w:tc>
        <w:tc>
          <w:tcPr>
            <w:tcW w:w="58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41"/>
        </w:trPr>
        <w:tc>
          <w:tcPr>
            <w:tcW w:w="7240" w:type="dxa"/>
            <w:vAlign w:val="bottom"/>
            <w:tcBorders>
              <w:bottom w:val="single" w:sz="8" w:color="CEFFE7"/>
            </w:tcBorders>
            <w:gridSpan w:val="2"/>
            <w:shd w:val="clear" w:color="auto" w:fill="CEFFE7"/>
          </w:tcPr>
          <w:p>
            <w:pPr>
              <w:ind w:left="20"/>
              <w:spacing w:after="0"/>
              <w:rPr>
                <w:sz w:val="20"/>
                <w:szCs w:val="20"/>
                <w:color w:val="auto"/>
              </w:rPr>
            </w:pPr>
            <w:r>
              <w:rPr>
                <w:rFonts w:ascii="Arial" w:cs="Arial" w:eastAsia="Arial" w:hAnsi="Arial"/>
                <w:sz w:val="16"/>
                <w:szCs w:val="16"/>
                <w:color w:val="auto"/>
              </w:rPr>
              <w:t>Adjusted operating income (loss)</w:t>
            </w:r>
          </w:p>
        </w:tc>
        <w:tc>
          <w:tcPr>
            <w:tcW w:w="280" w:type="dxa"/>
            <w:vAlign w:val="bottom"/>
            <w:tcBorders>
              <w:bottom w:val="single" w:sz="8" w:color="auto"/>
            </w:tcBorders>
            <w:shd w:val="clear" w:color="auto" w:fill="CEFFE7"/>
          </w:tcPr>
          <w:p>
            <w:pPr>
              <w:jc w:val="right"/>
              <w:ind w:right="9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(3,122)</w:t>
            </w:r>
          </w:p>
        </w:tc>
        <w:tc>
          <w:tcPr>
            <w:tcW w:w="300" w:type="dxa"/>
            <w:vAlign w:val="bottom"/>
            <w:tcBorders>
              <w:bottom w:val="single" w:sz="8" w:color="auto"/>
            </w:tcBorders>
            <w:shd w:val="clear" w:color="auto" w:fill="CEFFE7"/>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160</w:t>
            </w:r>
          </w:p>
        </w:tc>
        <w:tc>
          <w:tcPr>
            <w:tcW w:w="260" w:type="dxa"/>
            <w:vAlign w:val="bottom"/>
            <w:tcBorders>
              <w:bottom w:val="single" w:sz="8" w:color="auto"/>
            </w:tcBorders>
            <w:shd w:val="clear" w:color="auto" w:fill="CEFFE7"/>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(3,282)</w:t>
            </w:r>
          </w:p>
        </w:tc>
      </w:tr>
      <w:tr>
        <w:trPr>
          <w:trHeight w:val="20"/>
        </w:trPr>
        <w:tc>
          <w:tcPr>
            <w:tcW w:w="1360" w:type="dxa"/>
            <w:vAlign w:val="bottom"/>
            <w:tcBorders>
              <w:top w:val="single" w:sz="8" w:color="CEFFE7"/>
            </w:tcBorders>
          </w:tcPr>
          <w:p>
            <w:pPr>
              <w:spacing w:after="0" w:line="20" w:lineRule="exact"/>
              <w:rPr>
                <w:sz w:val="1"/>
                <w:szCs w:val="1"/>
                <w:color w:val="auto"/>
              </w:rPr>
            </w:pPr>
          </w:p>
        </w:tc>
        <w:tc>
          <w:tcPr>
            <w:tcW w:w="5880" w:type="dxa"/>
            <w:vAlign w:val="bottom"/>
            <w:tcBorders>
              <w:top w:val="single" w:sz="8" w:color="CEFFE7"/>
            </w:tcBorders>
          </w:tcPr>
          <w:p>
            <w:pPr>
              <w:spacing w:after="0" w:line="20" w:lineRule="exact"/>
              <w:rPr>
                <w:sz w:val="1"/>
                <w:szCs w:val="1"/>
                <w:color w:val="auto"/>
              </w:rPr>
            </w:pPr>
          </w:p>
        </w:tc>
        <w:tc>
          <w:tcPr>
            <w:tcW w:w="280" w:type="dxa"/>
            <w:vAlign w:val="bottom"/>
            <w:tcBorders>
              <w:top w:val="single" w:sz="8" w:color="CEFFE7"/>
              <w:bottom w:val="single" w:sz="8" w:color="auto"/>
            </w:tcBorders>
          </w:tcPr>
          <w:p>
            <w:pPr>
              <w:spacing w:after="0" w:line="20" w:lineRule="exact"/>
              <w:rPr>
                <w:sz w:val="1"/>
                <w:szCs w:val="1"/>
                <w:color w:val="auto"/>
              </w:rPr>
            </w:pPr>
          </w:p>
        </w:tc>
        <w:tc>
          <w:tcPr>
            <w:tcW w:w="1040" w:type="dxa"/>
            <w:vAlign w:val="bottom"/>
            <w:tcBorders>
              <w:top w:val="single" w:sz="8" w:color="CEFFE7"/>
              <w:bottom w:val="single" w:sz="8" w:color="auto"/>
            </w:tcBorders>
          </w:tcPr>
          <w:p>
            <w:pPr>
              <w:spacing w:after="0" w:line="20" w:lineRule="exact"/>
              <w:rPr>
                <w:sz w:val="1"/>
                <w:szCs w:val="1"/>
                <w:color w:val="auto"/>
              </w:rPr>
            </w:pPr>
          </w:p>
        </w:tc>
        <w:tc>
          <w:tcPr>
            <w:tcW w:w="300" w:type="dxa"/>
            <w:vAlign w:val="bottom"/>
            <w:tcBorders>
              <w:top w:val="single" w:sz="8" w:color="CEFFE7"/>
              <w:bottom w:val="single" w:sz="8" w:color="auto"/>
            </w:tcBorders>
          </w:tcPr>
          <w:p>
            <w:pPr>
              <w:spacing w:after="0" w:line="20" w:lineRule="exact"/>
              <w:rPr>
                <w:sz w:val="1"/>
                <w:szCs w:val="1"/>
                <w:color w:val="auto"/>
              </w:rPr>
            </w:pPr>
          </w:p>
        </w:tc>
        <w:tc>
          <w:tcPr>
            <w:tcW w:w="1020" w:type="dxa"/>
            <w:vAlign w:val="bottom"/>
            <w:tcBorders>
              <w:top w:val="single" w:sz="8" w:color="CEFFE7"/>
              <w:bottom w:val="single" w:sz="8" w:color="auto"/>
            </w:tcBorders>
          </w:tcPr>
          <w:p>
            <w:pPr>
              <w:spacing w:after="0" w:line="20" w:lineRule="exact"/>
              <w:rPr>
                <w:sz w:val="1"/>
                <w:szCs w:val="1"/>
                <w:color w:val="auto"/>
              </w:rPr>
            </w:pPr>
          </w:p>
        </w:tc>
        <w:tc>
          <w:tcPr>
            <w:tcW w:w="260" w:type="dxa"/>
            <w:vAlign w:val="bottom"/>
            <w:tcBorders>
              <w:top w:val="single" w:sz="8" w:color="CEFFE7"/>
              <w:bottom w:val="single" w:sz="8" w:color="auto"/>
            </w:tcBorders>
          </w:tcPr>
          <w:p>
            <w:pPr>
              <w:spacing w:after="0" w:line="20" w:lineRule="exact"/>
              <w:rPr>
                <w:sz w:val="1"/>
                <w:szCs w:val="1"/>
                <w:color w:val="auto"/>
              </w:rPr>
            </w:pPr>
          </w:p>
        </w:tc>
        <w:tc>
          <w:tcPr>
            <w:tcW w:w="1100" w:type="dxa"/>
            <w:vAlign w:val="bottom"/>
            <w:tcBorders>
              <w:top w:val="single" w:sz="8" w:color="CEFFE7"/>
              <w:bottom w:val="single" w:sz="8" w:color="auto"/>
            </w:tcBorders>
          </w:tcPr>
          <w:p>
            <w:pPr>
              <w:spacing w:after="0" w:line="20" w:lineRule="exact"/>
              <w:rPr>
                <w:sz w:val="1"/>
                <w:szCs w:val="1"/>
                <w:color w:val="auto"/>
              </w:rPr>
            </w:pPr>
          </w:p>
        </w:tc>
      </w:tr>
    </w:tbl>
    <w:p>
      <w:pPr>
        <w:spacing w:after="0" w:line="32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Three Months Ended March 31, 2021 Compared to the Three Months Ended March 31, 2020:</w:t>
      </w:r>
    </w:p>
    <w:p>
      <w:pPr>
        <w:spacing w:after="0" w:line="248" w:lineRule="exact"/>
        <w:rPr>
          <w:sz w:val="20"/>
          <w:szCs w:val="20"/>
          <w:color w:val="auto"/>
        </w:rPr>
      </w:pPr>
    </w:p>
    <w:p>
      <w:pPr>
        <w:ind w:right="800"/>
        <w:spacing w:after="0" w:line="260" w:lineRule="auto"/>
        <w:rPr>
          <w:sz w:val="20"/>
          <w:szCs w:val="20"/>
          <w:color w:val="auto"/>
        </w:rPr>
      </w:pPr>
      <w:r>
        <w:rPr>
          <w:rFonts w:ascii="Arial" w:cs="Arial" w:eastAsia="Arial" w:hAnsi="Arial"/>
          <w:sz w:val="16"/>
          <w:szCs w:val="16"/>
          <w:color w:val="auto"/>
        </w:rPr>
        <w:t>The variance in Adjusted operating income (loss) was primarily due to a prior year favorable true-up of employee costs which was allocated to our subsidiaries in the current year. This allocation was offset in our reportable segments and had no impact to consolidated results.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Consolidated Interest Expense, Impairment of Investment, Other Income (Expense) and Income Tax (Expense)</w:t>
      </w:r>
    </w:p>
    <w:p>
      <w:pPr>
        <w:spacing w:after="0" w:line="200" w:lineRule="exact"/>
        <w:rPr>
          <w:sz w:val="20"/>
          <w:szCs w:val="20"/>
          <w:color w:val="auto"/>
        </w:rPr>
      </w:pP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65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140" w:type="dxa"/>
            <w:vAlign w:val="bottom"/>
            <w:gridSpan w:val="4"/>
          </w:tcPr>
          <w:p>
            <w:pPr>
              <w:jc w:val="center"/>
              <w:ind w:left="699"/>
              <w:spacing w:after="0"/>
              <w:rPr>
                <w:sz w:val="20"/>
                <w:szCs w:val="20"/>
                <w:color w:val="auto"/>
              </w:rPr>
            </w:pPr>
            <w:r>
              <w:rPr>
                <w:rFonts w:ascii="Arial" w:cs="Arial" w:eastAsia="Arial" w:hAnsi="Arial"/>
                <w:sz w:val="16"/>
                <w:szCs w:val="16"/>
                <w:color w:val="auto"/>
              </w:rPr>
              <w:t>Three Months Ended March 31,</w:t>
            </w:r>
          </w:p>
        </w:tc>
        <w:tc>
          <w:tcPr>
            <w:tcW w:w="1120" w:type="dxa"/>
            <w:vAlign w:val="bottom"/>
          </w:tcPr>
          <w:p>
            <w:pPr>
              <w:spacing w:after="0"/>
              <w:rPr>
                <w:sz w:val="16"/>
                <w:szCs w:val="16"/>
                <w:color w:val="auto"/>
              </w:rPr>
            </w:pPr>
          </w:p>
        </w:tc>
      </w:tr>
      <w:tr>
        <w:trPr>
          <w:trHeight w:val="219"/>
        </w:trPr>
        <w:tc>
          <w:tcPr>
            <w:tcW w:w="65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color w:val="auto"/>
              </w:rPr>
              <w:t>2021</w:t>
            </w: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color w:val="auto"/>
              </w:rPr>
              <w:t>2020</w:t>
            </w:r>
          </w:p>
        </w:tc>
        <w:tc>
          <w:tcPr>
            <w:tcW w:w="4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Variance</w:t>
            </w:r>
          </w:p>
        </w:tc>
      </w:tr>
      <w:tr>
        <w:trPr>
          <w:trHeight w:val="210"/>
        </w:trPr>
        <w:tc>
          <w:tcPr>
            <w:tcW w:w="6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center"/>
              <w:ind w:right="99"/>
              <w:spacing w:after="0"/>
              <w:rPr>
                <w:sz w:val="20"/>
                <w:szCs w:val="20"/>
                <w:color w:val="auto"/>
              </w:rPr>
            </w:pPr>
            <w:r>
              <w:rPr>
                <w:rFonts w:ascii="Arial" w:cs="Arial" w:eastAsia="Arial" w:hAnsi="Arial"/>
                <w:sz w:val="16"/>
                <w:szCs w:val="16"/>
                <w:color w:val="auto"/>
              </w:rPr>
              <w:t>(in thousands)</w:t>
            </w: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9"/>
        </w:trPr>
        <w:tc>
          <w:tcPr>
            <w:tcW w:w="6560" w:type="dxa"/>
            <w:vAlign w:val="bottom"/>
            <w:shd w:val="clear" w:color="auto" w:fill="CEFFE7"/>
          </w:tcPr>
          <w:p>
            <w:pPr>
              <w:spacing w:after="0"/>
              <w:rPr>
                <w:sz w:val="20"/>
                <w:szCs w:val="20"/>
                <w:color w:val="auto"/>
              </w:rPr>
            </w:pPr>
            <w:r>
              <w:rPr>
                <w:rFonts w:ascii="Arial" w:cs="Arial" w:eastAsia="Arial" w:hAnsi="Arial"/>
                <w:sz w:val="16"/>
                <w:szCs w:val="16"/>
                <w:color w:val="auto"/>
              </w:rPr>
              <w:t>Interest expense, net</w:t>
            </w:r>
          </w:p>
        </w:tc>
        <w:tc>
          <w:tcPr>
            <w:tcW w:w="360" w:type="dxa"/>
            <w:vAlign w:val="bottom"/>
            <w:shd w:val="clear" w:color="auto" w:fill="CEFFE7"/>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(37,600)</w:t>
            </w:r>
          </w:p>
        </w:tc>
        <w:tc>
          <w:tcPr>
            <w:tcW w:w="180" w:type="dxa"/>
            <w:vAlign w:val="bottom"/>
            <w:shd w:val="clear" w:color="auto" w:fill="CEFFE7"/>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(35,453)</w:t>
            </w:r>
          </w:p>
        </w:tc>
        <w:tc>
          <w:tcPr>
            <w:tcW w:w="420" w:type="dxa"/>
            <w:vAlign w:val="bottom"/>
            <w:shd w:val="clear" w:color="auto" w:fill="CEFFE7"/>
          </w:tcPr>
          <w:p>
            <w:pPr>
              <w:jc w:val="right"/>
              <w:ind w:right="23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(2,147)</w:t>
            </w:r>
          </w:p>
        </w:tc>
      </w:tr>
      <w:tr>
        <w:trPr>
          <w:trHeight w:val="213"/>
        </w:trPr>
        <w:tc>
          <w:tcPr>
            <w:tcW w:w="6560" w:type="dxa"/>
            <w:vAlign w:val="bottom"/>
          </w:tcPr>
          <w:p>
            <w:pPr>
              <w:spacing w:after="0"/>
              <w:rPr>
                <w:sz w:val="20"/>
                <w:szCs w:val="20"/>
                <w:color w:val="auto"/>
              </w:rPr>
            </w:pPr>
            <w:r>
              <w:rPr>
                <w:rFonts w:ascii="Arial" w:cs="Arial" w:eastAsia="Arial" w:hAnsi="Arial"/>
                <w:sz w:val="16"/>
                <w:szCs w:val="16"/>
                <w:color w:val="auto"/>
              </w:rPr>
              <w:t>Impairment of investment</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(6,859)</w:t>
            </w: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6,859</w:t>
            </w:r>
          </w:p>
        </w:tc>
      </w:tr>
      <w:tr>
        <w:trPr>
          <w:trHeight w:val="219"/>
        </w:trPr>
        <w:tc>
          <w:tcPr>
            <w:tcW w:w="6560" w:type="dxa"/>
            <w:vAlign w:val="bottom"/>
            <w:shd w:val="clear" w:color="auto" w:fill="CEFFE7"/>
          </w:tcPr>
          <w:p>
            <w:pPr>
              <w:spacing w:after="0"/>
              <w:rPr>
                <w:sz w:val="20"/>
                <w:szCs w:val="20"/>
                <w:color w:val="auto"/>
              </w:rPr>
            </w:pPr>
            <w:r>
              <w:rPr>
                <w:rFonts w:ascii="Arial" w:cs="Arial" w:eastAsia="Arial" w:hAnsi="Arial"/>
                <w:sz w:val="16"/>
                <w:szCs w:val="16"/>
                <w:color w:val="auto"/>
              </w:rPr>
              <w:t>Other income (expense), net</w:t>
            </w:r>
          </w:p>
        </w:tc>
        <w:tc>
          <w:tcPr>
            <w:tcW w:w="360" w:type="dxa"/>
            <w:vAlign w:val="bottom"/>
            <w:shd w:val="clear" w:color="auto" w:fill="CEFFE7"/>
          </w:tcPr>
          <w:p>
            <w:pPr>
              <w:spacing w:after="0"/>
              <w:rPr>
                <w:sz w:val="19"/>
                <w:szCs w:val="19"/>
                <w:color w:val="auto"/>
              </w:rPr>
            </w:pPr>
          </w:p>
        </w:tc>
        <w:tc>
          <w:tcPr>
            <w:tcW w:w="11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266</w:t>
            </w:r>
          </w:p>
        </w:tc>
        <w:tc>
          <w:tcPr>
            <w:tcW w:w="180" w:type="dxa"/>
            <w:vAlign w:val="bottom"/>
            <w:shd w:val="clear" w:color="auto" w:fill="CEFFE7"/>
          </w:tcPr>
          <w:p>
            <w:pPr>
              <w:spacing w:after="0"/>
              <w:rPr>
                <w:sz w:val="19"/>
                <w:szCs w:val="19"/>
                <w:color w:val="auto"/>
              </w:rPr>
            </w:pPr>
          </w:p>
        </w:tc>
        <w:tc>
          <w:tcPr>
            <w:tcW w:w="13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2,353</w:t>
            </w:r>
          </w:p>
        </w:tc>
        <w:tc>
          <w:tcPr>
            <w:tcW w:w="420" w:type="dxa"/>
            <w:vAlign w:val="bottom"/>
            <w:shd w:val="clear" w:color="auto" w:fill="CEFFE7"/>
          </w:tcPr>
          <w:p>
            <w:pPr>
              <w:jc w:val="right"/>
              <w:ind w:right="23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(2,087)</w:t>
            </w:r>
          </w:p>
        </w:tc>
      </w:tr>
      <w:tr>
        <w:trPr>
          <w:trHeight w:val="210"/>
        </w:trPr>
        <w:tc>
          <w:tcPr>
            <w:tcW w:w="6560" w:type="dxa"/>
            <w:vAlign w:val="bottom"/>
          </w:tcPr>
          <w:p>
            <w:pPr>
              <w:spacing w:after="0"/>
              <w:rPr>
                <w:sz w:val="20"/>
                <w:szCs w:val="20"/>
                <w:color w:val="auto"/>
              </w:rPr>
            </w:pPr>
            <w:r>
              <w:rPr>
                <w:rFonts w:ascii="Arial" w:cs="Arial" w:eastAsia="Arial" w:hAnsi="Arial"/>
                <w:sz w:val="16"/>
                <w:szCs w:val="16"/>
                <w:color w:val="auto"/>
              </w:rPr>
              <w:t>Income tax (expense)</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(494)</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(16,002)</w:t>
            </w: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15,508</w:t>
            </w:r>
          </w:p>
        </w:tc>
      </w:tr>
    </w:tbl>
    <w:p>
      <w:pPr>
        <w:spacing w:after="0" w:line="34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Three Months Ended March 31, 2021 Compared to the Three Months Ended March 31, 2020.</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Interest Expense</w:t>
      </w:r>
    </w:p>
    <w:p>
      <w:pPr>
        <w:spacing w:after="0" w:line="264" w:lineRule="exact"/>
        <w:rPr>
          <w:sz w:val="20"/>
          <w:szCs w:val="20"/>
          <w:color w:val="auto"/>
        </w:rPr>
      </w:pPr>
    </w:p>
    <w:p>
      <w:pPr>
        <w:ind w:right="280"/>
        <w:spacing w:after="0" w:line="260" w:lineRule="auto"/>
        <w:rPr>
          <w:sz w:val="20"/>
          <w:szCs w:val="20"/>
          <w:color w:val="auto"/>
        </w:rPr>
      </w:pPr>
      <w:r>
        <w:rPr>
          <w:rFonts w:ascii="Arial" w:cs="Arial" w:eastAsia="Arial" w:hAnsi="Arial"/>
          <w:sz w:val="16"/>
          <w:szCs w:val="16"/>
          <w:color w:val="auto"/>
        </w:rPr>
        <w:t>The increase in Interest expense, net was due to higher debt balances driven by the February 2021 term loan and the June 2020 senior unsecured notes partially offset by lower interest rates.</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Impairment of Investment</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color w:val="auto"/>
        </w:rPr>
        <w:t>In the prior year, we recorded a pre-tax non-cash write-down of $6.9 million in our investment in equity securities of a privately held oil and gas company.</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The impairment was triggered by continued adverse changes in future natural gas prices and liquidity concerns at the privately held oil and gas company.</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Other Income (Expense)</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color w:val="auto"/>
        </w:rPr>
        <w:t>The decrease in Other income was primarily due to prior year credits for our non-qualified benefit plan driven by market performance on plan assets.</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Income Tax (Expense)</w:t>
      </w:r>
    </w:p>
    <w:p>
      <w:pPr>
        <w:spacing w:after="0" w:line="264" w:lineRule="exact"/>
        <w:rPr>
          <w:sz w:val="20"/>
          <w:szCs w:val="20"/>
          <w:color w:val="auto"/>
        </w:rPr>
      </w:pPr>
    </w:p>
    <w:p>
      <w:pPr>
        <w:ind w:right="100"/>
        <w:spacing w:after="0" w:line="251" w:lineRule="auto"/>
        <w:rPr>
          <w:sz w:val="20"/>
          <w:szCs w:val="20"/>
          <w:color w:val="auto"/>
        </w:rPr>
      </w:pPr>
      <w:r>
        <w:rPr>
          <w:rFonts w:ascii="Arial" w:cs="Arial" w:eastAsia="Arial" w:hAnsi="Arial"/>
          <w:sz w:val="16"/>
          <w:szCs w:val="16"/>
          <w:color w:val="auto"/>
        </w:rPr>
        <w:t>For the three months ended March 31, 2021, the effective tax rate was 0.5% compared to 14.1% for the same period in 2020. The lower effective tax rate is primarily due to $7.6 million of increased tax benefits from Colorado Electric’s TCJA-related bill credits to customers (which is offset by reduced revenue), $1.5 million of increased tax benefits from amortization of excess deferred income taxes and $1.3 million of increased tax benefits from federal production tax credits associated with new wind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1" w:name="page42"/>
    <w:bookmarkEnd w:id="41"/>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Liquidity and Capital Resources</w:t>
      </w:r>
    </w:p>
    <w:p>
      <w:pPr>
        <w:spacing w:after="0" w:line="268" w:lineRule="exact"/>
        <w:rPr>
          <w:sz w:val="20"/>
          <w:szCs w:val="20"/>
          <w:color w:val="auto"/>
        </w:rPr>
      </w:pPr>
    </w:p>
    <w:p>
      <w:pPr>
        <w:ind w:right="140"/>
        <w:spacing w:after="0" w:line="260" w:lineRule="auto"/>
        <w:rPr>
          <w:sz w:val="20"/>
          <w:szCs w:val="20"/>
          <w:color w:val="auto"/>
        </w:rPr>
      </w:pPr>
      <w:r>
        <w:rPr>
          <w:rFonts w:ascii="Arial" w:cs="Arial" w:eastAsia="Arial" w:hAnsi="Arial"/>
          <w:sz w:val="16"/>
          <w:szCs w:val="16"/>
          <w:color w:val="auto"/>
        </w:rPr>
        <w:t>There have been no material changes in Liquidity and Capital Resources from those reported in Item 7 of our 2020 Annual Report on Form 10-K except as described below.</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auto"/>
        </w:rPr>
        <w:t>For the three months ended March 31, 2021, we did not experience significant impacts to our liquidity or financial condition due to the COVID-19 pandemic.</w:t>
      </w:r>
    </w:p>
    <w:p>
      <w:pPr>
        <w:spacing w:after="0" w:line="248" w:lineRule="exact"/>
        <w:rPr>
          <w:sz w:val="20"/>
          <w:szCs w:val="20"/>
          <w:color w:val="auto"/>
        </w:rPr>
      </w:pPr>
    </w:p>
    <w:p>
      <w:pPr>
        <w:ind w:right="140"/>
        <w:spacing w:after="0" w:line="260" w:lineRule="auto"/>
        <w:rPr>
          <w:rFonts w:ascii="Arial" w:cs="Arial" w:eastAsia="Arial" w:hAnsi="Arial"/>
          <w:sz w:val="16"/>
          <w:szCs w:val="16"/>
          <w:color w:val="auto"/>
        </w:rPr>
      </w:pPr>
      <w:r>
        <w:rPr>
          <w:rFonts w:ascii="Arial" w:cs="Arial" w:eastAsia="Arial" w:hAnsi="Arial"/>
          <w:sz w:val="16"/>
          <w:szCs w:val="16"/>
          <w:color w:val="auto"/>
        </w:rPr>
        <w:t xml:space="preserve">In response to the February 2021 Winter Storm Uri, we took steps to maintain adequate liquidity to operate our businesses and fund our capital investment program as discussed in the </w:t>
      </w:r>
      <w:hyperlink w:anchor="page30">
        <w:r>
          <w:rPr>
            <w:rFonts w:ascii="Arial" w:cs="Arial" w:eastAsia="Arial" w:hAnsi="Arial"/>
            <w:sz w:val="16"/>
            <w:szCs w:val="16"/>
            <w:u w:val="single" w:color="auto"/>
            <w:color w:val="0000FF"/>
          </w:rPr>
          <w:t>Recent Developments</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 xml:space="preserve">above and in further detail in </w:t>
      </w:r>
      <w:hyperlink w:anchor="page18">
        <w:r>
          <w:rPr>
            <w:rFonts w:ascii="Arial" w:cs="Arial" w:eastAsia="Arial" w:hAnsi="Arial"/>
            <w:sz w:val="16"/>
            <w:szCs w:val="16"/>
            <w:u w:val="single" w:color="auto"/>
            <w:color w:val="0000FF"/>
          </w:rPr>
          <w:t>Note 5</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of the Notes to Condensed Consolidated Financial Statements.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Flow Activities</w:t>
      </w: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our cash flows for the three months ended March 31, (in thousands):</w:t>
      </w:r>
    </w:p>
    <w:p>
      <w:pPr>
        <w:spacing w:after="0" w:line="140" w:lineRule="exact"/>
        <w:rPr>
          <w:sz w:val="20"/>
          <w:szCs w:val="20"/>
          <w:color w:val="auto"/>
        </w:rPr>
      </w:pPr>
    </w:p>
    <w:tbl>
      <w:tblPr>
        <w:tblLayout w:type="fixed"/>
        <w:tblInd w:w="20" w:type="dxa"/>
        <w:tblCellMar>
          <w:top w:w="0" w:type="dxa"/>
          <w:left w:w="0" w:type="dxa"/>
          <w:bottom w:w="0" w:type="dxa"/>
          <w:right w:w="0" w:type="dxa"/>
        </w:tblCellMar>
      </w:tblPr>
      <w:tr>
        <w:trPr>
          <w:trHeight w:val="198"/>
        </w:trPr>
        <w:tc>
          <w:tcPr>
            <w:tcW w:w="46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Cash provided by (used in):</w:t>
            </w:r>
          </w:p>
        </w:tc>
        <w:tc>
          <w:tcPr>
            <w:tcW w:w="29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2021</w:t>
            </w: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2020</w:t>
            </w:r>
          </w:p>
        </w:tc>
        <w:tc>
          <w:tcPr>
            <w:tcW w:w="2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Variance</w:t>
            </w:r>
          </w:p>
        </w:tc>
      </w:tr>
      <w:tr>
        <w:trPr>
          <w:trHeight w:val="213"/>
        </w:trPr>
        <w:tc>
          <w:tcPr>
            <w:tcW w:w="4600" w:type="dxa"/>
            <w:vAlign w:val="bottom"/>
            <w:shd w:val="clear" w:color="auto" w:fill="CEFFE7"/>
          </w:tcPr>
          <w:p>
            <w:pPr>
              <w:ind w:left="20"/>
              <w:spacing w:after="0"/>
              <w:rPr>
                <w:sz w:val="20"/>
                <w:szCs w:val="20"/>
                <w:color w:val="auto"/>
              </w:rPr>
            </w:pPr>
            <w:r>
              <w:rPr>
                <w:rFonts w:ascii="Arial" w:cs="Arial" w:eastAsia="Arial" w:hAnsi="Arial"/>
                <w:sz w:val="16"/>
                <w:szCs w:val="16"/>
                <w:color w:val="auto"/>
              </w:rPr>
              <w:t>Operating activities</w:t>
            </w:r>
          </w:p>
        </w:tc>
        <w:tc>
          <w:tcPr>
            <w:tcW w:w="2900" w:type="dxa"/>
            <w:vAlign w:val="bottom"/>
            <w:shd w:val="clear" w:color="auto" w:fill="CEFFE7"/>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EFFE7"/>
          </w:tcPr>
          <w:p>
            <w:pPr>
              <w:jc w:val="center"/>
              <w:ind w:left="219"/>
              <w:spacing w:after="0"/>
              <w:rPr>
                <w:sz w:val="20"/>
                <w:szCs w:val="20"/>
                <w:color w:val="auto"/>
              </w:rPr>
            </w:pPr>
            <w:r>
              <w:rPr>
                <w:rFonts w:ascii="Arial" w:cs="Arial" w:eastAsia="Arial" w:hAnsi="Arial"/>
                <w:sz w:val="16"/>
                <w:szCs w:val="16"/>
                <w:color w:val="auto"/>
                <w:w w:val="99"/>
              </w:rPr>
              <w:t>(386,086)</w:t>
            </w:r>
          </w:p>
        </w:tc>
        <w:tc>
          <w:tcPr>
            <w:tcW w:w="320" w:type="dxa"/>
            <w:vAlign w:val="bottom"/>
            <w:shd w:val="clear" w:color="auto" w:fill="CEFFE7"/>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191,969</w:t>
            </w:r>
          </w:p>
        </w:tc>
        <w:tc>
          <w:tcPr>
            <w:tcW w:w="240" w:type="dxa"/>
            <w:vAlign w:val="bottom"/>
            <w:shd w:val="clear" w:color="auto" w:fill="CEFFE7"/>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(578,055)</w:t>
            </w:r>
          </w:p>
        </w:tc>
      </w:tr>
      <w:tr>
        <w:trPr>
          <w:trHeight w:val="213"/>
        </w:trPr>
        <w:tc>
          <w:tcPr>
            <w:tcW w:w="4600" w:type="dxa"/>
            <w:vAlign w:val="bottom"/>
          </w:tcPr>
          <w:p>
            <w:pPr>
              <w:ind w:left="20"/>
              <w:spacing w:after="0"/>
              <w:rPr>
                <w:sz w:val="20"/>
                <w:szCs w:val="20"/>
                <w:color w:val="auto"/>
              </w:rPr>
            </w:pPr>
            <w:r>
              <w:rPr>
                <w:rFonts w:ascii="Arial" w:cs="Arial" w:eastAsia="Arial" w:hAnsi="Arial"/>
                <w:sz w:val="16"/>
                <w:szCs w:val="16"/>
                <w:color w:val="auto"/>
              </w:rPr>
              <w:t>Investing activities</w:t>
            </w:r>
          </w:p>
        </w:tc>
        <w:tc>
          <w:tcPr>
            <w:tcW w:w="29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center"/>
              <w:ind w:left="219"/>
              <w:spacing w:after="0"/>
              <w:rPr>
                <w:sz w:val="20"/>
                <w:szCs w:val="20"/>
                <w:color w:val="auto"/>
              </w:rPr>
            </w:pPr>
            <w:r>
              <w:rPr>
                <w:rFonts w:ascii="Arial" w:cs="Arial" w:eastAsia="Arial" w:hAnsi="Arial"/>
                <w:sz w:val="16"/>
                <w:szCs w:val="16"/>
                <w:color w:val="auto"/>
                <w:w w:val="99"/>
              </w:rPr>
              <w:t>(146,224)</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(173,084)</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26,860</w:t>
            </w:r>
          </w:p>
        </w:tc>
      </w:tr>
      <w:tr>
        <w:trPr>
          <w:trHeight w:val="219"/>
        </w:trPr>
        <w:tc>
          <w:tcPr>
            <w:tcW w:w="4600" w:type="dxa"/>
            <w:vAlign w:val="bottom"/>
            <w:shd w:val="clear" w:color="auto" w:fill="CEFFE7"/>
          </w:tcPr>
          <w:p>
            <w:pPr>
              <w:ind w:left="20"/>
              <w:spacing w:after="0"/>
              <w:rPr>
                <w:sz w:val="20"/>
                <w:szCs w:val="20"/>
                <w:color w:val="auto"/>
              </w:rPr>
            </w:pPr>
            <w:r>
              <w:rPr>
                <w:rFonts w:ascii="Arial" w:cs="Arial" w:eastAsia="Arial" w:hAnsi="Arial"/>
                <w:sz w:val="16"/>
                <w:szCs w:val="16"/>
                <w:color w:val="auto"/>
              </w:rPr>
              <w:t>Financing activities</w:t>
            </w:r>
          </w:p>
        </w:tc>
        <w:tc>
          <w:tcPr>
            <w:tcW w:w="2900" w:type="dxa"/>
            <w:vAlign w:val="bottom"/>
            <w:shd w:val="clear" w:color="auto" w:fill="CEFFE7"/>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EFFE7"/>
          </w:tcPr>
          <w:p>
            <w:pPr>
              <w:jc w:val="center"/>
              <w:ind w:left="239"/>
              <w:spacing w:after="0"/>
              <w:rPr>
                <w:sz w:val="20"/>
                <w:szCs w:val="20"/>
                <w:color w:val="auto"/>
              </w:rPr>
            </w:pPr>
            <w:r>
              <w:rPr>
                <w:rFonts w:ascii="Arial" w:cs="Arial" w:eastAsia="Arial" w:hAnsi="Arial"/>
                <w:sz w:val="16"/>
                <w:szCs w:val="16"/>
                <w:color w:val="auto"/>
              </w:rPr>
              <w:t>539,496</w:t>
            </w:r>
          </w:p>
        </w:tc>
        <w:tc>
          <w:tcPr>
            <w:tcW w:w="320" w:type="dxa"/>
            <w:vAlign w:val="bottom"/>
            <w:shd w:val="clear" w:color="auto" w:fill="CEFFE7"/>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25,621</w:t>
            </w:r>
          </w:p>
        </w:tc>
        <w:tc>
          <w:tcPr>
            <w:tcW w:w="240" w:type="dxa"/>
            <w:vAlign w:val="bottom"/>
            <w:shd w:val="clear" w:color="auto" w:fill="CEFFE7"/>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513,875</w:t>
            </w:r>
          </w:p>
        </w:tc>
      </w:tr>
    </w:tbl>
    <w:p>
      <w:pPr>
        <w:spacing w:after="0" w:line="32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Three Months Ended March 31, 2021 Compared to Three Months Ended March 31, 2020</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Operating Activities:</w:t>
      </w: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Net cash provided by operating activities was $578 million lower than the same period in 2020. The variance to the prior year was primarily attributable to:</w:t>
      </w:r>
    </w:p>
    <w:p>
      <w:pPr>
        <w:spacing w:after="0" w:line="248" w:lineRule="exact"/>
        <w:rPr>
          <w:sz w:val="20"/>
          <w:szCs w:val="20"/>
          <w:color w:val="auto"/>
        </w:rPr>
      </w:pPr>
    </w:p>
    <w:p>
      <w:pPr>
        <w:ind w:left="660" w:right="140" w:hanging="328"/>
        <w:spacing w:after="0" w:line="260" w:lineRule="auto"/>
        <w:tabs>
          <w:tab w:leader="none" w:pos="649" w:val="left"/>
        </w:tabs>
        <w:numPr>
          <w:ilvl w:val="0"/>
          <w:numId w:val="32"/>
        </w:numPr>
        <w:rPr>
          <w:rFonts w:ascii="Arial" w:cs="Arial" w:eastAsia="Arial" w:hAnsi="Arial"/>
          <w:sz w:val="16"/>
          <w:szCs w:val="16"/>
          <w:color w:val="auto"/>
        </w:rPr>
      </w:pPr>
      <w:r>
        <w:rPr>
          <w:rFonts w:ascii="Arial" w:cs="Arial" w:eastAsia="Arial" w:hAnsi="Arial"/>
          <w:sz w:val="16"/>
          <w:szCs w:val="16"/>
          <w:color w:val="auto"/>
        </w:rPr>
        <w:t>Cash earnings (net income plus non-cash adjustments) were $15 million lower for the three months ended March 31, 2021 compared to the same period in the prior year primarily driven by lower operating income at our Electric Utilities;</w:t>
      </w:r>
    </w:p>
    <w:p>
      <w:pPr>
        <w:spacing w:after="0" w:line="222" w:lineRule="exact"/>
        <w:rPr>
          <w:rFonts w:ascii="Arial" w:cs="Arial" w:eastAsia="Arial" w:hAnsi="Arial"/>
          <w:sz w:val="16"/>
          <w:szCs w:val="16"/>
          <w:color w:val="auto"/>
        </w:rPr>
      </w:pPr>
    </w:p>
    <w:p>
      <w:pPr>
        <w:ind w:left="640" w:hanging="308"/>
        <w:spacing w:after="0"/>
        <w:tabs>
          <w:tab w:leader="none" w:pos="6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Net inflows from changes in certain operating assets and liabilities were $563 million lower, primarily attributable to:</w:t>
      </w:r>
    </w:p>
    <w:p>
      <w:pPr>
        <w:spacing w:after="0" w:line="248" w:lineRule="exact"/>
        <w:rPr>
          <w:rFonts w:ascii="Arial" w:cs="Arial" w:eastAsia="Arial" w:hAnsi="Arial"/>
          <w:sz w:val="16"/>
          <w:szCs w:val="16"/>
          <w:color w:val="auto"/>
        </w:rPr>
      </w:pPr>
    </w:p>
    <w:p>
      <w:pPr>
        <w:ind w:left="1140" w:right="200" w:hanging="322"/>
        <w:spacing w:after="0" w:line="260" w:lineRule="auto"/>
        <w:tabs>
          <w:tab w:leader="none" w:pos="1130" w:val="left"/>
        </w:tabs>
        <w:numPr>
          <w:ilvl w:val="1"/>
          <w:numId w:val="32"/>
        </w:numPr>
        <w:rPr>
          <w:rFonts w:ascii="Arial" w:cs="Arial" w:eastAsia="Arial" w:hAnsi="Arial"/>
          <w:sz w:val="16"/>
          <w:szCs w:val="16"/>
          <w:color w:val="auto"/>
        </w:rPr>
      </w:pPr>
      <w:r>
        <w:rPr>
          <w:rFonts w:ascii="Arial" w:cs="Arial" w:eastAsia="Arial" w:hAnsi="Arial"/>
          <w:sz w:val="16"/>
          <w:szCs w:val="16"/>
          <w:color w:val="auto"/>
        </w:rPr>
        <w:t>Cash outflows increased by $560 million as a result of changes in our regulatory assets and liabilities primarily driven by incremental costs from Winter Storm Uri;</w:t>
      </w:r>
    </w:p>
    <w:p>
      <w:pPr>
        <w:spacing w:after="0" w:line="222" w:lineRule="exact"/>
        <w:rPr>
          <w:rFonts w:ascii="Arial" w:cs="Arial" w:eastAsia="Arial" w:hAnsi="Arial"/>
          <w:sz w:val="16"/>
          <w:szCs w:val="16"/>
          <w:color w:val="auto"/>
        </w:rPr>
      </w:pPr>
    </w:p>
    <w:p>
      <w:pPr>
        <w:ind w:left="1140" w:right="20" w:hanging="322"/>
        <w:spacing w:after="0" w:line="260" w:lineRule="auto"/>
        <w:tabs>
          <w:tab w:leader="none" w:pos="1130" w:val="left"/>
        </w:tabs>
        <w:numPr>
          <w:ilvl w:val="1"/>
          <w:numId w:val="32"/>
        </w:numPr>
        <w:rPr>
          <w:rFonts w:ascii="Arial" w:cs="Arial" w:eastAsia="Arial" w:hAnsi="Arial"/>
          <w:sz w:val="16"/>
          <w:szCs w:val="16"/>
          <w:color w:val="auto"/>
        </w:rPr>
      </w:pPr>
      <w:r>
        <w:rPr>
          <w:rFonts w:ascii="Arial" w:cs="Arial" w:eastAsia="Arial" w:hAnsi="Arial"/>
          <w:sz w:val="16"/>
          <w:szCs w:val="16"/>
          <w:color w:val="auto"/>
        </w:rPr>
        <w:t>Cash inflows decreased by $23 million primarily as a result of changes in natural gas in storage and lower collections of accounts receivable; and</w:t>
      </w:r>
    </w:p>
    <w:p>
      <w:pPr>
        <w:spacing w:after="0" w:line="222" w:lineRule="exact"/>
        <w:rPr>
          <w:rFonts w:ascii="Arial" w:cs="Arial" w:eastAsia="Arial" w:hAnsi="Arial"/>
          <w:sz w:val="16"/>
          <w:szCs w:val="16"/>
          <w:color w:val="auto"/>
        </w:rPr>
      </w:pPr>
    </w:p>
    <w:p>
      <w:pPr>
        <w:ind w:left="1140" w:right="420" w:hanging="322"/>
        <w:spacing w:after="0" w:line="260" w:lineRule="auto"/>
        <w:tabs>
          <w:tab w:leader="none" w:pos="1130" w:val="left"/>
        </w:tabs>
        <w:numPr>
          <w:ilvl w:val="1"/>
          <w:numId w:val="32"/>
        </w:numPr>
        <w:rPr>
          <w:rFonts w:ascii="Arial" w:cs="Arial" w:eastAsia="Arial" w:hAnsi="Arial"/>
          <w:sz w:val="16"/>
          <w:szCs w:val="16"/>
          <w:color w:val="auto"/>
        </w:rPr>
      </w:pPr>
      <w:r>
        <w:rPr>
          <w:rFonts w:ascii="Arial" w:cs="Arial" w:eastAsia="Arial" w:hAnsi="Arial"/>
          <w:sz w:val="16"/>
          <w:szCs w:val="16"/>
          <w:color w:val="auto"/>
        </w:rPr>
        <w:t>Cash outflows decreased by $20 million as a result of increases in accounts payable and accrued liabilities primarily driven by payment timing of natural gas and power purchases and other working capital requirements.</w:t>
      </w:r>
    </w:p>
    <w:p>
      <w:pPr>
        <w:spacing w:after="0" w:line="222" w:lineRule="exact"/>
        <w:rPr>
          <w:rFonts w:ascii="Arial" w:cs="Arial" w:eastAsia="Arial" w:hAnsi="Arial"/>
          <w:sz w:val="16"/>
          <w:szCs w:val="16"/>
          <w:color w:val="auto"/>
        </w:rPr>
      </w:pPr>
    </w:p>
    <w:p>
      <w:pPr>
        <w:ind w:left="640" w:hanging="308"/>
        <w:spacing w:after="0"/>
        <w:tabs>
          <w:tab w:leader="none" w:pos="6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Cash inflows increased by $0.8 million for other operating activities.</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Investing Activities:</w:t>
      </w: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Net cash used in investing activities was $27 million lower than the same period in 2020. The variance to the prior year was primarily attributable to:</w:t>
      </w:r>
    </w:p>
    <w:p>
      <w:pPr>
        <w:spacing w:after="0" w:line="248" w:lineRule="exact"/>
        <w:rPr>
          <w:sz w:val="20"/>
          <w:szCs w:val="20"/>
          <w:color w:val="auto"/>
        </w:rPr>
      </w:pPr>
    </w:p>
    <w:p>
      <w:pPr>
        <w:ind w:left="660" w:right="140" w:hanging="328"/>
        <w:spacing w:after="0" w:line="253" w:lineRule="auto"/>
        <w:tabs>
          <w:tab w:leader="none" w:pos="649" w:val="left"/>
        </w:tabs>
        <w:numPr>
          <w:ilvl w:val="0"/>
          <w:numId w:val="33"/>
        </w:numPr>
        <w:rPr>
          <w:rFonts w:ascii="Arial" w:cs="Arial" w:eastAsia="Arial" w:hAnsi="Arial"/>
          <w:sz w:val="16"/>
          <w:szCs w:val="16"/>
          <w:color w:val="auto"/>
        </w:rPr>
      </w:pPr>
      <w:r>
        <w:rPr>
          <w:rFonts w:ascii="Arial" w:cs="Arial" w:eastAsia="Arial" w:hAnsi="Arial"/>
          <w:sz w:val="16"/>
          <w:szCs w:val="16"/>
          <w:color w:val="auto"/>
        </w:rPr>
        <w:t>Capital expenditures of $146 million for the three months ended March 31, 2021 compared to $172 million for the same period in the prior year. Lower current year expenditures are driven by lower programmatic safety, reliability and integrity spending at our Gas Utilities and Electric Utilities segments and the prior year Corriedale wind project at our Electric Utilities segment.</w:t>
      </w:r>
    </w:p>
    <w:p>
      <w:pPr>
        <w:spacing w:after="0" w:line="228" w:lineRule="exact"/>
        <w:rPr>
          <w:rFonts w:ascii="Arial" w:cs="Arial" w:eastAsia="Arial" w:hAnsi="Arial"/>
          <w:sz w:val="16"/>
          <w:szCs w:val="16"/>
          <w:color w:val="auto"/>
        </w:rPr>
      </w:pPr>
    </w:p>
    <w:p>
      <w:pPr>
        <w:ind w:left="640" w:hanging="308"/>
        <w:spacing w:after="0"/>
        <w:tabs>
          <w:tab w:leader="none" w:pos="6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Cash outflows decreased by $1.3 million for other investing activities.</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2" w:name="page43"/>
    <w:bookmarkEnd w:id="42"/>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Financing Activities:</w:t>
      </w: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Net cash provided by financing activities was $514 million higher than the same period in 2020. The variance to the prior year was primarily attributable to:</w:t>
      </w:r>
    </w:p>
    <w:p>
      <w:pPr>
        <w:spacing w:after="0" w:line="248" w:lineRule="exact"/>
        <w:rPr>
          <w:sz w:val="20"/>
          <w:szCs w:val="20"/>
          <w:color w:val="auto"/>
        </w:rPr>
      </w:pPr>
    </w:p>
    <w:p>
      <w:pPr>
        <w:ind w:left="660" w:right="340" w:hanging="328"/>
        <w:spacing w:after="0" w:line="260" w:lineRule="auto"/>
        <w:tabs>
          <w:tab w:leader="none" w:pos="649" w:val="left"/>
        </w:tabs>
        <w:numPr>
          <w:ilvl w:val="0"/>
          <w:numId w:val="34"/>
        </w:numPr>
        <w:rPr>
          <w:rFonts w:ascii="Arial" w:cs="Arial" w:eastAsia="Arial" w:hAnsi="Arial"/>
          <w:sz w:val="16"/>
          <w:szCs w:val="16"/>
          <w:color w:val="auto"/>
        </w:rPr>
      </w:pPr>
      <w:r>
        <w:rPr>
          <w:rFonts w:ascii="Arial" w:cs="Arial" w:eastAsia="Arial" w:hAnsi="Arial"/>
          <w:sz w:val="16"/>
          <w:szCs w:val="16"/>
          <w:color w:val="auto"/>
        </w:rPr>
        <w:t>Cash inflows increased $615 million due to borrowings of short-term debt in excess of short-term and long-term debt repayments. This increase was primarily driven by $600 million net borrowings from our term loan;</w:t>
      </w:r>
    </w:p>
    <w:p>
      <w:pPr>
        <w:spacing w:after="0" w:line="222" w:lineRule="exact"/>
        <w:rPr>
          <w:rFonts w:ascii="Arial" w:cs="Arial" w:eastAsia="Arial" w:hAnsi="Arial"/>
          <w:sz w:val="16"/>
          <w:szCs w:val="16"/>
          <w:color w:val="auto"/>
        </w:rPr>
      </w:pPr>
    </w:p>
    <w:p>
      <w:pPr>
        <w:ind w:left="640" w:hanging="308"/>
        <w:spacing w:after="0"/>
        <w:tabs>
          <w:tab w:leader="none" w:pos="6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Cash inflows decreased $99 million due to the prior year issuance of common stock;</w:t>
      </w:r>
    </w:p>
    <w:p>
      <w:pPr>
        <w:spacing w:after="0" w:line="248" w:lineRule="exact"/>
        <w:rPr>
          <w:rFonts w:ascii="Arial" w:cs="Arial" w:eastAsia="Arial" w:hAnsi="Arial"/>
          <w:sz w:val="16"/>
          <w:szCs w:val="16"/>
          <w:color w:val="auto"/>
        </w:rPr>
      </w:pPr>
    </w:p>
    <w:p>
      <w:pPr>
        <w:ind w:left="640" w:hanging="308"/>
        <w:spacing w:after="0"/>
        <w:tabs>
          <w:tab w:leader="none" w:pos="6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Cash outflows increased $2.6 million due to increased dividends paid on common stock; and</w:t>
      </w:r>
    </w:p>
    <w:p>
      <w:pPr>
        <w:spacing w:after="0" w:line="248" w:lineRule="exact"/>
        <w:rPr>
          <w:rFonts w:ascii="Arial" w:cs="Arial" w:eastAsia="Arial" w:hAnsi="Arial"/>
          <w:sz w:val="16"/>
          <w:szCs w:val="16"/>
          <w:color w:val="auto"/>
        </w:rPr>
      </w:pPr>
    </w:p>
    <w:p>
      <w:pPr>
        <w:ind w:left="640" w:hanging="308"/>
        <w:spacing w:after="0"/>
        <w:tabs>
          <w:tab w:leader="none" w:pos="6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Cash outflows decreased by $0.7 million for other financing activities.</w:t>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Capital Sources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Term Loan</w:t>
      </w:r>
    </w:p>
    <w:p>
      <w:pPr>
        <w:spacing w:after="0" w:line="268" w:lineRule="exact"/>
        <w:rPr>
          <w:sz w:val="20"/>
          <w:szCs w:val="20"/>
          <w:color w:val="auto"/>
        </w:rPr>
      </w:pPr>
    </w:p>
    <w:p>
      <w:pPr>
        <w:spacing w:after="0"/>
        <w:rPr>
          <w:rFonts w:ascii="Arial" w:cs="Arial" w:eastAsia="Arial" w:hAnsi="Arial"/>
          <w:sz w:val="16"/>
          <w:szCs w:val="16"/>
          <w:color w:val="auto"/>
        </w:rPr>
      </w:pPr>
      <w:r>
        <w:rPr>
          <w:rFonts w:ascii="Arial" w:cs="Arial" w:eastAsia="Arial" w:hAnsi="Arial"/>
          <w:sz w:val="16"/>
          <w:szCs w:val="16"/>
          <w:color w:val="auto"/>
        </w:rPr>
        <w:t xml:space="preserve">See </w:t>
      </w:r>
      <w:hyperlink w:anchor="page18">
        <w:r>
          <w:rPr>
            <w:rFonts w:ascii="Arial" w:cs="Arial" w:eastAsia="Arial" w:hAnsi="Arial"/>
            <w:sz w:val="16"/>
            <w:szCs w:val="16"/>
            <w:u w:val="single" w:color="auto"/>
            <w:color w:val="0000FF"/>
          </w:rPr>
          <w:t>Note 5</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of the Notes to Condensed Consolidated Financial Statements for information relating to our term loan.</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Revolving Credit Facility and CP Program</w:t>
      </w: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Our Revolving Credit Facility and CP Program had the following borrowings, outstanding letters of credit, and available capacity (in millions):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center"/>
              <w:ind w:right="79"/>
              <w:spacing w:after="0"/>
              <w:rPr>
                <w:sz w:val="20"/>
                <w:szCs w:val="20"/>
                <w:color w:val="auto"/>
              </w:rPr>
            </w:pPr>
            <w:r>
              <w:rPr>
                <w:rFonts w:ascii="Arial" w:cs="Arial" w:eastAsia="Arial" w:hAnsi="Arial"/>
                <w:sz w:val="16"/>
                <w:szCs w:val="16"/>
                <w:color w:val="auto"/>
              </w:rPr>
              <w:t>Current</w:t>
            </w:r>
          </w:p>
        </w:tc>
        <w:tc>
          <w:tcPr>
            <w:tcW w:w="220" w:type="dxa"/>
            <w:vAlign w:val="bottom"/>
          </w:tcPr>
          <w:p>
            <w:pPr>
              <w:spacing w:after="0"/>
              <w:rPr>
                <w:sz w:val="21"/>
                <w:szCs w:val="21"/>
                <w:color w:val="auto"/>
              </w:rPr>
            </w:pPr>
          </w:p>
        </w:tc>
        <w:tc>
          <w:tcPr>
            <w:tcW w:w="2160" w:type="dxa"/>
            <w:vAlign w:val="bottom"/>
          </w:tcPr>
          <w:p>
            <w:pPr>
              <w:jc w:val="center"/>
              <w:ind w:right="99"/>
              <w:spacing w:after="0"/>
              <w:rPr>
                <w:sz w:val="20"/>
                <w:szCs w:val="20"/>
                <w:color w:val="auto"/>
              </w:rPr>
            </w:pPr>
            <w:r>
              <w:rPr>
                <w:rFonts w:ascii="Arial" w:cs="Arial" w:eastAsia="Arial" w:hAnsi="Arial"/>
                <w:sz w:val="16"/>
                <w:szCs w:val="16"/>
                <w:color w:val="auto"/>
              </w:rPr>
              <w:t>Short-term borrowings at</w:t>
            </w:r>
          </w:p>
        </w:tc>
        <w:tc>
          <w:tcPr>
            <w:tcW w:w="200" w:type="dxa"/>
            <w:vAlign w:val="bottom"/>
          </w:tcPr>
          <w:p>
            <w:pPr>
              <w:spacing w:after="0"/>
              <w:rPr>
                <w:sz w:val="21"/>
                <w:szCs w:val="21"/>
                <w:color w:val="auto"/>
              </w:rPr>
            </w:pPr>
          </w:p>
        </w:tc>
        <w:tc>
          <w:tcPr>
            <w:tcW w:w="1760" w:type="dxa"/>
            <w:vAlign w:val="bottom"/>
          </w:tcPr>
          <w:p>
            <w:pPr>
              <w:jc w:val="center"/>
              <w:ind w:right="59"/>
              <w:spacing w:after="0"/>
              <w:rPr>
                <w:sz w:val="20"/>
                <w:szCs w:val="20"/>
                <w:color w:val="auto"/>
              </w:rPr>
            </w:pPr>
            <w:r>
              <w:rPr>
                <w:rFonts w:ascii="Arial" w:cs="Arial" w:eastAsia="Arial" w:hAnsi="Arial"/>
                <w:sz w:val="16"/>
                <w:szCs w:val="16"/>
                <w:color w:val="auto"/>
                <w:w w:val="97"/>
              </w:rPr>
              <w:t xml:space="preserve">Letters of Credit </w:t>
            </w:r>
            <w:r>
              <w:rPr>
                <w:rFonts w:ascii="Arial" w:cs="Arial" w:eastAsia="Arial" w:hAnsi="Arial"/>
                <w:sz w:val="21"/>
                <w:szCs w:val="21"/>
                <w:color w:val="auto"/>
                <w:w w:val="97"/>
                <w:vertAlign w:val="superscript"/>
              </w:rPr>
              <w:t>(a)</w:t>
            </w:r>
            <w:r>
              <w:rPr>
                <w:rFonts w:ascii="Arial" w:cs="Arial" w:eastAsia="Arial" w:hAnsi="Arial"/>
                <w:sz w:val="16"/>
                <w:szCs w:val="16"/>
                <w:color w:val="auto"/>
                <w:w w:val="97"/>
              </w:rPr>
              <w:t xml:space="preserve"> at</w:t>
            </w:r>
          </w:p>
        </w:tc>
        <w:tc>
          <w:tcPr>
            <w:tcW w:w="240" w:type="dxa"/>
            <w:vAlign w:val="bottom"/>
          </w:tcPr>
          <w:p>
            <w:pPr>
              <w:spacing w:after="0"/>
              <w:rPr>
                <w:sz w:val="21"/>
                <w:szCs w:val="21"/>
                <w:color w:val="auto"/>
              </w:rPr>
            </w:pPr>
          </w:p>
        </w:tc>
        <w:tc>
          <w:tcPr>
            <w:tcW w:w="1940" w:type="dxa"/>
            <w:vAlign w:val="bottom"/>
          </w:tcPr>
          <w:p>
            <w:pPr>
              <w:jc w:val="center"/>
              <w:ind w:right="119"/>
              <w:spacing w:after="0"/>
              <w:rPr>
                <w:sz w:val="20"/>
                <w:szCs w:val="20"/>
                <w:color w:val="auto"/>
              </w:rPr>
            </w:pPr>
            <w:r>
              <w:rPr>
                <w:rFonts w:ascii="Arial" w:cs="Arial" w:eastAsia="Arial" w:hAnsi="Arial"/>
                <w:sz w:val="16"/>
                <w:szCs w:val="16"/>
                <w:color w:val="auto"/>
              </w:rPr>
              <w:t>Available Capacity at</w:t>
            </w:r>
          </w:p>
        </w:tc>
      </w:tr>
      <w:tr>
        <w:trPr>
          <w:trHeight w:val="198"/>
        </w:trPr>
        <w:tc>
          <w:tcPr>
            <w:tcW w:w="22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Credit Facility</w:t>
            </w: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Expiration</w:t>
            </w: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color w:val="auto"/>
                <w:w w:val="99"/>
              </w:rPr>
              <w:t>Capacity</w:t>
            </w:r>
          </w:p>
        </w:tc>
        <w:tc>
          <w:tcPr>
            <w:tcW w:w="22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color w:val="auto"/>
              </w:rPr>
              <w:t>March 31, 2021</w:t>
            </w:r>
          </w:p>
        </w:tc>
        <w:tc>
          <w:tcPr>
            <w:tcW w:w="20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color w:val="auto"/>
              </w:rPr>
              <w:t>March 31, 2021</w:t>
            </w:r>
          </w:p>
        </w:tc>
        <w:tc>
          <w:tcPr>
            <w:tcW w:w="24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color w:val="auto"/>
              </w:rPr>
              <w:t>March 31, 2021</w:t>
            </w:r>
          </w:p>
        </w:tc>
      </w:tr>
      <w:tr>
        <w:trPr>
          <w:trHeight w:val="174"/>
        </w:trPr>
        <w:tc>
          <w:tcPr>
            <w:tcW w:w="2240" w:type="dxa"/>
            <w:vAlign w:val="bottom"/>
            <w:shd w:val="clear" w:color="auto" w:fill="CEFFE7"/>
          </w:tcPr>
          <w:p>
            <w:pPr>
              <w:ind w:left="20"/>
              <w:spacing w:after="0" w:line="174" w:lineRule="exact"/>
              <w:rPr>
                <w:sz w:val="20"/>
                <w:szCs w:val="20"/>
                <w:color w:val="auto"/>
              </w:rPr>
            </w:pPr>
            <w:r>
              <w:rPr>
                <w:rFonts w:ascii="Arial" w:cs="Arial" w:eastAsia="Arial" w:hAnsi="Arial"/>
                <w:sz w:val="16"/>
                <w:szCs w:val="16"/>
                <w:color w:val="auto"/>
              </w:rPr>
              <w:t>Revolving Credit Facility and</w:t>
            </w:r>
          </w:p>
        </w:tc>
        <w:tc>
          <w:tcPr>
            <w:tcW w:w="1240" w:type="dxa"/>
            <w:vAlign w:val="bottom"/>
            <w:shd w:val="clear" w:color="auto" w:fill="CEFFE7"/>
          </w:tcPr>
          <w:p>
            <w:pPr>
              <w:spacing w:after="0"/>
              <w:rPr>
                <w:sz w:val="15"/>
                <w:szCs w:val="15"/>
                <w:color w:val="auto"/>
              </w:rPr>
            </w:pPr>
          </w:p>
        </w:tc>
        <w:tc>
          <w:tcPr>
            <w:tcW w:w="260" w:type="dxa"/>
            <w:vAlign w:val="bottom"/>
            <w:shd w:val="clear" w:color="auto" w:fill="CEFFE7"/>
          </w:tcPr>
          <w:p>
            <w:pPr>
              <w:spacing w:after="0"/>
              <w:rPr>
                <w:sz w:val="15"/>
                <w:szCs w:val="15"/>
                <w:color w:val="auto"/>
              </w:rPr>
            </w:pPr>
          </w:p>
        </w:tc>
        <w:tc>
          <w:tcPr>
            <w:tcW w:w="980" w:type="dxa"/>
            <w:vAlign w:val="bottom"/>
            <w:shd w:val="clear" w:color="auto" w:fill="CEFFE7"/>
          </w:tcPr>
          <w:p>
            <w:pPr>
              <w:spacing w:after="0"/>
              <w:rPr>
                <w:sz w:val="15"/>
                <w:szCs w:val="15"/>
                <w:color w:val="auto"/>
              </w:rPr>
            </w:pPr>
          </w:p>
        </w:tc>
        <w:tc>
          <w:tcPr>
            <w:tcW w:w="220" w:type="dxa"/>
            <w:vAlign w:val="bottom"/>
            <w:shd w:val="clear" w:color="auto" w:fill="CEFFE7"/>
          </w:tcPr>
          <w:p>
            <w:pPr>
              <w:spacing w:after="0"/>
              <w:rPr>
                <w:sz w:val="15"/>
                <w:szCs w:val="15"/>
                <w:color w:val="auto"/>
              </w:rPr>
            </w:pPr>
          </w:p>
        </w:tc>
        <w:tc>
          <w:tcPr>
            <w:tcW w:w="2160" w:type="dxa"/>
            <w:vAlign w:val="bottom"/>
            <w:shd w:val="clear" w:color="auto" w:fill="CEFFE7"/>
          </w:tcPr>
          <w:p>
            <w:pPr>
              <w:spacing w:after="0"/>
              <w:rPr>
                <w:sz w:val="15"/>
                <w:szCs w:val="15"/>
                <w:color w:val="auto"/>
              </w:rPr>
            </w:pPr>
          </w:p>
        </w:tc>
        <w:tc>
          <w:tcPr>
            <w:tcW w:w="200" w:type="dxa"/>
            <w:vAlign w:val="bottom"/>
            <w:shd w:val="clear" w:color="auto" w:fill="CEFFE7"/>
          </w:tcPr>
          <w:p>
            <w:pPr>
              <w:spacing w:after="0"/>
              <w:rPr>
                <w:sz w:val="15"/>
                <w:szCs w:val="15"/>
                <w:color w:val="auto"/>
              </w:rPr>
            </w:pPr>
          </w:p>
        </w:tc>
        <w:tc>
          <w:tcPr>
            <w:tcW w:w="1760" w:type="dxa"/>
            <w:vAlign w:val="bottom"/>
            <w:shd w:val="clear" w:color="auto" w:fill="CEFFE7"/>
          </w:tcPr>
          <w:p>
            <w:pPr>
              <w:spacing w:after="0"/>
              <w:rPr>
                <w:sz w:val="15"/>
                <w:szCs w:val="15"/>
                <w:color w:val="auto"/>
              </w:rPr>
            </w:pPr>
          </w:p>
        </w:tc>
        <w:tc>
          <w:tcPr>
            <w:tcW w:w="240" w:type="dxa"/>
            <w:vAlign w:val="bottom"/>
            <w:shd w:val="clear" w:color="auto" w:fill="CEFFE7"/>
          </w:tcPr>
          <w:p>
            <w:pPr>
              <w:spacing w:after="0"/>
              <w:rPr>
                <w:sz w:val="15"/>
                <w:szCs w:val="15"/>
                <w:color w:val="auto"/>
              </w:rPr>
            </w:pPr>
          </w:p>
        </w:tc>
        <w:tc>
          <w:tcPr>
            <w:tcW w:w="1940" w:type="dxa"/>
            <w:vAlign w:val="bottom"/>
            <w:shd w:val="clear" w:color="auto" w:fill="CEFFE7"/>
          </w:tcPr>
          <w:p>
            <w:pPr>
              <w:spacing w:after="0"/>
              <w:rPr>
                <w:sz w:val="15"/>
                <w:szCs w:val="15"/>
                <w:color w:val="auto"/>
              </w:rPr>
            </w:pPr>
          </w:p>
        </w:tc>
      </w:tr>
      <w:tr>
        <w:trPr>
          <w:trHeight w:val="201"/>
        </w:trPr>
        <w:tc>
          <w:tcPr>
            <w:tcW w:w="2240" w:type="dxa"/>
            <w:vAlign w:val="bottom"/>
            <w:shd w:val="clear" w:color="auto" w:fill="CEFFE7"/>
          </w:tcPr>
          <w:p>
            <w:pPr>
              <w:ind w:left="20"/>
              <w:spacing w:after="0"/>
              <w:rPr>
                <w:sz w:val="20"/>
                <w:szCs w:val="20"/>
                <w:color w:val="auto"/>
              </w:rPr>
            </w:pPr>
            <w:r>
              <w:rPr>
                <w:rFonts w:ascii="Arial" w:cs="Arial" w:eastAsia="Arial" w:hAnsi="Arial"/>
                <w:sz w:val="16"/>
                <w:szCs w:val="16"/>
                <w:color w:val="auto"/>
              </w:rPr>
              <w:t>CP Program</w:t>
            </w:r>
          </w:p>
        </w:tc>
        <w:tc>
          <w:tcPr>
            <w:tcW w:w="1240" w:type="dxa"/>
            <w:vAlign w:val="bottom"/>
            <w:shd w:val="clear" w:color="auto" w:fill="CEFFE7"/>
          </w:tcPr>
          <w:p>
            <w:pPr>
              <w:jc w:val="center"/>
              <w:spacing w:after="0"/>
              <w:rPr>
                <w:sz w:val="20"/>
                <w:szCs w:val="20"/>
                <w:color w:val="auto"/>
              </w:rPr>
            </w:pPr>
            <w:r>
              <w:rPr>
                <w:rFonts w:ascii="Arial" w:cs="Arial" w:eastAsia="Arial" w:hAnsi="Arial"/>
                <w:sz w:val="16"/>
                <w:szCs w:val="16"/>
                <w:color w:val="auto"/>
              </w:rPr>
              <w:t>July 30, 2023</w:t>
            </w:r>
          </w:p>
        </w:tc>
        <w:tc>
          <w:tcPr>
            <w:tcW w:w="2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750</w:t>
            </w:r>
          </w:p>
        </w:tc>
        <w:tc>
          <w:tcPr>
            <w:tcW w:w="2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21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216</w:t>
            </w:r>
          </w:p>
        </w:tc>
        <w:tc>
          <w:tcPr>
            <w:tcW w:w="2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7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17</w:t>
            </w:r>
          </w:p>
        </w:tc>
        <w:tc>
          <w:tcPr>
            <w:tcW w:w="240" w:type="dxa"/>
            <w:vAlign w:val="bottom"/>
            <w:shd w:val="clear" w:color="auto" w:fill="CEFFE7"/>
          </w:tcPr>
          <w:p>
            <w:pPr>
              <w:jc w:val="right"/>
              <w:ind w:right="19"/>
              <w:spacing w:after="0"/>
              <w:rPr>
                <w:sz w:val="20"/>
                <w:szCs w:val="20"/>
                <w:color w:val="auto"/>
              </w:rPr>
            </w:pPr>
            <w:r>
              <w:rPr>
                <w:rFonts w:ascii="Arial" w:cs="Arial" w:eastAsia="Arial" w:hAnsi="Arial"/>
                <w:sz w:val="16"/>
                <w:szCs w:val="16"/>
                <w:color w:val="auto"/>
              </w:rPr>
              <w:t>$</w:t>
            </w:r>
          </w:p>
        </w:tc>
        <w:tc>
          <w:tcPr>
            <w:tcW w:w="19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517</w:t>
            </w:r>
          </w:p>
        </w:tc>
      </w:tr>
      <w:tr>
        <w:trPr>
          <w:trHeight w:val="275"/>
        </w:trPr>
        <w:tc>
          <w:tcPr>
            <w:tcW w:w="2240" w:type="dxa"/>
            <w:vAlign w:val="bottom"/>
          </w:tcPr>
          <w:p>
            <w:pPr>
              <w:spacing w:after="0"/>
              <w:rPr>
                <w:sz w:val="20"/>
                <w:szCs w:val="20"/>
                <w:color w:val="auto"/>
              </w:rPr>
            </w:pPr>
            <w:r>
              <w:rPr>
                <w:rFonts w:ascii="Arial" w:cs="Arial" w:eastAsia="Arial" w:hAnsi="Arial"/>
                <w:sz w:val="16"/>
                <w:szCs w:val="16"/>
                <w:color w:val="auto"/>
              </w:rPr>
              <w:t>__________</w:t>
            </w:r>
          </w:p>
        </w:tc>
        <w:tc>
          <w:tcPr>
            <w:tcW w:w="12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940" w:type="dxa"/>
            <w:vAlign w:val="bottom"/>
          </w:tcPr>
          <w:p>
            <w:pPr>
              <w:spacing w:after="0"/>
              <w:rPr>
                <w:sz w:val="23"/>
                <w:szCs w:val="23"/>
                <w:color w:val="auto"/>
              </w:rPr>
            </w:pPr>
          </w:p>
        </w:tc>
      </w:tr>
    </w:tbl>
    <w:p>
      <w:pPr>
        <w:ind w:left="340" w:hanging="332"/>
        <w:spacing w:after="0"/>
        <w:tabs>
          <w:tab w:leader="none" w:pos="3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Letters of credit are off-balance sheet commitments that reduce the borrowing capacity available on our corporate Revolving Credit Facility.</w:t>
      </w:r>
    </w:p>
    <w:p>
      <w:pPr>
        <w:spacing w:after="0" w:line="241" w:lineRule="exact"/>
        <w:rPr>
          <w:sz w:val="20"/>
          <w:szCs w:val="20"/>
          <w:color w:val="auto"/>
        </w:rPr>
      </w:pPr>
    </w:p>
    <w:p>
      <w:pPr>
        <w:ind w:right="140"/>
        <w:spacing w:after="0" w:line="260" w:lineRule="auto"/>
        <w:rPr>
          <w:sz w:val="20"/>
          <w:szCs w:val="20"/>
          <w:color w:val="auto"/>
        </w:rPr>
      </w:pPr>
      <w:r>
        <w:rPr>
          <w:rFonts w:ascii="Arial" w:cs="Arial" w:eastAsia="Arial" w:hAnsi="Arial"/>
          <w:sz w:val="16"/>
          <w:szCs w:val="16"/>
          <w:color w:val="auto"/>
        </w:rPr>
        <w:t>The weighted average interest rate on short-term borrowings related to our Revolving Credit Facility and CP Program at March 31, 2021 was 0.23%. Short-term borrowing activity related to our Revolving Credit Facility and CP Program for the three months ended March 31, 2021 was:</w:t>
      </w:r>
    </w:p>
    <w:p>
      <w:pPr>
        <w:spacing w:after="0" w:line="114" w:lineRule="exact"/>
        <w:rPr>
          <w:sz w:val="20"/>
          <w:szCs w:val="20"/>
          <w:color w:val="auto"/>
        </w:rPr>
      </w:pPr>
    </w:p>
    <w:tbl>
      <w:tblPr>
        <w:tblLayout w:type="fixed"/>
        <w:tblInd w:w="40" w:type="dxa"/>
        <w:tblCellMar>
          <w:top w:w="0" w:type="dxa"/>
          <w:left w:w="0" w:type="dxa"/>
          <w:bottom w:w="0" w:type="dxa"/>
          <w:right w:w="0" w:type="dxa"/>
        </w:tblCellMar>
      </w:tblPr>
      <w:tr>
        <w:trPr>
          <w:trHeight w:val="198"/>
        </w:trPr>
        <w:tc>
          <w:tcPr>
            <w:tcW w:w="692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(dollars in millions)</w:t>
            </w:r>
          </w:p>
        </w:tc>
      </w:tr>
      <w:tr>
        <w:trPr>
          <w:trHeight w:val="213"/>
        </w:trPr>
        <w:tc>
          <w:tcPr>
            <w:tcW w:w="6920" w:type="dxa"/>
            <w:vAlign w:val="bottom"/>
            <w:shd w:val="clear" w:color="auto" w:fill="CEFFE7"/>
          </w:tcPr>
          <w:p>
            <w:pPr>
              <w:spacing w:after="0"/>
              <w:rPr>
                <w:sz w:val="20"/>
                <w:szCs w:val="20"/>
                <w:color w:val="auto"/>
              </w:rPr>
            </w:pPr>
            <w:r>
              <w:rPr>
                <w:rFonts w:ascii="Arial" w:cs="Arial" w:eastAsia="Arial" w:hAnsi="Arial"/>
                <w:sz w:val="16"/>
                <w:szCs w:val="16"/>
                <w:color w:val="auto"/>
              </w:rPr>
              <w:t>Maximum amount outstanding (based on daily outstanding balances)</w:t>
            </w:r>
          </w:p>
        </w:tc>
        <w:tc>
          <w:tcPr>
            <w:tcW w:w="2240" w:type="dxa"/>
            <w:vAlign w:val="bottom"/>
            <w:shd w:val="clear" w:color="auto" w:fill="CEFFE7"/>
          </w:tcPr>
          <w:p>
            <w:pPr>
              <w:jc w:val="right"/>
              <w:ind w:right="119"/>
              <w:spacing w:after="0"/>
              <w:rPr>
                <w:sz w:val="20"/>
                <w:szCs w:val="20"/>
                <w:color w:val="auto"/>
              </w:rPr>
            </w:pPr>
            <w:r>
              <w:rPr>
                <w:rFonts w:ascii="Arial" w:cs="Arial" w:eastAsia="Arial" w:hAnsi="Arial"/>
                <w:sz w:val="16"/>
                <w:szCs w:val="16"/>
                <w:color w:val="auto"/>
              </w:rPr>
              <w:t>$</w:t>
            </w:r>
          </w:p>
        </w:tc>
        <w:tc>
          <w:tcPr>
            <w:tcW w:w="2020" w:type="dxa"/>
            <w:vAlign w:val="bottom"/>
            <w:shd w:val="clear" w:color="auto" w:fill="CEFFE7"/>
          </w:tcPr>
          <w:p>
            <w:pPr>
              <w:jc w:val="right"/>
              <w:ind w:right="119"/>
              <w:spacing w:after="0"/>
              <w:rPr>
                <w:sz w:val="20"/>
                <w:szCs w:val="20"/>
                <w:color w:val="auto"/>
              </w:rPr>
            </w:pPr>
            <w:r>
              <w:rPr>
                <w:rFonts w:ascii="Arial" w:cs="Arial" w:eastAsia="Arial" w:hAnsi="Arial"/>
                <w:sz w:val="16"/>
                <w:szCs w:val="16"/>
                <w:color w:val="auto"/>
              </w:rPr>
              <w:t>311</w:t>
            </w:r>
          </w:p>
        </w:tc>
      </w:tr>
      <w:tr>
        <w:trPr>
          <w:trHeight w:val="213"/>
        </w:trPr>
        <w:tc>
          <w:tcPr>
            <w:tcW w:w="6920" w:type="dxa"/>
            <w:vAlign w:val="bottom"/>
          </w:tcPr>
          <w:p>
            <w:pPr>
              <w:spacing w:after="0"/>
              <w:rPr>
                <w:sz w:val="20"/>
                <w:szCs w:val="20"/>
                <w:color w:val="auto"/>
              </w:rPr>
            </w:pPr>
            <w:r>
              <w:rPr>
                <w:rFonts w:ascii="Arial" w:cs="Arial" w:eastAsia="Arial" w:hAnsi="Arial"/>
                <w:sz w:val="16"/>
                <w:szCs w:val="16"/>
                <w:color w:val="auto"/>
              </w:rPr>
              <w:t>Average amount outstanding (based on daily outstanding balances)</w:t>
            </w:r>
          </w:p>
        </w:tc>
        <w:tc>
          <w:tcPr>
            <w:tcW w:w="22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2020" w:type="dxa"/>
            <w:vAlign w:val="bottom"/>
          </w:tcPr>
          <w:p>
            <w:pPr>
              <w:jc w:val="right"/>
              <w:ind w:right="119"/>
              <w:spacing w:after="0"/>
              <w:rPr>
                <w:sz w:val="20"/>
                <w:szCs w:val="20"/>
                <w:color w:val="auto"/>
              </w:rPr>
            </w:pPr>
            <w:r>
              <w:rPr>
                <w:rFonts w:ascii="Arial" w:cs="Arial" w:eastAsia="Arial" w:hAnsi="Arial"/>
                <w:sz w:val="16"/>
                <w:szCs w:val="16"/>
                <w:color w:val="auto"/>
              </w:rPr>
              <w:t>199</w:t>
            </w:r>
          </w:p>
        </w:tc>
      </w:tr>
      <w:tr>
        <w:trPr>
          <w:trHeight w:val="219"/>
        </w:trPr>
        <w:tc>
          <w:tcPr>
            <w:tcW w:w="6920" w:type="dxa"/>
            <w:vAlign w:val="bottom"/>
            <w:shd w:val="clear" w:color="auto" w:fill="CEFFE7"/>
          </w:tcPr>
          <w:p>
            <w:pPr>
              <w:spacing w:after="0"/>
              <w:rPr>
                <w:sz w:val="20"/>
                <w:szCs w:val="20"/>
                <w:color w:val="auto"/>
              </w:rPr>
            </w:pPr>
            <w:r>
              <w:rPr>
                <w:rFonts w:ascii="Arial" w:cs="Arial" w:eastAsia="Arial" w:hAnsi="Arial"/>
                <w:sz w:val="16"/>
                <w:szCs w:val="16"/>
                <w:color w:val="auto"/>
              </w:rPr>
              <w:t>Weighted average interest rates</w:t>
            </w:r>
          </w:p>
        </w:tc>
        <w:tc>
          <w:tcPr>
            <w:tcW w:w="2240" w:type="dxa"/>
            <w:vAlign w:val="bottom"/>
            <w:shd w:val="clear" w:color="auto" w:fill="CEFFE7"/>
          </w:tcPr>
          <w:p>
            <w:pPr>
              <w:spacing w:after="0"/>
              <w:rPr>
                <w:sz w:val="19"/>
                <w:szCs w:val="19"/>
                <w:color w:val="auto"/>
              </w:rPr>
            </w:pPr>
          </w:p>
        </w:tc>
        <w:tc>
          <w:tcPr>
            <w:tcW w:w="20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0.24 %</w:t>
            </w:r>
          </w:p>
        </w:tc>
      </w:tr>
    </w:tbl>
    <w:p>
      <w:pPr>
        <w:spacing w:after="0" w:line="3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Covenant Requirements</w:t>
      </w:r>
    </w:p>
    <w:p>
      <w:pPr>
        <w:spacing w:after="0" w:line="268" w:lineRule="exact"/>
        <w:rPr>
          <w:sz w:val="20"/>
          <w:szCs w:val="20"/>
          <w:color w:val="auto"/>
        </w:rPr>
      </w:pPr>
    </w:p>
    <w:p>
      <w:pPr>
        <w:jc w:val="both"/>
        <w:ind w:right="60"/>
        <w:spacing w:after="0" w:line="260" w:lineRule="auto"/>
        <w:rPr>
          <w:rFonts w:ascii="Arial" w:cs="Arial" w:eastAsia="Arial" w:hAnsi="Arial"/>
          <w:sz w:val="16"/>
          <w:szCs w:val="16"/>
          <w:color w:val="auto"/>
        </w:rPr>
      </w:pPr>
      <w:r>
        <w:rPr>
          <w:rFonts w:ascii="Arial" w:cs="Arial" w:eastAsia="Arial" w:hAnsi="Arial"/>
          <w:sz w:val="16"/>
          <w:szCs w:val="16"/>
          <w:color w:val="auto"/>
        </w:rPr>
        <w:t xml:space="preserve">The Revolving Credit Facility and Wyoming Electric’s financing agreements contain covenant requirements. We were in compliance with these covenants as of March 31, 2021 See </w:t>
      </w:r>
      <w:hyperlink w:anchor="page18">
        <w:r>
          <w:rPr>
            <w:rFonts w:ascii="Arial" w:cs="Arial" w:eastAsia="Arial" w:hAnsi="Arial"/>
            <w:sz w:val="16"/>
            <w:szCs w:val="16"/>
            <w:u w:val="single" w:color="auto"/>
            <w:color w:val="0000FF"/>
          </w:rPr>
          <w:t>Note 5</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of the Notes to Condensed Consolidated Financial Statements for more information.</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Future Financing Plans</w:t>
      </w:r>
    </w:p>
    <w:p>
      <w:pPr>
        <w:spacing w:after="0" w:line="268" w:lineRule="exact"/>
        <w:rPr>
          <w:sz w:val="20"/>
          <w:szCs w:val="20"/>
          <w:color w:val="auto"/>
        </w:rPr>
      </w:pPr>
    </w:p>
    <w:p>
      <w:pPr>
        <w:ind w:right="160"/>
        <w:spacing w:after="0" w:line="250" w:lineRule="auto"/>
        <w:rPr>
          <w:rFonts w:ascii="Arial" w:cs="Arial" w:eastAsia="Arial" w:hAnsi="Arial"/>
          <w:sz w:val="16"/>
          <w:szCs w:val="16"/>
          <w:color w:val="auto"/>
        </w:rPr>
      </w:pPr>
      <w:r>
        <w:rPr>
          <w:rFonts w:ascii="Arial" w:cs="Arial" w:eastAsia="Arial" w:hAnsi="Arial"/>
          <w:sz w:val="16"/>
          <w:szCs w:val="16"/>
          <w:color w:val="auto"/>
        </w:rPr>
        <w:t xml:space="preserve">We will continue to assess debt and equity needs to support our capital investment plans and other key strategic objectives. In 2021, we expect to fund our capital plan and strategic objectives by using cash generated from operating activities, our Revolving Credit Facility and CP Program, and issuing $100 million to $120 million of common stock under the ATM. As discussed in the </w:t>
      </w:r>
      <w:hyperlink w:anchor="page30">
        <w:r>
          <w:rPr>
            <w:rFonts w:ascii="Arial" w:cs="Arial" w:eastAsia="Arial" w:hAnsi="Arial"/>
            <w:sz w:val="16"/>
            <w:szCs w:val="16"/>
            <w:u w:val="single" w:color="auto"/>
            <w:color w:val="0000FF"/>
          </w:rPr>
          <w:t>Recent Developments</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 xml:space="preserve">above and in further detail in </w:t>
      </w:r>
      <w:hyperlink w:anchor="page18">
        <w:r>
          <w:rPr>
            <w:rFonts w:ascii="Arial" w:cs="Arial" w:eastAsia="Arial" w:hAnsi="Arial"/>
            <w:sz w:val="16"/>
            <w:szCs w:val="16"/>
            <w:u w:val="single" w:color="auto"/>
            <w:color w:val="0000FF"/>
          </w:rPr>
          <w:t>Note 5</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of the Notes to Condensed Consolidated Financial Statements, on February 24, 2021, we entered into an $800 million term loan maturing on November 24, 2021. We expect to refinance a portion of the term loan with longer-term debt.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Credit Ratings</w:t>
      </w:r>
    </w:p>
    <w:p>
      <w:pPr>
        <w:spacing w:after="0" w:line="268" w:lineRule="exact"/>
        <w:rPr>
          <w:sz w:val="20"/>
          <w:szCs w:val="20"/>
          <w:color w:val="auto"/>
        </w:rPr>
      </w:pPr>
    </w:p>
    <w:p>
      <w:pPr>
        <w:ind w:right="60"/>
        <w:spacing w:after="0" w:line="260" w:lineRule="auto"/>
        <w:rPr>
          <w:sz w:val="20"/>
          <w:szCs w:val="20"/>
          <w:color w:val="auto"/>
        </w:rPr>
      </w:pPr>
      <w:r>
        <w:rPr>
          <w:rFonts w:ascii="Arial" w:cs="Arial" w:eastAsia="Arial" w:hAnsi="Arial"/>
          <w:sz w:val="16"/>
          <w:szCs w:val="16"/>
          <w:color w:val="auto"/>
        </w:rPr>
        <w:t>After assessing the current operating performance, liquidity and the credit ratings of the Company, management believes that the Company will have access to the capital markets at prevailing market rates for companies with comparable credit ratings.</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represents the credit ratings and outlook and risk profile of BHC at March 31, 2021:</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1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Rating Agency</w:t>
            </w:r>
          </w:p>
        </w:tc>
        <w:tc>
          <w:tcPr>
            <w:tcW w:w="5540" w:type="dxa"/>
            <w:vAlign w:val="bottom"/>
            <w:tcBorders>
              <w:bottom w:val="single" w:sz="8" w:color="auto"/>
            </w:tcBorders>
          </w:tcPr>
          <w:p>
            <w:pPr>
              <w:jc w:val="center"/>
              <w:ind w:left="2359"/>
              <w:spacing w:after="0"/>
              <w:rPr>
                <w:sz w:val="20"/>
                <w:szCs w:val="20"/>
                <w:color w:val="auto"/>
              </w:rPr>
            </w:pPr>
            <w:r>
              <w:rPr>
                <w:rFonts w:ascii="Arial" w:cs="Arial" w:eastAsia="Arial" w:hAnsi="Arial"/>
                <w:sz w:val="16"/>
                <w:szCs w:val="16"/>
                <w:b w:val="1"/>
                <w:bCs w:val="1"/>
                <w:color w:val="auto"/>
              </w:rPr>
              <w:t>Senior Unsecured Rating</w:t>
            </w:r>
          </w:p>
        </w:tc>
        <w:tc>
          <w:tcPr>
            <w:tcW w:w="1520" w:type="dxa"/>
            <w:vAlign w:val="bottom"/>
            <w:tcBorders>
              <w:bottom w:val="single" w:sz="8" w:color="auto"/>
            </w:tcBorders>
          </w:tcPr>
          <w:p>
            <w:pPr>
              <w:jc w:val="center"/>
              <w:ind w:left="179"/>
              <w:spacing w:after="0"/>
              <w:rPr>
                <w:sz w:val="20"/>
                <w:szCs w:val="20"/>
                <w:color w:val="auto"/>
              </w:rPr>
            </w:pPr>
            <w:r>
              <w:rPr>
                <w:rFonts w:ascii="Arial" w:cs="Arial" w:eastAsia="Arial" w:hAnsi="Arial"/>
                <w:sz w:val="16"/>
                <w:szCs w:val="16"/>
                <w:b w:val="1"/>
                <w:bCs w:val="1"/>
                <w:color w:val="auto"/>
              </w:rPr>
              <w:t>Outlook</w:t>
            </w:r>
          </w:p>
        </w:tc>
      </w:tr>
      <w:tr>
        <w:trPr>
          <w:trHeight w:val="213"/>
        </w:trPr>
        <w:tc>
          <w:tcPr>
            <w:tcW w:w="4180" w:type="dxa"/>
            <w:vAlign w:val="bottom"/>
            <w:shd w:val="clear" w:color="auto" w:fill="CEFFE7"/>
          </w:tcPr>
          <w:p>
            <w:pPr>
              <w:ind w:left="20"/>
              <w:spacing w:after="0" w:line="213" w:lineRule="exact"/>
              <w:rPr>
                <w:sz w:val="20"/>
                <w:szCs w:val="20"/>
                <w:color w:val="auto"/>
              </w:rPr>
            </w:pPr>
            <w:r>
              <w:rPr>
                <w:rFonts w:ascii="Arial" w:cs="Arial" w:eastAsia="Arial" w:hAnsi="Arial"/>
                <w:sz w:val="16"/>
                <w:szCs w:val="16"/>
                <w:color w:val="auto"/>
              </w:rPr>
              <w:t xml:space="preserve">S&amp;P </w:t>
            </w:r>
            <w:r>
              <w:rPr>
                <w:rFonts w:ascii="Arial" w:cs="Arial" w:eastAsia="Arial" w:hAnsi="Arial"/>
                <w:sz w:val="21"/>
                <w:szCs w:val="21"/>
                <w:color w:val="auto"/>
                <w:vertAlign w:val="superscript"/>
              </w:rPr>
              <w:t>(a)</w:t>
            </w:r>
          </w:p>
        </w:tc>
        <w:tc>
          <w:tcPr>
            <w:tcW w:w="5540" w:type="dxa"/>
            <w:vAlign w:val="bottom"/>
            <w:shd w:val="clear" w:color="auto" w:fill="CEFFE7"/>
          </w:tcPr>
          <w:p>
            <w:pPr>
              <w:jc w:val="center"/>
              <w:ind w:left="2359"/>
              <w:spacing w:after="0"/>
              <w:rPr>
                <w:sz w:val="20"/>
                <w:szCs w:val="20"/>
                <w:color w:val="auto"/>
              </w:rPr>
            </w:pPr>
            <w:r>
              <w:rPr>
                <w:rFonts w:ascii="Arial" w:cs="Arial" w:eastAsia="Arial" w:hAnsi="Arial"/>
                <w:sz w:val="16"/>
                <w:szCs w:val="16"/>
                <w:color w:val="auto"/>
              </w:rPr>
              <w:t>BBB+</w:t>
            </w:r>
          </w:p>
        </w:tc>
        <w:tc>
          <w:tcPr>
            <w:tcW w:w="1520" w:type="dxa"/>
            <w:vAlign w:val="bottom"/>
            <w:shd w:val="clear" w:color="auto" w:fill="CEFFE7"/>
          </w:tcPr>
          <w:p>
            <w:pPr>
              <w:jc w:val="center"/>
              <w:ind w:left="179"/>
              <w:spacing w:after="0"/>
              <w:rPr>
                <w:sz w:val="20"/>
                <w:szCs w:val="20"/>
                <w:color w:val="auto"/>
              </w:rPr>
            </w:pPr>
            <w:r>
              <w:rPr>
                <w:rFonts w:ascii="Arial" w:cs="Arial" w:eastAsia="Arial" w:hAnsi="Arial"/>
                <w:sz w:val="16"/>
                <w:szCs w:val="16"/>
                <w:color w:val="auto"/>
              </w:rPr>
              <w:t>Stable</w:t>
            </w:r>
          </w:p>
        </w:tc>
      </w:tr>
      <w:tr>
        <w:trPr>
          <w:trHeight w:val="216"/>
        </w:trPr>
        <w:tc>
          <w:tcPr>
            <w:tcW w:w="418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Moody’s </w:t>
            </w:r>
            <w:r>
              <w:rPr>
                <w:rFonts w:ascii="Arial" w:cs="Arial" w:eastAsia="Arial" w:hAnsi="Arial"/>
                <w:sz w:val="21"/>
                <w:szCs w:val="21"/>
                <w:color w:val="auto"/>
                <w:vertAlign w:val="superscript"/>
              </w:rPr>
              <w:t>(b)</w:t>
            </w:r>
          </w:p>
        </w:tc>
        <w:tc>
          <w:tcPr>
            <w:tcW w:w="5540" w:type="dxa"/>
            <w:vAlign w:val="bottom"/>
          </w:tcPr>
          <w:p>
            <w:pPr>
              <w:jc w:val="center"/>
              <w:ind w:left="2359"/>
              <w:spacing w:after="0"/>
              <w:rPr>
                <w:sz w:val="20"/>
                <w:szCs w:val="20"/>
                <w:color w:val="auto"/>
              </w:rPr>
            </w:pPr>
            <w:r>
              <w:rPr>
                <w:rFonts w:ascii="Arial" w:cs="Arial" w:eastAsia="Arial" w:hAnsi="Arial"/>
                <w:sz w:val="16"/>
                <w:szCs w:val="16"/>
                <w:color w:val="auto"/>
              </w:rPr>
              <w:t>Baa2</w:t>
            </w:r>
          </w:p>
        </w:tc>
        <w:tc>
          <w:tcPr>
            <w:tcW w:w="1520" w:type="dxa"/>
            <w:vAlign w:val="bottom"/>
          </w:tcPr>
          <w:p>
            <w:pPr>
              <w:jc w:val="center"/>
              <w:ind w:left="179"/>
              <w:spacing w:after="0"/>
              <w:rPr>
                <w:sz w:val="20"/>
                <w:szCs w:val="20"/>
                <w:color w:val="auto"/>
              </w:rPr>
            </w:pPr>
            <w:r>
              <w:rPr>
                <w:rFonts w:ascii="Arial" w:cs="Arial" w:eastAsia="Arial" w:hAnsi="Arial"/>
                <w:sz w:val="16"/>
                <w:szCs w:val="16"/>
                <w:color w:val="auto"/>
              </w:rPr>
              <w:t>Stable</w:t>
            </w:r>
          </w:p>
        </w:tc>
      </w:tr>
      <w:tr>
        <w:trPr>
          <w:trHeight w:val="216"/>
        </w:trPr>
        <w:tc>
          <w:tcPr>
            <w:tcW w:w="4180" w:type="dxa"/>
            <w:vAlign w:val="bottom"/>
            <w:shd w:val="clear" w:color="auto" w:fill="CEFFE7"/>
          </w:tcPr>
          <w:p>
            <w:pPr>
              <w:ind w:left="20"/>
              <w:spacing w:after="0" w:line="216" w:lineRule="exact"/>
              <w:rPr>
                <w:sz w:val="20"/>
                <w:szCs w:val="20"/>
                <w:color w:val="auto"/>
              </w:rPr>
            </w:pPr>
            <w:r>
              <w:rPr>
                <w:rFonts w:ascii="Arial" w:cs="Arial" w:eastAsia="Arial" w:hAnsi="Arial"/>
                <w:sz w:val="16"/>
                <w:szCs w:val="16"/>
                <w:color w:val="auto"/>
              </w:rPr>
              <w:t xml:space="preserve">Fitch </w:t>
            </w:r>
            <w:r>
              <w:rPr>
                <w:rFonts w:ascii="Arial" w:cs="Arial" w:eastAsia="Arial" w:hAnsi="Arial"/>
                <w:sz w:val="21"/>
                <w:szCs w:val="21"/>
                <w:color w:val="auto"/>
                <w:vertAlign w:val="superscript"/>
              </w:rPr>
              <w:t>(c)</w:t>
            </w:r>
          </w:p>
        </w:tc>
        <w:tc>
          <w:tcPr>
            <w:tcW w:w="5540" w:type="dxa"/>
            <w:vAlign w:val="bottom"/>
            <w:shd w:val="clear" w:color="auto" w:fill="CEFFE7"/>
          </w:tcPr>
          <w:p>
            <w:pPr>
              <w:jc w:val="center"/>
              <w:ind w:left="2359"/>
              <w:spacing w:after="0"/>
              <w:rPr>
                <w:sz w:val="20"/>
                <w:szCs w:val="20"/>
                <w:color w:val="auto"/>
              </w:rPr>
            </w:pPr>
            <w:r>
              <w:rPr>
                <w:rFonts w:ascii="Arial" w:cs="Arial" w:eastAsia="Arial" w:hAnsi="Arial"/>
                <w:sz w:val="16"/>
                <w:szCs w:val="16"/>
                <w:color w:val="auto"/>
              </w:rPr>
              <w:t>BBB+</w:t>
            </w:r>
          </w:p>
        </w:tc>
        <w:tc>
          <w:tcPr>
            <w:tcW w:w="1520" w:type="dxa"/>
            <w:vAlign w:val="bottom"/>
            <w:shd w:val="clear" w:color="auto" w:fill="CEFFE7"/>
          </w:tcPr>
          <w:p>
            <w:pPr>
              <w:jc w:val="center"/>
              <w:ind w:left="179"/>
              <w:spacing w:after="0"/>
              <w:rPr>
                <w:sz w:val="20"/>
                <w:szCs w:val="20"/>
                <w:color w:val="auto"/>
              </w:rPr>
            </w:pPr>
            <w:r>
              <w:rPr>
                <w:rFonts w:ascii="Arial" w:cs="Arial" w:eastAsia="Arial" w:hAnsi="Arial"/>
                <w:sz w:val="16"/>
                <w:szCs w:val="16"/>
                <w:color w:val="auto"/>
              </w:rPr>
              <w:t>Stable</w:t>
            </w:r>
          </w:p>
        </w:tc>
      </w:tr>
      <w:tr>
        <w:trPr>
          <w:trHeight w:val="275"/>
        </w:trPr>
        <w:tc>
          <w:tcPr>
            <w:tcW w:w="4180" w:type="dxa"/>
            <w:vAlign w:val="bottom"/>
          </w:tcPr>
          <w:p>
            <w:pPr>
              <w:spacing w:after="0"/>
              <w:rPr>
                <w:sz w:val="20"/>
                <w:szCs w:val="20"/>
                <w:color w:val="auto"/>
              </w:rPr>
            </w:pPr>
            <w:r>
              <w:rPr>
                <w:rFonts w:ascii="Arial" w:cs="Arial" w:eastAsia="Arial" w:hAnsi="Arial"/>
                <w:sz w:val="16"/>
                <w:szCs w:val="16"/>
                <w:color w:val="auto"/>
              </w:rPr>
              <w:t>__________</w:t>
            </w:r>
          </w:p>
        </w:tc>
        <w:tc>
          <w:tcPr>
            <w:tcW w:w="5540" w:type="dxa"/>
            <w:vAlign w:val="bottom"/>
          </w:tcPr>
          <w:p>
            <w:pPr>
              <w:spacing w:after="0"/>
              <w:rPr>
                <w:sz w:val="23"/>
                <w:szCs w:val="23"/>
                <w:color w:val="auto"/>
              </w:rPr>
            </w:pPr>
          </w:p>
        </w:tc>
        <w:tc>
          <w:tcPr>
            <w:tcW w:w="1520" w:type="dxa"/>
            <w:vAlign w:val="bottom"/>
          </w:tcPr>
          <w:p>
            <w:pPr>
              <w:spacing w:after="0"/>
              <w:rPr>
                <w:sz w:val="23"/>
                <w:szCs w:val="23"/>
                <w:color w:val="auto"/>
              </w:rPr>
            </w:pPr>
          </w:p>
        </w:tc>
      </w:tr>
    </w:tbl>
    <w:p>
      <w:pPr>
        <w:ind w:left="340" w:hanging="332"/>
        <w:spacing w:after="0"/>
        <w:tabs>
          <w:tab w:leader="none" w:pos="3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On April 10, 2020, S&amp;P reported BBB+ rating and maintained a Stable outlook.</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On December 21, 2020, Moody’s reported Baa2 rating and maintained a Stable outlook.</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On August 20, 2020, Fitch reported BBB+ rating and maintained a Stable outlook.</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660" w:type="dxa"/>
            <w:vAlign w:val="bottom"/>
          </w:tcPr>
          <w:p>
            <w:pPr>
              <w:spacing w:after="0"/>
              <w:rPr>
                <w:sz w:val="20"/>
                <w:szCs w:val="20"/>
                <w:color w:val="auto"/>
              </w:rPr>
            </w:pPr>
            <w:r>
              <w:rPr>
                <w:rFonts w:ascii="Arial" w:cs="Arial" w:eastAsia="Arial" w:hAnsi="Arial"/>
                <w:sz w:val="16"/>
                <w:szCs w:val="16"/>
                <w:color w:val="auto"/>
              </w:rPr>
              <w:t>The following table represents the credit ratings of South Dakota Electric at March 31, 2021:</w:t>
            </w:r>
          </w:p>
        </w:tc>
        <w:tc>
          <w:tcPr>
            <w:tcW w:w="3580" w:type="dxa"/>
            <w:vAlign w:val="bottom"/>
          </w:tcPr>
          <w:p>
            <w:pPr>
              <w:spacing w:after="0"/>
              <w:rPr>
                <w:sz w:val="16"/>
                <w:szCs w:val="16"/>
                <w:color w:val="auto"/>
              </w:rPr>
            </w:pPr>
          </w:p>
        </w:tc>
      </w:tr>
      <w:tr>
        <w:trPr>
          <w:trHeight w:val="327"/>
        </w:trPr>
        <w:tc>
          <w:tcPr>
            <w:tcW w:w="76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Rating Agency</w:t>
            </w:r>
          </w:p>
        </w:tc>
        <w:tc>
          <w:tcPr>
            <w:tcW w:w="3580" w:type="dxa"/>
            <w:vAlign w:val="bottom"/>
            <w:tcBorders>
              <w:bottom w:val="single" w:sz="8" w:color="auto"/>
            </w:tcBorders>
          </w:tcPr>
          <w:p>
            <w:pPr>
              <w:jc w:val="center"/>
              <w:ind w:left="199"/>
              <w:spacing w:after="0"/>
              <w:rPr>
                <w:sz w:val="20"/>
                <w:szCs w:val="20"/>
                <w:color w:val="auto"/>
              </w:rPr>
            </w:pPr>
            <w:r>
              <w:rPr>
                <w:rFonts w:ascii="Arial" w:cs="Arial" w:eastAsia="Arial" w:hAnsi="Arial"/>
                <w:sz w:val="16"/>
                <w:szCs w:val="16"/>
                <w:b w:val="1"/>
                <w:bCs w:val="1"/>
                <w:color w:val="auto"/>
              </w:rPr>
              <w:t>Senior Secured Rating</w:t>
            </w:r>
          </w:p>
        </w:tc>
      </w:tr>
      <w:tr>
        <w:trPr>
          <w:trHeight w:val="213"/>
        </w:trPr>
        <w:tc>
          <w:tcPr>
            <w:tcW w:w="7660" w:type="dxa"/>
            <w:vAlign w:val="bottom"/>
            <w:shd w:val="clear" w:color="auto" w:fill="CEFFE7"/>
          </w:tcPr>
          <w:p>
            <w:pPr>
              <w:ind w:left="20"/>
              <w:spacing w:after="0" w:line="213" w:lineRule="exact"/>
              <w:rPr>
                <w:sz w:val="20"/>
                <w:szCs w:val="20"/>
                <w:color w:val="auto"/>
              </w:rPr>
            </w:pPr>
            <w:r>
              <w:rPr>
                <w:rFonts w:ascii="Arial" w:cs="Arial" w:eastAsia="Arial" w:hAnsi="Arial"/>
                <w:sz w:val="16"/>
                <w:szCs w:val="16"/>
                <w:color w:val="auto"/>
              </w:rPr>
              <w:t xml:space="preserve">S&amp;P </w:t>
            </w:r>
            <w:r>
              <w:rPr>
                <w:rFonts w:ascii="Arial" w:cs="Arial" w:eastAsia="Arial" w:hAnsi="Arial"/>
                <w:sz w:val="21"/>
                <w:szCs w:val="21"/>
                <w:color w:val="auto"/>
                <w:vertAlign w:val="superscript"/>
              </w:rPr>
              <w:t>(a)</w:t>
            </w:r>
          </w:p>
        </w:tc>
        <w:tc>
          <w:tcPr>
            <w:tcW w:w="3580" w:type="dxa"/>
            <w:vAlign w:val="bottom"/>
            <w:shd w:val="clear" w:color="auto" w:fill="CEFFE7"/>
          </w:tcPr>
          <w:p>
            <w:pPr>
              <w:jc w:val="center"/>
              <w:ind w:left="199"/>
              <w:spacing w:after="0"/>
              <w:rPr>
                <w:sz w:val="20"/>
                <w:szCs w:val="20"/>
                <w:color w:val="auto"/>
              </w:rPr>
            </w:pPr>
            <w:r>
              <w:rPr>
                <w:rFonts w:ascii="Arial" w:cs="Arial" w:eastAsia="Arial" w:hAnsi="Arial"/>
                <w:sz w:val="16"/>
                <w:szCs w:val="16"/>
                <w:color w:val="auto"/>
                <w:w w:val="93"/>
              </w:rPr>
              <w:t>A</w:t>
            </w:r>
          </w:p>
        </w:tc>
      </w:tr>
      <w:tr>
        <w:trPr>
          <w:trHeight w:val="216"/>
        </w:trPr>
        <w:tc>
          <w:tcPr>
            <w:tcW w:w="766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Moody’s </w:t>
            </w:r>
            <w:r>
              <w:rPr>
                <w:rFonts w:ascii="Arial" w:cs="Arial" w:eastAsia="Arial" w:hAnsi="Arial"/>
                <w:sz w:val="21"/>
                <w:szCs w:val="21"/>
                <w:color w:val="auto"/>
                <w:vertAlign w:val="superscript"/>
              </w:rPr>
              <w:t>(b)</w:t>
            </w:r>
          </w:p>
        </w:tc>
        <w:tc>
          <w:tcPr>
            <w:tcW w:w="3580" w:type="dxa"/>
            <w:vAlign w:val="bottom"/>
          </w:tcPr>
          <w:p>
            <w:pPr>
              <w:jc w:val="center"/>
              <w:ind w:left="179"/>
              <w:spacing w:after="0"/>
              <w:rPr>
                <w:sz w:val="20"/>
                <w:szCs w:val="20"/>
                <w:color w:val="auto"/>
              </w:rPr>
            </w:pPr>
            <w:r>
              <w:rPr>
                <w:rFonts w:ascii="Arial" w:cs="Arial" w:eastAsia="Arial" w:hAnsi="Arial"/>
                <w:sz w:val="16"/>
                <w:szCs w:val="16"/>
                <w:color w:val="auto"/>
              </w:rPr>
              <w:t>A1</w:t>
            </w:r>
          </w:p>
        </w:tc>
      </w:tr>
      <w:tr>
        <w:trPr>
          <w:trHeight w:val="216"/>
        </w:trPr>
        <w:tc>
          <w:tcPr>
            <w:tcW w:w="7660" w:type="dxa"/>
            <w:vAlign w:val="bottom"/>
            <w:shd w:val="clear" w:color="auto" w:fill="CEFFE7"/>
          </w:tcPr>
          <w:p>
            <w:pPr>
              <w:ind w:left="20"/>
              <w:spacing w:after="0" w:line="216" w:lineRule="exact"/>
              <w:rPr>
                <w:sz w:val="20"/>
                <w:szCs w:val="20"/>
                <w:color w:val="auto"/>
              </w:rPr>
            </w:pPr>
            <w:r>
              <w:rPr>
                <w:rFonts w:ascii="Arial" w:cs="Arial" w:eastAsia="Arial" w:hAnsi="Arial"/>
                <w:sz w:val="16"/>
                <w:szCs w:val="16"/>
                <w:color w:val="auto"/>
              </w:rPr>
              <w:t xml:space="preserve">Fitch </w:t>
            </w:r>
            <w:r>
              <w:rPr>
                <w:rFonts w:ascii="Arial" w:cs="Arial" w:eastAsia="Arial" w:hAnsi="Arial"/>
                <w:sz w:val="21"/>
                <w:szCs w:val="21"/>
                <w:color w:val="auto"/>
                <w:vertAlign w:val="superscript"/>
              </w:rPr>
              <w:t>(c)</w:t>
            </w:r>
          </w:p>
        </w:tc>
        <w:tc>
          <w:tcPr>
            <w:tcW w:w="3580" w:type="dxa"/>
            <w:vAlign w:val="bottom"/>
            <w:shd w:val="clear" w:color="auto" w:fill="CEFFE7"/>
          </w:tcPr>
          <w:p>
            <w:pPr>
              <w:jc w:val="center"/>
              <w:ind w:left="199"/>
              <w:spacing w:after="0"/>
              <w:rPr>
                <w:sz w:val="20"/>
                <w:szCs w:val="20"/>
                <w:color w:val="auto"/>
              </w:rPr>
            </w:pPr>
            <w:r>
              <w:rPr>
                <w:rFonts w:ascii="Arial" w:cs="Arial" w:eastAsia="Arial" w:hAnsi="Arial"/>
                <w:sz w:val="16"/>
                <w:szCs w:val="16"/>
                <w:color w:val="auto"/>
                <w:w w:val="93"/>
              </w:rPr>
              <w:t>A</w:t>
            </w:r>
          </w:p>
        </w:tc>
      </w:tr>
      <w:tr>
        <w:trPr>
          <w:trHeight w:val="288"/>
        </w:trPr>
        <w:tc>
          <w:tcPr>
            <w:tcW w:w="7660" w:type="dxa"/>
            <w:vAlign w:val="bottom"/>
          </w:tcPr>
          <w:p>
            <w:pPr>
              <w:spacing w:after="0"/>
              <w:rPr>
                <w:sz w:val="20"/>
                <w:szCs w:val="20"/>
                <w:color w:val="auto"/>
              </w:rPr>
            </w:pPr>
            <w:r>
              <w:rPr>
                <w:rFonts w:ascii="Arial" w:cs="Arial" w:eastAsia="Arial" w:hAnsi="Arial"/>
                <w:sz w:val="16"/>
                <w:szCs w:val="16"/>
                <w:color w:val="auto"/>
              </w:rPr>
              <w:t>__________</w:t>
            </w:r>
          </w:p>
        </w:tc>
        <w:tc>
          <w:tcPr>
            <w:tcW w:w="3580" w:type="dxa"/>
            <w:vAlign w:val="bottom"/>
          </w:tcPr>
          <w:p>
            <w:pPr>
              <w:spacing w:after="0"/>
              <w:rPr>
                <w:sz w:val="24"/>
                <w:szCs w:val="24"/>
                <w:color w:val="auto"/>
              </w:rPr>
            </w:pPr>
          </w:p>
        </w:tc>
      </w:tr>
    </w:tbl>
    <w:p>
      <w:pPr>
        <w:ind w:left="340" w:hanging="332"/>
        <w:spacing w:after="0"/>
        <w:tabs>
          <w:tab w:leader="none" w:pos="3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On April 16, 2020, S&amp;P reported A rating.</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On December 21, 2020, Moody’s reported A1 rating.</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On August 20, 2020, Fitch reported A rating.</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460" w:type="dxa"/>
            <w:vAlign w:val="bottom"/>
          </w:tcPr>
          <w:p>
            <w:pPr>
              <w:spacing w:after="0"/>
              <w:rPr>
                <w:sz w:val="20"/>
                <w:szCs w:val="20"/>
                <w:color w:val="auto"/>
              </w:rPr>
            </w:pPr>
            <w:r>
              <w:rPr>
                <w:rFonts w:ascii="Arial" w:cs="Arial" w:eastAsia="Arial" w:hAnsi="Arial"/>
                <w:sz w:val="16"/>
                <w:szCs w:val="16"/>
                <w:b w:val="1"/>
                <w:bCs w:val="1"/>
                <w:color w:val="auto"/>
              </w:rPr>
              <w:t>Capital Requirements</w:t>
            </w:r>
          </w:p>
        </w:tc>
        <w:tc>
          <w:tcPr>
            <w:tcW w:w="3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432"/>
        </w:trPr>
        <w:tc>
          <w:tcPr>
            <w:tcW w:w="2460" w:type="dxa"/>
            <w:vAlign w:val="bottom"/>
          </w:tcPr>
          <w:p>
            <w:pPr>
              <w:spacing w:after="0"/>
              <w:rPr>
                <w:sz w:val="20"/>
                <w:szCs w:val="20"/>
                <w:color w:val="auto"/>
              </w:rPr>
            </w:pPr>
            <w:r>
              <w:rPr>
                <w:rFonts w:ascii="Arial" w:cs="Arial" w:eastAsia="Arial" w:hAnsi="Arial"/>
                <w:sz w:val="16"/>
                <w:szCs w:val="16"/>
                <w:b w:val="1"/>
                <w:bCs w:val="1"/>
                <w:color w:val="auto"/>
              </w:rPr>
              <w:t>Capital Expenditures</w:t>
            </w:r>
          </w:p>
        </w:tc>
        <w:tc>
          <w:tcPr>
            <w:tcW w:w="3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14"/>
        </w:trPr>
        <w:tc>
          <w:tcPr>
            <w:tcW w:w="24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jc w:val="center"/>
              <w:ind w:right="299"/>
              <w:spacing w:after="0"/>
              <w:rPr>
                <w:sz w:val="20"/>
                <w:szCs w:val="20"/>
                <w:color w:val="auto"/>
              </w:rPr>
            </w:pPr>
            <w:r>
              <w:rPr>
                <w:rFonts w:ascii="Arial" w:cs="Arial" w:eastAsia="Arial" w:hAnsi="Arial"/>
                <w:sz w:val="16"/>
                <w:szCs w:val="16"/>
                <w:b w:val="1"/>
                <w:bCs w:val="1"/>
                <w:color w:val="auto"/>
              </w:rPr>
              <w:t>Actual</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Forecasted</w:t>
            </w: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r>
        <w:trPr>
          <w:trHeight w:val="171"/>
        </w:trPr>
        <w:tc>
          <w:tcPr>
            <w:tcW w:w="2460" w:type="dxa"/>
            <w:vAlign w:val="bottom"/>
          </w:tcPr>
          <w:p>
            <w:pPr>
              <w:spacing w:after="0"/>
              <w:rPr>
                <w:sz w:val="14"/>
                <w:szCs w:val="14"/>
                <w:color w:val="auto"/>
              </w:rPr>
            </w:pPr>
          </w:p>
        </w:tc>
        <w:tc>
          <w:tcPr>
            <w:tcW w:w="2240" w:type="dxa"/>
            <w:vAlign w:val="bottom"/>
            <w:gridSpan w:val="3"/>
          </w:tcPr>
          <w:p>
            <w:pPr>
              <w:jc w:val="center"/>
              <w:ind w:right="120"/>
              <w:spacing w:after="0" w:line="171" w:lineRule="exact"/>
              <w:rPr>
                <w:sz w:val="20"/>
                <w:szCs w:val="20"/>
                <w:color w:val="auto"/>
              </w:rPr>
            </w:pPr>
            <w:r>
              <w:rPr>
                <w:rFonts w:ascii="Arial" w:cs="Arial" w:eastAsia="Arial" w:hAnsi="Arial"/>
                <w:sz w:val="16"/>
                <w:szCs w:val="16"/>
                <w:color w:val="auto"/>
              </w:rPr>
              <w:t>Three Months Ended March</w:t>
            </w: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03"/>
        </w:trPr>
        <w:tc>
          <w:tcPr>
            <w:tcW w:w="2460" w:type="dxa"/>
            <w:vAlign w:val="bottom"/>
          </w:tcPr>
          <w:p>
            <w:pPr>
              <w:ind w:left="20"/>
              <w:spacing w:after="0"/>
              <w:rPr>
                <w:sz w:val="20"/>
                <w:szCs w:val="20"/>
                <w:color w:val="auto"/>
              </w:rPr>
            </w:pPr>
            <w:r>
              <w:rPr>
                <w:rFonts w:ascii="Arial" w:cs="Arial" w:eastAsia="Arial" w:hAnsi="Arial"/>
                <w:sz w:val="16"/>
                <w:szCs w:val="16"/>
                <w:color w:val="auto"/>
              </w:rPr>
              <w:t>Capital Expenditures by Segment</w:t>
            </w:r>
          </w:p>
        </w:tc>
        <w:tc>
          <w:tcPr>
            <w:tcW w:w="380" w:type="dxa"/>
            <w:vAlign w:val="bottom"/>
          </w:tcPr>
          <w:p>
            <w:pPr>
              <w:spacing w:after="0"/>
              <w:rPr>
                <w:sz w:val="17"/>
                <w:szCs w:val="17"/>
                <w:color w:val="auto"/>
              </w:rPr>
            </w:pPr>
          </w:p>
        </w:tc>
        <w:tc>
          <w:tcPr>
            <w:tcW w:w="1860" w:type="dxa"/>
            <w:vAlign w:val="bottom"/>
            <w:gridSpan w:val="2"/>
          </w:tcPr>
          <w:p>
            <w:pPr>
              <w:jc w:val="center"/>
              <w:ind w:right="500"/>
              <w:spacing w:after="0" w:line="204" w:lineRule="exact"/>
              <w:rPr>
                <w:sz w:val="20"/>
                <w:szCs w:val="20"/>
                <w:color w:val="auto"/>
              </w:rPr>
            </w:pPr>
            <w:r>
              <w:rPr>
                <w:rFonts w:ascii="Arial" w:cs="Arial" w:eastAsia="Arial" w:hAnsi="Arial"/>
                <w:sz w:val="16"/>
                <w:szCs w:val="16"/>
                <w:color w:val="auto"/>
                <w:w w:val="95"/>
              </w:rPr>
              <w:t xml:space="preserve">31, 2021 </w:t>
            </w:r>
            <w:r>
              <w:rPr>
                <w:rFonts w:ascii="Arial" w:cs="Arial" w:eastAsia="Arial" w:hAnsi="Arial"/>
                <w:sz w:val="21"/>
                <w:szCs w:val="21"/>
                <w:color w:val="auto"/>
                <w:w w:val="95"/>
                <w:vertAlign w:val="superscript"/>
              </w:rPr>
              <w:t>(a)</w:t>
            </w:r>
          </w:p>
        </w:tc>
        <w:tc>
          <w:tcPr>
            <w:tcW w:w="240" w:type="dxa"/>
            <w:vAlign w:val="bottom"/>
          </w:tcPr>
          <w:p>
            <w:pPr>
              <w:spacing w:after="0"/>
              <w:rPr>
                <w:sz w:val="17"/>
                <w:szCs w:val="17"/>
                <w:color w:val="auto"/>
              </w:rPr>
            </w:pPr>
          </w:p>
        </w:tc>
        <w:tc>
          <w:tcPr>
            <w:tcW w:w="1040" w:type="dxa"/>
            <w:vAlign w:val="bottom"/>
          </w:tcPr>
          <w:p>
            <w:pPr>
              <w:jc w:val="right"/>
              <w:ind w:right="279"/>
              <w:spacing w:after="0" w:line="204" w:lineRule="exact"/>
              <w:rPr>
                <w:sz w:val="20"/>
                <w:szCs w:val="20"/>
                <w:color w:val="auto"/>
              </w:rPr>
            </w:pPr>
            <w:r>
              <w:rPr>
                <w:rFonts w:ascii="Arial" w:cs="Arial" w:eastAsia="Arial" w:hAnsi="Arial"/>
                <w:sz w:val="16"/>
                <w:szCs w:val="16"/>
                <w:color w:val="auto"/>
              </w:rPr>
              <w:t xml:space="preserve">2021 </w:t>
            </w:r>
            <w:r>
              <w:rPr>
                <w:rFonts w:ascii="Arial" w:cs="Arial" w:eastAsia="Arial" w:hAnsi="Arial"/>
                <w:sz w:val="21"/>
                <w:szCs w:val="21"/>
                <w:color w:val="auto"/>
                <w:vertAlign w:val="superscript"/>
              </w:rPr>
              <w:t>(b)</w:t>
            </w:r>
          </w:p>
        </w:tc>
        <w:tc>
          <w:tcPr>
            <w:tcW w:w="320" w:type="dxa"/>
            <w:vAlign w:val="bottom"/>
          </w:tcPr>
          <w:p>
            <w:pPr>
              <w:spacing w:after="0"/>
              <w:rPr>
                <w:sz w:val="17"/>
                <w:szCs w:val="17"/>
                <w:color w:val="auto"/>
              </w:rPr>
            </w:pPr>
          </w:p>
        </w:tc>
        <w:tc>
          <w:tcPr>
            <w:tcW w:w="980" w:type="dxa"/>
            <w:vAlign w:val="bottom"/>
          </w:tcPr>
          <w:p>
            <w:pPr>
              <w:jc w:val="right"/>
              <w:ind w:right="359"/>
              <w:spacing w:after="0"/>
              <w:rPr>
                <w:sz w:val="20"/>
                <w:szCs w:val="20"/>
                <w:color w:val="auto"/>
              </w:rPr>
            </w:pPr>
            <w:r>
              <w:rPr>
                <w:rFonts w:ascii="Arial" w:cs="Arial" w:eastAsia="Arial" w:hAnsi="Arial"/>
                <w:sz w:val="16"/>
                <w:szCs w:val="16"/>
                <w:color w:val="auto"/>
              </w:rPr>
              <w:t>2022</w:t>
            </w:r>
          </w:p>
        </w:tc>
        <w:tc>
          <w:tcPr>
            <w:tcW w:w="200" w:type="dxa"/>
            <w:vAlign w:val="bottom"/>
          </w:tcPr>
          <w:p>
            <w:pPr>
              <w:spacing w:after="0"/>
              <w:rPr>
                <w:sz w:val="17"/>
                <w:szCs w:val="17"/>
                <w:color w:val="auto"/>
              </w:rPr>
            </w:pPr>
          </w:p>
        </w:tc>
        <w:tc>
          <w:tcPr>
            <w:tcW w:w="1120" w:type="dxa"/>
            <w:vAlign w:val="bottom"/>
          </w:tcPr>
          <w:p>
            <w:pPr>
              <w:jc w:val="right"/>
              <w:ind w:right="379"/>
              <w:spacing w:after="0"/>
              <w:rPr>
                <w:sz w:val="20"/>
                <w:szCs w:val="20"/>
                <w:color w:val="auto"/>
              </w:rPr>
            </w:pPr>
            <w:r>
              <w:rPr>
                <w:rFonts w:ascii="Arial" w:cs="Arial" w:eastAsia="Arial" w:hAnsi="Arial"/>
                <w:sz w:val="16"/>
                <w:szCs w:val="16"/>
                <w:color w:val="auto"/>
              </w:rPr>
              <w:t>2023</w:t>
            </w:r>
          </w:p>
        </w:tc>
        <w:tc>
          <w:tcPr>
            <w:tcW w:w="320" w:type="dxa"/>
            <w:vAlign w:val="bottom"/>
          </w:tcPr>
          <w:p>
            <w:pPr>
              <w:spacing w:after="0"/>
              <w:rPr>
                <w:sz w:val="17"/>
                <w:szCs w:val="17"/>
                <w:color w:val="auto"/>
              </w:rPr>
            </w:pPr>
          </w:p>
        </w:tc>
        <w:tc>
          <w:tcPr>
            <w:tcW w:w="980" w:type="dxa"/>
            <w:vAlign w:val="bottom"/>
          </w:tcPr>
          <w:p>
            <w:pPr>
              <w:jc w:val="right"/>
              <w:ind w:right="359"/>
              <w:spacing w:after="0"/>
              <w:rPr>
                <w:sz w:val="20"/>
                <w:szCs w:val="20"/>
                <w:color w:val="auto"/>
              </w:rPr>
            </w:pPr>
            <w:r>
              <w:rPr>
                <w:rFonts w:ascii="Arial" w:cs="Arial" w:eastAsia="Arial" w:hAnsi="Arial"/>
                <w:sz w:val="16"/>
                <w:szCs w:val="16"/>
                <w:color w:val="auto"/>
              </w:rPr>
              <w:t>2024</w:t>
            </w:r>
          </w:p>
        </w:tc>
        <w:tc>
          <w:tcPr>
            <w:tcW w:w="320" w:type="dxa"/>
            <w:vAlign w:val="bottom"/>
          </w:tcPr>
          <w:p>
            <w:pPr>
              <w:spacing w:after="0"/>
              <w:rPr>
                <w:sz w:val="17"/>
                <w:szCs w:val="17"/>
                <w:color w:val="auto"/>
              </w:rPr>
            </w:pPr>
          </w:p>
        </w:tc>
        <w:tc>
          <w:tcPr>
            <w:tcW w:w="1020" w:type="dxa"/>
            <w:vAlign w:val="bottom"/>
          </w:tcPr>
          <w:p>
            <w:pPr>
              <w:jc w:val="right"/>
              <w:ind w:right="399"/>
              <w:spacing w:after="0"/>
              <w:rPr>
                <w:sz w:val="20"/>
                <w:szCs w:val="20"/>
                <w:color w:val="auto"/>
              </w:rPr>
            </w:pPr>
            <w:r>
              <w:rPr>
                <w:rFonts w:ascii="Arial" w:cs="Arial" w:eastAsia="Arial" w:hAnsi="Arial"/>
                <w:sz w:val="16"/>
                <w:szCs w:val="16"/>
                <w:color w:val="auto"/>
              </w:rPr>
              <w:t>2025</w:t>
            </w:r>
          </w:p>
        </w:tc>
      </w:tr>
      <w:tr>
        <w:trPr>
          <w:trHeight w:val="196"/>
        </w:trPr>
        <w:tc>
          <w:tcPr>
            <w:tcW w:w="2460" w:type="dxa"/>
            <w:vAlign w:val="bottom"/>
            <w:tcBorders>
              <w:top w:val="single" w:sz="8" w:color="CEFFE7"/>
            </w:tcBorders>
            <w:shd w:val="clear" w:color="auto" w:fill="CEFFE7"/>
          </w:tcPr>
          <w:p>
            <w:pPr>
              <w:ind w:left="20"/>
              <w:spacing w:after="0"/>
              <w:rPr>
                <w:sz w:val="20"/>
                <w:szCs w:val="20"/>
                <w:color w:val="auto"/>
              </w:rPr>
            </w:pPr>
            <w:r>
              <w:rPr>
                <w:rFonts w:ascii="Arial" w:cs="Arial" w:eastAsia="Arial" w:hAnsi="Arial"/>
                <w:sz w:val="16"/>
                <w:szCs w:val="16"/>
                <w:i w:val="1"/>
                <w:iCs w:val="1"/>
                <w:color w:val="auto"/>
              </w:rPr>
              <w:t>(in millions)</w:t>
            </w:r>
          </w:p>
        </w:tc>
        <w:tc>
          <w:tcPr>
            <w:tcW w:w="380" w:type="dxa"/>
            <w:vAlign w:val="bottom"/>
            <w:tcBorders>
              <w:top w:val="single" w:sz="8" w:color="auto"/>
            </w:tcBorders>
            <w:shd w:val="clear" w:color="auto" w:fill="CEFFE7"/>
          </w:tcPr>
          <w:p>
            <w:pPr>
              <w:spacing w:after="0"/>
              <w:rPr>
                <w:sz w:val="17"/>
                <w:szCs w:val="17"/>
                <w:color w:val="auto"/>
              </w:rPr>
            </w:pPr>
          </w:p>
        </w:tc>
        <w:tc>
          <w:tcPr>
            <w:tcW w:w="1760" w:type="dxa"/>
            <w:vAlign w:val="bottom"/>
            <w:tcBorders>
              <w:top w:val="single" w:sz="8" w:color="auto"/>
            </w:tcBorders>
            <w:shd w:val="clear" w:color="auto" w:fill="CEFFE7"/>
          </w:tcPr>
          <w:p>
            <w:pPr>
              <w:spacing w:after="0"/>
              <w:rPr>
                <w:sz w:val="17"/>
                <w:szCs w:val="17"/>
                <w:color w:val="auto"/>
              </w:rPr>
            </w:pPr>
          </w:p>
        </w:tc>
        <w:tc>
          <w:tcPr>
            <w:tcW w:w="100" w:type="dxa"/>
            <w:vAlign w:val="bottom"/>
            <w:tcBorders>
              <w:top w:val="single" w:sz="8" w:color="CEFFE7"/>
            </w:tcBorders>
            <w:shd w:val="clear" w:color="auto" w:fill="CEFFE7"/>
          </w:tcPr>
          <w:p>
            <w:pPr>
              <w:spacing w:after="0"/>
              <w:rPr>
                <w:sz w:val="17"/>
                <w:szCs w:val="17"/>
                <w:color w:val="auto"/>
              </w:rPr>
            </w:pPr>
          </w:p>
        </w:tc>
        <w:tc>
          <w:tcPr>
            <w:tcW w:w="240" w:type="dxa"/>
            <w:vAlign w:val="bottom"/>
            <w:tcBorders>
              <w:top w:val="single" w:sz="8" w:color="auto"/>
            </w:tcBorders>
            <w:shd w:val="clear" w:color="auto" w:fill="CEFFE7"/>
          </w:tcPr>
          <w:p>
            <w:pPr>
              <w:spacing w:after="0"/>
              <w:rPr>
                <w:sz w:val="17"/>
                <w:szCs w:val="17"/>
                <w:color w:val="auto"/>
              </w:rPr>
            </w:pPr>
          </w:p>
        </w:tc>
        <w:tc>
          <w:tcPr>
            <w:tcW w:w="1040" w:type="dxa"/>
            <w:vAlign w:val="bottom"/>
            <w:tcBorders>
              <w:top w:val="single" w:sz="8" w:color="auto"/>
            </w:tcBorders>
            <w:shd w:val="clear" w:color="auto" w:fill="CEFFE7"/>
          </w:tcPr>
          <w:p>
            <w:pPr>
              <w:spacing w:after="0"/>
              <w:rPr>
                <w:sz w:val="17"/>
                <w:szCs w:val="17"/>
                <w:color w:val="auto"/>
              </w:rPr>
            </w:pPr>
          </w:p>
        </w:tc>
        <w:tc>
          <w:tcPr>
            <w:tcW w:w="320" w:type="dxa"/>
            <w:vAlign w:val="bottom"/>
            <w:tcBorders>
              <w:top w:val="single" w:sz="8" w:color="auto"/>
            </w:tcBorders>
            <w:shd w:val="clear" w:color="auto" w:fill="CEFFE7"/>
          </w:tcPr>
          <w:p>
            <w:pPr>
              <w:spacing w:after="0"/>
              <w:rPr>
                <w:sz w:val="17"/>
                <w:szCs w:val="17"/>
                <w:color w:val="auto"/>
              </w:rPr>
            </w:pPr>
          </w:p>
        </w:tc>
        <w:tc>
          <w:tcPr>
            <w:tcW w:w="980" w:type="dxa"/>
            <w:vAlign w:val="bottom"/>
            <w:tcBorders>
              <w:top w:val="single" w:sz="8" w:color="auto"/>
            </w:tcBorders>
            <w:shd w:val="clear" w:color="auto" w:fill="CEFFE7"/>
          </w:tcPr>
          <w:p>
            <w:pPr>
              <w:spacing w:after="0"/>
              <w:rPr>
                <w:sz w:val="17"/>
                <w:szCs w:val="17"/>
                <w:color w:val="auto"/>
              </w:rPr>
            </w:pPr>
          </w:p>
        </w:tc>
        <w:tc>
          <w:tcPr>
            <w:tcW w:w="200" w:type="dxa"/>
            <w:vAlign w:val="bottom"/>
            <w:tcBorders>
              <w:top w:val="single" w:sz="8" w:color="auto"/>
            </w:tcBorders>
            <w:shd w:val="clear" w:color="auto" w:fill="CEFFE7"/>
          </w:tcPr>
          <w:p>
            <w:pPr>
              <w:spacing w:after="0"/>
              <w:rPr>
                <w:sz w:val="17"/>
                <w:szCs w:val="17"/>
                <w:color w:val="auto"/>
              </w:rPr>
            </w:pPr>
          </w:p>
        </w:tc>
        <w:tc>
          <w:tcPr>
            <w:tcW w:w="1120" w:type="dxa"/>
            <w:vAlign w:val="bottom"/>
            <w:tcBorders>
              <w:top w:val="single" w:sz="8" w:color="auto"/>
            </w:tcBorders>
            <w:shd w:val="clear" w:color="auto" w:fill="CEFFE7"/>
          </w:tcPr>
          <w:p>
            <w:pPr>
              <w:spacing w:after="0"/>
              <w:rPr>
                <w:sz w:val="17"/>
                <w:szCs w:val="17"/>
                <w:color w:val="auto"/>
              </w:rPr>
            </w:pPr>
          </w:p>
        </w:tc>
        <w:tc>
          <w:tcPr>
            <w:tcW w:w="320" w:type="dxa"/>
            <w:vAlign w:val="bottom"/>
            <w:tcBorders>
              <w:top w:val="single" w:sz="8" w:color="auto"/>
            </w:tcBorders>
            <w:shd w:val="clear" w:color="auto" w:fill="CEFFE7"/>
          </w:tcPr>
          <w:p>
            <w:pPr>
              <w:spacing w:after="0"/>
              <w:rPr>
                <w:sz w:val="17"/>
                <w:szCs w:val="17"/>
                <w:color w:val="auto"/>
              </w:rPr>
            </w:pPr>
          </w:p>
        </w:tc>
        <w:tc>
          <w:tcPr>
            <w:tcW w:w="980" w:type="dxa"/>
            <w:vAlign w:val="bottom"/>
            <w:tcBorders>
              <w:top w:val="single" w:sz="8" w:color="auto"/>
            </w:tcBorders>
            <w:shd w:val="clear" w:color="auto" w:fill="CEFFE7"/>
          </w:tcPr>
          <w:p>
            <w:pPr>
              <w:spacing w:after="0"/>
              <w:rPr>
                <w:sz w:val="17"/>
                <w:szCs w:val="17"/>
                <w:color w:val="auto"/>
              </w:rPr>
            </w:pPr>
          </w:p>
        </w:tc>
        <w:tc>
          <w:tcPr>
            <w:tcW w:w="320" w:type="dxa"/>
            <w:vAlign w:val="bottom"/>
            <w:tcBorders>
              <w:top w:val="single" w:sz="8" w:color="auto"/>
            </w:tcBorders>
            <w:shd w:val="clear" w:color="auto" w:fill="CEFFE7"/>
          </w:tcPr>
          <w:p>
            <w:pPr>
              <w:spacing w:after="0"/>
              <w:rPr>
                <w:sz w:val="17"/>
                <w:szCs w:val="17"/>
                <w:color w:val="auto"/>
              </w:rPr>
            </w:pPr>
          </w:p>
        </w:tc>
        <w:tc>
          <w:tcPr>
            <w:tcW w:w="1020" w:type="dxa"/>
            <w:vAlign w:val="bottom"/>
            <w:tcBorders>
              <w:top w:val="single" w:sz="8" w:color="auto"/>
            </w:tcBorders>
            <w:shd w:val="clear" w:color="auto" w:fill="CEFFE7"/>
          </w:tcPr>
          <w:p>
            <w:pPr>
              <w:spacing w:after="0"/>
              <w:rPr>
                <w:sz w:val="17"/>
                <w:szCs w:val="17"/>
                <w:color w:val="auto"/>
              </w:rPr>
            </w:pPr>
          </w:p>
        </w:tc>
      </w:tr>
      <w:tr>
        <w:trPr>
          <w:trHeight w:val="213"/>
        </w:trPr>
        <w:tc>
          <w:tcPr>
            <w:tcW w:w="2460" w:type="dxa"/>
            <w:vAlign w:val="bottom"/>
          </w:tcPr>
          <w:p>
            <w:pPr>
              <w:ind w:left="20"/>
              <w:spacing w:after="0"/>
              <w:rPr>
                <w:sz w:val="20"/>
                <w:szCs w:val="20"/>
                <w:color w:val="auto"/>
              </w:rPr>
            </w:pPr>
            <w:r>
              <w:rPr>
                <w:rFonts w:ascii="Arial" w:cs="Arial" w:eastAsia="Arial" w:hAnsi="Arial"/>
                <w:sz w:val="16"/>
                <w:szCs w:val="16"/>
                <w:color w:val="auto"/>
              </w:rPr>
              <w:t>Electric Utilities</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760" w:type="dxa"/>
            <w:vAlign w:val="bottom"/>
          </w:tcPr>
          <w:p>
            <w:pPr>
              <w:jc w:val="right"/>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240</w:t>
            </w:r>
          </w:p>
        </w:tc>
        <w:tc>
          <w:tcPr>
            <w:tcW w:w="32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180</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143</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156</w:t>
            </w:r>
          </w:p>
        </w:tc>
        <w:tc>
          <w:tcPr>
            <w:tcW w:w="32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154</w:t>
            </w:r>
          </w:p>
        </w:tc>
      </w:tr>
      <w:tr>
        <w:trPr>
          <w:trHeight w:val="219"/>
        </w:trPr>
        <w:tc>
          <w:tcPr>
            <w:tcW w:w="2460" w:type="dxa"/>
            <w:vAlign w:val="bottom"/>
            <w:shd w:val="clear" w:color="auto" w:fill="CEFFE7"/>
          </w:tcPr>
          <w:p>
            <w:pPr>
              <w:ind w:left="20"/>
              <w:spacing w:after="0"/>
              <w:rPr>
                <w:sz w:val="20"/>
                <w:szCs w:val="20"/>
                <w:color w:val="auto"/>
              </w:rPr>
            </w:pPr>
            <w:r>
              <w:rPr>
                <w:rFonts w:ascii="Arial" w:cs="Arial" w:eastAsia="Arial" w:hAnsi="Arial"/>
                <w:sz w:val="16"/>
                <w:szCs w:val="16"/>
                <w:color w:val="auto"/>
              </w:rPr>
              <w:t>Gas Utilities</w:t>
            </w:r>
          </w:p>
        </w:tc>
        <w:tc>
          <w:tcPr>
            <w:tcW w:w="380" w:type="dxa"/>
            <w:vAlign w:val="bottom"/>
            <w:shd w:val="clear" w:color="auto" w:fill="CEFFE7"/>
          </w:tcPr>
          <w:p>
            <w:pPr>
              <w:spacing w:after="0"/>
              <w:rPr>
                <w:sz w:val="19"/>
                <w:szCs w:val="19"/>
                <w:color w:val="auto"/>
              </w:rPr>
            </w:pPr>
          </w:p>
        </w:tc>
        <w:tc>
          <w:tcPr>
            <w:tcW w:w="17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73</w:t>
            </w:r>
          </w:p>
        </w:tc>
        <w:tc>
          <w:tcPr>
            <w:tcW w:w="100" w:type="dxa"/>
            <w:vAlign w:val="bottom"/>
            <w:shd w:val="clear" w:color="auto" w:fill="CEFFE7"/>
          </w:tcPr>
          <w:p>
            <w:pPr>
              <w:spacing w:after="0"/>
              <w:rPr>
                <w:sz w:val="19"/>
                <w:szCs w:val="19"/>
                <w:color w:val="auto"/>
              </w:rPr>
            </w:pPr>
          </w:p>
        </w:tc>
        <w:tc>
          <w:tcPr>
            <w:tcW w:w="240" w:type="dxa"/>
            <w:vAlign w:val="bottom"/>
            <w:shd w:val="clear" w:color="auto" w:fill="CEFFE7"/>
          </w:tcPr>
          <w:p>
            <w:pPr>
              <w:spacing w:after="0"/>
              <w:rPr>
                <w:sz w:val="19"/>
                <w:szCs w:val="19"/>
                <w:color w:val="auto"/>
              </w:rPr>
            </w:pPr>
          </w:p>
        </w:tc>
        <w:tc>
          <w:tcPr>
            <w:tcW w:w="10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377</w:t>
            </w:r>
          </w:p>
        </w:tc>
        <w:tc>
          <w:tcPr>
            <w:tcW w:w="320" w:type="dxa"/>
            <w:vAlign w:val="bottom"/>
            <w:shd w:val="clear" w:color="auto" w:fill="CEFFE7"/>
          </w:tcPr>
          <w:p>
            <w:pPr>
              <w:spacing w:after="0"/>
              <w:rPr>
                <w:sz w:val="19"/>
                <w:szCs w:val="19"/>
                <w:color w:val="auto"/>
              </w:rPr>
            </w:pPr>
          </w:p>
        </w:tc>
        <w:tc>
          <w:tcPr>
            <w:tcW w:w="9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347</w:t>
            </w:r>
          </w:p>
        </w:tc>
        <w:tc>
          <w:tcPr>
            <w:tcW w:w="200" w:type="dxa"/>
            <w:vAlign w:val="bottom"/>
            <w:shd w:val="clear" w:color="auto" w:fill="CEFFE7"/>
          </w:tcPr>
          <w:p>
            <w:pPr>
              <w:spacing w:after="0"/>
              <w:rPr>
                <w:sz w:val="19"/>
                <w:szCs w:val="19"/>
                <w:color w:val="auto"/>
              </w:rPr>
            </w:pPr>
          </w:p>
        </w:tc>
        <w:tc>
          <w:tcPr>
            <w:tcW w:w="11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339</w:t>
            </w:r>
          </w:p>
        </w:tc>
        <w:tc>
          <w:tcPr>
            <w:tcW w:w="320" w:type="dxa"/>
            <w:vAlign w:val="bottom"/>
            <w:shd w:val="clear" w:color="auto" w:fill="CEFFE7"/>
          </w:tcPr>
          <w:p>
            <w:pPr>
              <w:spacing w:after="0"/>
              <w:rPr>
                <w:sz w:val="19"/>
                <w:szCs w:val="19"/>
                <w:color w:val="auto"/>
              </w:rPr>
            </w:pPr>
          </w:p>
        </w:tc>
        <w:tc>
          <w:tcPr>
            <w:tcW w:w="9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330</w:t>
            </w:r>
          </w:p>
        </w:tc>
        <w:tc>
          <w:tcPr>
            <w:tcW w:w="320" w:type="dxa"/>
            <w:vAlign w:val="bottom"/>
            <w:shd w:val="clear" w:color="auto" w:fill="CEFFE7"/>
          </w:tcPr>
          <w:p>
            <w:pPr>
              <w:spacing w:after="0"/>
              <w:rPr>
                <w:sz w:val="19"/>
                <w:szCs w:val="19"/>
                <w:color w:val="auto"/>
              </w:rPr>
            </w:pPr>
          </w:p>
        </w:tc>
        <w:tc>
          <w:tcPr>
            <w:tcW w:w="10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326</w:t>
            </w:r>
          </w:p>
        </w:tc>
      </w:tr>
      <w:tr>
        <w:trPr>
          <w:trHeight w:val="213"/>
        </w:trPr>
        <w:tc>
          <w:tcPr>
            <w:tcW w:w="2460" w:type="dxa"/>
            <w:vAlign w:val="bottom"/>
          </w:tcPr>
          <w:p>
            <w:pPr>
              <w:ind w:left="20"/>
              <w:spacing w:after="0"/>
              <w:rPr>
                <w:sz w:val="20"/>
                <w:szCs w:val="20"/>
                <w:color w:val="auto"/>
              </w:rPr>
            </w:pPr>
            <w:r>
              <w:rPr>
                <w:rFonts w:ascii="Arial" w:cs="Arial" w:eastAsia="Arial" w:hAnsi="Arial"/>
                <w:sz w:val="16"/>
                <w:szCs w:val="16"/>
                <w:color w:val="auto"/>
              </w:rPr>
              <w:t>Power Generation</w:t>
            </w:r>
          </w:p>
        </w:tc>
        <w:tc>
          <w:tcPr>
            <w:tcW w:w="38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w:t>
            </w: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w:t>
            </w: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19"/>
        </w:trPr>
        <w:tc>
          <w:tcPr>
            <w:tcW w:w="2460" w:type="dxa"/>
            <w:vAlign w:val="bottom"/>
            <w:shd w:val="clear" w:color="auto" w:fill="CEFFE7"/>
          </w:tcPr>
          <w:p>
            <w:pPr>
              <w:ind w:left="20"/>
              <w:spacing w:after="0"/>
              <w:rPr>
                <w:sz w:val="20"/>
                <w:szCs w:val="20"/>
                <w:color w:val="auto"/>
              </w:rPr>
            </w:pPr>
            <w:r>
              <w:rPr>
                <w:rFonts w:ascii="Arial" w:cs="Arial" w:eastAsia="Arial" w:hAnsi="Arial"/>
                <w:sz w:val="16"/>
                <w:szCs w:val="16"/>
                <w:color w:val="auto"/>
              </w:rPr>
              <w:t>Mining</w:t>
            </w:r>
          </w:p>
        </w:tc>
        <w:tc>
          <w:tcPr>
            <w:tcW w:w="380" w:type="dxa"/>
            <w:vAlign w:val="bottom"/>
            <w:shd w:val="clear" w:color="auto" w:fill="CEFFE7"/>
          </w:tcPr>
          <w:p>
            <w:pPr>
              <w:spacing w:after="0"/>
              <w:rPr>
                <w:sz w:val="19"/>
                <w:szCs w:val="19"/>
                <w:color w:val="auto"/>
              </w:rPr>
            </w:pPr>
          </w:p>
        </w:tc>
        <w:tc>
          <w:tcPr>
            <w:tcW w:w="17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EFFE7"/>
          </w:tcPr>
          <w:p>
            <w:pPr>
              <w:spacing w:after="0"/>
              <w:rPr>
                <w:sz w:val="19"/>
                <w:szCs w:val="19"/>
                <w:color w:val="auto"/>
              </w:rPr>
            </w:pPr>
          </w:p>
        </w:tc>
        <w:tc>
          <w:tcPr>
            <w:tcW w:w="240" w:type="dxa"/>
            <w:vAlign w:val="bottom"/>
            <w:shd w:val="clear" w:color="auto" w:fill="CEFFE7"/>
          </w:tcPr>
          <w:p>
            <w:pPr>
              <w:spacing w:after="0"/>
              <w:rPr>
                <w:sz w:val="19"/>
                <w:szCs w:val="19"/>
                <w:color w:val="auto"/>
              </w:rPr>
            </w:pPr>
          </w:p>
        </w:tc>
        <w:tc>
          <w:tcPr>
            <w:tcW w:w="10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9</w:t>
            </w:r>
          </w:p>
        </w:tc>
        <w:tc>
          <w:tcPr>
            <w:tcW w:w="320" w:type="dxa"/>
            <w:vAlign w:val="bottom"/>
            <w:shd w:val="clear" w:color="auto" w:fill="CEFFE7"/>
          </w:tcPr>
          <w:p>
            <w:pPr>
              <w:spacing w:after="0"/>
              <w:rPr>
                <w:sz w:val="19"/>
                <w:szCs w:val="19"/>
                <w:color w:val="auto"/>
              </w:rPr>
            </w:pPr>
          </w:p>
        </w:tc>
        <w:tc>
          <w:tcPr>
            <w:tcW w:w="9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9</w:t>
            </w:r>
          </w:p>
        </w:tc>
        <w:tc>
          <w:tcPr>
            <w:tcW w:w="200" w:type="dxa"/>
            <w:vAlign w:val="bottom"/>
            <w:shd w:val="clear" w:color="auto" w:fill="CEFFE7"/>
          </w:tcPr>
          <w:p>
            <w:pPr>
              <w:spacing w:after="0"/>
              <w:rPr>
                <w:sz w:val="19"/>
                <w:szCs w:val="19"/>
                <w:color w:val="auto"/>
              </w:rPr>
            </w:pPr>
          </w:p>
        </w:tc>
        <w:tc>
          <w:tcPr>
            <w:tcW w:w="11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9</w:t>
            </w:r>
          </w:p>
        </w:tc>
        <w:tc>
          <w:tcPr>
            <w:tcW w:w="320" w:type="dxa"/>
            <w:vAlign w:val="bottom"/>
            <w:shd w:val="clear" w:color="auto" w:fill="CEFFE7"/>
          </w:tcPr>
          <w:p>
            <w:pPr>
              <w:spacing w:after="0"/>
              <w:rPr>
                <w:sz w:val="19"/>
                <w:szCs w:val="19"/>
                <w:color w:val="auto"/>
              </w:rPr>
            </w:pPr>
          </w:p>
        </w:tc>
        <w:tc>
          <w:tcPr>
            <w:tcW w:w="9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9</w:t>
            </w:r>
          </w:p>
        </w:tc>
        <w:tc>
          <w:tcPr>
            <w:tcW w:w="320" w:type="dxa"/>
            <w:vAlign w:val="bottom"/>
            <w:shd w:val="clear" w:color="auto" w:fill="CEFFE7"/>
          </w:tcPr>
          <w:p>
            <w:pPr>
              <w:spacing w:after="0"/>
              <w:rPr>
                <w:sz w:val="19"/>
                <w:szCs w:val="19"/>
                <w:color w:val="auto"/>
              </w:rPr>
            </w:pPr>
          </w:p>
        </w:tc>
        <w:tc>
          <w:tcPr>
            <w:tcW w:w="10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10</w:t>
            </w:r>
          </w:p>
        </w:tc>
      </w:tr>
      <w:tr>
        <w:trPr>
          <w:trHeight w:val="213"/>
        </w:trPr>
        <w:tc>
          <w:tcPr>
            <w:tcW w:w="2460" w:type="dxa"/>
            <w:vAlign w:val="bottom"/>
          </w:tcPr>
          <w:p>
            <w:pPr>
              <w:ind w:left="20"/>
              <w:spacing w:after="0"/>
              <w:rPr>
                <w:sz w:val="20"/>
                <w:szCs w:val="20"/>
                <w:color w:val="auto"/>
              </w:rPr>
            </w:pPr>
            <w:r>
              <w:rPr>
                <w:rFonts w:ascii="Arial" w:cs="Arial" w:eastAsia="Arial" w:hAnsi="Arial"/>
                <w:sz w:val="16"/>
                <w:szCs w:val="16"/>
                <w:color w:val="auto"/>
              </w:rPr>
              <w:t>Corporate and Other</w:t>
            </w:r>
          </w:p>
        </w:tc>
        <w:tc>
          <w:tcPr>
            <w:tcW w:w="38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w:t>
            </w: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13</w:t>
            </w: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13</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219"/>
        </w:trPr>
        <w:tc>
          <w:tcPr>
            <w:tcW w:w="2460" w:type="dxa"/>
            <w:vAlign w:val="bottom"/>
            <w:shd w:val="clear" w:color="auto" w:fill="CEFFE7"/>
          </w:tcPr>
          <w:p>
            <w:pPr>
              <w:ind w:left="20"/>
              <w:spacing w:after="0" w:line="219" w:lineRule="exact"/>
              <w:rPr>
                <w:sz w:val="20"/>
                <w:szCs w:val="20"/>
                <w:color w:val="auto"/>
              </w:rPr>
            </w:pPr>
            <w:r>
              <w:rPr>
                <w:rFonts w:ascii="Arial" w:cs="Arial" w:eastAsia="Arial" w:hAnsi="Arial"/>
                <w:sz w:val="16"/>
                <w:szCs w:val="16"/>
                <w:color w:val="auto"/>
              </w:rPr>
              <w:t xml:space="preserve">Incremental Projects </w:t>
            </w:r>
            <w:r>
              <w:rPr>
                <w:rFonts w:ascii="Arial" w:cs="Arial" w:eastAsia="Arial" w:hAnsi="Arial"/>
                <w:sz w:val="21"/>
                <w:szCs w:val="21"/>
                <w:color w:val="auto"/>
                <w:vertAlign w:val="superscript"/>
              </w:rPr>
              <w:t>(c)</w:t>
            </w:r>
          </w:p>
        </w:tc>
        <w:tc>
          <w:tcPr>
            <w:tcW w:w="380" w:type="dxa"/>
            <w:vAlign w:val="bottom"/>
            <w:shd w:val="clear" w:color="auto" w:fill="CEFFE7"/>
          </w:tcPr>
          <w:p>
            <w:pPr>
              <w:spacing w:after="0"/>
              <w:rPr>
                <w:sz w:val="19"/>
                <w:szCs w:val="19"/>
                <w:color w:val="auto"/>
              </w:rPr>
            </w:pPr>
          </w:p>
        </w:tc>
        <w:tc>
          <w:tcPr>
            <w:tcW w:w="1860" w:type="dxa"/>
            <w:vAlign w:val="bottom"/>
            <w:gridSpan w:val="2"/>
            <w:shd w:val="clear" w:color="auto" w:fill="CEFFE7"/>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EFFE7"/>
          </w:tcPr>
          <w:p>
            <w:pPr>
              <w:spacing w:after="0"/>
              <w:rPr>
                <w:sz w:val="19"/>
                <w:szCs w:val="19"/>
                <w:color w:val="auto"/>
              </w:rPr>
            </w:pPr>
          </w:p>
        </w:tc>
        <w:tc>
          <w:tcPr>
            <w:tcW w:w="10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320" w:type="dxa"/>
            <w:vAlign w:val="bottom"/>
            <w:shd w:val="clear" w:color="auto" w:fill="CEFFE7"/>
          </w:tcPr>
          <w:p>
            <w:pPr>
              <w:spacing w:after="0"/>
              <w:rPr>
                <w:sz w:val="19"/>
                <w:szCs w:val="19"/>
                <w:color w:val="auto"/>
              </w:rPr>
            </w:pPr>
          </w:p>
        </w:tc>
        <w:tc>
          <w:tcPr>
            <w:tcW w:w="9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50</w:t>
            </w:r>
          </w:p>
        </w:tc>
        <w:tc>
          <w:tcPr>
            <w:tcW w:w="200" w:type="dxa"/>
            <w:vAlign w:val="bottom"/>
            <w:shd w:val="clear" w:color="auto" w:fill="CEFFE7"/>
          </w:tcPr>
          <w:p>
            <w:pPr>
              <w:spacing w:after="0"/>
              <w:rPr>
                <w:sz w:val="19"/>
                <w:szCs w:val="19"/>
                <w:color w:val="auto"/>
              </w:rPr>
            </w:pPr>
          </w:p>
        </w:tc>
        <w:tc>
          <w:tcPr>
            <w:tcW w:w="11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100</w:t>
            </w:r>
          </w:p>
        </w:tc>
        <w:tc>
          <w:tcPr>
            <w:tcW w:w="320" w:type="dxa"/>
            <w:vAlign w:val="bottom"/>
            <w:shd w:val="clear" w:color="auto" w:fill="CEFFE7"/>
          </w:tcPr>
          <w:p>
            <w:pPr>
              <w:spacing w:after="0"/>
              <w:rPr>
                <w:sz w:val="19"/>
                <w:szCs w:val="19"/>
                <w:color w:val="auto"/>
              </w:rPr>
            </w:pPr>
          </w:p>
        </w:tc>
        <w:tc>
          <w:tcPr>
            <w:tcW w:w="9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100</w:t>
            </w:r>
          </w:p>
        </w:tc>
        <w:tc>
          <w:tcPr>
            <w:tcW w:w="320" w:type="dxa"/>
            <w:vAlign w:val="bottom"/>
            <w:shd w:val="clear" w:color="auto" w:fill="CEFFE7"/>
          </w:tcPr>
          <w:p>
            <w:pPr>
              <w:spacing w:after="0"/>
              <w:rPr>
                <w:sz w:val="19"/>
                <w:szCs w:val="19"/>
                <w:color w:val="auto"/>
              </w:rPr>
            </w:pPr>
          </w:p>
        </w:tc>
        <w:tc>
          <w:tcPr>
            <w:tcW w:w="10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100</w:t>
            </w:r>
          </w:p>
        </w:tc>
      </w:tr>
      <w:tr>
        <w:trPr>
          <w:trHeight w:val="206"/>
        </w:trPr>
        <w:tc>
          <w:tcPr>
            <w:tcW w:w="2460" w:type="dxa"/>
            <w:vAlign w:val="bottom"/>
          </w:tcPr>
          <w:p>
            <w:pPr>
              <w:spacing w:after="0"/>
              <w:rPr>
                <w:sz w:val="17"/>
                <w:szCs w:val="17"/>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132</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647</w:t>
            </w:r>
          </w:p>
        </w:tc>
        <w:tc>
          <w:tcPr>
            <w:tcW w:w="32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600</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610</w:t>
            </w: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612</w:t>
            </w:r>
          </w:p>
        </w:tc>
        <w:tc>
          <w:tcPr>
            <w:tcW w:w="32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608</w:t>
            </w:r>
          </w:p>
        </w:tc>
      </w:tr>
      <w:tr>
        <w:trPr>
          <w:trHeight w:val="24"/>
        </w:trPr>
        <w:tc>
          <w:tcPr>
            <w:tcW w:w="24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bl>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8" w:lineRule="exact"/>
        <w:rPr>
          <w:sz w:val="20"/>
          <w:szCs w:val="20"/>
          <w:color w:val="auto"/>
        </w:rPr>
      </w:pPr>
    </w:p>
    <w:p>
      <w:pPr>
        <w:ind w:left="340" w:right="200" w:hanging="332"/>
        <w:spacing w:after="0" w:line="241" w:lineRule="auto"/>
        <w:tabs>
          <w:tab w:leader="none" w:pos="352" w:val="left"/>
        </w:tabs>
        <w:numPr>
          <w:ilvl w:val="0"/>
          <w:numId w:val="38"/>
        </w:numPr>
        <w:rPr>
          <w:rFonts w:ascii="Arial" w:cs="Arial" w:eastAsia="Arial" w:hAnsi="Arial"/>
          <w:sz w:val="14"/>
          <w:szCs w:val="14"/>
          <w:color w:val="auto"/>
        </w:rPr>
      </w:pPr>
      <w:r>
        <w:rPr>
          <w:rFonts w:ascii="Arial" w:cs="Arial" w:eastAsia="Arial" w:hAnsi="Arial"/>
          <w:sz w:val="14"/>
          <w:szCs w:val="14"/>
          <w:color w:val="auto"/>
        </w:rPr>
        <w:t xml:space="preserve">Includes accruals for property, plant and equipment as disclosed in supplemental cash flow information in the </w:t>
      </w:r>
      <w:hyperlink w:anchor="page11">
        <w:r>
          <w:rPr>
            <w:rFonts w:ascii="Arial" w:cs="Arial" w:eastAsia="Arial" w:hAnsi="Arial"/>
            <w:sz w:val="14"/>
            <w:szCs w:val="14"/>
            <w:u w:val="single" w:color="auto"/>
            <w:color w:val="0000FF"/>
          </w:rPr>
          <w:t>Condensed Consolidated Statements of Cash Flows</w:t>
        </w:r>
        <w:r>
          <w:rPr>
            <w:rFonts w:ascii="Arial" w:cs="Arial" w:eastAsia="Arial" w:hAnsi="Arial"/>
            <w:sz w:val="14"/>
            <w:szCs w:val="14"/>
            <w:u w:val="single" w:color="auto"/>
            <w:color w:val="auto"/>
          </w:rPr>
          <w:t xml:space="preserve"> </w:t>
        </w:r>
      </w:hyperlink>
      <w:r>
        <w:rPr>
          <w:rFonts w:ascii="Arial" w:cs="Arial" w:eastAsia="Arial" w:hAnsi="Arial"/>
          <w:sz w:val="14"/>
          <w:szCs w:val="14"/>
          <w:color w:val="auto"/>
        </w:rPr>
        <w:t>in the Condensed Consolidated Financial Statements.</w:t>
      </w:r>
    </w:p>
    <w:p>
      <w:pPr>
        <w:ind w:left="340" w:hanging="332"/>
        <w:spacing w:after="0"/>
        <w:tabs>
          <w:tab w:leader="none" w:pos="3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Includes actual capital expenditures for the three months ended March 31, 2021.</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These represent projects that are being evaluated by our segments for timing, cost and other factors.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Dividends</w:t>
      </w:r>
    </w:p>
    <w:p>
      <w:pPr>
        <w:spacing w:after="0" w:line="268" w:lineRule="exact"/>
        <w:rPr>
          <w:sz w:val="20"/>
          <w:szCs w:val="20"/>
          <w:color w:val="auto"/>
        </w:rPr>
      </w:pPr>
    </w:p>
    <w:p>
      <w:pPr>
        <w:jc w:val="both"/>
        <w:ind w:right="40"/>
        <w:spacing w:after="0" w:line="251" w:lineRule="auto"/>
        <w:rPr>
          <w:sz w:val="20"/>
          <w:szCs w:val="20"/>
          <w:color w:val="auto"/>
        </w:rPr>
      </w:pPr>
      <w:r>
        <w:rPr>
          <w:rFonts w:ascii="Arial" w:cs="Arial" w:eastAsia="Arial" w:hAnsi="Arial"/>
          <w:sz w:val="16"/>
          <w:szCs w:val="16"/>
          <w:color w:val="auto"/>
        </w:rPr>
        <w:t>Dividends paid on our common stock totaled $36 million for the three months ended March 31, 2021, or $0.565 per share per quarter. On April 26, 2021, our board of directors declared a quarterly dividend of $0.565 per share payable June 1, 2021, equivalent to an annual dividend of $2.26 per share. The amount of any future cash dividends to be declared and paid, if any, will depend upon, among other things, our financial condition, funds from operations, the level of our capital expenditures, restrictions under our Revolving Credit Facility and our future business prospects.</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Unconditional Purchase Obligations</w:t>
      </w:r>
    </w:p>
    <w:p>
      <w:pPr>
        <w:spacing w:after="0" w:line="268" w:lineRule="exact"/>
        <w:rPr>
          <w:sz w:val="20"/>
          <w:szCs w:val="20"/>
          <w:color w:val="auto"/>
        </w:rPr>
      </w:pPr>
    </w:p>
    <w:p>
      <w:pPr>
        <w:spacing w:after="0"/>
        <w:rPr>
          <w:rFonts w:ascii="Arial" w:cs="Arial" w:eastAsia="Arial" w:hAnsi="Arial"/>
          <w:sz w:val="16"/>
          <w:szCs w:val="16"/>
          <w:color w:val="auto"/>
        </w:rPr>
      </w:pPr>
      <w:r>
        <w:rPr>
          <w:rFonts w:ascii="Arial" w:cs="Arial" w:eastAsia="Arial" w:hAnsi="Arial"/>
          <w:sz w:val="16"/>
          <w:szCs w:val="16"/>
          <w:color w:val="auto"/>
        </w:rPr>
        <w:t xml:space="preserve">See </w:t>
      </w:r>
      <w:hyperlink w:anchor="page17">
        <w:r>
          <w:rPr>
            <w:rFonts w:ascii="Arial" w:cs="Arial" w:eastAsia="Arial" w:hAnsi="Arial"/>
            <w:sz w:val="16"/>
            <w:szCs w:val="16"/>
            <w:u w:val="single" w:color="auto"/>
            <w:color w:val="0000FF"/>
          </w:rPr>
          <w:t>Note 3</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of the Notes to Condensed Consolidated Financial Statements for recent updates to our purchase obligations.</w:t>
      </w:r>
    </w:p>
    <w:p>
      <w:pPr>
        <w:spacing w:after="0" w:line="200" w:lineRule="exact"/>
        <w:rPr>
          <w:sz w:val="20"/>
          <w:szCs w:val="20"/>
          <w:color w:val="auto"/>
        </w:rPr>
      </w:pPr>
    </w:p>
    <w:p>
      <w:pPr>
        <w:spacing w:after="0" w:line="271"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Critical Accounting Policies Involving Significant Estimates</w:t>
      </w:r>
    </w:p>
    <w:p>
      <w:pPr>
        <w:spacing w:after="0" w:line="268" w:lineRule="exact"/>
        <w:rPr>
          <w:sz w:val="20"/>
          <w:szCs w:val="20"/>
          <w:color w:val="auto"/>
        </w:rPr>
      </w:pPr>
    </w:p>
    <w:p>
      <w:pPr>
        <w:ind w:right="320"/>
        <w:spacing w:after="0" w:line="251" w:lineRule="auto"/>
        <w:rPr>
          <w:sz w:val="20"/>
          <w:szCs w:val="20"/>
          <w:color w:val="auto"/>
        </w:rPr>
      </w:pPr>
      <w:r>
        <w:rPr>
          <w:rFonts w:ascii="Arial" w:cs="Arial" w:eastAsia="Arial" w:hAnsi="Arial"/>
          <w:sz w:val="16"/>
          <w:szCs w:val="16"/>
          <w:color w:val="auto"/>
        </w:rPr>
        <w:t>There have been no material changes in our critical accounting estimates from those reported in our 2020 Annual Report on Form 10-K. We continue to closely monitor the impacts of COVID-19 and Winter Storm Uri on our critical accounting estimates including, but not limited to, collectibility of customer receivables, recoverability through regulatory assets, impairment risk of goodwill and long-lived assets, valuation of pension assets and liabilities, and contingent liabilities. For more information on our critical accounting estimates, see Part II, Item 7 of our 2020 Annual Report on Form 10-K.</w:t>
      </w:r>
    </w:p>
    <w:p>
      <w:pPr>
        <w:spacing w:after="0" w:line="200" w:lineRule="exact"/>
        <w:rPr>
          <w:sz w:val="20"/>
          <w:szCs w:val="20"/>
          <w:color w:val="auto"/>
        </w:rPr>
      </w:pP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New Accounting Pronouncements</w:t>
      </w:r>
    </w:p>
    <w:p>
      <w:pPr>
        <w:spacing w:after="0" w:line="268" w:lineRule="exact"/>
        <w:rPr>
          <w:sz w:val="20"/>
          <w:szCs w:val="20"/>
          <w:color w:val="auto"/>
        </w:rPr>
      </w:pPr>
    </w:p>
    <w:p>
      <w:pPr>
        <w:ind w:right="80"/>
        <w:spacing w:after="0" w:line="253" w:lineRule="auto"/>
        <w:rPr>
          <w:rFonts w:ascii="Arial" w:cs="Arial" w:eastAsia="Arial" w:hAnsi="Arial"/>
          <w:sz w:val="16"/>
          <w:szCs w:val="16"/>
          <w:color w:val="auto"/>
        </w:rPr>
      </w:pPr>
      <w:r>
        <w:rPr>
          <w:rFonts w:ascii="Arial" w:cs="Arial" w:eastAsia="Arial" w:hAnsi="Arial"/>
          <w:sz w:val="16"/>
          <w:szCs w:val="16"/>
          <w:color w:val="auto"/>
        </w:rPr>
        <w:t xml:space="preserve">Other than the pronouncements reported in our 2020 Annual Report on Form 10-K and those discussed in </w:t>
      </w:r>
      <w:hyperlink w:anchor="page14">
        <w:r>
          <w:rPr>
            <w:rFonts w:ascii="Arial" w:cs="Arial" w:eastAsia="Arial" w:hAnsi="Arial"/>
            <w:sz w:val="16"/>
            <w:szCs w:val="16"/>
            <w:u w:val="single" w:color="auto"/>
            <w:color w:val="0000FF"/>
          </w:rPr>
          <w:t>Note 1</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of the Notes to Condensed Consolidated Financial Statements in this Quarterly Report on Form 10-Q, there have been no new accounting pronouncements that are expected to have a material effect on our financial position, results of operations, or cash flows.</w:t>
      </w:r>
    </w:p>
    <w:p>
      <w:pPr>
        <w:spacing w:after="0" w:line="200" w:lineRule="exact"/>
        <w:rPr>
          <w:sz w:val="20"/>
          <w:szCs w:val="20"/>
          <w:color w:val="auto"/>
        </w:rPr>
      </w:pPr>
    </w:p>
    <w:p>
      <w:pPr>
        <w:spacing w:after="0" w:line="246"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QUANTITATIVE AND QUALITATIVE DISCLOSURES ABOUT MARKET RISK</w:t>
      </w:r>
    </w:p>
    <w:p>
      <w:pPr>
        <w:spacing w:after="0" w:line="277" w:lineRule="exact"/>
        <w:rPr>
          <w:sz w:val="20"/>
          <w:szCs w:val="20"/>
          <w:color w:val="auto"/>
        </w:rPr>
      </w:pPr>
    </w:p>
    <w:p>
      <w:pPr>
        <w:ind w:right="60"/>
        <w:spacing w:after="0" w:line="260" w:lineRule="auto"/>
        <w:rPr>
          <w:sz w:val="20"/>
          <w:szCs w:val="20"/>
          <w:color w:val="auto"/>
        </w:rPr>
      </w:pPr>
      <w:r>
        <w:rPr>
          <w:rFonts w:ascii="Arial" w:cs="Arial" w:eastAsia="Arial" w:hAnsi="Arial"/>
          <w:sz w:val="16"/>
          <w:szCs w:val="16"/>
          <w:color w:val="auto"/>
        </w:rPr>
        <w:t>There have been no material changes to our quantitative and qualitative disclosures about market risk previously disclosed in Item 7A of our Annual Report on Form 10-K.</w:t>
      </w:r>
    </w:p>
    <w:p>
      <w:pPr>
        <w:spacing w:after="0" w:line="200" w:lineRule="exact"/>
        <w:rPr>
          <w:sz w:val="20"/>
          <w:szCs w:val="20"/>
          <w:color w:val="auto"/>
        </w:rPr>
      </w:pPr>
    </w:p>
    <w:p>
      <w:pPr>
        <w:spacing w:after="0" w:line="24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77"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Our Chief Executive Officer and Chief Financial Officer evaluated the effectiveness of our disclosure controls and procedures (as defined in Rules 13a-15(e) and 15d-15(e) of the Securities Exchange Act of 1934, as amended (the “Exchange Act”)) as of March 31, 2021. Based on their evaluation, they have concluded that our disclosure controls and procedures were effective at March 31, 2021.</w:t>
      </w:r>
    </w:p>
    <w:p>
      <w:pPr>
        <w:spacing w:after="0" w:line="228"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Our disclosure controls and procedures are designed to ensure that information required to be disclosed by us in the reports that we file or submit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Changes in Internal Control over Financial Reporting</w:t>
      </w:r>
    </w:p>
    <w:p>
      <w:pPr>
        <w:spacing w:after="0" w:line="268" w:lineRule="exact"/>
        <w:rPr>
          <w:sz w:val="20"/>
          <w:szCs w:val="20"/>
          <w:color w:val="auto"/>
        </w:rPr>
      </w:pPr>
    </w:p>
    <w:p>
      <w:pPr>
        <w:ind w:right="200"/>
        <w:spacing w:after="0" w:line="260" w:lineRule="auto"/>
        <w:rPr>
          <w:sz w:val="20"/>
          <w:szCs w:val="20"/>
          <w:color w:val="auto"/>
        </w:rPr>
      </w:pPr>
      <w:r>
        <w:rPr>
          <w:rFonts w:ascii="Arial" w:cs="Arial" w:eastAsia="Arial" w:hAnsi="Arial"/>
          <w:sz w:val="16"/>
          <w:szCs w:val="16"/>
          <w:color w:val="auto"/>
        </w:rPr>
        <w:t>During the quarter ended March 31, 2021, there have been no changes in our internal controls over financial reporting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45" w:name="page46"/>
    <w:bookmarkEnd w:id="45"/>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81"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PART II.</w:t>
      </w:r>
      <w:r>
        <w:rPr>
          <w:sz w:val="20"/>
          <w:szCs w:val="20"/>
          <w:color w:val="auto"/>
        </w:rPr>
        <w:tab/>
      </w:r>
      <w:r>
        <w:rPr>
          <w:rFonts w:ascii="Arial" w:cs="Arial" w:eastAsia="Arial" w:hAnsi="Arial"/>
          <w:sz w:val="17"/>
          <w:szCs w:val="17"/>
          <w:b w:val="1"/>
          <w:bCs w:val="1"/>
          <w:color w:val="auto"/>
        </w:rPr>
        <w:t>OTHER INFORMATION</w:t>
      </w:r>
    </w:p>
    <w:p>
      <w:pPr>
        <w:spacing w:after="0" w:line="25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277" w:lineRule="exact"/>
        <w:rPr>
          <w:sz w:val="20"/>
          <w:szCs w:val="20"/>
          <w:color w:val="auto"/>
        </w:rPr>
      </w:pPr>
    </w:p>
    <w:p>
      <w:pPr>
        <w:ind w:right="280"/>
        <w:spacing w:after="0" w:line="260" w:lineRule="auto"/>
        <w:rPr>
          <w:rFonts w:ascii="Arial" w:cs="Arial" w:eastAsia="Arial" w:hAnsi="Arial"/>
          <w:sz w:val="16"/>
          <w:szCs w:val="16"/>
          <w:color w:val="auto"/>
        </w:rPr>
      </w:pPr>
      <w:r>
        <w:rPr>
          <w:rFonts w:ascii="Arial" w:cs="Arial" w:eastAsia="Arial" w:hAnsi="Arial"/>
          <w:sz w:val="16"/>
          <w:szCs w:val="16"/>
          <w:color w:val="auto"/>
        </w:rPr>
        <w:t xml:space="preserve">For information regarding legal proceedings, see Note 3 in Item 8 of our 2020 Annual Report on Form 10-K and </w:t>
      </w:r>
      <w:hyperlink w:anchor="page17">
        <w:r>
          <w:rPr>
            <w:rFonts w:ascii="Arial" w:cs="Arial" w:eastAsia="Arial" w:hAnsi="Arial"/>
            <w:sz w:val="16"/>
            <w:szCs w:val="16"/>
            <w:u w:val="single" w:color="auto"/>
            <w:color w:val="0000FF"/>
          </w:rPr>
          <w:t>Note 3</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in Item 1 of Part I of this Quarterly Report on Form 10-Q.</w:t>
      </w:r>
    </w:p>
    <w:p>
      <w:pPr>
        <w:spacing w:after="0" w:line="19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77" w:lineRule="exact"/>
        <w:rPr>
          <w:sz w:val="20"/>
          <w:szCs w:val="20"/>
          <w:color w:val="auto"/>
        </w:rPr>
      </w:pPr>
    </w:p>
    <w:p>
      <w:pPr>
        <w:spacing w:after="0"/>
        <w:rPr>
          <w:sz w:val="20"/>
          <w:szCs w:val="20"/>
          <w:color w:val="auto"/>
        </w:rPr>
      </w:pPr>
      <w:r>
        <w:rPr>
          <w:rFonts w:ascii="Arial" w:cs="Arial" w:eastAsia="Arial" w:hAnsi="Arial"/>
          <w:sz w:val="16"/>
          <w:szCs w:val="16"/>
          <w:color w:val="auto"/>
        </w:rPr>
        <w:t>There are no material changes to the risk factors previously disclosed in Item 1A of Part I in our 2020 Annual Report on Form 10-K.</w:t>
      </w:r>
    </w:p>
    <w:p>
      <w:pPr>
        <w:spacing w:after="0" w:line="22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6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contains monthly information about our acquisitions of equity securities for the three months ended March 31, 2021: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70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940" w:type="dxa"/>
            <w:vAlign w:val="bottom"/>
          </w:tcPr>
          <w:p>
            <w:pPr>
              <w:jc w:val="center"/>
              <w:spacing w:after="0"/>
              <w:rPr>
                <w:sz w:val="20"/>
                <w:szCs w:val="20"/>
                <w:color w:val="auto"/>
              </w:rPr>
            </w:pPr>
            <w:r>
              <w:rPr>
                <w:rFonts w:ascii="Arial" w:cs="Arial" w:eastAsia="Arial" w:hAnsi="Arial"/>
                <w:sz w:val="16"/>
                <w:szCs w:val="16"/>
                <w:color w:val="auto"/>
              </w:rPr>
              <w:t>Maximum Number (or</w:t>
            </w:r>
          </w:p>
        </w:tc>
      </w:tr>
      <w:tr>
        <w:trPr>
          <w:trHeight w:val="162"/>
        </w:trPr>
        <w:tc>
          <w:tcPr>
            <w:tcW w:w="37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940" w:type="dxa"/>
            <w:vAlign w:val="bottom"/>
          </w:tcPr>
          <w:p>
            <w:pPr>
              <w:jc w:val="center"/>
              <w:spacing w:after="0" w:line="162" w:lineRule="exact"/>
              <w:rPr>
                <w:sz w:val="20"/>
                <w:szCs w:val="20"/>
                <w:color w:val="auto"/>
              </w:rPr>
            </w:pPr>
            <w:r>
              <w:rPr>
                <w:rFonts w:ascii="Arial" w:cs="Arial" w:eastAsia="Arial" w:hAnsi="Arial"/>
                <w:sz w:val="16"/>
                <w:szCs w:val="16"/>
                <w:color w:val="auto"/>
              </w:rPr>
              <w:t>Total Number of Shares</w:t>
            </w:r>
          </w:p>
        </w:tc>
        <w:tc>
          <w:tcPr>
            <w:tcW w:w="1940" w:type="dxa"/>
            <w:vAlign w:val="bottom"/>
          </w:tcPr>
          <w:p>
            <w:pPr>
              <w:jc w:val="center"/>
              <w:spacing w:after="0" w:line="162" w:lineRule="exact"/>
              <w:rPr>
                <w:sz w:val="20"/>
                <w:szCs w:val="20"/>
                <w:color w:val="auto"/>
              </w:rPr>
            </w:pPr>
            <w:r>
              <w:rPr>
                <w:rFonts w:ascii="Arial" w:cs="Arial" w:eastAsia="Arial" w:hAnsi="Arial"/>
                <w:sz w:val="16"/>
                <w:szCs w:val="16"/>
                <w:color w:val="auto"/>
              </w:rPr>
              <w:t>Approximate Dollar Value)</w:t>
            </w:r>
          </w:p>
        </w:tc>
      </w:tr>
      <w:tr>
        <w:trPr>
          <w:trHeight w:val="162"/>
        </w:trPr>
        <w:tc>
          <w:tcPr>
            <w:tcW w:w="37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940" w:type="dxa"/>
            <w:vAlign w:val="bottom"/>
          </w:tcPr>
          <w:p>
            <w:pPr>
              <w:jc w:val="center"/>
              <w:spacing w:after="0" w:line="162" w:lineRule="exact"/>
              <w:rPr>
                <w:sz w:val="20"/>
                <w:szCs w:val="20"/>
                <w:color w:val="auto"/>
              </w:rPr>
            </w:pPr>
            <w:r>
              <w:rPr>
                <w:rFonts w:ascii="Arial" w:cs="Arial" w:eastAsia="Arial" w:hAnsi="Arial"/>
                <w:sz w:val="16"/>
                <w:szCs w:val="16"/>
                <w:color w:val="auto"/>
              </w:rPr>
              <w:t>Purchased as Part of</w:t>
            </w:r>
          </w:p>
        </w:tc>
        <w:tc>
          <w:tcPr>
            <w:tcW w:w="1940" w:type="dxa"/>
            <w:vAlign w:val="bottom"/>
          </w:tcPr>
          <w:p>
            <w:pPr>
              <w:jc w:val="center"/>
              <w:spacing w:after="0" w:line="162" w:lineRule="exact"/>
              <w:rPr>
                <w:sz w:val="20"/>
                <w:szCs w:val="20"/>
                <w:color w:val="auto"/>
              </w:rPr>
            </w:pPr>
            <w:r>
              <w:rPr>
                <w:rFonts w:ascii="Arial" w:cs="Arial" w:eastAsia="Arial" w:hAnsi="Arial"/>
                <w:sz w:val="16"/>
                <w:szCs w:val="16"/>
                <w:color w:val="auto"/>
                <w:w w:val="99"/>
              </w:rPr>
              <w:t>of Shares That May Yet</w:t>
            </w:r>
          </w:p>
        </w:tc>
      </w:tr>
      <w:tr>
        <w:trPr>
          <w:trHeight w:val="159"/>
        </w:trPr>
        <w:tc>
          <w:tcPr>
            <w:tcW w:w="3700" w:type="dxa"/>
            <w:vAlign w:val="bottom"/>
          </w:tcPr>
          <w:p>
            <w:pPr>
              <w:spacing w:after="0"/>
              <w:rPr>
                <w:sz w:val="13"/>
                <w:szCs w:val="13"/>
                <w:color w:val="auto"/>
              </w:rPr>
            </w:pPr>
          </w:p>
        </w:tc>
        <w:tc>
          <w:tcPr>
            <w:tcW w:w="2020" w:type="dxa"/>
            <w:vAlign w:val="bottom"/>
          </w:tcPr>
          <w:p>
            <w:pPr>
              <w:jc w:val="right"/>
              <w:ind w:right="79"/>
              <w:spacing w:after="0" w:line="159" w:lineRule="exact"/>
              <w:rPr>
                <w:sz w:val="20"/>
                <w:szCs w:val="20"/>
                <w:color w:val="auto"/>
              </w:rPr>
            </w:pPr>
            <w:r>
              <w:rPr>
                <w:rFonts w:ascii="Arial" w:cs="Arial" w:eastAsia="Arial" w:hAnsi="Arial"/>
                <w:sz w:val="16"/>
                <w:szCs w:val="16"/>
                <w:color w:val="auto"/>
              </w:rPr>
              <w:t>Total Number of Shares</w:t>
            </w:r>
          </w:p>
        </w:tc>
        <w:tc>
          <w:tcPr>
            <w:tcW w:w="120" w:type="dxa"/>
            <w:vAlign w:val="bottom"/>
          </w:tcPr>
          <w:p>
            <w:pPr>
              <w:spacing w:after="0"/>
              <w:rPr>
                <w:sz w:val="13"/>
                <w:szCs w:val="13"/>
                <w:color w:val="auto"/>
              </w:rPr>
            </w:pPr>
          </w:p>
        </w:tc>
        <w:tc>
          <w:tcPr>
            <w:tcW w:w="1520" w:type="dxa"/>
            <w:vAlign w:val="bottom"/>
          </w:tcPr>
          <w:p>
            <w:pPr>
              <w:jc w:val="right"/>
              <w:ind w:right="39"/>
              <w:spacing w:after="0" w:line="159" w:lineRule="exact"/>
              <w:rPr>
                <w:sz w:val="20"/>
                <w:szCs w:val="20"/>
                <w:color w:val="auto"/>
              </w:rPr>
            </w:pPr>
            <w:r>
              <w:rPr>
                <w:rFonts w:ascii="Arial" w:cs="Arial" w:eastAsia="Arial" w:hAnsi="Arial"/>
                <w:sz w:val="16"/>
                <w:szCs w:val="16"/>
                <w:color w:val="auto"/>
              </w:rPr>
              <w:t>Average Price Paid</w:t>
            </w:r>
          </w:p>
        </w:tc>
        <w:tc>
          <w:tcPr>
            <w:tcW w:w="1940" w:type="dxa"/>
            <w:vAlign w:val="bottom"/>
          </w:tcPr>
          <w:p>
            <w:pPr>
              <w:jc w:val="center"/>
              <w:spacing w:after="0" w:line="159" w:lineRule="exact"/>
              <w:rPr>
                <w:sz w:val="20"/>
                <w:szCs w:val="20"/>
                <w:color w:val="auto"/>
              </w:rPr>
            </w:pPr>
            <w:r>
              <w:rPr>
                <w:rFonts w:ascii="Arial" w:cs="Arial" w:eastAsia="Arial" w:hAnsi="Arial"/>
                <w:sz w:val="16"/>
                <w:szCs w:val="16"/>
                <w:color w:val="auto"/>
              </w:rPr>
              <w:t>Publicly Announced Plans</w:t>
            </w:r>
          </w:p>
        </w:tc>
        <w:tc>
          <w:tcPr>
            <w:tcW w:w="1940" w:type="dxa"/>
            <w:vAlign w:val="bottom"/>
          </w:tcPr>
          <w:p>
            <w:pPr>
              <w:jc w:val="right"/>
              <w:spacing w:after="0" w:line="159" w:lineRule="exact"/>
              <w:rPr>
                <w:sz w:val="20"/>
                <w:szCs w:val="20"/>
                <w:color w:val="auto"/>
              </w:rPr>
            </w:pPr>
            <w:r>
              <w:rPr>
                <w:rFonts w:ascii="Arial" w:cs="Arial" w:eastAsia="Arial" w:hAnsi="Arial"/>
                <w:sz w:val="16"/>
                <w:szCs w:val="16"/>
                <w:color w:val="auto"/>
              </w:rPr>
              <w:t>Be Purchased Under the</w:t>
            </w:r>
          </w:p>
        </w:tc>
      </w:tr>
      <w:tr>
        <w:trPr>
          <w:trHeight w:val="203"/>
        </w:trPr>
        <w:tc>
          <w:tcPr>
            <w:tcW w:w="37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Period</w:t>
            </w:r>
          </w:p>
        </w:tc>
        <w:tc>
          <w:tcPr>
            <w:tcW w:w="2020" w:type="dxa"/>
            <w:vAlign w:val="bottom"/>
            <w:tcBorders>
              <w:bottom w:val="single" w:sz="8" w:color="auto"/>
            </w:tcBorders>
          </w:tcPr>
          <w:p>
            <w:pPr>
              <w:jc w:val="right"/>
              <w:ind w:right="459"/>
              <w:spacing w:after="0" w:line="204" w:lineRule="exact"/>
              <w:rPr>
                <w:sz w:val="20"/>
                <w:szCs w:val="20"/>
                <w:color w:val="auto"/>
              </w:rPr>
            </w:pPr>
            <w:r>
              <w:rPr>
                <w:rFonts w:ascii="Arial" w:cs="Arial" w:eastAsia="Arial" w:hAnsi="Arial"/>
                <w:sz w:val="16"/>
                <w:szCs w:val="16"/>
                <w:color w:val="auto"/>
              </w:rPr>
              <w:t xml:space="preserve">Purchased </w:t>
            </w:r>
            <w:r>
              <w:rPr>
                <w:rFonts w:ascii="Arial" w:cs="Arial" w:eastAsia="Arial" w:hAnsi="Arial"/>
                <w:sz w:val="21"/>
                <w:szCs w:val="21"/>
                <w:color w:val="auto"/>
                <w:vertAlign w:val="superscript"/>
              </w:rPr>
              <w:t>(a)</w:t>
            </w:r>
          </w:p>
        </w:tc>
        <w:tc>
          <w:tcPr>
            <w:tcW w:w="12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per Share</w:t>
            </w: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or Programs</w:t>
            </w: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Plans or Programs</w:t>
            </w:r>
          </w:p>
        </w:tc>
      </w:tr>
      <w:tr>
        <w:trPr>
          <w:trHeight w:val="209"/>
        </w:trPr>
        <w:tc>
          <w:tcPr>
            <w:tcW w:w="3700" w:type="dxa"/>
            <w:vAlign w:val="bottom"/>
            <w:shd w:val="clear" w:color="auto" w:fill="CEFFE7"/>
          </w:tcPr>
          <w:p>
            <w:pPr>
              <w:ind w:left="20"/>
              <w:spacing w:after="0"/>
              <w:rPr>
                <w:sz w:val="20"/>
                <w:szCs w:val="20"/>
                <w:color w:val="auto"/>
              </w:rPr>
            </w:pPr>
            <w:r>
              <w:rPr>
                <w:rFonts w:ascii="Arial" w:cs="Arial" w:eastAsia="Arial" w:hAnsi="Arial"/>
                <w:sz w:val="16"/>
                <w:szCs w:val="16"/>
                <w:color w:val="auto"/>
              </w:rPr>
              <w:t>January 1, 2021 - January 31, 2021</w:t>
            </w:r>
          </w:p>
        </w:tc>
        <w:tc>
          <w:tcPr>
            <w:tcW w:w="20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116.0</w:t>
            </w:r>
          </w:p>
        </w:tc>
        <w:tc>
          <w:tcPr>
            <w:tcW w:w="120" w:type="dxa"/>
            <w:vAlign w:val="bottom"/>
            <w:shd w:val="clear" w:color="auto" w:fill="CEFFE7"/>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60.06</w:t>
            </w:r>
          </w:p>
        </w:tc>
        <w:tc>
          <w:tcPr>
            <w:tcW w:w="1940" w:type="dxa"/>
            <w:vAlign w:val="bottom"/>
            <w:shd w:val="clear" w:color="auto" w:fill="CEFFE7"/>
          </w:tcPr>
          <w:p>
            <w:pPr>
              <w:ind w:left="1720"/>
              <w:spacing w:after="0"/>
              <w:rPr>
                <w:sz w:val="20"/>
                <w:szCs w:val="20"/>
                <w:color w:val="auto"/>
              </w:rPr>
            </w:pPr>
            <w:r>
              <w:rPr>
                <w:rFonts w:ascii="Arial" w:cs="Arial" w:eastAsia="Arial" w:hAnsi="Arial"/>
                <w:sz w:val="16"/>
                <w:szCs w:val="16"/>
                <w:color w:val="auto"/>
              </w:rPr>
              <w:t>—</w:t>
            </w:r>
          </w:p>
        </w:tc>
        <w:tc>
          <w:tcPr>
            <w:tcW w:w="19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3700" w:type="dxa"/>
            <w:vAlign w:val="bottom"/>
          </w:tcPr>
          <w:p>
            <w:pPr>
              <w:ind w:left="20"/>
              <w:spacing w:after="0"/>
              <w:rPr>
                <w:sz w:val="20"/>
                <w:szCs w:val="20"/>
                <w:color w:val="auto"/>
              </w:rPr>
            </w:pPr>
            <w:r>
              <w:rPr>
                <w:rFonts w:ascii="Arial" w:cs="Arial" w:eastAsia="Arial" w:hAnsi="Arial"/>
                <w:sz w:val="16"/>
                <w:szCs w:val="16"/>
                <w:color w:val="auto"/>
              </w:rPr>
              <w:t>February 1, 2021 - February 28, 2021</w:t>
            </w:r>
          </w:p>
        </w:tc>
        <w:tc>
          <w:tcPr>
            <w:tcW w:w="2020" w:type="dxa"/>
            <w:vAlign w:val="bottom"/>
          </w:tcPr>
          <w:p>
            <w:pPr>
              <w:jc w:val="right"/>
              <w:spacing w:after="0"/>
              <w:rPr>
                <w:sz w:val="20"/>
                <w:szCs w:val="20"/>
                <w:color w:val="auto"/>
              </w:rPr>
            </w:pPr>
            <w:r>
              <w:rPr>
                <w:rFonts w:ascii="Arial" w:cs="Arial" w:eastAsia="Arial" w:hAnsi="Arial"/>
                <w:sz w:val="16"/>
                <w:szCs w:val="16"/>
                <w:color w:val="auto"/>
              </w:rPr>
              <w:t>11,696.0</w:t>
            </w: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61.92</w:t>
            </w:r>
          </w:p>
        </w:tc>
        <w:tc>
          <w:tcPr>
            <w:tcW w:w="1940" w:type="dxa"/>
            <w:vAlign w:val="bottom"/>
          </w:tcPr>
          <w:p>
            <w:pPr>
              <w:ind w:left="1720"/>
              <w:spacing w:after="0"/>
              <w:rPr>
                <w:sz w:val="20"/>
                <w:szCs w:val="20"/>
                <w:color w:val="auto"/>
              </w:rPr>
            </w:pPr>
            <w:r>
              <w:rPr>
                <w:rFonts w:ascii="Arial" w:cs="Arial" w:eastAsia="Arial" w:hAnsi="Arial"/>
                <w:sz w:val="16"/>
                <w:szCs w:val="16"/>
                <w:color w:val="auto"/>
              </w:rPr>
              <w:t>—</w:t>
            </w:r>
          </w:p>
        </w:tc>
        <w:tc>
          <w:tcPr>
            <w:tcW w:w="19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3700" w:type="dxa"/>
            <w:vAlign w:val="bottom"/>
            <w:shd w:val="clear" w:color="auto" w:fill="CEFFE7"/>
          </w:tcPr>
          <w:p>
            <w:pPr>
              <w:ind w:left="20"/>
              <w:spacing w:after="0"/>
              <w:rPr>
                <w:sz w:val="20"/>
                <w:szCs w:val="20"/>
                <w:color w:val="auto"/>
              </w:rPr>
            </w:pPr>
            <w:r>
              <w:rPr>
                <w:rFonts w:ascii="Arial" w:cs="Arial" w:eastAsia="Arial" w:hAnsi="Arial"/>
                <w:sz w:val="16"/>
                <w:szCs w:val="16"/>
                <w:color w:val="auto"/>
              </w:rPr>
              <w:t>March 1, 2021 - March 31, 2021</w:t>
            </w:r>
          </w:p>
        </w:tc>
        <w:tc>
          <w:tcPr>
            <w:tcW w:w="20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auto"/>
            </w:tcBorders>
            <w:shd w:val="clear" w:color="auto" w:fill="CEFFE7"/>
          </w:tcPr>
          <w:p>
            <w:pPr>
              <w:spacing w:after="0"/>
              <w:rPr>
                <w:sz w:val="18"/>
                <w:szCs w:val="18"/>
                <w:color w:val="auto"/>
              </w:rPr>
            </w:pPr>
          </w:p>
        </w:tc>
        <w:tc>
          <w:tcPr>
            <w:tcW w:w="15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59.86</w:t>
            </w:r>
          </w:p>
        </w:tc>
        <w:tc>
          <w:tcPr>
            <w:tcW w:w="1940" w:type="dxa"/>
            <w:vAlign w:val="bottom"/>
            <w:tcBorders>
              <w:bottom w:val="single" w:sz="8" w:color="auto"/>
            </w:tcBorders>
            <w:shd w:val="clear" w:color="auto" w:fill="CEFFE7"/>
          </w:tcPr>
          <w:p>
            <w:pPr>
              <w:ind w:left="1720"/>
              <w:spacing w:after="0"/>
              <w:rPr>
                <w:sz w:val="20"/>
                <w:szCs w:val="20"/>
                <w:color w:val="auto"/>
              </w:rPr>
            </w:pPr>
            <w:r>
              <w:rPr>
                <w:rFonts w:ascii="Arial" w:cs="Arial" w:eastAsia="Arial" w:hAnsi="Arial"/>
                <w:sz w:val="16"/>
                <w:szCs w:val="16"/>
                <w:color w:val="auto"/>
              </w:rPr>
              <w:t>—</w:t>
            </w:r>
          </w:p>
        </w:tc>
        <w:tc>
          <w:tcPr>
            <w:tcW w:w="19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r>
      <w:tr>
        <w:trPr>
          <w:trHeight w:val="212"/>
        </w:trPr>
        <w:tc>
          <w:tcPr>
            <w:tcW w:w="3700" w:type="dxa"/>
            <w:vAlign w:val="bottom"/>
          </w:tcPr>
          <w:p>
            <w:pPr>
              <w:ind w:left="1680"/>
              <w:spacing w:after="0"/>
              <w:rPr>
                <w:sz w:val="20"/>
                <w:szCs w:val="20"/>
                <w:color w:val="auto"/>
              </w:rPr>
            </w:pPr>
            <w:r>
              <w:rPr>
                <w:rFonts w:ascii="Arial" w:cs="Arial" w:eastAsia="Arial" w:hAnsi="Arial"/>
                <w:sz w:val="16"/>
                <w:szCs w:val="16"/>
                <w:color w:val="auto"/>
              </w:rPr>
              <w:t>Total</w:t>
            </w: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11,813</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61.90</w:t>
            </w:r>
          </w:p>
        </w:tc>
        <w:tc>
          <w:tcPr>
            <w:tcW w:w="1940" w:type="dxa"/>
            <w:vAlign w:val="bottom"/>
            <w:tcBorders>
              <w:bottom w:val="single" w:sz="8" w:color="auto"/>
            </w:tcBorders>
          </w:tcPr>
          <w:p>
            <w:pPr>
              <w:ind w:left="1720"/>
              <w:spacing w:after="0"/>
              <w:rPr>
                <w:sz w:val="20"/>
                <w:szCs w:val="20"/>
                <w:color w:val="auto"/>
              </w:rPr>
            </w:pPr>
            <w:r>
              <w:rPr>
                <w:rFonts w:ascii="Arial" w:cs="Arial" w:eastAsia="Arial" w:hAnsi="Arial"/>
                <w:sz w:val="16"/>
                <w:szCs w:val="16"/>
                <w:color w:val="auto"/>
              </w:rPr>
              <w:t>—</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
        </w:trPr>
        <w:tc>
          <w:tcPr>
            <w:tcW w:w="3700" w:type="dxa"/>
            <w:vAlign w:val="bottom"/>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bl>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auto"/>
        </w:rPr>
        <w:t>_____________</w:t>
      </w:r>
    </w:p>
    <w:p>
      <w:pPr>
        <w:spacing w:after="0" w:line="1" w:lineRule="exact"/>
        <w:rPr>
          <w:sz w:val="20"/>
          <w:szCs w:val="20"/>
          <w:color w:val="auto"/>
        </w:rPr>
      </w:pPr>
    </w:p>
    <w:p>
      <w:pPr>
        <w:ind w:left="340" w:right="860" w:hanging="332"/>
        <w:spacing w:after="0" w:line="258" w:lineRule="auto"/>
        <w:tabs>
          <w:tab w:leader="none" w:pos="352" w:val="left"/>
        </w:tabs>
        <w:numPr>
          <w:ilvl w:val="0"/>
          <w:numId w:val="39"/>
        </w:numPr>
        <w:rPr>
          <w:rFonts w:ascii="Arial" w:cs="Arial" w:eastAsia="Arial" w:hAnsi="Arial"/>
          <w:sz w:val="14"/>
          <w:szCs w:val="14"/>
          <w:color w:val="auto"/>
        </w:rPr>
      </w:pPr>
      <w:r>
        <w:rPr>
          <w:rFonts w:ascii="Arial" w:cs="Arial" w:eastAsia="Arial" w:hAnsi="Arial"/>
          <w:sz w:val="14"/>
          <w:szCs w:val="14"/>
          <w:color w:val="auto"/>
        </w:rPr>
        <w:t>Shares were acquired under the share withholding provisions of the Omnibus Incentive Plan for payment of taxes associated with the vesting of various equity compensation plans.</w:t>
      </w:r>
    </w:p>
    <w:p>
      <w:pPr>
        <w:spacing w:after="0" w:line="200" w:lineRule="exact"/>
        <w:rPr>
          <w:sz w:val="20"/>
          <w:szCs w:val="20"/>
          <w:color w:val="auto"/>
        </w:rPr>
      </w:pPr>
    </w:p>
    <w:p>
      <w:pPr>
        <w:spacing w:after="0" w:line="23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77" w:lineRule="exact"/>
        <w:rPr>
          <w:sz w:val="20"/>
          <w:szCs w:val="20"/>
          <w:color w:val="auto"/>
        </w:rPr>
      </w:pPr>
    </w:p>
    <w:p>
      <w:pPr>
        <w:ind w:right="40"/>
        <w:spacing w:after="0" w:line="260" w:lineRule="auto"/>
        <w:rPr>
          <w:rFonts w:ascii="Arial" w:cs="Arial" w:eastAsia="Arial" w:hAnsi="Arial"/>
          <w:sz w:val="16"/>
          <w:szCs w:val="16"/>
          <w:color w:val="auto"/>
        </w:rPr>
      </w:pPr>
      <w:r>
        <w:rPr>
          <w:rFonts w:ascii="Arial" w:cs="Arial" w:eastAsia="Arial" w:hAnsi="Arial"/>
          <w:sz w:val="16"/>
          <w:szCs w:val="16"/>
          <w:color w:val="auto"/>
        </w:rPr>
        <w:t xml:space="preserve">Information concerning mine safety violations or other regulatory matters required by Sections 1503(a) of the Dodd-Frank Wall Street Reform and Consumer Protection Act is included in </w:t>
      </w:r>
      <w:hyperlink w:anchor="page53">
        <w:r>
          <w:rPr>
            <w:rFonts w:ascii="Arial" w:cs="Arial" w:eastAsia="Arial" w:hAnsi="Arial"/>
            <w:sz w:val="16"/>
            <w:szCs w:val="16"/>
            <w:u w:val="single" w:color="auto"/>
            <w:color w:val="0000FF"/>
          </w:rPr>
          <w:t>Exhibit 95</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of this Quarterly Report on Form 10-Q.</w:t>
      </w:r>
    </w:p>
    <w:p>
      <w:pPr>
        <w:spacing w:after="0" w:line="19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color w:val="auto"/>
        </w:rPr>
        <w:t>EXHIBITS</w:t>
      </w:r>
    </w:p>
    <w:p>
      <w:pPr>
        <w:spacing w:after="0" w:line="277" w:lineRule="exact"/>
        <w:rPr>
          <w:sz w:val="20"/>
          <w:szCs w:val="20"/>
          <w:color w:val="auto"/>
        </w:rPr>
      </w:pPr>
    </w:p>
    <w:p>
      <w:pPr>
        <w:spacing w:after="0"/>
        <w:rPr>
          <w:sz w:val="20"/>
          <w:szCs w:val="20"/>
          <w:color w:val="auto"/>
        </w:rPr>
      </w:pPr>
      <w:r>
        <w:rPr>
          <w:rFonts w:ascii="Arial" w:cs="Arial" w:eastAsia="Arial" w:hAnsi="Arial"/>
          <w:sz w:val="16"/>
          <w:szCs w:val="16"/>
          <w:color w:val="auto"/>
        </w:rPr>
        <w:t>Exhibits filed herewithin are designated by an asterisk (*). All exhibits not so designated are incorporated by reference to a prior filing, as indicated.</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134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Exhibit Number</w:t>
            </w:r>
          </w:p>
        </w:tc>
        <w:tc>
          <w:tcPr>
            <w:tcW w:w="4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580" w:type="dxa"/>
            <w:vAlign w:val="bottom"/>
            <w:tcBorders>
              <w:bottom w:val="single" w:sz="8" w:color="auto"/>
            </w:tcBorders>
            <w:gridSpan w:val="8"/>
          </w:tcPr>
          <w:p>
            <w:pPr>
              <w:ind w:left="3180"/>
              <w:spacing w:after="0"/>
              <w:rPr>
                <w:sz w:val="20"/>
                <w:szCs w:val="20"/>
                <w:color w:val="auto"/>
              </w:rPr>
            </w:pPr>
            <w:r>
              <w:rPr>
                <w:rFonts w:ascii="Arial" w:cs="Arial" w:eastAsia="Arial" w:hAnsi="Arial"/>
                <w:sz w:val="16"/>
                <w:szCs w:val="16"/>
                <w:b w:val="1"/>
                <w:bCs w:val="1"/>
                <w:color w:val="auto"/>
              </w:rPr>
              <w:t>Description</w:t>
            </w:r>
          </w:p>
        </w:tc>
      </w:tr>
      <w:tr>
        <w:trPr>
          <w:trHeight w:val="145"/>
        </w:trPr>
        <w:tc>
          <w:tcPr>
            <w:tcW w:w="1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76"/>
        </w:trPr>
        <w:tc>
          <w:tcPr>
            <w:tcW w:w="1340" w:type="dxa"/>
            <w:vAlign w:val="bottom"/>
            <w:shd w:val="clear" w:color="auto" w:fill="CEFFE7"/>
          </w:tcPr>
          <w:p>
            <w:pPr>
              <w:ind w:left="20"/>
              <w:spacing w:after="0" w:line="175" w:lineRule="exact"/>
              <w:rPr>
                <w:sz w:val="20"/>
                <w:szCs w:val="20"/>
                <w:color w:val="auto"/>
              </w:rPr>
            </w:pPr>
            <w:r>
              <w:rPr>
                <w:rFonts w:ascii="Arial" w:cs="Arial" w:eastAsia="Arial" w:hAnsi="Arial"/>
                <w:sz w:val="16"/>
                <w:szCs w:val="16"/>
                <w:color w:val="auto"/>
              </w:rPr>
              <w:t>3.1</w:t>
            </w:r>
          </w:p>
        </w:tc>
        <w:tc>
          <w:tcPr>
            <w:tcW w:w="9900" w:type="dxa"/>
            <w:vAlign w:val="bottom"/>
            <w:gridSpan w:val="11"/>
            <w:shd w:val="clear" w:color="auto" w:fill="CEFFE7"/>
          </w:tcPr>
          <w:p>
            <w:pPr>
              <w:spacing w:after="0" w:line="175" w:lineRule="exact"/>
              <w:rPr>
                <w:rFonts w:ascii="Arial" w:cs="Arial" w:eastAsia="Arial" w:hAnsi="Arial"/>
                <w:sz w:val="16"/>
                <w:szCs w:val="16"/>
                <w:color w:val="0000FF"/>
              </w:rPr>
            </w:pPr>
            <w:hyperlink r:id="rId92">
              <w:r>
                <w:rPr>
                  <w:rFonts w:ascii="Arial" w:cs="Arial" w:eastAsia="Arial" w:hAnsi="Arial"/>
                  <w:sz w:val="16"/>
                  <w:szCs w:val="16"/>
                  <w:color w:val="0000FF"/>
                </w:rPr>
                <w:t>Restated Articles of Incorporation of the Registrant dated January 30, 2018 (filed as Exhibit 3 to the Registrant’s Form 8-K filed on</w:t>
              </w:r>
            </w:hyperlink>
          </w:p>
        </w:tc>
      </w:tr>
      <w:tr>
        <w:trPr>
          <w:trHeight w:val="142"/>
        </w:trPr>
        <w:tc>
          <w:tcPr>
            <w:tcW w:w="1340" w:type="dxa"/>
            <w:vAlign w:val="bottom"/>
            <w:tcBorders>
              <w:top w:val="single" w:sz="8" w:color="CEFFE7"/>
            </w:tcBorders>
            <w:shd w:val="clear" w:color="auto" w:fill="CEFFE7"/>
          </w:tcPr>
          <w:p>
            <w:pPr>
              <w:spacing w:after="0"/>
              <w:rPr>
                <w:sz w:val="12"/>
                <w:szCs w:val="12"/>
                <w:color w:val="auto"/>
              </w:rPr>
            </w:pPr>
          </w:p>
        </w:tc>
        <w:tc>
          <w:tcPr>
            <w:tcW w:w="9280" w:type="dxa"/>
            <w:vAlign w:val="bottom"/>
            <w:tcBorders>
              <w:top w:val="single" w:sz="8" w:color="0000FF"/>
            </w:tcBorders>
            <w:gridSpan w:val="6"/>
            <w:shd w:val="clear" w:color="auto" w:fill="CEFFE7"/>
          </w:tcPr>
          <w:p>
            <w:pPr>
              <w:spacing w:after="0" w:line="142" w:lineRule="exact"/>
              <w:rPr>
                <w:rFonts w:ascii="Arial" w:cs="Arial" w:eastAsia="Arial" w:hAnsi="Arial"/>
                <w:sz w:val="16"/>
                <w:szCs w:val="16"/>
                <w:color w:val="0000FF"/>
              </w:rPr>
            </w:pPr>
            <w:hyperlink r:id="rId92">
              <w:r>
                <w:rPr>
                  <w:rFonts w:ascii="Arial" w:cs="Arial" w:eastAsia="Arial" w:hAnsi="Arial"/>
                  <w:sz w:val="16"/>
                  <w:szCs w:val="16"/>
                  <w:color w:val="0000FF"/>
                </w:rPr>
                <w:t>February 5, 2018).</w:t>
              </w:r>
            </w:hyperlink>
          </w:p>
        </w:tc>
        <w:tc>
          <w:tcPr>
            <w:tcW w:w="20" w:type="dxa"/>
            <w:vAlign w:val="bottom"/>
            <w:tcBorders>
              <w:top w:val="single" w:sz="8" w:color="CEFFE7"/>
            </w:tcBorders>
            <w:shd w:val="clear" w:color="auto" w:fill="CEFFE7"/>
          </w:tcPr>
          <w:p>
            <w:pPr>
              <w:spacing w:after="0"/>
              <w:rPr>
                <w:sz w:val="12"/>
                <w:szCs w:val="12"/>
                <w:color w:val="auto"/>
              </w:rPr>
            </w:pPr>
          </w:p>
        </w:tc>
        <w:tc>
          <w:tcPr>
            <w:tcW w:w="240" w:type="dxa"/>
            <w:vAlign w:val="bottom"/>
            <w:tcBorders>
              <w:top w:val="single" w:sz="8" w:color="CEFFE7"/>
            </w:tcBorders>
            <w:shd w:val="clear" w:color="auto" w:fill="CEFFE7"/>
          </w:tcPr>
          <w:p>
            <w:pPr>
              <w:spacing w:after="0"/>
              <w:rPr>
                <w:sz w:val="12"/>
                <w:szCs w:val="12"/>
                <w:color w:val="auto"/>
              </w:rPr>
            </w:pPr>
          </w:p>
        </w:tc>
        <w:tc>
          <w:tcPr>
            <w:tcW w:w="140" w:type="dxa"/>
            <w:vAlign w:val="bottom"/>
            <w:tcBorders>
              <w:top w:val="single" w:sz="8" w:color="CEFFE7"/>
            </w:tcBorders>
            <w:shd w:val="clear" w:color="auto" w:fill="CEFFE7"/>
          </w:tcPr>
          <w:p>
            <w:pPr>
              <w:spacing w:after="0"/>
              <w:rPr>
                <w:sz w:val="12"/>
                <w:szCs w:val="12"/>
                <w:color w:val="auto"/>
              </w:rPr>
            </w:pPr>
          </w:p>
        </w:tc>
        <w:tc>
          <w:tcPr>
            <w:tcW w:w="20" w:type="dxa"/>
            <w:vAlign w:val="bottom"/>
            <w:tcBorders>
              <w:top w:val="single" w:sz="8" w:color="CEFFE7"/>
            </w:tcBorders>
            <w:shd w:val="clear" w:color="auto" w:fill="CEFFE7"/>
          </w:tcPr>
          <w:p>
            <w:pPr>
              <w:spacing w:after="0"/>
              <w:rPr>
                <w:sz w:val="12"/>
                <w:szCs w:val="12"/>
                <w:color w:val="auto"/>
              </w:rPr>
            </w:pPr>
          </w:p>
        </w:tc>
        <w:tc>
          <w:tcPr>
            <w:tcW w:w="200" w:type="dxa"/>
            <w:vAlign w:val="bottom"/>
            <w:tcBorders>
              <w:top w:val="single" w:sz="8" w:color="CEFFE7"/>
            </w:tcBorders>
            <w:shd w:val="clear" w:color="auto" w:fill="CEFFE7"/>
          </w:tcPr>
          <w:p>
            <w:pPr>
              <w:spacing w:after="0"/>
              <w:rPr>
                <w:sz w:val="12"/>
                <w:szCs w:val="12"/>
                <w:color w:val="auto"/>
              </w:rPr>
            </w:pPr>
          </w:p>
        </w:tc>
      </w:tr>
      <w:tr>
        <w:trPr>
          <w:trHeight w:val="21"/>
        </w:trPr>
        <w:tc>
          <w:tcPr>
            <w:tcW w:w="1340" w:type="dxa"/>
            <w:vAlign w:val="bottom"/>
            <w:tcBorders>
              <w:top w:val="single" w:sz="8" w:color="CEFFE7"/>
            </w:tcBorders>
            <w:shd w:val="clear" w:color="auto" w:fill="CEFFE7"/>
          </w:tcPr>
          <w:p>
            <w:pPr>
              <w:spacing w:after="0" w:line="20" w:lineRule="exact"/>
              <w:rPr>
                <w:sz w:val="1"/>
                <w:szCs w:val="1"/>
                <w:color w:val="auto"/>
              </w:rPr>
            </w:pPr>
          </w:p>
        </w:tc>
        <w:tc>
          <w:tcPr>
            <w:tcW w:w="460" w:type="dxa"/>
            <w:vAlign w:val="bottom"/>
            <w:tcBorders>
              <w:top w:val="single" w:sz="8" w:color="0000FF"/>
            </w:tcBorders>
            <w:shd w:val="clear" w:color="auto" w:fill="CEFFE7"/>
          </w:tcPr>
          <w:p>
            <w:pPr>
              <w:spacing w:after="0" w:line="20" w:lineRule="exact"/>
              <w:rPr>
                <w:sz w:val="1"/>
                <w:szCs w:val="1"/>
                <w:color w:val="auto"/>
              </w:rPr>
            </w:pPr>
          </w:p>
        </w:tc>
        <w:tc>
          <w:tcPr>
            <w:tcW w:w="660" w:type="dxa"/>
            <w:vAlign w:val="bottom"/>
            <w:tcBorders>
              <w:top w:val="single" w:sz="8" w:color="0000FF"/>
            </w:tcBorders>
            <w:shd w:val="clear" w:color="auto" w:fill="CEFFE7"/>
          </w:tcPr>
          <w:p>
            <w:pPr>
              <w:spacing w:after="0" w:line="20" w:lineRule="exact"/>
              <w:rPr>
                <w:sz w:val="1"/>
                <w:szCs w:val="1"/>
                <w:color w:val="auto"/>
              </w:rPr>
            </w:pPr>
          </w:p>
        </w:tc>
        <w:tc>
          <w:tcPr>
            <w:tcW w:w="200" w:type="dxa"/>
            <w:vAlign w:val="bottom"/>
            <w:tcBorders>
              <w:top w:val="single" w:sz="8" w:color="0000FF"/>
            </w:tcBorders>
            <w:shd w:val="clear" w:color="auto" w:fill="CEFFE7"/>
          </w:tcPr>
          <w:p>
            <w:pPr>
              <w:spacing w:after="0" w:line="20" w:lineRule="exact"/>
              <w:rPr>
                <w:sz w:val="1"/>
                <w:szCs w:val="1"/>
                <w:color w:val="auto"/>
              </w:rPr>
            </w:pPr>
          </w:p>
        </w:tc>
        <w:tc>
          <w:tcPr>
            <w:tcW w:w="7420" w:type="dxa"/>
            <w:vAlign w:val="bottom"/>
            <w:tcBorders>
              <w:top w:val="single" w:sz="8" w:color="CEFFE7"/>
            </w:tcBorders>
            <w:shd w:val="clear" w:color="auto" w:fill="CEFFE7"/>
          </w:tcPr>
          <w:p>
            <w:pPr>
              <w:spacing w:after="0" w:line="20" w:lineRule="exact"/>
              <w:rPr>
                <w:sz w:val="1"/>
                <w:szCs w:val="1"/>
                <w:color w:val="auto"/>
              </w:rPr>
            </w:pPr>
          </w:p>
        </w:tc>
        <w:tc>
          <w:tcPr>
            <w:tcW w:w="480" w:type="dxa"/>
            <w:vAlign w:val="bottom"/>
            <w:tcBorders>
              <w:top w:val="single" w:sz="8" w:color="CEFFE7"/>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240" w:type="dxa"/>
            <w:vAlign w:val="bottom"/>
            <w:tcBorders>
              <w:top w:val="single" w:sz="8" w:color="CEFFE7"/>
            </w:tcBorders>
            <w:shd w:val="clear" w:color="auto" w:fill="CEFFE7"/>
          </w:tcPr>
          <w:p>
            <w:pPr>
              <w:spacing w:after="0" w:line="20" w:lineRule="exact"/>
              <w:rPr>
                <w:sz w:val="1"/>
                <w:szCs w:val="1"/>
                <w:color w:val="auto"/>
              </w:rPr>
            </w:pPr>
          </w:p>
        </w:tc>
        <w:tc>
          <w:tcPr>
            <w:tcW w:w="14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200" w:type="dxa"/>
            <w:vAlign w:val="bottom"/>
            <w:tcBorders>
              <w:top w:val="single" w:sz="8" w:color="CEFFE7"/>
            </w:tcBorders>
            <w:shd w:val="clear" w:color="auto" w:fill="CEFFE7"/>
          </w:tcPr>
          <w:p>
            <w:pPr>
              <w:spacing w:after="0" w:line="20" w:lineRule="exact"/>
              <w:rPr>
                <w:sz w:val="1"/>
                <w:szCs w:val="1"/>
                <w:color w:val="auto"/>
              </w:rPr>
            </w:pPr>
          </w:p>
        </w:tc>
      </w:tr>
      <w:tr>
        <w:trPr>
          <w:trHeight w:val="175"/>
        </w:trPr>
        <w:tc>
          <w:tcPr>
            <w:tcW w:w="1340" w:type="dxa"/>
            <w:vAlign w:val="bottom"/>
          </w:tcPr>
          <w:p>
            <w:pPr>
              <w:ind w:left="20"/>
              <w:spacing w:after="0" w:line="175" w:lineRule="exact"/>
              <w:rPr>
                <w:sz w:val="20"/>
                <w:szCs w:val="20"/>
                <w:color w:val="auto"/>
              </w:rPr>
            </w:pPr>
            <w:r>
              <w:rPr>
                <w:rFonts w:ascii="Arial" w:cs="Arial" w:eastAsia="Arial" w:hAnsi="Arial"/>
                <w:sz w:val="16"/>
                <w:szCs w:val="16"/>
                <w:color w:val="auto"/>
              </w:rPr>
              <w:t>3.2</w:t>
            </w:r>
          </w:p>
        </w:tc>
        <w:tc>
          <w:tcPr>
            <w:tcW w:w="9900" w:type="dxa"/>
            <w:vAlign w:val="bottom"/>
            <w:gridSpan w:val="11"/>
          </w:tcPr>
          <w:p>
            <w:pPr>
              <w:spacing w:after="0" w:line="175" w:lineRule="exact"/>
              <w:rPr>
                <w:rFonts w:ascii="Arial" w:cs="Arial" w:eastAsia="Arial" w:hAnsi="Arial"/>
                <w:sz w:val="16"/>
                <w:szCs w:val="16"/>
                <w:color w:val="0000FF"/>
              </w:rPr>
            </w:pPr>
            <w:hyperlink r:id="rId93">
              <w:r>
                <w:rPr>
                  <w:rFonts w:ascii="Arial" w:cs="Arial" w:eastAsia="Arial" w:hAnsi="Arial"/>
                  <w:sz w:val="16"/>
                  <w:szCs w:val="16"/>
                  <w:color w:val="0000FF"/>
                </w:rPr>
                <w:t>Amended and Restated Bylaws of the Registrant dated April 24, 2017 (filed as Exhibit 3 to the Registrant’s Form 8-K filed on April 28,</w:t>
              </w:r>
            </w:hyperlink>
          </w:p>
        </w:tc>
      </w:tr>
      <w:tr>
        <w:trPr>
          <w:trHeight w:val="142"/>
        </w:trPr>
        <w:tc>
          <w:tcPr>
            <w:tcW w:w="1340" w:type="dxa"/>
            <w:vAlign w:val="bottom"/>
          </w:tcPr>
          <w:p>
            <w:pPr>
              <w:spacing w:after="0"/>
              <w:rPr>
                <w:sz w:val="12"/>
                <w:szCs w:val="12"/>
                <w:color w:val="auto"/>
              </w:rPr>
            </w:pPr>
          </w:p>
        </w:tc>
        <w:tc>
          <w:tcPr>
            <w:tcW w:w="460" w:type="dxa"/>
            <w:vAlign w:val="bottom"/>
            <w:tcBorders>
              <w:top w:val="single" w:sz="8" w:color="0000FF"/>
              <w:bottom w:val="single" w:sz="8" w:color="0000FF"/>
            </w:tcBorders>
          </w:tcPr>
          <w:p>
            <w:pPr>
              <w:spacing w:after="0" w:line="142" w:lineRule="exact"/>
              <w:rPr>
                <w:rFonts w:ascii="Arial" w:cs="Arial" w:eastAsia="Arial" w:hAnsi="Arial"/>
                <w:sz w:val="16"/>
                <w:szCs w:val="16"/>
                <w:color w:val="0000FF"/>
                <w:w w:val="96"/>
              </w:rPr>
            </w:pPr>
            <w:hyperlink r:id="rId93">
              <w:r>
                <w:rPr>
                  <w:rFonts w:ascii="Arial" w:cs="Arial" w:eastAsia="Arial" w:hAnsi="Arial"/>
                  <w:sz w:val="16"/>
                  <w:szCs w:val="16"/>
                  <w:color w:val="0000FF"/>
                  <w:w w:val="96"/>
                </w:rPr>
                <w:t>2017).</w:t>
              </w:r>
            </w:hyperlink>
          </w:p>
        </w:tc>
        <w:tc>
          <w:tcPr>
            <w:tcW w:w="660" w:type="dxa"/>
            <w:vAlign w:val="bottom"/>
            <w:tcBorders>
              <w:top w:val="single" w:sz="8" w:color="0000FF"/>
            </w:tcBorders>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7420" w:type="dxa"/>
            <w:vAlign w:val="bottom"/>
            <w:tcBorders>
              <w:top w:val="single" w:sz="8" w:color="0000FF"/>
            </w:tcBorders>
          </w:tcPr>
          <w:p>
            <w:pPr>
              <w:spacing w:after="0"/>
              <w:rPr>
                <w:sz w:val="12"/>
                <w:szCs w:val="12"/>
                <w:color w:val="auto"/>
              </w:rPr>
            </w:pPr>
          </w:p>
        </w:tc>
        <w:tc>
          <w:tcPr>
            <w:tcW w:w="48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40" w:type="dxa"/>
            <w:vAlign w:val="bottom"/>
            <w:tcBorders>
              <w:top w:val="single" w:sz="8" w:color="0000FF"/>
            </w:tcBorders>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21"/>
        </w:trPr>
        <w:tc>
          <w:tcPr>
            <w:tcW w:w="1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75"/>
        </w:trPr>
        <w:tc>
          <w:tcPr>
            <w:tcW w:w="1340" w:type="dxa"/>
            <w:vAlign w:val="bottom"/>
            <w:shd w:val="clear" w:color="auto" w:fill="CEFFE7"/>
          </w:tcPr>
          <w:p>
            <w:pPr>
              <w:ind w:left="20"/>
              <w:spacing w:after="0" w:line="175" w:lineRule="exact"/>
              <w:rPr>
                <w:sz w:val="20"/>
                <w:szCs w:val="20"/>
                <w:color w:val="auto"/>
              </w:rPr>
            </w:pPr>
            <w:r>
              <w:rPr>
                <w:rFonts w:ascii="Arial" w:cs="Arial" w:eastAsia="Arial" w:hAnsi="Arial"/>
                <w:sz w:val="16"/>
                <w:szCs w:val="16"/>
                <w:color w:val="auto"/>
              </w:rPr>
              <w:t>4.1</w:t>
            </w:r>
          </w:p>
        </w:tc>
        <w:tc>
          <w:tcPr>
            <w:tcW w:w="9900" w:type="dxa"/>
            <w:vAlign w:val="bottom"/>
            <w:gridSpan w:val="11"/>
            <w:shd w:val="clear" w:color="auto" w:fill="CEFFE7"/>
          </w:tcPr>
          <w:p>
            <w:pPr>
              <w:spacing w:after="0" w:line="175" w:lineRule="exact"/>
              <w:rPr>
                <w:rFonts w:ascii="Arial" w:cs="Arial" w:eastAsia="Arial" w:hAnsi="Arial"/>
                <w:sz w:val="16"/>
                <w:szCs w:val="16"/>
                <w:color w:val="0000FF"/>
              </w:rPr>
            </w:pPr>
            <w:hyperlink r:id="rId94">
              <w:r>
                <w:rPr>
                  <w:rFonts w:ascii="Arial" w:cs="Arial" w:eastAsia="Arial" w:hAnsi="Arial"/>
                  <w:sz w:val="16"/>
                  <w:szCs w:val="16"/>
                  <w:color w:val="0000FF"/>
                </w:rPr>
                <w:t>Indenture dated as of May 21, 2003 between the Registrant and Wells Fargo Bank, National Association (as successor to LaSalle Bank</w:t>
              </w:r>
            </w:hyperlink>
          </w:p>
        </w:tc>
      </w:tr>
      <w:tr>
        <w:trPr>
          <w:trHeight w:val="163"/>
        </w:trPr>
        <w:tc>
          <w:tcPr>
            <w:tcW w:w="1340" w:type="dxa"/>
            <w:vAlign w:val="bottom"/>
            <w:tcBorders>
              <w:top w:val="single" w:sz="8" w:color="CEFFE7"/>
              <w:bottom w:val="single" w:sz="8" w:color="CEFFE7"/>
            </w:tcBorders>
            <w:shd w:val="clear" w:color="auto" w:fill="CEFFE7"/>
          </w:tcPr>
          <w:p>
            <w:pPr>
              <w:spacing w:after="0"/>
              <w:rPr>
                <w:sz w:val="14"/>
                <w:szCs w:val="14"/>
                <w:color w:val="auto"/>
              </w:rPr>
            </w:pPr>
          </w:p>
        </w:tc>
        <w:tc>
          <w:tcPr>
            <w:tcW w:w="9300" w:type="dxa"/>
            <w:vAlign w:val="bottom"/>
            <w:tcBorders>
              <w:top w:val="single" w:sz="8" w:color="0000FF"/>
              <w:bottom w:val="single" w:sz="8" w:color="0000FF"/>
            </w:tcBorders>
            <w:gridSpan w:val="7"/>
            <w:shd w:val="clear" w:color="auto" w:fill="CEFFE7"/>
          </w:tcPr>
          <w:p>
            <w:pPr>
              <w:spacing w:after="0" w:line="142" w:lineRule="exact"/>
              <w:rPr>
                <w:rFonts w:ascii="Arial" w:cs="Arial" w:eastAsia="Arial" w:hAnsi="Arial"/>
                <w:sz w:val="16"/>
                <w:szCs w:val="16"/>
                <w:color w:val="0000FF"/>
              </w:rPr>
            </w:pPr>
            <w:hyperlink r:id="rId94">
              <w:r>
                <w:rPr>
                  <w:rFonts w:ascii="Arial" w:cs="Arial" w:eastAsia="Arial" w:hAnsi="Arial"/>
                  <w:sz w:val="16"/>
                  <w:szCs w:val="16"/>
                  <w:color w:val="0000FF"/>
                </w:rPr>
                <w:t>National Association), as Trustee (filed as Exhibit 4.1 to the Registrant’s Form 10-Q for the quarterly period ended June 30, 2003).</w:t>
              </w:r>
            </w:hyperlink>
          </w:p>
        </w:tc>
        <w:tc>
          <w:tcPr>
            <w:tcW w:w="380" w:type="dxa"/>
            <w:vAlign w:val="bottom"/>
            <w:tcBorders>
              <w:top w:val="single" w:sz="8" w:color="0000FF"/>
              <w:bottom w:val="single" w:sz="8" w:color="CEFFE7"/>
            </w:tcBorders>
            <w:gridSpan w:val="2"/>
            <w:shd w:val="clear" w:color="auto" w:fill="CEFFE7"/>
          </w:tcPr>
          <w:p>
            <w:pPr>
              <w:spacing w:after="0"/>
              <w:rPr>
                <w:sz w:val="14"/>
                <w:szCs w:val="14"/>
                <w:color w:val="auto"/>
              </w:rPr>
            </w:pPr>
          </w:p>
        </w:tc>
        <w:tc>
          <w:tcPr>
            <w:tcW w:w="20" w:type="dxa"/>
            <w:vAlign w:val="bottom"/>
            <w:tcBorders>
              <w:top w:val="single" w:sz="8" w:color="CEFFE7"/>
              <w:bottom w:val="single" w:sz="8" w:color="CEFFE7"/>
            </w:tcBorders>
            <w:shd w:val="clear" w:color="auto" w:fill="CEFFE7"/>
          </w:tcPr>
          <w:p>
            <w:pPr>
              <w:spacing w:after="0"/>
              <w:rPr>
                <w:sz w:val="14"/>
                <w:szCs w:val="14"/>
                <w:color w:val="auto"/>
              </w:rPr>
            </w:pPr>
          </w:p>
        </w:tc>
        <w:tc>
          <w:tcPr>
            <w:tcW w:w="200" w:type="dxa"/>
            <w:vAlign w:val="bottom"/>
            <w:tcBorders>
              <w:top w:val="single" w:sz="8" w:color="CEFFE7"/>
              <w:bottom w:val="single" w:sz="8" w:color="CEFFE7"/>
            </w:tcBorders>
            <w:shd w:val="clear" w:color="auto" w:fill="CEFFE7"/>
          </w:tcPr>
          <w:p>
            <w:pPr>
              <w:spacing w:after="0"/>
              <w:rPr>
                <w:sz w:val="14"/>
                <w:szCs w:val="14"/>
                <w:color w:val="auto"/>
              </w:rPr>
            </w:pPr>
          </w:p>
        </w:tc>
      </w:tr>
      <w:tr>
        <w:trPr>
          <w:trHeight w:val="175"/>
        </w:trPr>
        <w:tc>
          <w:tcPr>
            <w:tcW w:w="1340" w:type="dxa"/>
            <w:vAlign w:val="bottom"/>
          </w:tcPr>
          <w:p>
            <w:pPr>
              <w:ind w:left="20"/>
              <w:spacing w:after="0" w:line="175" w:lineRule="exact"/>
              <w:rPr>
                <w:sz w:val="20"/>
                <w:szCs w:val="20"/>
                <w:color w:val="auto"/>
              </w:rPr>
            </w:pPr>
            <w:r>
              <w:rPr>
                <w:rFonts w:ascii="Arial" w:cs="Arial" w:eastAsia="Arial" w:hAnsi="Arial"/>
                <w:sz w:val="16"/>
                <w:szCs w:val="16"/>
                <w:color w:val="auto"/>
              </w:rPr>
              <w:t>4.1.1</w:t>
            </w:r>
          </w:p>
        </w:tc>
        <w:tc>
          <w:tcPr>
            <w:tcW w:w="9900" w:type="dxa"/>
            <w:vAlign w:val="bottom"/>
            <w:gridSpan w:val="11"/>
          </w:tcPr>
          <w:p>
            <w:pPr>
              <w:spacing w:after="0" w:line="175" w:lineRule="exact"/>
              <w:rPr>
                <w:rFonts w:ascii="Arial" w:cs="Arial" w:eastAsia="Arial" w:hAnsi="Arial"/>
                <w:sz w:val="16"/>
                <w:szCs w:val="16"/>
                <w:color w:val="0000FF"/>
              </w:rPr>
            </w:pPr>
            <w:hyperlink r:id="rId95">
              <w:r>
                <w:rPr>
                  <w:rFonts w:ascii="Arial" w:cs="Arial" w:eastAsia="Arial" w:hAnsi="Arial"/>
                  <w:sz w:val="16"/>
                  <w:szCs w:val="16"/>
                  <w:color w:val="0000FF"/>
                </w:rPr>
                <w:t>First Supplemental Indenture dated as of May 21, 2003 (filed as Exhibit 4.2 to the Registrant’s Form 10-Q for the quarterly period ended</w:t>
              </w:r>
            </w:hyperlink>
          </w:p>
        </w:tc>
      </w:tr>
      <w:tr>
        <w:trPr>
          <w:trHeight w:val="142"/>
        </w:trPr>
        <w:tc>
          <w:tcPr>
            <w:tcW w:w="1340" w:type="dxa"/>
            <w:vAlign w:val="bottom"/>
          </w:tcPr>
          <w:p>
            <w:pPr>
              <w:spacing w:after="0"/>
              <w:rPr>
                <w:sz w:val="12"/>
                <w:szCs w:val="12"/>
                <w:color w:val="auto"/>
              </w:rPr>
            </w:pPr>
          </w:p>
        </w:tc>
        <w:tc>
          <w:tcPr>
            <w:tcW w:w="9700" w:type="dxa"/>
            <w:vAlign w:val="bottom"/>
            <w:tcBorders>
              <w:top w:val="single" w:sz="8" w:color="0000FF"/>
            </w:tcBorders>
            <w:gridSpan w:val="10"/>
          </w:tcPr>
          <w:p>
            <w:pPr>
              <w:spacing w:after="0" w:line="142" w:lineRule="exact"/>
              <w:rPr>
                <w:rFonts w:ascii="Arial" w:cs="Arial" w:eastAsia="Arial" w:hAnsi="Arial"/>
                <w:sz w:val="16"/>
                <w:szCs w:val="16"/>
                <w:color w:val="0000FF"/>
              </w:rPr>
            </w:pPr>
            <w:hyperlink r:id="rId95">
              <w:r>
                <w:rPr>
                  <w:rFonts w:ascii="Arial" w:cs="Arial" w:eastAsia="Arial" w:hAnsi="Arial"/>
                  <w:sz w:val="16"/>
                  <w:szCs w:val="16"/>
                  <w:color w:val="0000FF"/>
                </w:rPr>
                <w:t>June 30, 2003).</w:t>
              </w:r>
            </w:hyperlink>
          </w:p>
        </w:tc>
        <w:tc>
          <w:tcPr>
            <w:tcW w:w="200" w:type="dxa"/>
            <w:vAlign w:val="bottom"/>
          </w:tcPr>
          <w:p>
            <w:pPr>
              <w:spacing w:after="0"/>
              <w:rPr>
                <w:sz w:val="12"/>
                <w:szCs w:val="12"/>
                <w:color w:val="auto"/>
              </w:rPr>
            </w:pPr>
          </w:p>
        </w:tc>
      </w:tr>
      <w:tr>
        <w:trPr>
          <w:trHeight w:val="20"/>
        </w:trPr>
        <w:tc>
          <w:tcPr>
            <w:tcW w:w="134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6"/>
        </w:trPr>
        <w:tc>
          <w:tcPr>
            <w:tcW w:w="1340" w:type="dxa"/>
            <w:vAlign w:val="bottom"/>
            <w:shd w:val="clear" w:color="auto" w:fill="CEFFE7"/>
          </w:tcPr>
          <w:p>
            <w:pPr>
              <w:ind w:left="20"/>
              <w:spacing w:after="0" w:line="175" w:lineRule="exact"/>
              <w:rPr>
                <w:sz w:val="20"/>
                <w:szCs w:val="20"/>
                <w:color w:val="auto"/>
              </w:rPr>
            </w:pPr>
            <w:r>
              <w:rPr>
                <w:rFonts w:ascii="Arial" w:cs="Arial" w:eastAsia="Arial" w:hAnsi="Arial"/>
                <w:sz w:val="16"/>
                <w:szCs w:val="16"/>
                <w:color w:val="auto"/>
              </w:rPr>
              <w:t>4.1.2</w:t>
            </w:r>
          </w:p>
        </w:tc>
        <w:tc>
          <w:tcPr>
            <w:tcW w:w="9900" w:type="dxa"/>
            <w:vAlign w:val="bottom"/>
            <w:gridSpan w:val="11"/>
            <w:shd w:val="clear" w:color="auto" w:fill="CEFFE7"/>
          </w:tcPr>
          <w:p>
            <w:pPr>
              <w:spacing w:after="0" w:line="175" w:lineRule="exact"/>
              <w:rPr>
                <w:rFonts w:ascii="Arial" w:cs="Arial" w:eastAsia="Arial" w:hAnsi="Arial"/>
                <w:sz w:val="16"/>
                <w:szCs w:val="16"/>
                <w:color w:val="0000FF"/>
              </w:rPr>
            </w:pPr>
            <w:hyperlink r:id="rId96">
              <w:r>
                <w:rPr>
                  <w:rFonts w:ascii="Arial" w:cs="Arial" w:eastAsia="Arial" w:hAnsi="Arial"/>
                  <w:sz w:val="16"/>
                  <w:szCs w:val="16"/>
                  <w:color w:val="0000FF"/>
                </w:rPr>
                <w:t>Second Supplemental Indenture dated as of May 14, 2009 (filed as Exhibit 4 to the Registrant’s Form 8-K filed on May 14, 2009).</w:t>
              </w:r>
            </w:hyperlink>
          </w:p>
        </w:tc>
      </w:tr>
      <w:tr>
        <w:trPr>
          <w:trHeight w:val="175"/>
        </w:trPr>
        <w:tc>
          <w:tcPr>
            <w:tcW w:w="1340" w:type="dxa"/>
            <w:vAlign w:val="bottom"/>
            <w:tcBorders>
              <w:top w:val="single" w:sz="8" w:color="CEFFE7"/>
            </w:tcBorders>
          </w:tcPr>
          <w:p>
            <w:pPr>
              <w:ind w:left="20"/>
              <w:spacing w:after="0" w:line="175" w:lineRule="exact"/>
              <w:rPr>
                <w:sz w:val="20"/>
                <w:szCs w:val="20"/>
                <w:color w:val="auto"/>
              </w:rPr>
            </w:pPr>
            <w:r>
              <w:rPr>
                <w:rFonts w:ascii="Arial" w:cs="Arial" w:eastAsia="Arial" w:hAnsi="Arial"/>
                <w:sz w:val="16"/>
                <w:szCs w:val="16"/>
                <w:color w:val="auto"/>
              </w:rPr>
              <w:t>4.1.3</w:t>
            </w:r>
          </w:p>
        </w:tc>
        <w:tc>
          <w:tcPr>
            <w:tcW w:w="9220" w:type="dxa"/>
            <w:vAlign w:val="bottom"/>
            <w:tcBorders>
              <w:top w:val="single" w:sz="8" w:color="0000FF"/>
            </w:tcBorders>
            <w:gridSpan w:val="5"/>
          </w:tcPr>
          <w:p>
            <w:pPr>
              <w:spacing w:after="0" w:line="175" w:lineRule="exact"/>
              <w:rPr>
                <w:rFonts w:ascii="Arial" w:cs="Arial" w:eastAsia="Arial" w:hAnsi="Arial"/>
                <w:sz w:val="16"/>
                <w:szCs w:val="16"/>
                <w:color w:val="0000FF"/>
              </w:rPr>
            </w:pPr>
            <w:hyperlink r:id="rId97">
              <w:r>
                <w:rPr>
                  <w:rFonts w:ascii="Arial" w:cs="Arial" w:eastAsia="Arial" w:hAnsi="Arial"/>
                  <w:sz w:val="16"/>
                  <w:szCs w:val="16"/>
                  <w:color w:val="0000FF"/>
                </w:rPr>
                <w:t>Third Supplemental Indenture dated as of July 16, 2010 (filed as Exhibit 4 to Registrant’s Form 8-K filed on July 15, 2010).</w:t>
              </w:r>
            </w:hyperlink>
          </w:p>
        </w:tc>
        <w:tc>
          <w:tcPr>
            <w:tcW w:w="680" w:type="dxa"/>
            <w:vAlign w:val="bottom"/>
            <w:tcBorders>
              <w:top w:val="single" w:sz="8" w:color="CEFFE7"/>
            </w:tcBorders>
            <w:gridSpan w:val="6"/>
          </w:tcPr>
          <w:p>
            <w:pPr>
              <w:spacing w:after="0"/>
              <w:rPr>
                <w:sz w:val="15"/>
                <w:szCs w:val="15"/>
                <w:color w:val="auto"/>
              </w:rPr>
            </w:pPr>
          </w:p>
        </w:tc>
      </w:tr>
      <w:tr>
        <w:trPr>
          <w:trHeight w:val="649"/>
        </w:trPr>
        <w:tc>
          <w:tcPr>
            <w:tcW w:w="1340" w:type="dxa"/>
            <w:vAlign w:val="bottom"/>
          </w:tcPr>
          <w:p>
            <w:pPr>
              <w:spacing w:after="0"/>
              <w:rPr>
                <w:sz w:val="24"/>
                <w:szCs w:val="24"/>
                <w:color w:val="auto"/>
              </w:rPr>
            </w:pPr>
          </w:p>
        </w:tc>
        <w:tc>
          <w:tcPr>
            <w:tcW w:w="8740" w:type="dxa"/>
            <w:vAlign w:val="bottom"/>
            <w:tcBorders>
              <w:top w:val="single" w:sz="8" w:color="0000FF"/>
            </w:tcBorders>
            <w:gridSpan w:val="4"/>
          </w:tcPr>
          <w:p>
            <w:pPr>
              <w:ind w:left="4200"/>
              <w:spacing w:after="0"/>
              <w:rPr>
                <w:sz w:val="20"/>
                <w:szCs w:val="20"/>
                <w:color w:val="auto"/>
              </w:rPr>
            </w:pPr>
            <w:r>
              <w:rPr>
                <w:rFonts w:ascii="Arial" w:cs="Arial" w:eastAsia="Arial" w:hAnsi="Arial"/>
                <w:sz w:val="16"/>
                <w:szCs w:val="16"/>
                <w:color w:val="auto"/>
              </w:rPr>
              <w:t>46</w:t>
            </w: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351"/>
        </w:trPr>
        <w:tc>
          <w:tcPr>
            <w:tcW w:w="13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4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340" w:type="dxa"/>
            <w:vAlign w:val="bottom"/>
            <w:shd w:val="clear" w:color="auto" w:fill="CEFFE7"/>
          </w:tcPr>
          <w:p>
            <w:pPr>
              <w:ind w:left="20"/>
              <w:spacing w:after="0"/>
              <w:rPr>
                <w:sz w:val="20"/>
                <w:szCs w:val="20"/>
                <w:color w:val="auto"/>
              </w:rPr>
            </w:pPr>
            <w:r>
              <w:rPr>
                <w:rFonts w:ascii="Arial" w:cs="Arial" w:eastAsia="Arial" w:hAnsi="Arial"/>
                <w:sz w:val="16"/>
                <w:szCs w:val="16"/>
                <w:color w:val="auto"/>
              </w:rPr>
              <w:t>4.1.4</w:t>
            </w:r>
          </w:p>
        </w:tc>
        <w:tc>
          <w:tcPr>
            <w:tcW w:w="9900" w:type="dxa"/>
            <w:vAlign w:val="bottom"/>
            <w:gridSpan w:val="32"/>
            <w:shd w:val="clear" w:color="auto" w:fill="CEFFE7"/>
          </w:tcPr>
          <w:p>
            <w:pPr>
              <w:spacing w:after="0"/>
              <w:rPr>
                <w:rFonts w:ascii="Arial" w:cs="Arial" w:eastAsia="Arial" w:hAnsi="Arial"/>
                <w:sz w:val="16"/>
                <w:szCs w:val="16"/>
                <w:color w:val="0000FF"/>
              </w:rPr>
            </w:pPr>
            <w:hyperlink r:id="rId100">
              <w:r>
                <w:rPr>
                  <w:rFonts w:ascii="Arial" w:cs="Arial" w:eastAsia="Arial" w:hAnsi="Arial"/>
                  <w:sz w:val="16"/>
                  <w:szCs w:val="16"/>
                  <w:color w:val="0000FF"/>
                </w:rPr>
                <w:t>Fourth Supplemental Indenture dated as of November 19, 2013 (filed as Exhibit 4 to the Registrant’s Form 8-K filed on November 18,</w:t>
              </w:r>
            </w:hyperlink>
          </w:p>
        </w:tc>
      </w:tr>
      <w:tr>
        <w:trPr>
          <w:trHeight w:val="168"/>
        </w:trPr>
        <w:tc>
          <w:tcPr>
            <w:tcW w:w="1340" w:type="dxa"/>
            <w:vAlign w:val="bottom"/>
            <w:tcBorders>
              <w:top w:val="single" w:sz="8" w:color="CEFFE7"/>
              <w:bottom w:val="single" w:sz="8" w:color="CEFFE7"/>
            </w:tcBorders>
            <w:shd w:val="clear" w:color="auto" w:fill="CEFFE7"/>
          </w:tcPr>
          <w:p>
            <w:pPr>
              <w:spacing w:after="0"/>
              <w:rPr>
                <w:sz w:val="14"/>
                <w:szCs w:val="14"/>
                <w:color w:val="auto"/>
              </w:rPr>
            </w:pPr>
          </w:p>
        </w:tc>
        <w:tc>
          <w:tcPr>
            <w:tcW w:w="460" w:type="dxa"/>
            <w:vAlign w:val="bottom"/>
            <w:tcBorders>
              <w:top w:val="single" w:sz="8" w:color="0000FF"/>
              <w:bottom w:val="single" w:sz="8" w:color="0000FF"/>
            </w:tcBorders>
            <w:shd w:val="clear" w:color="auto" w:fill="CEFFE7"/>
          </w:tcPr>
          <w:p>
            <w:pPr>
              <w:spacing w:after="0" w:line="142" w:lineRule="exact"/>
              <w:rPr>
                <w:rFonts w:ascii="Arial" w:cs="Arial" w:eastAsia="Arial" w:hAnsi="Arial"/>
                <w:sz w:val="16"/>
                <w:szCs w:val="16"/>
                <w:color w:val="0000FF"/>
                <w:w w:val="96"/>
              </w:rPr>
            </w:pPr>
            <w:hyperlink r:id="rId100">
              <w:r>
                <w:rPr>
                  <w:rFonts w:ascii="Arial" w:cs="Arial" w:eastAsia="Arial" w:hAnsi="Arial"/>
                  <w:sz w:val="16"/>
                  <w:szCs w:val="16"/>
                  <w:color w:val="0000FF"/>
                  <w:w w:val="96"/>
                </w:rPr>
                <w:t>2013).</w:t>
              </w:r>
            </w:hyperlink>
          </w:p>
        </w:tc>
        <w:tc>
          <w:tcPr>
            <w:tcW w:w="220" w:type="dxa"/>
            <w:vAlign w:val="bottom"/>
            <w:tcBorders>
              <w:top w:val="single" w:sz="8" w:color="0000FF"/>
              <w:bottom w:val="single" w:sz="8" w:color="CEFFE7"/>
            </w:tcBorders>
            <w:shd w:val="clear" w:color="auto" w:fill="CEFFE7"/>
          </w:tcPr>
          <w:p>
            <w:pPr>
              <w:spacing w:after="0"/>
              <w:rPr>
                <w:sz w:val="14"/>
                <w:szCs w:val="14"/>
                <w:color w:val="auto"/>
              </w:rPr>
            </w:pPr>
          </w:p>
        </w:tc>
        <w:tc>
          <w:tcPr>
            <w:tcW w:w="40" w:type="dxa"/>
            <w:vAlign w:val="bottom"/>
            <w:tcBorders>
              <w:top w:val="single" w:sz="8" w:color="0000FF"/>
              <w:bottom w:val="single" w:sz="8" w:color="CEFFE7"/>
            </w:tcBorders>
            <w:shd w:val="clear" w:color="auto" w:fill="CEFFE7"/>
          </w:tcPr>
          <w:p>
            <w:pPr>
              <w:spacing w:after="0"/>
              <w:rPr>
                <w:sz w:val="14"/>
                <w:szCs w:val="14"/>
                <w:color w:val="auto"/>
              </w:rPr>
            </w:pPr>
          </w:p>
        </w:tc>
        <w:tc>
          <w:tcPr>
            <w:tcW w:w="140" w:type="dxa"/>
            <w:vAlign w:val="bottom"/>
            <w:tcBorders>
              <w:top w:val="single" w:sz="8" w:color="0000FF"/>
              <w:bottom w:val="single" w:sz="8" w:color="CEFFE7"/>
            </w:tcBorders>
            <w:shd w:val="clear" w:color="auto" w:fill="CEFFE7"/>
          </w:tcPr>
          <w:p>
            <w:pPr>
              <w:spacing w:after="0"/>
              <w:rPr>
                <w:sz w:val="14"/>
                <w:szCs w:val="14"/>
                <w:color w:val="auto"/>
              </w:rPr>
            </w:pPr>
          </w:p>
        </w:tc>
        <w:tc>
          <w:tcPr>
            <w:tcW w:w="1440" w:type="dxa"/>
            <w:vAlign w:val="bottom"/>
            <w:tcBorders>
              <w:top w:val="single" w:sz="8" w:color="0000FF"/>
              <w:bottom w:val="single" w:sz="8" w:color="CEFFE7"/>
            </w:tcBorders>
            <w:shd w:val="clear" w:color="auto" w:fill="CEFFE7"/>
          </w:tcPr>
          <w:p>
            <w:pPr>
              <w:spacing w:after="0"/>
              <w:rPr>
                <w:sz w:val="14"/>
                <w:szCs w:val="14"/>
                <w:color w:val="auto"/>
              </w:rPr>
            </w:pPr>
          </w:p>
        </w:tc>
        <w:tc>
          <w:tcPr>
            <w:tcW w:w="1140" w:type="dxa"/>
            <w:vAlign w:val="bottom"/>
            <w:tcBorders>
              <w:top w:val="single" w:sz="8" w:color="0000FF"/>
              <w:bottom w:val="single" w:sz="8" w:color="CEFFE7"/>
            </w:tcBorders>
            <w:shd w:val="clear" w:color="auto" w:fill="CEFFE7"/>
          </w:tcPr>
          <w:p>
            <w:pPr>
              <w:spacing w:after="0"/>
              <w:rPr>
                <w:sz w:val="14"/>
                <w:szCs w:val="14"/>
                <w:color w:val="auto"/>
              </w:rPr>
            </w:pPr>
          </w:p>
        </w:tc>
        <w:tc>
          <w:tcPr>
            <w:tcW w:w="60" w:type="dxa"/>
            <w:vAlign w:val="bottom"/>
            <w:tcBorders>
              <w:top w:val="single" w:sz="8" w:color="0000FF"/>
              <w:bottom w:val="single" w:sz="8" w:color="CEFFE7"/>
            </w:tcBorders>
            <w:shd w:val="clear" w:color="auto" w:fill="CEFFE7"/>
          </w:tcPr>
          <w:p>
            <w:pPr>
              <w:spacing w:after="0"/>
              <w:rPr>
                <w:sz w:val="14"/>
                <w:szCs w:val="14"/>
                <w:color w:val="auto"/>
              </w:rPr>
            </w:pPr>
          </w:p>
        </w:tc>
        <w:tc>
          <w:tcPr>
            <w:tcW w:w="180" w:type="dxa"/>
            <w:vAlign w:val="bottom"/>
            <w:tcBorders>
              <w:top w:val="single" w:sz="8" w:color="0000FF"/>
              <w:bottom w:val="single" w:sz="8" w:color="CEFFE7"/>
            </w:tcBorders>
            <w:shd w:val="clear" w:color="auto" w:fill="CEFFE7"/>
          </w:tcPr>
          <w:p>
            <w:pPr>
              <w:spacing w:after="0"/>
              <w:rPr>
                <w:sz w:val="14"/>
                <w:szCs w:val="14"/>
                <w:color w:val="auto"/>
              </w:rPr>
            </w:pPr>
          </w:p>
        </w:tc>
        <w:tc>
          <w:tcPr>
            <w:tcW w:w="1100" w:type="dxa"/>
            <w:vAlign w:val="bottom"/>
            <w:tcBorders>
              <w:top w:val="single" w:sz="8" w:color="0000FF"/>
              <w:bottom w:val="single" w:sz="8" w:color="CEFFE7"/>
            </w:tcBorders>
            <w:shd w:val="clear" w:color="auto" w:fill="CEFFE7"/>
          </w:tcPr>
          <w:p>
            <w:pPr>
              <w:spacing w:after="0"/>
              <w:rPr>
                <w:sz w:val="14"/>
                <w:szCs w:val="14"/>
                <w:color w:val="auto"/>
              </w:rPr>
            </w:pPr>
          </w:p>
        </w:tc>
        <w:tc>
          <w:tcPr>
            <w:tcW w:w="120" w:type="dxa"/>
            <w:vAlign w:val="bottom"/>
            <w:tcBorders>
              <w:top w:val="single" w:sz="8" w:color="0000FF"/>
              <w:bottom w:val="single" w:sz="8" w:color="CEFFE7"/>
            </w:tcBorders>
            <w:shd w:val="clear" w:color="auto" w:fill="CEFFE7"/>
          </w:tcPr>
          <w:p>
            <w:pPr>
              <w:spacing w:after="0"/>
              <w:rPr>
                <w:sz w:val="14"/>
                <w:szCs w:val="14"/>
                <w:color w:val="auto"/>
              </w:rPr>
            </w:pPr>
          </w:p>
        </w:tc>
        <w:tc>
          <w:tcPr>
            <w:tcW w:w="2460" w:type="dxa"/>
            <w:vAlign w:val="bottom"/>
            <w:tcBorders>
              <w:top w:val="single" w:sz="8" w:color="0000FF"/>
              <w:bottom w:val="single" w:sz="8" w:color="CEFFE7"/>
            </w:tcBorders>
            <w:shd w:val="clear" w:color="auto" w:fill="CEFFE7"/>
          </w:tcPr>
          <w:p>
            <w:pPr>
              <w:spacing w:after="0"/>
              <w:rPr>
                <w:sz w:val="14"/>
                <w:szCs w:val="14"/>
                <w:color w:val="auto"/>
              </w:rPr>
            </w:pPr>
          </w:p>
        </w:tc>
        <w:tc>
          <w:tcPr>
            <w:tcW w:w="1860" w:type="dxa"/>
            <w:vAlign w:val="bottom"/>
            <w:tcBorders>
              <w:top w:val="single" w:sz="8" w:color="0000FF"/>
              <w:bottom w:val="single" w:sz="8" w:color="CEFFE7"/>
            </w:tcBorders>
            <w:shd w:val="clear" w:color="auto" w:fill="CEFFE7"/>
          </w:tcPr>
          <w:p>
            <w:pPr>
              <w:spacing w:after="0"/>
              <w:rPr>
                <w:sz w:val="14"/>
                <w:szCs w:val="14"/>
                <w:color w:val="auto"/>
              </w:rPr>
            </w:pPr>
          </w:p>
        </w:tc>
        <w:tc>
          <w:tcPr>
            <w:tcW w:w="80" w:type="dxa"/>
            <w:vAlign w:val="bottom"/>
            <w:tcBorders>
              <w:top w:val="single" w:sz="8" w:color="0000FF"/>
              <w:bottom w:val="single" w:sz="8" w:color="CEFFE7"/>
            </w:tcBorders>
            <w:shd w:val="clear" w:color="auto" w:fill="CEFFE7"/>
          </w:tcPr>
          <w:p>
            <w:pPr>
              <w:spacing w:after="0"/>
              <w:rPr>
                <w:sz w:val="14"/>
                <w:szCs w:val="14"/>
                <w:color w:val="auto"/>
              </w:rPr>
            </w:pPr>
          </w:p>
        </w:tc>
        <w:tc>
          <w:tcPr>
            <w:tcW w:w="20" w:type="dxa"/>
            <w:vAlign w:val="bottom"/>
            <w:tcBorders>
              <w:top w:val="single" w:sz="8" w:color="0000FF"/>
              <w:bottom w:val="single" w:sz="8" w:color="CEFFE7"/>
            </w:tcBorders>
            <w:shd w:val="clear" w:color="auto" w:fill="CEFFE7"/>
          </w:tcPr>
          <w:p>
            <w:pPr>
              <w:spacing w:after="0"/>
              <w:rPr>
                <w:sz w:val="14"/>
                <w:szCs w:val="14"/>
                <w:color w:val="auto"/>
              </w:rPr>
            </w:pPr>
          </w:p>
        </w:tc>
        <w:tc>
          <w:tcPr>
            <w:tcW w:w="20" w:type="dxa"/>
            <w:vAlign w:val="bottom"/>
            <w:tcBorders>
              <w:top w:val="single" w:sz="8" w:color="0000FF"/>
              <w:bottom w:val="single" w:sz="8" w:color="CEFFE7"/>
            </w:tcBorders>
            <w:shd w:val="clear" w:color="auto" w:fill="CEFFE7"/>
          </w:tcPr>
          <w:p>
            <w:pPr>
              <w:spacing w:after="0"/>
              <w:rPr>
                <w:sz w:val="14"/>
                <w:szCs w:val="14"/>
                <w:color w:val="auto"/>
              </w:rPr>
            </w:pPr>
          </w:p>
        </w:tc>
        <w:tc>
          <w:tcPr>
            <w:tcW w:w="40" w:type="dxa"/>
            <w:vAlign w:val="bottom"/>
            <w:tcBorders>
              <w:top w:val="single" w:sz="8" w:color="0000FF"/>
              <w:bottom w:val="single" w:sz="8" w:color="CEFFE7"/>
            </w:tcBorders>
            <w:shd w:val="clear" w:color="auto" w:fill="CEFFE7"/>
          </w:tcPr>
          <w:p>
            <w:pPr>
              <w:spacing w:after="0"/>
              <w:rPr>
                <w:sz w:val="14"/>
                <w:szCs w:val="14"/>
                <w:color w:val="auto"/>
              </w:rPr>
            </w:pPr>
          </w:p>
        </w:tc>
        <w:tc>
          <w:tcPr>
            <w:tcW w:w="80" w:type="dxa"/>
            <w:vAlign w:val="bottom"/>
            <w:tcBorders>
              <w:top w:val="single" w:sz="8" w:color="0000FF"/>
              <w:bottom w:val="single" w:sz="8" w:color="CEFFE7"/>
            </w:tcBorders>
            <w:shd w:val="clear" w:color="auto" w:fill="CEFFE7"/>
          </w:tcPr>
          <w:p>
            <w:pPr>
              <w:spacing w:after="0"/>
              <w:rPr>
                <w:sz w:val="14"/>
                <w:szCs w:val="14"/>
                <w:color w:val="auto"/>
              </w:rPr>
            </w:pPr>
          </w:p>
        </w:tc>
        <w:tc>
          <w:tcPr>
            <w:tcW w:w="20" w:type="dxa"/>
            <w:vAlign w:val="bottom"/>
            <w:tcBorders>
              <w:top w:val="single" w:sz="8" w:color="0000FF"/>
              <w:bottom w:val="single" w:sz="8" w:color="CEFFE7"/>
            </w:tcBorders>
            <w:shd w:val="clear" w:color="auto" w:fill="CEFFE7"/>
          </w:tcPr>
          <w:p>
            <w:pPr>
              <w:spacing w:after="0"/>
              <w:rPr>
                <w:sz w:val="14"/>
                <w:szCs w:val="14"/>
                <w:color w:val="auto"/>
              </w:rPr>
            </w:pPr>
          </w:p>
        </w:tc>
        <w:tc>
          <w:tcPr>
            <w:tcW w:w="20" w:type="dxa"/>
            <w:vAlign w:val="bottom"/>
            <w:tcBorders>
              <w:top w:val="single" w:sz="8" w:color="0000FF"/>
              <w:bottom w:val="single" w:sz="8" w:color="CEFFE7"/>
            </w:tcBorders>
            <w:shd w:val="clear" w:color="auto" w:fill="CEFFE7"/>
          </w:tcPr>
          <w:p>
            <w:pPr>
              <w:spacing w:after="0"/>
              <w:rPr>
                <w:sz w:val="14"/>
                <w:szCs w:val="14"/>
                <w:color w:val="auto"/>
              </w:rPr>
            </w:pPr>
          </w:p>
        </w:tc>
        <w:tc>
          <w:tcPr>
            <w:tcW w:w="20" w:type="dxa"/>
            <w:vAlign w:val="bottom"/>
            <w:tcBorders>
              <w:top w:val="single" w:sz="8" w:color="0000FF"/>
              <w:bottom w:val="single" w:sz="8" w:color="CEFFE7"/>
            </w:tcBorders>
            <w:shd w:val="clear" w:color="auto" w:fill="CEFFE7"/>
          </w:tcPr>
          <w:p>
            <w:pPr>
              <w:spacing w:after="0"/>
              <w:rPr>
                <w:sz w:val="14"/>
                <w:szCs w:val="14"/>
                <w:color w:val="auto"/>
              </w:rPr>
            </w:pPr>
          </w:p>
        </w:tc>
        <w:tc>
          <w:tcPr>
            <w:tcW w:w="40" w:type="dxa"/>
            <w:vAlign w:val="bottom"/>
            <w:tcBorders>
              <w:top w:val="single" w:sz="8" w:color="CEFFE7"/>
              <w:bottom w:val="single" w:sz="8" w:color="CEFFE7"/>
            </w:tcBorders>
            <w:shd w:val="clear" w:color="auto" w:fill="CEFFE7"/>
          </w:tcPr>
          <w:p>
            <w:pPr>
              <w:spacing w:after="0"/>
              <w:rPr>
                <w:sz w:val="14"/>
                <w:szCs w:val="14"/>
                <w:color w:val="auto"/>
              </w:rPr>
            </w:pPr>
          </w:p>
        </w:tc>
        <w:tc>
          <w:tcPr>
            <w:tcW w:w="60" w:type="dxa"/>
            <w:vAlign w:val="bottom"/>
            <w:tcBorders>
              <w:top w:val="single" w:sz="8" w:color="CEFFE7"/>
              <w:bottom w:val="single" w:sz="8" w:color="CEFFE7"/>
            </w:tcBorders>
            <w:shd w:val="clear" w:color="auto" w:fill="CEFFE7"/>
          </w:tcPr>
          <w:p>
            <w:pPr>
              <w:spacing w:after="0"/>
              <w:rPr>
                <w:sz w:val="14"/>
                <w:szCs w:val="14"/>
                <w:color w:val="auto"/>
              </w:rPr>
            </w:pPr>
          </w:p>
        </w:tc>
        <w:tc>
          <w:tcPr>
            <w:tcW w:w="20" w:type="dxa"/>
            <w:vAlign w:val="bottom"/>
            <w:tcBorders>
              <w:top w:val="single" w:sz="8" w:color="CEFFE7"/>
              <w:bottom w:val="single" w:sz="8" w:color="CEFFE7"/>
            </w:tcBorders>
            <w:shd w:val="clear" w:color="auto" w:fill="CEFFE7"/>
          </w:tcPr>
          <w:p>
            <w:pPr>
              <w:spacing w:after="0"/>
              <w:rPr>
                <w:sz w:val="14"/>
                <w:szCs w:val="14"/>
                <w:color w:val="auto"/>
              </w:rPr>
            </w:pPr>
          </w:p>
        </w:tc>
        <w:tc>
          <w:tcPr>
            <w:tcW w:w="20" w:type="dxa"/>
            <w:vAlign w:val="bottom"/>
            <w:tcBorders>
              <w:top w:val="single" w:sz="8" w:color="CEFFE7"/>
              <w:bottom w:val="single" w:sz="8" w:color="CEFFE7"/>
            </w:tcBorders>
            <w:shd w:val="clear" w:color="auto" w:fill="CEFFE7"/>
          </w:tcPr>
          <w:p>
            <w:pPr>
              <w:spacing w:after="0"/>
              <w:rPr>
                <w:sz w:val="14"/>
                <w:szCs w:val="14"/>
                <w:color w:val="auto"/>
              </w:rPr>
            </w:pPr>
          </w:p>
        </w:tc>
        <w:tc>
          <w:tcPr>
            <w:tcW w:w="20" w:type="dxa"/>
            <w:vAlign w:val="bottom"/>
            <w:tcBorders>
              <w:top w:val="single" w:sz="8" w:color="CEFFE7"/>
              <w:bottom w:val="single" w:sz="8" w:color="CEFFE7"/>
            </w:tcBorders>
            <w:shd w:val="clear" w:color="auto" w:fill="CEFFE7"/>
          </w:tcPr>
          <w:p>
            <w:pPr>
              <w:spacing w:after="0"/>
              <w:rPr>
                <w:sz w:val="14"/>
                <w:szCs w:val="14"/>
                <w:color w:val="auto"/>
              </w:rPr>
            </w:pPr>
          </w:p>
        </w:tc>
        <w:tc>
          <w:tcPr>
            <w:tcW w:w="20" w:type="dxa"/>
            <w:vAlign w:val="bottom"/>
            <w:tcBorders>
              <w:top w:val="single" w:sz="8" w:color="CEFFE7"/>
              <w:bottom w:val="single" w:sz="8" w:color="CEFFE7"/>
            </w:tcBorders>
            <w:shd w:val="clear" w:color="auto" w:fill="CEFFE7"/>
          </w:tcPr>
          <w:p>
            <w:pPr>
              <w:spacing w:after="0"/>
              <w:rPr>
                <w:sz w:val="14"/>
                <w:szCs w:val="14"/>
                <w:color w:val="auto"/>
              </w:rPr>
            </w:pPr>
          </w:p>
        </w:tc>
        <w:tc>
          <w:tcPr>
            <w:tcW w:w="20" w:type="dxa"/>
            <w:vAlign w:val="bottom"/>
            <w:tcBorders>
              <w:top w:val="single" w:sz="8" w:color="CEFFE7"/>
              <w:bottom w:val="single" w:sz="8" w:color="CEFFE7"/>
            </w:tcBorders>
            <w:shd w:val="clear" w:color="auto" w:fill="CEFFE7"/>
          </w:tcPr>
          <w:p>
            <w:pPr>
              <w:spacing w:after="0"/>
              <w:rPr>
                <w:sz w:val="14"/>
                <w:szCs w:val="14"/>
                <w:color w:val="auto"/>
              </w:rPr>
            </w:pPr>
          </w:p>
        </w:tc>
        <w:tc>
          <w:tcPr>
            <w:tcW w:w="40" w:type="dxa"/>
            <w:vAlign w:val="bottom"/>
            <w:tcBorders>
              <w:top w:val="single" w:sz="8" w:color="CEFFE7"/>
              <w:bottom w:val="single" w:sz="8" w:color="CEFFE7"/>
            </w:tcBorders>
            <w:shd w:val="clear" w:color="auto" w:fill="CEFFE7"/>
          </w:tcPr>
          <w:p>
            <w:pPr>
              <w:spacing w:after="0"/>
              <w:rPr>
                <w:sz w:val="14"/>
                <w:szCs w:val="14"/>
                <w:color w:val="auto"/>
              </w:rPr>
            </w:pPr>
          </w:p>
        </w:tc>
        <w:tc>
          <w:tcPr>
            <w:tcW w:w="40" w:type="dxa"/>
            <w:vAlign w:val="bottom"/>
            <w:tcBorders>
              <w:top w:val="single" w:sz="8" w:color="CEFFE7"/>
              <w:bottom w:val="single" w:sz="8" w:color="CEFFE7"/>
            </w:tcBorders>
            <w:shd w:val="clear" w:color="auto" w:fill="CEFFE7"/>
          </w:tcPr>
          <w:p>
            <w:pPr>
              <w:spacing w:after="0"/>
              <w:rPr>
                <w:sz w:val="14"/>
                <w:szCs w:val="14"/>
                <w:color w:val="auto"/>
              </w:rPr>
            </w:pPr>
          </w:p>
        </w:tc>
        <w:tc>
          <w:tcPr>
            <w:tcW w:w="40" w:type="dxa"/>
            <w:vAlign w:val="bottom"/>
            <w:tcBorders>
              <w:top w:val="single" w:sz="8" w:color="CEFFE7"/>
              <w:bottom w:val="single" w:sz="8" w:color="CEFFE7"/>
            </w:tcBorders>
            <w:shd w:val="clear" w:color="auto" w:fill="CEFFE7"/>
          </w:tcPr>
          <w:p>
            <w:pPr>
              <w:spacing w:after="0"/>
              <w:rPr>
                <w:sz w:val="14"/>
                <w:szCs w:val="14"/>
                <w:color w:val="auto"/>
              </w:rPr>
            </w:pPr>
          </w:p>
        </w:tc>
        <w:tc>
          <w:tcPr>
            <w:tcW w:w="40" w:type="dxa"/>
            <w:vAlign w:val="bottom"/>
            <w:tcBorders>
              <w:top w:val="single" w:sz="8" w:color="CEFFE7"/>
              <w:bottom w:val="single" w:sz="8" w:color="CEFFE7"/>
            </w:tcBorders>
            <w:shd w:val="clear" w:color="auto" w:fill="CEFFE7"/>
          </w:tcPr>
          <w:p>
            <w:pPr>
              <w:spacing w:after="0"/>
              <w:rPr>
                <w:sz w:val="14"/>
                <w:szCs w:val="14"/>
                <w:color w:val="auto"/>
              </w:rPr>
            </w:pPr>
          </w:p>
        </w:tc>
        <w:tc>
          <w:tcPr>
            <w:tcW w:w="20" w:type="dxa"/>
            <w:vAlign w:val="bottom"/>
            <w:tcBorders>
              <w:top w:val="single" w:sz="8" w:color="CEFFE7"/>
              <w:bottom w:val="single" w:sz="8" w:color="CEFFE7"/>
            </w:tcBorders>
            <w:shd w:val="clear" w:color="auto" w:fill="CEFFE7"/>
          </w:tcPr>
          <w:p>
            <w:pPr>
              <w:spacing w:after="0"/>
              <w:rPr>
                <w:sz w:val="14"/>
                <w:szCs w:val="14"/>
                <w:color w:val="auto"/>
              </w:rPr>
            </w:pPr>
          </w:p>
        </w:tc>
      </w:tr>
      <w:tr>
        <w:trPr>
          <w:trHeight w:val="175"/>
        </w:trPr>
        <w:tc>
          <w:tcPr>
            <w:tcW w:w="1340" w:type="dxa"/>
            <w:vAlign w:val="bottom"/>
            <w:tcBorders>
              <w:top w:val="single" w:sz="8" w:color="CEFFE7"/>
            </w:tcBorders>
          </w:tcPr>
          <w:p>
            <w:pPr>
              <w:ind w:left="20"/>
              <w:spacing w:after="0" w:line="175" w:lineRule="exact"/>
              <w:rPr>
                <w:sz w:val="20"/>
                <w:szCs w:val="20"/>
                <w:color w:val="auto"/>
              </w:rPr>
            </w:pPr>
            <w:r>
              <w:rPr>
                <w:rFonts w:ascii="Arial" w:cs="Arial" w:eastAsia="Arial" w:hAnsi="Arial"/>
                <w:sz w:val="16"/>
                <w:szCs w:val="16"/>
                <w:color w:val="auto"/>
              </w:rPr>
              <w:t>4.1.5</w:t>
            </w:r>
          </w:p>
        </w:tc>
        <w:tc>
          <w:tcPr>
            <w:tcW w:w="9900" w:type="dxa"/>
            <w:vAlign w:val="bottom"/>
            <w:tcBorders>
              <w:top w:val="single" w:sz="8" w:color="CEFFE7"/>
            </w:tcBorders>
            <w:gridSpan w:val="32"/>
          </w:tcPr>
          <w:p>
            <w:pPr>
              <w:spacing w:after="0" w:line="175" w:lineRule="exact"/>
              <w:rPr>
                <w:rFonts w:ascii="Arial" w:cs="Arial" w:eastAsia="Arial" w:hAnsi="Arial"/>
                <w:sz w:val="16"/>
                <w:szCs w:val="16"/>
                <w:color w:val="0000FF"/>
              </w:rPr>
            </w:pPr>
            <w:hyperlink r:id="rId101">
              <w:r>
                <w:rPr>
                  <w:rFonts w:ascii="Arial" w:cs="Arial" w:eastAsia="Arial" w:hAnsi="Arial"/>
                  <w:sz w:val="16"/>
                  <w:szCs w:val="16"/>
                  <w:color w:val="0000FF"/>
                </w:rPr>
                <w:t>Fifth Supplemental Indenture dated as of January 13, 2016 (filed as Exhibit 4.1 to the Registrant’s Form 8-K filed on January 13, 2016).</w:t>
              </w:r>
            </w:hyperlink>
          </w:p>
        </w:tc>
      </w:tr>
      <w:tr>
        <w:trPr>
          <w:trHeight w:val="21"/>
        </w:trPr>
        <w:tc>
          <w:tcPr>
            <w:tcW w:w="134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440" w:type="dxa"/>
            <w:vAlign w:val="bottom"/>
            <w:tcBorders>
              <w:top w:val="single" w:sz="8" w:color="0000FF"/>
            </w:tcBorders>
          </w:tcPr>
          <w:p>
            <w:pPr>
              <w:spacing w:after="0" w:line="20" w:lineRule="exact"/>
              <w:rPr>
                <w:sz w:val="1"/>
                <w:szCs w:val="1"/>
                <w:color w:val="auto"/>
              </w:rPr>
            </w:pPr>
          </w:p>
        </w:tc>
        <w:tc>
          <w:tcPr>
            <w:tcW w:w="11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1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460" w:type="dxa"/>
            <w:vAlign w:val="bottom"/>
            <w:tcBorders>
              <w:top w:val="single" w:sz="8" w:color="0000FF"/>
            </w:tcBorders>
          </w:tcPr>
          <w:p>
            <w:pPr>
              <w:spacing w:after="0" w:line="20" w:lineRule="exact"/>
              <w:rPr>
                <w:sz w:val="1"/>
                <w:szCs w:val="1"/>
                <w:color w:val="auto"/>
              </w:rPr>
            </w:pPr>
          </w:p>
        </w:tc>
        <w:tc>
          <w:tcPr>
            <w:tcW w:w="18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340" w:type="dxa"/>
            <w:vAlign w:val="bottom"/>
            <w:shd w:val="clear" w:color="auto" w:fill="CEFFE7"/>
          </w:tcPr>
          <w:p>
            <w:pPr>
              <w:ind w:left="20"/>
              <w:spacing w:after="0" w:line="175" w:lineRule="exact"/>
              <w:rPr>
                <w:sz w:val="20"/>
                <w:szCs w:val="20"/>
                <w:color w:val="auto"/>
              </w:rPr>
            </w:pPr>
            <w:r>
              <w:rPr>
                <w:rFonts w:ascii="Arial" w:cs="Arial" w:eastAsia="Arial" w:hAnsi="Arial"/>
                <w:sz w:val="16"/>
                <w:szCs w:val="16"/>
                <w:color w:val="auto"/>
              </w:rPr>
              <w:t>4.1.6</w:t>
            </w:r>
          </w:p>
        </w:tc>
        <w:tc>
          <w:tcPr>
            <w:tcW w:w="9900" w:type="dxa"/>
            <w:vAlign w:val="bottom"/>
            <w:gridSpan w:val="32"/>
            <w:shd w:val="clear" w:color="auto" w:fill="CEFFE7"/>
          </w:tcPr>
          <w:p>
            <w:pPr>
              <w:spacing w:after="0" w:line="175" w:lineRule="exact"/>
              <w:rPr>
                <w:rFonts w:ascii="Arial" w:cs="Arial" w:eastAsia="Arial" w:hAnsi="Arial"/>
                <w:sz w:val="16"/>
                <w:szCs w:val="16"/>
                <w:color w:val="0000FF"/>
              </w:rPr>
            </w:pPr>
            <w:hyperlink r:id="rId102">
              <w:r>
                <w:rPr>
                  <w:rFonts w:ascii="Arial" w:cs="Arial" w:eastAsia="Arial" w:hAnsi="Arial"/>
                  <w:sz w:val="16"/>
                  <w:szCs w:val="16"/>
                  <w:color w:val="0000FF"/>
                </w:rPr>
                <w:t>Sixth Supplemental Indenture dated as of August 19, 2016 (filed as Exhibit 4.1 to the Registrant’s Form 8-K filed on August 19, 2016).</w:t>
              </w:r>
            </w:hyperlink>
          </w:p>
        </w:tc>
      </w:tr>
      <w:tr>
        <w:trPr>
          <w:trHeight w:val="21"/>
        </w:trPr>
        <w:tc>
          <w:tcPr>
            <w:tcW w:w="1340" w:type="dxa"/>
            <w:vAlign w:val="bottom"/>
            <w:tcBorders>
              <w:top w:val="single" w:sz="8" w:color="CEFFE7"/>
            </w:tcBorders>
            <w:shd w:val="clear" w:color="auto" w:fill="CEFFE7"/>
          </w:tcPr>
          <w:p>
            <w:pPr>
              <w:spacing w:after="0" w:line="20" w:lineRule="exact"/>
              <w:rPr>
                <w:sz w:val="1"/>
                <w:szCs w:val="1"/>
                <w:color w:val="auto"/>
              </w:rPr>
            </w:pPr>
          </w:p>
        </w:tc>
        <w:tc>
          <w:tcPr>
            <w:tcW w:w="460" w:type="dxa"/>
            <w:vAlign w:val="bottom"/>
            <w:tcBorders>
              <w:top w:val="single" w:sz="8" w:color="0000FF"/>
            </w:tcBorders>
            <w:shd w:val="clear" w:color="auto" w:fill="CEFFE7"/>
          </w:tcPr>
          <w:p>
            <w:pPr>
              <w:spacing w:after="0" w:line="20" w:lineRule="exact"/>
              <w:rPr>
                <w:sz w:val="1"/>
                <w:szCs w:val="1"/>
                <w:color w:val="auto"/>
              </w:rPr>
            </w:pPr>
          </w:p>
        </w:tc>
        <w:tc>
          <w:tcPr>
            <w:tcW w:w="22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140" w:type="dxa"/>
            <w:vAlign w:val="bottom"/>
            <w:tcBorders>
              <w:top w:val="single" w:sz="8" w:color="0000FF"/>
            </w:tcBorders>
            <w:shd w:val="clear" w:color="auto" w:fill="CEFFE7"/>
          </w:tcPr>
          <w:p>
            <w:pPr>
              <w:spacing w:after="0" w:line="20" w:lineRule="exact"/>
              <w:rPr>
                <w:sz w:val="1"/>
                <w:szCs w:val="1"/>
                <w:color w:val="auto"/>
              </w:rPr>
            </w:pPr>
          </w:p>
        </w:tc>
        <w:tc>
          <w:tcPr>
            <w:tcW w:w="1440" w:type="dxa"/>
            <w:vAlign w:val="bottom"/>
            <w:tcBorders>
              <w:top w:val="single" w:sz="8" w:color="0000FF"/>
            </w:tcBorders>
            <w:shd w:val="clear" w:color="auto" w:fill="CEFFE7"/>
          </w:tcPr>
          <w:p>
            <w:pPr>
              <w:spacing w:after="0" w:line="20" w:lineRule="exact"/>
              <w:rPr>
                <w:sz w:val="1"/>
                <w:szCs w:val="1"/>
                <w:color w:val="auto"/>
              </w:rPr>
            </w:pPr>
          </w:p>
        </w:tc>
        <w:tc>
          <w:tcPr>
            <w:tcW w:w="1140" w:type="dxa"/>
            <w:vAlign w:val="bottom"/>
            <w:tcBorders>
              <w:top w:val="single" w:sz="8" w:color="0000FF"/>
            </w:tcBorders>
            <w:shd w:val="clear" w:color="auto" w:fill="CEFFE7"/>
          </w:tcPr>
          <w:p>
            <w:pPr>
              <w:spacing w:after="0" w:line="20" w:lineRule="exact"/>
              <w:rPr>
                <w:sz w:val="1"/>
                <w:szCs w:val="1"/>
                <w:color w:val="auto"/>
              </w:rPr>
            </w:pPr>
          </w:p>
        </w:tc>
        <w:tc>
          <w:tcPr>
            <w:tcW w:w="60" w:type="dxa"/>
            <w:vAlign w:val="bottom"/>
            <w:tcBorders>
              <w:top w:val="single" w:sz="8" w:color="0000FF"/>
            </w:tcBorders>
            <w:shd w:val="clear" w:color="auto" w:fill="CEFFE7"/>
          </w:tcPr>
          <w:p>
            <w:pPr>
              <w:spacing w:after="0" w:line="20" w:lineRule="exact"/>
              <w:rPr>
                <w:sz w:val="1"/>
                <w:szCs w:val="1"/>
                <w:color w:val="auto"/>
              </w:rPr>
            </w:pPr>
          </w:p>
        </w:tc>
        <w:tc>
          <w:tcPr>
            <w:tcW w:w="180" w:type="dxa"/>
            <w:vAlign w:val="bottom"/>
            <w:tcBorders>
              <w:top w:val="single" w:sz="8" w:color="0000FF"/>
            </w:tcBorders>
            <w:shd w:val="clear" w:color="auto" w:fill="CEFFE7"/>
          </w:tcPr>
          <w:p>
            <w:pPr>
              <w:spacing w:after="0" w:line="20" w:lineRule="exact"/>
              <w:rPr>
                <w:sz w:val="1"/>
                <w:szCs w:val="1"/>
                <w:color w:val="auto"/>
              </w:rPr>
            </w:pPr>
          </w:p>
        </w:tc>
        <w:tc>
          <w:tcPr>
            <w:tcW w:w="1100" w:type="dxa"/>
            <w:vAlign w:val="bottom"/>
            <w:tcBorders>
              <w:top w:val="single" w:sz="8" w:color="0000FF"/>
            </w:tcBorders>
            <w:shd w:val="clear" w:color="auto" w:fill="CEFFE7"/>
          </w:tcPr>
          <w:p>
            <w:pPr>
              <w:spacing w:after="0" w:line="20" w:lineRule="exact"/>
              <w:rPr>
                <w:sz w:val="1"/>
                <w:szCs w:val="1"/>
                <w:color w:val="auto"/>
              </w:rPr>
            </w:pPr>
          </w:p>
        </w:tc>
        <w:tc>
          <w:tcPr>
            <w:tcW w:w="120" w:type="dxa"/>
            <w:vAlign w:val="bottom"/>
            <w:tcBorders>
              <w:top w:val="single" w:sz="8" w:color="0000FF"/>
            </w:tcBorders>
            <w:shd w:val="clear" w:color="auto" w:fill="CEFFE7"/>
          </w:tcPr>
          <w:p>
            <w:pPr>
              <w:spacing w:after="0" w:line="20" w:lineRule="exact"/>
              <w:rPr>
                <w:sz w:val="1"/>
                <w:szCs w:val="1"/>
                <w:color w:val="auto"/>
              </w:rPr>
            </w:pPr>
          </w:p>
        </w:tc>
        <w:tc>
          <w:tcPr>
            <w:tcW w:w="2460" w:type="dxa"/>
            <w:vAlign w:val="bottom"/>
            <w:tcBorders>
              <w:top w:val="single" w:sz="8" w:color="0000FF"/>
            </w:tcBorders>
            <w:shd w:val="clear" w:color="auto" w:fill="CEFFE7"/>
          </w:tcPr>
          <w:p>
            <w:pPr>
              <w:spacing w:after="0" w:line="20" w:lineRule="exact"/>
              <w:rPr>
                <w:sz w:val="1"/>
                <w:szCs w:val="1"/>
                <w:color w:val="auto"/>
              </w:rPr>
            </w:pPr>
          </w:p>
        </w:tc>
        <w:tc>
          <w:tcPr>
            <w:tcW w:w="1860" w:type="dxa"/>
            <w:vAlign w:val="bottom"/>
            <w:tcBorders>
              <w:top w:val="single" w:sz="8" w:color="0000FF"/>
            </w:tcBorders>
            <w:shd w:val="clear" w:color="auto" w:fill="CEFFE7"/>
          </w:tcPr>
          <w:p>
            <w:pPr>
              <w:spacing w:after="0" w:line="20" w:lineRule="exact"/>
              <w:rPr>
                <w:sz w:val="1"/>
                <w:szCs w:val="1"/>
                <w:color w:val="auto"/>
              </w:rPr>
            </w:pPr>
          </w:p>
        </w:tc>
        <w:tc>
          <w:tcPr>
            <w:tcW w:w="8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8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r>
      <w:tr>
        <w:trPr>
          <w:trHeight w:val="175"/>
        </w:trPr>
        <w:tc>
          <w:tcPr>
            <w:tcW w:w="1340" w:type="dxa"/>
            <w:vAlign w:val="bottom"/>
          </w:tcPr>
          <w:p>
            <w:pPr>
              <w:ind w:left="20"/>
              <w:spacing w:after="0" w:line="175" w:lineRule="exact"/>
              <w:rPr>
                <w:sz w:val="20"/>
                <w:szCs w:val="20"/>
                <w:color w:val="auto"/>
              </w:rPr>
            </w:pPr>
            <w:r>
              <w:rPr>
                <w:rFonts w:ascii="Arial" w:cs="Arial" w:eastAsia="Arial" w:hAnsi="Arial"/>
                <w:sz w:val="16"/>
                <w:szCs w:val="16"/>
                <w:color w:val="auto"/>
              </w:rPr>
              <w:t>4.1.7</w:t>
            </w:r>
          </w:p>
        </w:tc>
        <w:tc>
          <w:tcPr>
            <w:tcW w:w="9900" w:type="dxa"/>
            <w:vAlign w:val="bottom"/>
            <w:gridSpan w:val="32"/>
          </w:tcPr>
          <w:p>
            <w:pPr>
              <w:spacing w:after="0" w:line="175" w:lineRule="exact"/>
              <w:rPr>
                <w:rFonts w:ascii="Arial" w:cs="Arial" w:eastAsia="Arial" w:hAnsi="Arial"/>
                <w:sz w:val="16"/>
                <w:szCs w:val="16"/>
                <w:color w:val="0000FF"/>
              </w:rPr>
            </w:pPr>
            <w:hyperlink r:id="rId103">
              <w:r>
                <w:rPr>
                  <w:rFonts w:ascii="Arial" w:cs="Arial" w:eastAsia="Arial" w:hAnsi="Arial"/>
                  <w:sz w:val="16"/>
                  <w:szCs w:val="16"/>
                  <w:color w:val="0000FF"/>
                </w:rPr>
                <w:t>Seventh Supplemental Indenture dated as of August 17, 2018 (filed as Exhibit 4.2 to the Registrant’s Form 8-K filed on August 17, 2018).</w:t>
              </w:r>
            </w:hyperlink>
          </w:p>
        </w:tc>
      </w:tr>
      <w:tr>
        <w:trPr>
          <w:trHeight w:val="21"/>
        </w:trPr>
        <w:tc>
          <w:tcPr>
            <w:tcW w:w="134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440" w:type="dxa"/>
            <w:vAlign w:val="bottom"/>
            <w:tcBorders>
              <w:top w:val="single" w:sz="8" w:color="0000FF"/>
            </w:tcBorders>
          </w:tcPr>
          <w:p>
            <w:pPr>
              <w:spacing w:after="0" w:line="20" w:lineRule="exact"/>
              <w:rPr>
                <w:sz w:val="1"/>
                <w:szCs w:val="1"/>
                <w:color w:val="auto"/>
              </w:rPr>
            </w:pPr>
          </w:p>
        </w:tc>
        <w:tc>
          <w:tcPr>
            <w:tcW w:w="11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1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460" w:type="dxa"/>
            <w:vAlign w:val="bottom"/>
            <w:tcBorders>
              <w:top w:val="single" w:sz="8" w:color="0000FF"/>
            </w:tcBorders>
          </w:tcPr>
          <w:p>
            <w:pPr>
              <w:spacing w:after="0" w:line="20" w:lineRule="exact"/>
              <w:rPr>
                <w:sz w:val="1"/>
                <w:szCs w:val="1"/>
                <w:color w:val="auto"/>
              </w:rPr>
            </w:pPr>
          </w:p>
        </w:tc>
        <w:tc>
          <w:tcPr>
            <w:tcW w:w="18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340" w:type="dxa"/>
            <w:vAlign w:val="bottom"/>
            <w:shd w:val="clear" w:color="auto" w:fill="CEFFE7"/>
          </w:tcPr>
          <w:p>
            <w:pPr>
              <w:ind w:left="20"/>
              <w:spacing w:after="0" w:line="175" w:lineRule="exact"/>
              <w:rPr>
                <w:sz w:val="20"/>
                <w:szCs w:val="20"/>
                <w:color w:val="auto"/>
              </w:rPr>
            </w:pPr>
            <w:r>
              <w:rPr>
                <w:rFonts w:ascii="Arial" w:cs="Arial" w:eastAsia="Arial" w:hAnsi="Arial"/>
                <w:sz w:val="16"/>
                <w:szCs w:val="16"/>
                <w:color w:val="auto"/>
              </w:rPr>
              <w:t>4.1.8</w:t>
            </w:r>
          </w:p>
        </w:tc>
        <w:tc>
          <w:tcPr>
            <w:tcW w:w="9900" w:type="dxa"/>
            <w:vAlign w:val="bottom"/>
            <w:gridSpan w:val="32"/>
            <w:shd w:val="clear" w:color="auto" w:fill="CEFFE7"/>
          </w:tcPr>
          <w:p>
            <w:pPr>
              <w:spacing w:after="0" w:line="175" w:lineRule="exact"/>
              <w:rPr>
                <w:rFonts w:ascii="Arial" w:cs="Arial" w:eastAsia="Arial" w:hAnsi="Arial"/>
                <w:sz w:val="16"/>
                <w:szCs w:val="16"/>
                <w:color w:val="0000FF"/>
              </w:rPr>
            </w:pPr>
            <w:hyperlink r:id="rId104">
              <w:r>
                <w:rPr>
                  <w:rFonts w:ascii="Arial" w:cs="Arial" w:eastAsia="Arial" w:hAnsi="Arial"/>
                  <w:sz w:val="16"/>
                  <w:szCs w:val="16"/>
                  <w:color w:val="0000FF"/>
                </w:rPr>
                <w:t>Eighth Supplemental Indenture dated as of October 3, 2019 (filed as Exhibit 4.1 to the Registrant’s Form 8-K filed on October 4, 2019).</w:t>
              </w:r>
            </w:hyperlink>
          </w:p>
        </w:tc>
      </w:tr>
      <w:tr>
        <w:trPr>
          <w:trHeight w:val="21"/>
        </w:trPr>
        <w:tc>
          <w:tcPr>
            <w:tcW w:w="1340" w:type="dxa"/>
            <w:vAlign w:val="bottom"/>
            <w:tcBorders>
              <w:top w:val="single" w:sz="8" w:color="CEFFE7"/>
            </w:tcBorders>
            <w:shd w:val="clear" w:color="auto" w:fill="CEFFE7"/>
          </w:tcPr>
          <w:p>
            <w:pPr>
              <w:spacing w:after="0" w:line="20" w:lineRule="exact"/>
              <w:rPr>
                <w:sz w:val="1"/>
                <w:szCs w:val="1"/>
                <w:color w:val="auto"/>
              </w:rPr>
            </w:pPr>
          </w:p>
        </w:tc>
        <w:tc>
          <w:tcPr>
            <w:tcW w:w="460" w:type="dxa"/>
            <w:vAlign w:val="bottom"/>
            <w:tcBorders>
              <w:top w:val="single" w:sz="8" w:color="0000FF"/>
            </w:tcBorders>
            <w:shd w:val="clear" w:color="auto" w:fill="CEFFE7"/>
          </w:tcPr>
          <w:p>
            <w:pPr>
              <w:spacing w:after="0" w:line="20" w:lineRule="exact"/>
              <w:rPr>
                <w:sz w:val="1"/>
                <w:szCs w:val="1"/>
                <w:color w:val="auto"/>
              </w:rPr>
            </w:pPr>
          </w:p>
        </w:tc>
        <w:tc>
          <w:tcPr>
            <w:tcW w:w="22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140" w:type="dxa"/>
            <w:vAlign w:val="bottom"/>
            <w:tcBorders>
              <w:top w:val="single" w:sz="8" w:color="0000FF"/>
            </w:tcBorders>
            <w:shd w:val="clear" w:color="auto" w:fill="CEFFE7"/>
          </w:tcPr>
          <w:p>
            <w:pPr>
              <w:spacing w:after="0" w:line="20" w:lineRule="exact"/>
              <w:rPr>
                <w:sz w:val="1"/>
                <w:szCs w:val="1"/>
                <w:color w:val="auto"/>
              </w:rPr>
            </w:pPr>
          </w:p>
        </w:tc>
        <w:tc>
          <w:tcPr>
            <w:tcW w:w="1440" w:type="dxa"/>
            <w:vAlign w:val="bottom"/>
            <w:tcBorders>
              <w:top w:val="single" w:sz="8" w:color="0000FF"/>
            </w:tcBorders>
            <w:shd w:val="clear" w:color="auto" w:fill="CEFFE7"/>
          </w:tcPr>
          <w:p>
            <w:pPr>
              <w:spacing w:after="0" w:line="20" w:lineRule="exact"/>
              <w:rPr>
                <w:sz w:val="1"/>
                <w:szCs w:val="1"/>
                <w:color w:val="auto"/>
              </w:rPr>
            </w:pPr>
          </w:p>
        </w:tc>
        <w:tc>
          <w:tcPr>
            <w:tcW w:w="1140" w:type="dxa"/>
            <w:vAlign w:val="bottom"/>
            <w:tcBorders>
              <w:top w:val="single" w:sz="8" w:color="0000FF"/>
            </w:tcBorders>
            <w:shd w:val="clear" w:color="auto" w:fill="CEFFE7"/>
          </w:tcPr>
          <w:p>
            <w:pPr>
              <w:spacing w:after="0" w:line="20" w:lineRule="exact"/>
              <w:rPr>
                <w:sz w:val="1"/>
                <w:szCs w:val="1"/>
                <w:color w:val="auto"/>
              </w:rPr>
            </w:pPr>
          </w:p>
        </w:tc>
        <w:tc>
          <w:tcPr>
            <w:tcW w:w="60" w:type="dxa"/>
            <w:vAlign w:val="bottom"/>
            <w:tcBorders>
              <w:top w:val="single" w:sz="8" w:color="0000FF"/>
            </w:tcBorders>
            <w:shd w:val="clear" w:color="auto" w:fill="CEFFE7"/>
          </w:tcPr>
          <w:p>
            <w:pPr>
              <w:spacing w:after="0" w:line="20" w:lineRule="exact"/>
              <w:rPr>
                <w:sz w:val="1"/>
                <w:szCs w:val="1"/>
                <w:color w:val="auto"/>
              </w:rPr>
            </w:pPr>
          </w:p>
        </w:tc>
        <w:tc>
          <w:tcPr>
            <w:tcW w:w="180" w:type="dxa"/>
            <w:vAlign w:val="bottom"/>
            <w:tcBorders>
              <w:top w:val="single" w:sz="8" w:color="0000FF"/>
            </w:tcBorders>
            <w:shd w:val="clear" w:color="auto" w:fill="CEFFE7"/>
          </w:tcPr>
          <w:p>
            <w:pPr>
              <w:spacing w:after="0" w:line="20" w:lineRule="exact"/>
              <w:rPr>
                <w:sz w:val="1"/>
                <w:szCs w:val="1"/>
                <w:color w:val="auto"/>
              </w:rPr>
            </w:pPr>
          </w:p>
        </w:tc>
        <w:tc>
          <w:tcPr>
            <w:tcW w:w="1100" w:type="dxa"/>
            <w:vAlign w:val="bottom"/>
            <w:tcBorders>
              <w:top w:val="single" w:sz="8" w:color="0000FF"/>
            </w:tcBorders>
            <w:shd w:val="clear" w:color="auto" w:fill="CEFFE7"/>
          </w:tcPr>
          <w:p>
            <w:pPr>
              <w:spacing w:after="0" w:line="20" w:lineRule="exact"/>
              <w:rPr>
                <w:sz w:val="1"/>
                <w:szCs w:val="1"/>
                <w:color w:val="auto"/>
              </w:rPr>
            </w:pPr>
          </w:p>
        </w:tc>
        <w:tc>
          <w:tcPr>
            <w:tcW w:w="120" w:type="dxa"/>
            <w:vAlign w:val="bottom"/>
            <w:tcBorders>
              <w:top w:val="single" w:sz="8" w:color="0000FF"/>
            </w:tcBorders>
            <w:shd w:val="clear" w:color="auto" w:fill="CEFFE7"/>
          </w:tcPr>
          <w:p>
            <w:pPr>
              <w:spacing w:after="0" w:line="20" w:lineRule="exact"/>
              <w:rPr>
                <w:sz w:val="1"/>
                <w:szCs w:val="1"/>
                <w:color w:val="auto"/>
              </w:rPr>
            </w:pPr>
          </w:p>
        </w:tc>
        <w:tc>
          <w:tcPr>
            <w:tcW w:w="2460" w:type="dxa"/>
            <w:vAlign w:val="bottom"/>
            <w:tcBorders>
              <w:top w:val="single" w:sz="8" w:color="0000FF"/>
            </w:tcBorders>
            <w:shd w:val="clear" w:color="auto" w:fill="CEFFE7"/>
          </w:tcPr>
          <w:p>
            <w:pPr>
              <w:spacing w:after="0" w:line="20" w:lineRule="exact"/>
              <w:rPr>
                <w:sz w:val="1"/>
                <w:szCs w:val="1"/>
                <w:color w:val="auto"/>
              </w:rPr>
            </w:pPr>
          </w:p>
        </w:tc>
        <w:tc>
          <w:tcPr>
            <w:tcW w:w="1860" w:type="dxa"/>
            <w:vAlign w:val="bottom"/>
            <w:tcBorders>
              <w:top w:val="single" w:sz="8" w:color="0000FF"/>
            </w:tcBorders>
            <w:shd w:val="clear" w:color="auto" w:fill="CEFFE7"/>
          </w:tcPr>
          <w:p>
            <w:pPr>
              <w:spacing w:after="0" w:line="20" w:lineRule="exact"/>
              <w:rPr>
                <w:sz w:val="1"/>
                <w:szCs w:val="1"/>
                <w:color w:val="auto"/>
              </w:rPr>
            </w:pPr>
          </w:p>
        </w:tc>
        <w:tc>
          <w:tcPr>
            <w:tcW w:w="8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8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6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r>
      <w:tr>
        <w:trPr>
          <w:trHeight w:val="176"/>
        </w:trPr>
        <w:tc>
          <w:tcPr>
            <w:tcW w:w="1340" w:type="dxa"/>
            <w:vAlign w:val="bottom"/>
          </w:tcPr>
          <w:p>
            <w:pPr>
              <w:ind w:left="20"/>
              <w:spacing w:after="0" w:line="175" w:lineRule="exact"/>
              <w:rPr>
                <w:sz w:val="20"/>
                <w:szCs w:val="20"/>
                <w:color w:val="auto"/>
              </w:rPr>
            </w:pPr>
            <w:r>
              <w:rPr>
                <w:rFonts w:ascii="Arial" w:cs="Arial" w:eastAsia="Arial" w:hAnsi="Arial"/>
                <w:sz w:val="16"/>
                <w:szCs w:val="16"/>
                <w:color w:val="auto"/>
              </w:rPr>
              <w:t>4.2</w:t>
            </w:r>
          </w:p>
        </w:tc>
        <w:tc>
          <w:tcPr>
            <w:tcW w:w="9900" w:type="dxa"/>
            <w:vAlign w:val="bottom"/>
            <w:gridSpan w:val="32"/>
          </w:tcPr>
          <w:p>
            <w:pPr>
              <w:spacing w:after="0" w:line="175" w:lineRule="exact"/>
              <w:rPr>
                <w:rFonts w:ascii="Arial" w:cs="Arial" w:eastAsia="Arial" w:hAnsi="Arial"/>
                <w:sz w:val="16"/>
                <w:szCs w:val="16"/>
                <w:color w:val="0000FF"/>
              </w:rPr>
            </w:pPr>
            <w:hyperlink r:id="rId105">
              <w:r>
                <w:rPr>
                  <w:rFonts w:ascii="Arial" w:cs="Arial" w:eastAsia="Arial" w:hAnsi="Arial"/>
                  <w:sz w:val="16"/>
                  <w:szCs w:val="16"/>
                  <w:color w:val="0000FF"/>
                </w:rPr>
                <w:t>Restated and Amended Indenture of Mortgage and Deed of Trust of Black Hills Corporation (now called Black Hills Power, Inc.) dated as</w:t>
              </w:r>
            </w:hyperlink>
          </w:p>
        </w:tc>
      </w:tr>
      <w:tr>
        <w:trPr>
          <w:trHeight w:val="142"/>
        </w:trPr>
        <w:tc>
          <w:tcPr>
            <w:tcW w:w="1340" w:type="dxa"/>
            <w:vAlign w:val="bottom"/>
          </w:tcPr>
          <w:p>
            <w:pPr>
              <w:spacing w:after="0"/>
              <w:rPr>
                <w:sz w:val="12"/>
                <w:szCs w:val="12"/>
                <w:color w:val="auto"/>
              </w:rPr>
            </w:pPr>
          </w:p>
        </w:tc>
        <w:tc>
          <w:tcPr>
            <w:tcW w:w="9760" w:type="dxa"/>
            <w:vAlign w:val="bottom"/>
            <w:tcBorders>
              <w:top w:val="single" w:sz="8" w:color="0000FF"/>
              <w:bottom w:val="single" w:sz="8" w:color="0000FF"/>
            </w:tcBorders>
            <w:gridSpan w:val="28"/>
          </w:tcPr>
          <w:p>
            <w:pPr>
              <w:spacing w:after="0" w:line="142" w:lineRule="exact"/>
              <w:rPr>
                <w:rFonts w:ascii="Arial" w:cs="Arial" w:eastAsia="Arial" w:hAnsi="Arial"/>
                <w:sz w:val="16"/>
                <w:szCs w:val="16"/>
                <w:color w:val="0000FF"/>
              </w:rPr>
            </w:pPr>
            <w:hyperlink r:id="rId105">
              <w:r>
                <w:rPr>
                  <w:rFonts w:ascii="Arial" w:cs="Arial" w:eastAsia="Arial" w:hAnsi="Arial"/>
                  <w:sz w:val="16"/>
                  <w:szCs w:val="16"/>
                  <w:color w:val="0000FF"/>
                </w:rPr>
                <w:t>of September 1, 1999 (filed as Exhibit 4.19 to the Registrant’s Post-Effective Amendment No. 1 to the Registrant’s Registration Statement</w:t>
              </w:r>
            </w:hyperlink>
          </w:p>
        </w:tc>
        <w:tc>
          <w:tcPr>
            <w:tcW w:w="80" w:type="dxa"/>
            <w:vAlign w:val="bottom"/>
            <w:tcBorders>
              <w:bottom w:val="single" w:sz="8" w:color="0000FF"/>
            </w:tcBorders>
            <w:gridSpan w:val="2"/>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2"/>
        </w:trPr>
        <w:tc>
          <w:tcPr>
            <w:tcW w:w="1340" w:type="dxa"/>
            <w:vAlign w:val="bottom"/>
          </w:tcPr>
          <w:p>
            <w:pPr>
              <w:spacing w:after="0"/>
              <w:rPr>
                <w:sz w:val="12"/>
                <w:szCs w:val="12"/>
                <w:color w:val="auto"/>
              </w:rPr>
            </w:pPr>
          </w:p>
        </w:tc>
        <w:tc>
          <w:tcPr>
            <w:tcW w:w="9840" w:type="dxa"/>
            <w:vAlign w:val="bottom"/>
            <w:gridSpan w:val="30"/>
          </w:tcPr>
          <w:p>
            <w:pPr>
              <w:spacing w:after="0" w:line="142" w:lineRule="exact"/>
              <w:rPr>
                <w:rFonts w:ascii="Arial" w:cs="Arial" w:eastAsia="Arial" w:hAnsi="Arial"/>
                <w:sz w:val="16"/>
                <w:szCs w:val="16"/>
                <w:color w:val="0000FF"/>
              </w:rPr>
            </w:pPr>
            <w:hyperlink r:id="rId105">
              <w:r>
                <w:rPr>
                  <w:rFonts w:ascii="Arial" w:cs="Arial" w:eastAsia="Arial" w:hAnsi="Arial"/>
                  <w:sz w:val="16"/>
                  <w:szCs w:val="16"/>
                  <w:color w:val="0000FF"/>
                </w:rPr>
                <w:t>on Form S-3 (No. 333-150669)).</w:t>
              </w:r>
            </w:hyperlink>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1"/>
        </w:trPr>
        <w:tc>
          <w:tcPr>
            <w:tcW w:w="134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440" w:type="dxa"/>
            <w:vAlign w:val="bottom"/>
            <w:tcBorders>
              <w:top w:val="single" w:sz="8" w:color="0000FF"/>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340" w:type="dxa"/>
            <w:vAlign w:val="bottom"/>
            <w:shd w:val="clear" w:color="auto" w:fill="CEFFE7"/>
          </w:tcPr>
          <w:p>
            <w:pPr>
              <w:ind w:left="20"/>
              <w:spacing w:after="0" w:line="175" w:lineRule="exact"/>
              <w:rPr>
                <w:sz w:val="20"/>
                <w:szCs w:val="20"/>
                <w:color w:val="auto"/>
              </w:rPr>
            </w:pPr>
            <w:r>
              <w:rPr>
                <w:rFonts w:ascii="Arial" w:cs="Arial" w:eastAsia="Arial" w:hAnsi="Arial"/>
                <w:sz w:val="16"/>
                <w:szCs w:val="16"/>
                <w:color w:val="auto"/>
              </w:rPr>
              <w:t>4.2.1</w:t>
            </w:r>
          </w:p>
        </w:tc>
        <w:tc>
          <w:tcPr>
            <w:tcW w:w="9900" w:type="dxa"/>
            <w:vAlign w:val="bottom"/>
            <w:gridSpan w:val="32"/>
            <w:shd w:val="clear" w:color="auto" w:fill="CEFFE7"/>
          </w:tcPr>
          <w:p>
            <w:pPr>
              <w:spacing w:after="0" w:line="175" w:lineRule="exact"/>
              <w:rPr>
                <w:rFonts w:ascii="Arial" w:cs="Arial" w:eastAsia="Arial" w:hAnsi="Arial"/>
                <w:sz w:val="16"/>
                <w:szCs w:val="16"/>
                <w:color w:val="0000FF"/>
              </w:rPr>
            </w:pPr>
            <w:hyperlink r:id="rId106">
              <w:r>
                <w:rPr>
                  <w:rFonts w:ascii="Arial" w:cs="Arial" w:eastAsia="Arial" w:hAnsi="Arial"/>
                  <w:sz w:val="16"/>
                  <w:szCs w:val="16"/>
                  <w:color w:val="0000FF"/>
                </w:rPr>
                <w:t>First Supplemental Indenture, dated as of August 13, 2002, between Black Hills Power, Inc. and The Bank of New York Mellon (as</w:t>
              </w:r>
            </w:hyperlink>
          </w:p>
        </w:tc>
      </w:tr>
      <w:tr>
        <w:trPr>
          <w:trHeight w:val="142"/>
        </w:trPr>
        <w:tc>
          <w:tcPr>
            <w:tcW w:w="1340" w:type="dxa"/>
            <w:vAlign w:val="bottom"/>
            <w:tcBorders>
              <w:top w:val="single" w:sz="8" w:color="CEFFE7"/>
            </w:tcBorders>
            <w:shd w:val="clear" w:color="auto" w:fill="CEFFE7"/>
          </w:tcPr>
          <w:p>
            <w:pPr>
              <w:spacing w:after="0"/>
              <w:rPr>
                <w:sz w:val="12"/>
                <w:szCs w:val="12"/>
                <w:color w:val="auto"/>
              </w:rPr>
            </w:pPr>
          </w:p>
        </w:tc>
        <w:tc>
          <w:tcPr>
            <w:tcW w:w="9300" w:type="dxa"/>
            <w:vAlign w:val="bottom"/>
            <w:tcBorders>
              <w:top w:val="single" w:sz="8" w:color="0000FF"/>
            </w:tcBorders>
            <w:gridSpan w:val="13"/>
            <w:shd w:val="clear" w:color="auto" w:fill="CEFFE7"/>
          </w:tcPr>
          <w:p>
            <w:pPr>
              <w:spacing w:after="0" w:line="142" w:lineRule="exact"/>
              <w:rPr>
                <w:rFonts w:ascii="Arial" w:cs="Arial" w:eastAsia="Arial" w:hAnsi="Arial"/>
                <w:sz w:val="16"/>
                <w:szCs w:val="16"/>
                <w:color w:val="0000FF"/>
              </w:rPr>
            </w:pPr>
            <w:hyperlink r:id="rId106">
              <w:r>
                <w:rPr>
                  <w:rFonts w:ascii="Arial" w:cs="Arial" w:eastAsia="Arial" w:hAnsi="Arial"/>
                  <w:sz w:val="16"/>
                  <w:szCs w:val="16"/>
                  <w:color w:val="0000FF"/>
                </w:rPr>
                <w:t>successor to JPMorgan Chase Bank), as Trustee (filed as Exhibit 4.20 to the Registrant’s Post-Effective Amendment No. 1 to the</w:t>
              </w:r>
            </w:hyperlink>
          </w:p>
        </w:tc>
        <w:tc>
          <w:tcPr>
            <w:tcW w:w="20" w:type="dxa"/>
            <w:vAlign w:val="bottom"/>
            <w:tcBorders>
              <w:top w:val="single" w:sz="8" w:color="CEFFE7"/>
            </w:tcBorders>
            <w:shd w:val="clear" w:color="auto" w:fill="CEFFE7"/>
          </w:tcPr>
          <w:p>
            <w:pPr>
              <w:spacing w:after="0"/>
              <w:rPr>
                <w:sz w:val="12"/>
                <w:szCs w:val="12"/>
                <w:color w:val="auto"/>
              </w:rPr>
            </w:pPr>
          </w:p>
        </w:tc>
        <w:tc>
          <w:tcPr>
            <w:tcW w:w="20" w:type="dxa"/>
            <w:vAlign w:val="bottom"/>
            <w:tcBorders>
              <w:top w:val="single" w:sz="8" w:color="CEFFE7"/>
            </w:tcBorders>
            <w:shd w:val="clear" w:color="auto" w:fill="CEFFE7"/>
          </w:tcPr>
          <w:p>
            <w:pPr>
              <w:spacing w:after="0"/>
              <w:rPr>
                <w:sz w:val="12"/>
                <w:szCs w:val="12"/>
                <w:color w:val="auto"/>
              </w:rPr>
            </w:pPr>
          </w:p>
        </w:tc>
        <w:tc>
          <w:tcPr>
            <w:tcW w:w="40" w:type="dxa"/>
            <w:vAlign w:val="bottom"/>
            <w:tcBorders>
              <w:top w:val="single" w:sz="8" w:color="CEFFE7"/>
            </w:tcBorders>
            <w:shd w:val="clear" w:color="auto" w:fill="CEFFE7"/>
          </w:tcPr>
          <w:p>
            <w:pPr>
              <w:spacing w:after="0"/>
              <w:rPr>
                <w:sz w:val="12"/>
                <w:szCs w:val="12"/>
                <w:color w:val="auto"/>
              </w:rPr>
            </w:pPr>
          </w:p>
        </w:tc>
        <w:tc>
          <w:tcPr>
            <w:tcW w:w="80" w:type="dxa"/>
            <w:vAlign w:val="bottom"/>
            <w:tcBorders>
              <w:top w:val="single" w:sz="8" w:color="CEFFE7"/>
            </w:tcBorders>
            <w:shd w:val="clear" w:color="auto" w:fill="CEFFE7"/>
          </w:tcPr>
          <w:p>
            <w:pPr>
              <w:spacing w:after="0"/>
              <w:rPr>
                <w:sz w:val="12"/>
                <w:szCs w:val="12"/>
                <w:color w:val="auto"/>
              </w:rPr>
            </w:pPr>
          </w:p>
        </w:tc>
        <w:tc>
          <w:tcPr>
            <w:tcW w:w="20" w:type="dxa"/>
            <w:vAlign w:val="bottom"/>
            <w:tcBorders>
              <w:top w:val="single" w:sz="8" w:color="CEFFE7"/>
            </w:tcBorders>
            <w:shd w:val="clear" w:color="auto" w:fill="CEFFE7"/>
          </w:tcPr>
          <w:p>
            <w:pPr>
              <w:spacing w:after="0"/>
              <w:rPr>
                <w:sz w:val="12"/>
                <w:szCs w:val="12"/>
                <w:color w:val="auto"/>
              </w:rPr>
            </w:pPr>
          </w:p>
        </w:tc>
        <w:tc>
          <w:tcPr>
            <w:tcW w:w="20" w:type="dxa"/>
            <w:vAlign w:val="bottom"/>
            <w:tcBorders>
              <w:top w:val="single" w:sz="8" w:color="CEFFE7"/>
            </w:tcBorders>
            <w:shd w:val="clear" w:color="auto" w:fill="CEFFE7"/>
          </w:tcPr>
          <w:p>
            <w:pPr>
              <w:spacing w:after="0"/>
              <w:rPr>
                <w:sz w:val="12"/>
                <w:szCs w:val="12"/>
                <w:color w:val="auto"/>
              </w:rPr>
            </w:pPr>
          </w:p>
        </w:tc>
        <w:tc>
          <w:tcPr>
            <w:tcW w:w="140" w:type="dxa"/>
            <w:vAlign w:val="bottom"/>
            <w:tcBorders>
              <w:top w:val="single" w:sz="8" w:color="CEFFE7"/>
            </w:tcBorders>
            <w:gridSpan w:val="4"/>
            <w:shd w:val="clear" w:color="auto" w:fill="CEFFE7"/>
          </w:tcPr>
          <w:p>
            <w:pPr>
              <w:spacing w:after="0"/>
              <w:rPr>
                <w:sz w:val="12"/>
                <w:szCs w:val="12"/>
                <w:color w:val="auto"/>
              </w:rPr>
            </w:pPr>
          </w:p>
        </w:tc>
        <w:tc>
          <w:tcPr>
            <w:tcW w:w="20" w:type="dxa"/>
            <w:vAlign w:val="bottom"/>
            <w:tcBorders>
              <w:top w:val="single" w:sz="8" w:color="CEFFE7"/>
            </w:tcBorders>
            <w:shd w:val="clear" w:color="auto" w:fill="CEFFE7"/>
          </w:tcPr>
          <w:p>
            <w:pPr>
              <w:spacing w:after="0"/>
              <w:rPr>
                <w:sz w:val="12"/>
                <w:szCs w:val="12"/>
                <w:color w:val="auto"/>
              </w:rPr>
            </w:pPr>
          </w:p>
        </w:tc>
        <w:tc>
          <w:tcPr>
            <w:tcW w:w="20" w:type="dxa"/>
            <w:vAlign w:val="bottom"/>
            <w:tcBorders>
              <w:top w:val="single" w:sz="8" w:color="CEFFE7"/>
            </w:tcBorders>
            <w:shd w:val="clear" w:color="auto" w:fill="CEFFE7"/>
          </w:tcPr>
          <w:p>
            <w:pPr>
              <w:spacing w:after="0"/>
              <w:rPr>
                <w:sz w:val="12"/>
                <w:szCs w:val="12"/>
                <w:color w:val="auto"/>
              </w:rPr>
            </w:pPr>
          </w:p>
        </w:tc>
        <w:tc>
          <w:tcPr>
            <w:tcW w:w="20" w:type="dxa"/>
            <w:vAlign w:val="bottom"/>
            <w:tcBorders>
              <w:top w:val="single" w:sz="8" w:color="CEFFE7"/>
            </w:tcBorders>
            <w:shd w:val="clear" w:color="auto" w:fill="CEFFE7"/>
          </w:tcPr>
          <w:p>
            <w:pPr>
              <w:spacing w:after="0"/>
              <w:rPr>
                <w:sz w:val="12"/>
                <w:szCs w:val="12"/>
                <w:color w:val="auto"/>
              </w:rPr>
            </w:pPr>
          </w:p>
        </w:tc>
        <w:tc>
          <w:tcPr>
            <w:tcW w:w="20" w:type="dxa"/>
            <w:vAlign w:val="bottom"/>
            <w:tcBorders>
              <w:top w:val="single" w:sz="8" w:color="CEFFE7"/>
            </w:tcBorders>
            <w:shd w:val="clear" w:color="auto" w:fill="CEFFE7"/>
          </w:tcPr>
          <w:p>
            <w:pPr>
              <w:spacing w:after="0"/>
              <w:rPr>
                <w:sz w:val="12"/>
                <w:szCs w:val="12"/>
                <w:color w:val="auto"/>
              </w:rPr>
            </w:pPr>
          </w:p>
        </w:tc>
        <w:tc>
          <w:tcPr>
            <w:tcW w:w="40" w:type="dxa"/>
            <w:vAlign w:val="bottom"/>
            <w:tcBorders>
              <w:top w:val="single" w:sz="8" w:color="CEFFE7"/>
            </w:tcBorders>
            <w:shd w:val="clear" w:color="auto" w:fill="CEFFE7"/>
          </w:tcPr>
          <w:p>
            <w:pPr>
              <w:spacing w:after="0"/>
              <w:rPr>
                <w:sz w:val="12"/>
                <w:szCs w:val="12"/>
                <w:color w:val="auto"/>
              </w:rPr>
            </w:pPr>
          </w:p>
        </w:tc>
        <w:tc>
          <w:tcPr>
            <w:tcW w:w="120" w:type="dxa"/>
            <w:vAlign w:val="bottom"/>
            <w:tcBorders>
              <w:top w:val="single" w:sz="8" w:color="CEFFE7"/>
            </w:tcBorders>
            <w:gridSpan w:val="3"/>
            <w:shd w:val="clear" w:color="auto" w:fill="CEFFE7"/>
          </w:tcPr>
          <w:p>
            <w:pPr>
              <w:spacing w:after="0"/>
              <w:rPr>
                <w:sz w:val="12"/>
                <w:szCs w:val="12"/>
                <w:color w:val="auto"/>
              </w:rPr>
            </w:pPr>
          </w:p>
        </w:tc>
        <w:tc>
          <w:tcPr>
            <w:tcW w:w="20" w:type="dxa"/>
            <w:vAlign w:val="bottom"/>
            <w:tcBorders>
              <w:top w:val="single" w:sz="8" w:color="CEFFE7"/>
            </w:tcBorders>
            <w:shd w:val="clear" w:color="auto" w:fill="CEFFE7"/>
          </w:tcPr>
          <w:p>
            <w:pPr>
              <w:spacing w:after="0"/>
              <w:rPr>
                <w:sz w:val="12"/>
                <w:szCs w:val="12"/>
                <w:color w:val="auto"/>
              </w:rPr>
            </w:pPr>
          </w:p>
        </w:tc>
      </w:tr>
      <w:tr>
        <w:trPr>
          <w:trHeight w:val="163"/>
        </w:trPr>
        <w:tc>
          <w:tcPr>
            <w:tcW w:w="1340" w:type="dxa"/>
            <w:vAlign w:val="bottom"/>
            <w:tcBorders>
              <w:top w:val="single" w:sz="8" w:color="CEFFE7"/>
              <w:bottom w:val="single" w:sz="8" w:color="CEFFE7"/>
            </w:tcBorders>
            <w:shd w:val="clear" w:color="auto" w:fill="CEFFE7"/>
          </w:tcPr>
          <w:p>
            <w:pPr>
              <w:spacing w:after="0"/>
              <w:rPr>
                <w:sz w:val="14"/>
                <w:szCs w:val="14"/>
                <w:color w:val="auto"/>
              </w:rPr>
            </w:pPr>
          </w:p>
        </w:tc>
        <w:tc>
          <w:tcPr>
            <w:tcW w:w="4900" w:type="dxa"/>
            <w:vAlign w:val="bottom"/>
            <w:tcBorders>
              <w:top w:val="single" w:sz="8" w:color="0000FF"/>
              <w:bottom w:val="single" w:sz="8" w:color="0000FF"/>
            </w:tcBorders>
            <w:gridSpan w:val="10"/>
            <w:shd w:val="clear" w:color="auto" w:fill="CEFFE7"/>
          </w:tcPr>
          <w:p>
            <w:pPr>
              <w:spacing w:after="0" w:line="142" w:lineRule="exact"/>
              <w:rPr>
                <w:rFonts w:ascii="Arial" w:cs="Arial" w:eastAsia="Arial" w:hAnsi="Arial"/>
                <w:sz w:val="16"/>
                <w:szCs w:val="16"/>
                <w:color w:val="0000FF"/>
              </w:rPr>
            </w:pPr>
            <w:hyperlink r:id="rId106">
              <w:r>
                <w:rPr>
                  <w:rFonts w:ascii="Arial" w:cs="Arial" w:eastAsia="Arial" w:hAnsi="Arial"/>
                  <w:sz w:val="16"/>
                  <w:szCs w:val="16"/>
                  <w:color w:val="0000FF"/>
                </w:rPr>
                <w:t>Registrant’s Registration Statement on Form S</w:t>
              </w:r>
              <w:r>
                <w:rPr>
                  <w:rFonts w:ascii="MS PGothic" w:cs="MS PGothic" w:eastAsia="MS PGothic" w:hAnsi="MS PGothic"/>
                  <w:sz w:val="16"/>
                  <w:szCs w:val="16"/>
                  <w:color w:val="0000FF"/>
                </w:rPr>
                <w:t>‑</w:t>
              </w:r>
              <w:r>
                <w:rPr>
                  <w:rFonts w:ascii="Arial" w:cs="Arial" w:eastAsia="Arial" w:hAnsi="Arial"/>
                  <w:sz w:val="16"/>
                  <w:szCs w:val="16"/>
                  <w:color w:val="0000FF"/>
                </w:rPr>
                <w:t>3 (No. 333</w:t>
              </w:r>
              <w:r>
                <w:rPr>
                  <w:rFonts w:ascii="MS PGothic" w:cs="MS PGothic" w:eastAsia="MS PGothic" w:hAnsi="MS PGothic"/>
                  <w:sz w:val="16"/>
                  <w:szCs w:val="16"/>
                  <w:color w:val="0000FF"/>
                </w:rPr>
                <w:t>‑</w:t>
              </w:r>
              <w:r>
                <w:rPr>
                  <w:rFonts w:ascii="Arial" w:cs="Arial" w:eastAsia="Arial" w:hAnsi="Arial"/>
                  <w:sz w:val="16"/>
                  <w:szCs w:val="16"/>
                  <w:color w:val="0000FF"/>
                </w:rPr>
                <w:t>150669)).</w:t>
              </w:r>
            </w:hyperlink>
          </w:p>
        </w:tc>
        <w:tc>
          <w:tcPr>
            <w:tcW w:w="4320" w:type="dxa"/>
            <w:vAlign w:val="bottom"/>
            <w:tcBorders>
              <w:top w:val="single" w:sz="8" w:color="0000FF"/>
              <w:bottom w:val="single" w:sz="8" w:color="CEFFE7"/>
            </w:tcBorders>
            <w:gridSpan w:val="2"/>
            <w:shd w:val="clear" w:color="auto" w:fill="CEFFE7"/>
          </w:tcPr>
          <w:p>
            <w:pPr>
              <w:spacing w:after="0"/>
              <w:rPr>
                <w:sz w:val="14"/>
                <w:szCs w:val="14"/>
                <w:color w:val="auto"/>
              </w:rPr>
            </w:pPr>
          </w:p>
        </w:tc>
        <w:tc>
          <w:tcPr>
            <w:tcW w:w="100" w:type="dxa"/>
            <w:vAlign w:val="bottom"/>
            <w:tcBorders>
              <w:top w:val="single" w:sz="8" w:color="CEFFE7"/>
              <w:bottom w:val="single" w:sz="8" w:color="CEFFE7"/>
            </w:tcBorders>
            <w:gridSpan w:val="2"/>
            <w:shd w:val="clear" w:color="auto" w:fill="CEFFE7"/>
          </w:tcPr>
          <w:p>
            <w:pPr>
              <w:spacing w:after="0"/>
              <w:rPr>
                <w:sz w:val="14"/>
                <w:szCs w:val="14"/>
                <w:color w:val="auto"/>
              </w:rPr>
            </w:pPr>
          </w:p>
        </w:tc>
        <w:tc>
          <w:tcPr>
            <w:tcW w:w="20" w:type="dxa"/>
            <w:vAlign w:val="bottom"/>
            <w:tcBorders>
              <w:top w:val="single" w:sz="8" w:color="CEFFE7"/>
              <w:bottom w:val="single" w:sz="8" w:color="CEFFE7"/>
            </w:tcBorders>
            <w:shd w:val="clear" w:color="auto" w:fill="CEFFE7"/>
          </w:tcPr>
          <w:p>
            <w:pPr>
              <w:spacing w:after="0"/>
              <w:rPr>
                <w:sz w:val="14"/>
                <w:szCs w:val="14"/>
                <w:color w:val="auto"/>
              </w:rPr>
            </w:pPr>
          </w:p>
        </w:tc>
        <w:tc>
          <w:tcPr>
            <w:tcW w:w="40" w:type="dxa"/>
            <w:vAlign w:val="bottom"/>
            <w:tcBorders>
              <w:top w:val="single" w:sz="8" w:color="CEFFE7"/>
              <w:bottom w:val="single" w:sz="8" w:color="CEFFE7"/>
            </w:tcBorders>
            <w:shd w:val="clear" w:color="auto" w:fill="CEFFE7"/>
          </w:tcPr>
          <w:p>
            <w:pPr>
              <w:spacing w:after="0"/>
              <w:rPr>
                <w:sz w:val="14"/>
                <w:szCs w:val="14"/>
                <w:color w:val="auto"/>
              </w:rPr>
            </w:pPr>
          </w:p>
        </w:tc>
        <w:tc>
          <w:tcPr>
            <w:tcW w:w="80" w:type="dxa"/>
            <w:vAlign w:val="bottom"/>
            <w:tcBorders>
              <w:top w:val="single" w:sz="8" w:color="CEFFE7"/>
              <w:bottom w:val="single" w:sz="8" w:color="CEFFE7"/>
            </w:tcBorders>
            <w:shd w:val="clear" w:color="auto" w:fill="CEFFE7"/>
          </w:tcPr>
          <w:p>
            <w:pPr>
              <w:spacing w:after="0"/>
              <w:rPr>
                <w:sz w:val="14"/>
                <w:szCs w:val="14"/>
                <w:color w:val="auto"/>
              </w:rPr>
            </w:pPr>
          </w:p>
        </w:tc>
        <w:tc>
          <w:tcPr>
            <w:tcW w:w="20" w:type="dxa"/>
            <w:vAlign w:val="bottom"/>
            <w:tcBorders>
              <w:top w:val="single" w:sz="8" w:color="CEFFE7"/>
              <w:bottom w:val="single" w:sz="8" w:color="CEFFE7"/>
            </w:tcBorders>
            <w:shd w:val="clear" w:color="auto" w:fill="CEFFE7"/>
          </w:tcPr>
          <w:p>
            <w:pPr>
              <w:spacing w:after="0"/>
              <w:rPr>
                <w:sz w:val="14"/>
                <w:szCs w:val="14"/>
                <w:color w:val="auto"/>
              </w:rPr>
            </w:pPr>
          </w:p>
        </w:tc>
        <w:tc>
          <w:tcPr>
            <w:tcW w:w="20" w:type="dxa"/>
            <w:vAlign w:val="bottom"/>
            <w:tcBorders>
              <w:top w:val="single" w:sz="8" w:color="CEFFE7"/>
              <w:bottom w:val="single" w:sz="8" w:color="CEFFE7"/>
            </w:tcBorders>
            <w:shd w:val="clear" w:color="auto" w:fill="CEFFE7"/>
          </w:tcPr>
          <w:p>
            <w:pPr>
              <w:spacing w:after="0"/>
              <w:rPr>
                <w:sz w:val="14"/>
                <w:szCs w:val="14"/>
                <w:color w:val="auto"/>
              </w:rPr>
            </w:pPr>
          </w:p>
        </w:tc>
        <w:tc>
          <w:tcPr>
            <w:tcW w:w="140" w:type="dxa"/>
            <w:vAlign w:val="bottom"/>
            <w:tcBorders>
              <w:top w:val="single" w:sz="8" w:color="CEFFE7"/>
              <w:bottom w:val="single" w:sz="8" w:color="CEFFE7"/>
            </w:tcBorders>
            <w:gridSpan w:val="4"/>
            <w:shd w:val="clear" w:color="auto" w:fill="CEFFE7"/>
          </w:tcPr>
          <w:p>
            <w:pPr>
              <w:spacing w:after="0"/>
              <w:rPr>
                <w:sz w:val="14"/>
                <w:szCs w:val="14"/>
                <w:color w:val="auto"/>
              </w:rPr>
            </w:pPr>
          </w:p>
        </w:tc>
        <w:tc>
          <w:tcPr>
            <w:tcW w:w="20" w:type="dxa"/>
            <w:vAlign w:val="bottom"/>
            <w:tcBorders>
              <w:top w:val="single" w:sz="8" w:color="CEFFE7"/>
              <w:bottom w:val="single" w:sz="8" w:color="CEFFE7"/>
            </w:tcBorders>
            <w:shd w:val="clear" w:color="auto" w:fill="CEFFE7"/>
          </w:tcPr>
          <w:p>
            <w:pPr>
              <w:spacing w:after="0"/>
              <w:rPr>
                <w:sz w:val="14"/>
                <w:szCs w:val="14"/>
                <w:color w:val="auto"/>
              </w:rPr>
            </w:pPr>
          </w:p>
        </w:tc>
        <w:tc>
          <w:tcPr>
            <w:tcW w:w="20" w:type="dxa"/>
            <w:vAlign w:val="bottom"/>
            <w:tcBorders>
              <w:top w:val="single" w:sz="8" w:color="CEFFE7"/>
              <w:bottom w:val="single" w:sz="8" w:color="CEFFE7"/>
            </w:tcBorders>
            <w:shd w:val="clear" w:color="auto" w:fill="CEFFE7"/>
          </w:tcPr>
          <w:p>
            <w:pPr>
              <w:spacing w:after="0"/>
              <w:rPr>
                <w:sz w:val="14"/>
                <w:szCs w:val="14"/>
                <w:color w:val="auto"/>
              </w:rPr>
            </w:pPr>
          </w:p>
        </w:tc>
        <w:tc>
          <w:tcPr>
            <w:tcW w:w="20" w:type="dxa"/>
            <w:vAlign w:val="bottom"/>
            <w:tcBorders>
              <w:top w:val="single" w:sz="8" w:color="CEFFE7"/>
              <w:bottom w:val="single" w:sz="8" w:color="CEFFE7"/>
            </w:tcBorders>
            <w:shd w:val="clear" w:color="auto" w:fill="CEFFE7"/>
          </w:tcPr>
          <w:p>
            <w:pPr>
              <w:spacing w:after="0"/>
              <w:rPr>
                <w:sz w:val="14"/>
                <w:szCs w:val="14"/>
                <w:color w:val="auto"/>
              </w:rPr>
            </w:pPr>
          </w:p>
        </w:tc>
        <w:tc>
          <w:tcPr>
            <w:tcW w:w="20" w:type="dxa"/>
            <w:vAlign w:val="bottom"/>
            <w:tcBorders>
              <w:top w:val="single" w:sz="8" w:color="CEFFE7"/>
              <w:bottom w:val="single" w:sz="8" w:color="CEFFE7"/>
            </w:tcBorders>
            <w:shd w:val="clear" w:color="auto" w:fill="CEFFE7"/>
          </w:tcPr>
          <w:p>
            <w:pPr>
              <w:spacing w:after="0"/>
              <w:rPr>
                <w:sz w:val="14"/>
                <w:szCs w:val="14"/>
                <w:color w:val="auto"/>
              </w:rPr>
            </w:pPr>
          </w:p>
        </w:tc>
        <w:tc>
          <w:tcPr>
            <w:tcW w:w="40" w:type="dxa"/>
            <w:vAlign w:val="bottom"/>
            <w:tcBorders>
              <w:top w:val="single" w:sz="8" w:color="CEFFE7"/>
              <w:bottom w:val="single" w:sz="8" w:color="CEFFE7"/>
            </w:tcBorders>
            <w:shd w:val="clear" w:color="auto" w:fill="CEFFE7"/>
          </w:tcPr>
          <w:p>
            <w:pPr>
              <w:spacing w:after="0"/>
              <w:rPr>
                <w:sz w:val="14"/>
                <w:szCs w:val="14"/>
                <w:color w:val="auto"/>
              </w:rPr>
            </w:pPr>
          </w:p>
        </w:tc>
        <w:tc>
          <w:tcPr>
            <w:tcW w:w="120" w:type="dxa"/>
            <w:vAlign w:val="bottom"/>
            <w:tcBorders>
              <w:top w:val="single" w:sz="8" w:color="CEFFE7"/>
              <w:bottom w:val="single" w:sz="8" w:color="CEFFE7"/>
            </w:tcBorders>
            <w:gridSpan w:val="3"/>
            <w:shd w:val="clear" w:color="auto" w:fill="CEFFE7"/>
          </w:tcPr>
          <w:p>
            <w:pPr>
              <w:spacing w:after="0"/>
              <w:rPr>
                <w:sz w:val="14"/>
                <w:szCs w:val="14"/>
                <w:color w:val="auto"/>
              </w:rPr>
            </w:pPr>
          </w:p>
        </w:tc>
        <w:tc>
          <w:tcPr>
            <w:tcW w:w="20" w:type="dxa"/>
            <w:vAlign w:val="bottom"/>
            <w:tcBorders>
              <w:top w:val="single" w:sz="8" w:color="CEFFE7"/>
              <w:bottom w:val="single" w:sz="8" w:color="CEFFE7"/>
            </w:tcBorders>
            <w:shd w:val="clear" w:color="auto" w:fill="CEFFE7"/>
          </w:tcPr>
          <w:p>
            <w:pPr>
              <w:spacing w:after="0"/>
              <w:rPr>
                <w:sz w:val="14"/>
                <w:szCs w:val="14"/>
                <w:color w:val="auto"/>
              </w:rPr>
            </w:pPr>
          </w:p>
        </w:tc>
      </w:tr>
      <w:tr>
        <w:trPr>
          <w:trHeight w:val="175"/>
        </w:trPr>
        <w:tc>
          <w:tcPr>
            <w:tcW w:w="1340" w:type="dxa"/>
            <w:vAlign w:val="bottom"/>
          </w:tcPr>
          <w:p>
            <w:pPr>
              <w:ind w:left="20"/>
              <w:spacing w:after="0" w:line="175" w:lineRule="exact"/>
              <w:rPr>
                <w:sz w:val="20"/>
                <w:szCs w:val="20"/>
                <w:color w:val="auto"/>
              </w:rPr>
            </w:pPr>
            <w:r>
              <w:rPr>
                <w:rFonts w:ascii="Arial" w:cs="Arial" w:eastAsia="Arial" w:hAnsi="Arial"/>
                <w:sz w:val="16"/>
                <w:szCs w:val="16"/>
                <w:color w:val="auto"/>
              </w:rPr>
              <w:t>4.2.2</w:t>
            </w:r>
          </w:p>
        </w:tc>
        <w:tc>
          <w:tcPr>
            <w:tcW w:w="9900" w:type="dxa"/>
            <w:vAlign w:val="bottom"/>
            <w:gridSpan w:val="32"/>
          </w:tcPr>
          <w:p>
            <w:pPr>
              <w:spacing w:after="0" w:line="175" w:lineRule="exact"/>
              <w:rPr>
                <w:rFonts w:ascii="Arial" w:cs="Arial" w:eastAsia="Arial" w:hAnsi="Arial"/>
                <w:sz w:val="16"/>
                <w:szCs w:val="16"/>
                <w:color w:val="0000FF"/>
              </w:rPr>
            </w:pPr>
            <w:hyperlink r:id="rId107">
              <w:r>
                <w:rPr>
                  <w:rFonts w:ascii="Arial" w:cs="Arial" w:eastAsia="Arial" w:hAnsi="Arial"/>
                  <w:sz w:val="16"/>
                  <w:szCs w:val="16"/>
                  <w:color w:val="0000FF"/>
                </w:rPr>
                <w:t>Second Supplemental Indenture, dated as of October 27, 2009, between Black Hills Power, Inc. and The Bank of New York Mellon (filed</w:t>
              </w:r>
            </w:hyperlink>
          </w:p>
        </w:tc>
      </w:tr>
      <w:tr>
        <w:trPr>
          <w:trHeight w:val="142"/>
        </w:trPr>
        <w:tc>
          <w:tcPr>
            <w:tcW w:w="1340" w:type="dxa"/>
            <w:vAlign w:val="bottom"/>
          </w:tcPr>
          <w:p>
            <w:pPr>
              <w:spacing w:after="0"/>
              <w:rPr>
                <w:sz w:val="12"/>
                <w:szCs w:val="12"/>
                <w:color w:val="auto"/>
              </w:rPr>
            </w:pPr>
          </w:p>
        </w:tc>
        <w:tc>
          <w:tcPr>
            <w:tcW w:w="9720" w:type="dxa"/>
            <w:vAlign w:val="bottom"/>
            <w:tcBorders>
              <w:top w:val="single" w:sz="8" w:color="0000FF"/>
            </w:tcBorders>
            <w:gridSpan w:val="27"/>
          </w:tcPr>
          <w:p>
            <w:pPr>
              <w:spacing w:after="0" w:line="142" w:lineRule="exact"/>
              <w:rPr>
                <w:rFonts w:ascii="Arial" w:cs="Arial" w:eastAsia="Arial" w:hAnsi="Arial"/>
                <w:sz w:val="16"/>
                <w:szCs w:val="16"/>
                <w:color w:val="0000FF"/>
              </w:rPr>
            </w:pPr>
            <w:hyperlink r:id="rId107">
              <w:r>
                <w:rPr>
                  <w:rFonts w:ascii="Arial" w:cs="Arial" w:eastAsia="Arial" w:hAnsi="Arial"/>
                  <w:sz w:val="16"/>
                  <w:szCs w:val="16"/>
                  <w:color w:val="0000FF"/>
                </w:rPr>
                <w:t>as Exhibit 4.21 to the Registrant’s Post-Effective Amendment No. 2 to the Registrant’s Registration Statement on Form S-3 (No. 333-</w:t>
              </w:r>
            </w:hyperlink>
          </w:p>
        </w:tc>
        <w:tc>
          <w:tcPr>
            <w:tcW w:w="40" w:type="dxa"/>
            <w:vAlign w:val="bottom"/>
          </w:tcPr>
          <w:p>
            <w:pPr>
              <w:spacing w:after="0"/>
              <w:rPr>
                <w:sz w:val="12"/>
                <w:szCs w:val="12"/>
                <w:color w:val="auto"/>
              </w:rPr>
            </w:pPr>
          </w:p>
        </w:tc>
        <w:tc>
          <w:tcPr>
            <w:tcW w:w="12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r>
      <w:tr>
        <w:trPr>
          <w:trHeight w:val="142"/>
        </w:trPr>
        <w:tc>
          <w:tcPr>
            <w:tcW w:w="1340" w:type="dxa"/>
            <w:vAlign w:val="bottom"/>
          </w:tcPr>
          <w:p>
            <w:pPr>
              <w:spacing w:after="0"/>
              <w:rPr>
                <w:sz w:val="12"/>
                <w:szCs w:val="12"/>
                <w:color w:val="auto"/>
              </w:rPr>
            </w:pPr>
          </w:p>
        </w:tc>
        <w:tc>
          <w:tcPr>
            <w:tcW w:w="720" w:type="dxa"/>
            <w:vAlign w:val="bottom"/>
            <w:tcBorders>
              <w:top w:val="single" w:sz="8" w:color="0000FF"/>
            </w:tcBorders>
            <w:gridSpan w:val="3"/>
          </w:tcPr>
          <w:p>
            <w:pPr>
              <w:spacing w:after="0" w:line="142" w:lineRule="exact"/>
              <w:rPr>
                <w:rFonts w:ascii="Arial" w:cs="Arial" w:eastAsia="Arial" w:hAnsi="Arial"/>
                <w:sz w:val="16"/>
                <w:szCs w:val="16"/>
                <w:color w:val="0000FF"/>
              </w:rPr>
            </w:pPr>
            <w:hyperlink r:id="rId107">
              <w:r>
                <w:rPr>
                  <w:rFonts w:ascii="Arial" w:cs="Arial" w:eastAsia="Arial" w:hAnsi="Arial"/>
                  <w:sz w:val="16"/>
                  <w:szCs w:val="16"/>
                  <w:color w:val="0000FF"/>
                </w:rPr>
                <w:t>150669)</w:t>
              </w:r>
              <w:r>
                <w:rPr>
                  <w:rFonts w:ascii="Arial" w:cs="Arial" w:eastAsia="Arial" w:hAnsi="Arial"/>
                  <w:sz w:val="16"/>
                  <w:szCs w:val="16"/>
                  <w:u w:val="single" w:color="auto"/>
                  <w:color w:val="0000FF"/>
                </w:rPr>
                <w:t>)</w:t>
              </w:r>
              <w:r>
                <w:rPr>
                  <w:rFonts w:ascii="Arial" w:cs="Arial" w:eastAsia="Arial" w:hAnsi="Arial"/>
                  <w:sz w:val="16"/>
                  <w:szCs w:val="16"/>
                  <w:color w:val="0000FF"/>
                </w:rPr>
                <w:t>.</w:t>
              </w:r>
            </w:hyperlink>
          </w:p>
        </w:tc>
        <w:tc>
          <w:tcPr>
            <w:tcW w:w="140" w:type="dxa"/>
            <w:vAlign w:val="bottom"/>
            <w:tcBorders>
              <w:top w:val="single" w:sz="8" w:color="0000FF"/>
            </w:tcBorders>
          </w:tcPr>
          <w:p>
            <w:pPr>
              <w:spacing w:after="0"/>
              <w:rPr>
                <w:sz w:val="12"/>
                <w:szCs w:val="12"/>
                <w:color w:val="auto"/>
              </w:rPr>
            </w:pPr>
          </w:p>
        </w:tc>
        <w:tc>
          <w:tcPr>
            <w:tcW w:w="1440" w:type="dxa"/>
            <w:vAlign w:val="bottom"/>
            <w:tcBorders>
              <w:top w:val="single" w:sz="8" w:color="0000FF"/>
            </w:tcBorders>
          </w:tcPr>
          <w:p>
            <w:pPr>
              <w:spacing w:after="0"/>
              <w:rPr>
                <w:sz w:val="12"/>
                <w:szCs w:val="12"/>
                <w:color w:val="auto"/>
              </w:rPr>
            </w:pPr>
          </w:p>
        </w:tc>
        <w:tc>
          <w:tcPr>
            <w:tcW w:w="114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110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2460" w:type="dxa"/>
            <w:vAlign w:val="bottom"/>
            <w:tcBorders>
              <w:top w:val="single" w:sz="8" w:color="0000FF"/>
            </w:tcBorders>
          </w:tcPr>
          <w:p>
            <w:pPr>
              <w:spacing w:after="0"/>
              <w:rPr>
                <w:sz w:val="12"/>
                <w:szCs w:val="12"/>
                <w:color w:val="auto"/>
              </w:rPr>
            </w:pPr>
          </w:p>
        </w:tc>
        <w:tc>
          <w:tcPr>
            <w:tcW w:w="186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1"/>
        </w:trPr>
        <w:tc>
          <w:tcPr>
            <w:tcW w:w="134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340" w:type="dxa"/>
            <w:vAlign w:val="bottom"/>
            <w:shd w:val="clear" w:color="auto" w:fill="CEFFE7"/>
          </w:tcPr>
          <w:p>
            <w:pPr>
              <w:ind w:left="20"/>
              <w:spacing w:after="0" w:line="175" w:lineRule="exact"/>
              <w:rPr>
                <w:sz w:val="20"/>
                <w:szCs w:val="20"/>
                <w:color w:val="auto"/>
              </w:rPr>
            </w:pPr>
            <w:r>
              <w:rPr>
                <w:rFonts w:ascii="Arial" w:cs="Arial" w:eastAsia="Arial" w:hAnsi="Arial"/>
                <w:sz w:val="16"/>
                <w:szCs w:val="16"/>
                <w:color w:val="auto"/>
              </w:rPr>
              <w:t>4.2.3</w:t>
            </w:r>
          </w:p>
        </w:tc>
        <w:tc>
          <w:tcPr>
            <w:tcW w:w="9900" w:type="dxa"/>
            <w:vAlign w:val="bottom"/>
            <w:gridSpan w:val="32"/>
            <w:shd w:val="clear" w:color="auto" w:fill="CEFFE7"/>
          </w:tcPr>
          <w:p>
            <w:pPr>
              <w:spacing w:after="0" w:line="175" w:lineRule="exact"/>
              <w:rPr>
                <w:rFonts w:ascii="Arial" w:cs="Arial" w:eastAsia="Arial" w:hAnsi="Arial"/>
                <w:sz w:val="16"/>
                <w:szCs w:val="16"/>
                <w:color w:val="0000FF"/>
              </w:rPr>
            </w:pPr>
            <w:hyperlink r:id="rId108">
              <w:r>
                <w:rPr>
                  <w:rFonts w:ascii="Arial" w:cs="Arial" w:eastAsia="Arial" w:hAnsi="Arial"/>
                  <w:sz w:val="16"/>
                  <w:szCs w:val="16"/>
                  <w:color w:val="0000FF"/>
                </w:rPr>
                <w:t>Third Supplemental Indenture, dated as of October 1, 2014, between Black Hills Power, Inc. and The Bank of New York Mellon (filed as</w:t>
              </w:r>
            </w:hyperlink>
          </w:p>
        </w:tc>
      </w:tr>
      <w:tr>
        <w:trPr>
          <w:trHeight w:val="142"/>
        </w:trPr>
        <w:tc>
          <w:tcPr>
            <w:tcW w:w="1340" w:type="dxa"/>
            <w:vAlign w:val="bottom"/>
            <w:tcBorders>
              <w:top w:val="single" w:sz="8" w:color="CEFFE7"/>
            </w:tcBorders>
            <w:shd w:val="clear" w:color="auto" w:fill="CEFFE7"/>
          </w:tcPr>
          <w:p>
            <w:pPr>
              <w:spacing w:after="0"/>
              <w:rPr>
                <w:sz w:val="12"/>
                <w:szCs w:val="12"/>
                <w:color w:val="auto"/>
              </w:rPr>
            </w:pPr>
          </w:p>
        </w:tc>
        <w:tc>
          <w:tcPr>
            <w:tcW w:w="9680" w:type="dxa"/>
            <w:vAlign w:val="bottom"/>
            <w:tcBorders>
              <w:top w:val="single" w:sz="8" w:color="0000FF"/>
            </w:tcBorders>
            <w:gridSpan w:val="25"/>
            <w:shd w:val="clear" w:color="auto" w:fill="CEFFE7"/>
          </w:tcPr>
          <w:p>
            <w:pPr>
              <w:spacing w:after="0" w:line="142" w:lineRule="exact"/>
              <w:rPr>
                <w:rFonts w:ascii="Arial" w:cs="Arial" w:eastAsia="Arial" w:hAnsi="Arial"/>
                <w:sz w:val="16"/>
                <w:szCs w:val="16"/>
                <w:color w:val="0000FF"/>
              </w:rPr>
            </w:pPr>
            <w:hyperlink r:id="rId108">
              <w:r>
                <w:rPr>
                  <w:rFonts w:ascii="Arial" w:cs="Arial" w:eastAsia="Arial" w:hAnsi="Arial"/>
                  <w:sz w:val="16"/>
                  <w:szCs w:val="16"/>
                  <w:color w:val="0000FF"/>
                </w:rPr>
                <w:t>Exhibit 10.1 to the Registrant’s Form 8-K filed on October 2, 2014).</w:t>
              </w:r>
            </w:hyperlink>
          </w:p>
        </w:tc>
        <w:tc>
          <w:tcPr>
            <w:tcW w:w="20" w:type="dxa"/>
            <w:vAlign w:val="bottom"/>
            <w:tcBorders>
              <w:top w:val="single" w:sz="8" w:color="CEFFE7"/>
            </w:tcBorders>
            <w:shd w:val="clear" w:color="auto" w:fill="CEFFE7"/>
          </w:tcPr>
          <w:p>
            <w:pPr>
              <w:spacing w:after="0"/>
              <w:rPr>
                <w:sz w:val="12"/>
                <w:szCs w:val="12"/>
                <w:color w:val="auto"/>
              </w:rPr>
            </w:pPr>
          </w:p>
        </w:tc>
        <w:tc>
          <w:tcPr>
            <w:tcW w:w="60" w:type="dxa"/>
            <w:vAlign w:val="bottom"/>
            <w:tcBorders>
              <w:top w:val="single" w:sz="8" w:color="CEFFE7"/>
            </w:tcBorders>
            <w:gridSpan w:val="2"/>
            <w:shd w:val="clear" w:color="auto" w:fill="CEFFE7"/>
          </w:tcPr>
          <w:p>
            <w:pPr>
              <w:spacing w:after="0"/>
              <w:rPr>
                <w:sz w:val="12"/>
                <w:szCs w:val="12"/>
                <w:color w:val="auto"/>
              </w:rPr>
            </w:pPr>
          </w:p>
        </w:tc>
        <w:tc>
          <w:tcPr>
            <w:tcW w:w="120" w:type="dxa"/>
            <w:vAlign w:val="bottom"/>
            <w:tcBorders>
              <w:top w:val="single" w:sz="8" w:color="CEFFE7"/>
            </w:tcBorders>
            <w:gridSpan w:val="3"/>
            <w:shd w:val="clear" w:color="auto" w:fill="CEFFE7"/>
          </w:tcPr>
          <w:p>
            <w:pPr>
              <w:spacing w:after="0"/>
              <w:rPr>
                <w:sz w:val="12"/>
                <w:szCs w:val="12"/>
                <w:color w:val="auto"/>
              </w:rPr>
            </w:pPr>
          </w:p>
        </w:tc>
        <w:tc>
          <w:tcPr>
            <w:tcW w:w="20" w:type="dxa"/>
            <w:vAlign w:val="bottom"/>
            <w:tcBorders>
              <w:top w:val="single" w:sz="8" w:color="CEFFE7"/>
            </w:tcBorders>
            <w:shd w:val="clear" w:color="auto" w:fill="CEFFE7"/>
          </w:tcPr>
          <w:p>
            <w:pPr>
              <w:spacing w:after="0"/>
              <w:rPr>
                <w:sz w:val="12"/>
                <w:szCs w:val="12"/>
                <w:color w:val="auto"/>
              </w:rPr>
            </w:pPr>
          </w:p>
        </w:tc>
      </w:tr>
      <w:tr>
        <w:trPr>
          <w:trHeight w:val="20"/>
        </w:trPr>
        <w:tc>
          <w:tcPr>
            <w:tcW w:w="1340" w:type="dxa"/>
            <w:vAlign w:val="bottom"/>
            <w:tcBorders>
              <w:top w:val="single" w:sz="8" w:color="CEFFE7"/>
            </w:tcBorders>
            <w:shd w:val="clear" w:color="auto" w:fill="CEFFE7"/>
          </w:tcPr>
          <w:p>
            <w:pPr>
              <w:spacing w:after="0" w:line="20" w:lineRule="exact"/>
              <w:rPr>
                <w:sz w:val="1"/>
                <w:szCs w:val="1"/>
                <w:color w:val="auto"/>
              </w:rPr>
            </w:pPr>
          </w:p>
        </w:tc>
        <w:tc>
          <w:tcPr>
            <w:tcW w:w="460" w:type="dxa"/>
            <w:vAlign w:val="bottom"/>
            <w:tcBorders>
              <w:top w:val="single" w:sz="8" w:color="0000FF"/>
            </w:tcBorders>
            <w:shd w:val="clear" w:color="auto" w:fill="CEFFE7"/>
          </w:tcPr>
          <w:p>
            <w:pPr>
              <w:spacing w:after="0" w:line="20" w:lineRule="exact"/>
              <w:rPr>
                <w:sz w:val="1"/>
                <w:szCs w:val="1"/>
                <w:color w:val="auto"/>
              </w:rPr>
            </w:pPr>
          </w:p>
        </w:tc>
        <w:tc>
          <w:tcPr>
            <w:tcW w:w="22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140" w:type="dxa"/>
            <w:vAlign w:val="bottom"/>
            <w:tcBorders>
              <w:top w:val="single" w:sz="8" w:color="0000FF"/>
            </w:tcBorders>
            <w:shd w:val="clear" w:color="auto" w:fill="CEFFE7"/>
          </w:tcPr>
          <w:p>
            <w:pPr>
              <w:spacing w:after="0" w:line="20" w:lineRule="exact"/>
              <w:rPr>
                <w:sz w:val="1"/>
                <w:szCs w:val="1"/>
                <w:color w:val="auto"/>
              </w:rPr>
            </w:pPr>
          </w:p>
        </w:tc>
        <w:tc>
          <w:tcPr>
            <w:tcW w:w="1440" w:type="dxa"/>
            <w:vAlign w:val="bottom"/>
            <w:tcBorders>
              <w:top w:val="single" w:sz="8" w:color="0000FF"/>
            </w:tcBorders>
            <w:shd w:val="clear" w:color="auto" w:fill="CEFFE7"/>
          </w:tcPr>
          <w:p>
            <w:pPr>
              <w:spacing w:after="0" w:line="20" w:lineRule="exact"/>
              <w:rPr>
                <w:sz w:val="1"/>
                <w:szCs w:val="1"/>
                <w:color w:val="auto"/>
              </w:rPr>
            </w:pPr>
          </w:p>
        </w:tc>
        <w:tc>
          <w:tcPr>
            <w:tcW w:w="1140" w:type="dxa"/>
            <w:vAlign w:val="bottom"/>
            <w:tcBorders>
              <w:top w:val="single" w:sz="8" w:color="0000FF"/>
            </w:tcBorders>
            <w:shd w:val="clear" w:color="auto" w:fill="CEFFE7"/>
          </w:tcPr>
          <w:p>
            <w:pPr>
              <w:spacing w:after="0" w:line="20" w:lineRule="exact"/>
              <w:rPr>
                <w:sz w:val="1"/>
                <w:szCs w:val="1"/>
                <w:color w:val="auto"/>
              </w:rPr>
            </w:pPr>
          </w:p>
        </w:tc>
        <w:tc>
          <w:tcPr>
            <w:tcW w:w="60" w:type="dxa"/>
            <w:vAlign w:val="bottom"/>
            <w:tcBorders>
              <w:top w:val="single" w:sz="8" w:color="0000FF"/>
            </w:tcBorders>
            <w:shd w:val="clear" w:color="auto" w:fill="CEFFE7"/>
          </w:tcPr>
          <w:p>
            <w:pPr>
              <w:spacing w:after="0" w:line="20" w:lineRule="exact"/>
              <w:rPr>
                <w:sz w:val="1"/>
                <w:szCs w:val="1"/>
                <w:color w:val="auto"/>
              </w:rPr>
            </w:pPr>
          </w:p>
        </w:tc>
        <w:tc>
          <w:tcPr>
            <w:tcW w:w="180" w:type="dxa"/>
            <w:vAlign w:val="bottom"/>
            <w:tcBorders>
              <w:top w:val="single" w:sz="8" w:color="0000FF"/>
            </w:tcBorders>
            <w:shd w:val="clear" w:color="auto" w:fill="CEFFE7"/>
          </w:tcPr>
          <w:p>
            <w:pPr>
              <w:spacing w:after="0" w:line="20" w:lineRule="exact"/>
              <w:rPr>
                <w:sz w:val="1"/>
                <w:szCs w:val="1"/>
                <w:color w:val="auto"/>
              </w:rPr>
            </w:pPr>
          </w:p>
        </w:tc>
        <w:tc>
          <w:tcPr>
            <w:tcW w:w="1100" w:type="dxa"/>
            <w:vAlign w:val="bottom"/>
            <w:tcBorders>
              <w:top w:val="single" w:sz="8" w:color="0000FF"/>
            </w:tcBorders>
            <w:shd w:val="clear" w:color="auto" w:fill="CEFFE7"/>
          </w:tcPr>
          <w:p>
            <w:pPr>
              <w:spacing w:after="0" w:line="20" w:lineRule="exact"/>
              <w:rPr>
                <w:sz w:val="1"/>
                <w:szCs w:val="1"/>
                <w:color w:val="auto"/>
              </w:rPr>
            </w:pPr>
          </w:p>
        </w:tc>
        <w:tc>
          <w:tcPr>
            <w:tcW w:w="120" w:type="dxa"/>
            <w:vAlign w:val="bottom"/>
            <w:tcBorders>
              <w:top w:val="single" w:sz="8" w:color="CEFFE7"/>
            </w:tcBorders>
            <w:shd w:val="clear" w:color="auto" w:fill="CEFFE7"/>
          </w:tcPr>
          <w:p>
            <w:pPr>
              <w:spacing w:after="0" w:line="20" w:lineRule="exact"/>
              <w:rPr>
                <w:sz w:val="1"/>
                <w:szCs w:val="1"/>
                <w:color w:val="auto"/>
              </w:rPr>
            </w:pPr>
          </w:p>
        </w:tc>
        <w:tc>
          <w:tcPr>
            <w:tcW w:w="2460" w:type="dxa"/>
            <w:vAlign w:val="bottom"/>
            <w:tcBorders>
              <w:top w:val="single" w:sz="8" w:color="CEFFE7"/>
            </w:tcBorders>
            <w:shd w:val="clear" w:color="auto" w:fill="CEFFE7"/>
          </w:tcPr>
          <w:p>
            <w:pPr>
              <w:spacing w:after="0" w:line="20" w:lineRule="exact"/>
              <w:rPr>
                <w:sz w:val="1"/>
                <w:szCs w:val="1"/>
                <w:color w:val="auto"/>
              </w:rPr>
            </w:pPr>
          </w:p>
        </w:tc>
        <w:tc>
          <w:tcPr>
            <w:tcW w:w="1860" w:type="dxa"/>
            <w:vAlign w:val="bottom"/>
            <w:tcBorders>
              <w:top w:val="single" w:sz="8" w:color="CEFFE7"/>
            </w:tcBorders>
            <w:shd w:val="clear" w:color="auto" w:fill="CEFFE7"/>
          </w:tcPr>
          <w:p>
            <w:pPr>
              <w:spacing w:after="0" w:line="20" w:lineRule="exact"/>
              <w:rPr>
                <w:sz w:val="1"/>
                <w:szCs w:val="1"/>
                <w:color w:val="auto"/>
              </w:rPr>
            </w:pPr>
          </w:p>
        </w:tc>
        <w:tc>
          <w:tcPr>
            <w:tcW w:w="8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8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r>
      <w:tr>
        <w:trPr>
          <w:trHeight w:val="175"/>
        </w:trPr>
        <w:tc>
          <w:tcPr>
            <w:tcW w:w="1340" w:type="dxa"/>
            <w:vAlign w:val="bottom"/>
          </w:tcPr>
          <w:p>
            <w:pPr>
              <w:ind w:left="20"/>
              <w:spacing w:after="0" w:line="175" w:lineRule="exact"/>
              <w:rPr>
                <w:sz w:val="20"/>
                <w:szCs w:val="20"/>
                <w:color w:val="auto"/>
              </w:rPr>
            </w:pPr>
            <w:r>
              <w:rPr>
                <w:rFonts w:ascii="Arial" w:cs="Arial" w:eastAsia="Arial" w:hAnsi="Arial"/>
                <w:sz w:val="16"/>
                <w:szCs w:val="16"/>
                <w:color w:val="auto"/>
              </w:rPr>
              <w:t>4.3</w:t>
            </w:r>
          </w:p>
        </w:tc>
        <w:tc>
          <w:tcPr>
            <w:tcW w:w="9900" w:type="dxa"/>
            <w:vAlign w:val="bottom"/>
            <w:gridSpan w:val="32"/>
          </w:tcPr>
          <w:p>
            <w:pPr>
              <w:spacing w:after="0" w:line="175" w:lineRule="exact"/>
              <w:rPr>
                <w:rFonts w:ascii="Arial" w:cs="Arial" w:eastAsia="Arial" w:hAnsi="Arial"/>
                <w:sz w:val="16"/>
                <w:szCs w:val="16"/>
                <w:color w:val="0000FF"/>
              </w:rPr>
            </w:pPr>
            <w:hyperlink r:id="rId109">
              <w:r>
                <w:rPr>
                  <w:rFonts w:ascii="Arial" w:cs="Arial" w:eastAsia="Arial" w:hAnsi="Arial"/>
                  <w:sz w:val="16"/>
                  <w:szCs w:val="16"/>
                  <w:color w:val="0000FF"/>
                </w:rPr>
                <w:t>Restated Indenture of Mortgage, Deed of Trust, Security Agreement and Financing Statement, amended and restated as of November 20,</w:t>
              </w:r>
            </w:hyperlink>
          </w:p>
        </w:tc>
      </w:tr>
      <w:tr>
        <w:trPr>
          <w:trHeight w:val="142"/>
        </w:trPr>
        <w:tc>
          <w:tcPr>
            <w:tcW w:w="1340" w:type="dxa"/>
            <w:vAlign w:val="bottom"/>
          </w:tcPr>
          <w:p>
            <w:pPr>
              <w:spacing w:after="0"/>
              <w:rPr>
                <w:sz w:val="12"/>
                <w:szCs w:val="12"/>
                <w:color w:val="auto"/>
              </w:rPr>
            </w:pPr>
          </w:p>
        </w:tc>
        <w:tc>
          <w:tcPr>
            <w:tcW w:w="9880" w:type="dxa"/>
            <w:vAlign w:val="bottom"/>
            <w:tcBorders>
              <w:top w:val="single" w:sz="8" w:color="0000FF"/>
            </w:tcBorders>
            <w:gridSpan w:val="31"/>
          </w:tcPr>
          <w:p>
            <w:pPr>
              <w:spacing w:after="0" w:line="142" w:lineRule="exact"/>
              <w:rPr>
                <w:rFonts w:ascii="Arial" w:cs="Arial" w:eastAsia="Arial" w:hAnsi="Arial"/>
                <w:sz w:val="16"/>
                <w:szCs w:val="16"/>
                <w:color w:val="0000FF"/>
              </w:rPr>
            </w:pPr>
            <w:hyperlink r:id="rId109">
              <w:r>
                <w:rPr>
                  <w:rFonts w:ascii="Arial" w:cs="Arial" w:eastAsia="Arial" w:hAnsi="Arial"/>
                  <w:sz w:val="16"/>
                  <w:szCs w:val="16"/>
                  <w:color w:val="0000FF"/>
                </w:rPr>
                <w:t>2007, between Cheyenne Light, Fuel and Power Company and Wells Fargo Bank, National Association (filed as Exhibit 10.2 to the</w:t>
              </w:r>
            </w:hyperlink>
          </w:p>
        </w:tc>
        <w:tc>
          <w:tcPr>
            <w:tcW w:w="20" w:type="dxa"/>
            <w:vAlign w:val="bottom"/>
          </w:tcPr>
          <w:p>
            <w:pPr>
              <w:spacing w:after="0"/>
              <w:rPr>
                <w:sz w:val="12"/>
                <w:szCs w:val="12"/>
                <w:color w:val="auto"/>
              </w:rPr>
            </w:pPr>
          </w:p>
        </w:tc>
      </w:tr>
      <w:tr>
        <w:trPr>
          <w:trHeight w:val="142"/>
        </w:trPr>
        <w:tc>
          <w:tcPr>
            <w:tcW w:w="1340" w:type="dxa"/>
            <w:vAlign w:val="bottom"/>
          </w:tcPr>
          <w:p>
            <w:pPr>
              <w:spacing w:after="0"/>
              <w:rPr>
                <w:sz w:val="12"/>
                <w:szCs w:val="12"/>
                <w:color w:val="auto"/>
              </w:rPr>
            </w:pPr>
          </w:p>
        </w:tc>
        <w:tc>
          <w:tcPr>
            <w:tcW w:w="9340" w:type="dxa"/>
            <w:vAlign w:val="bottom"/>
            <w:tcBorders>
              <w:top w:val="single" w:sz="8" w:color="0000FF"/>
            </w:tcBorders>
            <w:gridSpan w:val="15"/>
          </w:tcPr>
          <w:p>
            <w:pPr>
              <w:spacing w:after="0" w:line="142" w:lineRule="exact"/>
              <w:rPr>
                <w:rFonts w:ascii="Arial" w:cs="Arial" w:eastAsia="Arial" w:hAnsi="Arial"/>
                <w:sz w:val="16"/>
                <w:szCs w:val="16"/>
                <w:color w:val="0000FF"/>
              </w:rPr>
            </w:pPr>
            <w:hyperlink r:id="rId109">
              <w:r>
                <w:rPr>
                  <w:rFonts w:ascii="Arial" w:cs="Arial" w:eastAsia="Arial" w:hAnsi="Arial"/>
                  <w:sz w:val="16"/>
                  <w:szCs w:val="16"/>
                  <w:color w:val="0000FF"/>
                </w:rPr>
                <w:t>Registrant’s Form 8-K filed on October 2, 2014).</w:t>
              </w:r>
            </w:hyperlink>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gridSpan w:val="5"/>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2"/>
          </w:tcPr>
          <w:p>
            <w:pPr>
              <w:spacing w:after="0"/>
              <w:rPr>
                <w:sz w:val="12"/>
                <w:szCs w:val="12"/>
                <w:color w:val="auto"/>
              </w:rPr>
            </w:pPr>
          </w:p>
        </w:tc>
        <w:tc>
          <w:tcPr>
            <w:tcW w:w="140" w:type="dxa"/>
            <w:vAlign w:val="bottom"/>
            <w:gridSpan w:val="4"/>
          </w:tcPr>
          <w:p>
            <w:pPr>
              <w:spacing w:after="0"/>
              <w:rPr>
                <w:sz w:val="12"/>
                <w:szCs w:val="12"/>
                <w:color w:val="auto"/>
              </w:rPr>
            </w:pPr>
          </w:p>
        </w:tc>
      </w:tr>
      <w:tr>
        <w:trPr>
          <w:trHeight w:val="20"/>
        </w:trPr>
        <w:tc>
          <w:tcPr>
            <w:tcW w:w="134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440" w:type="dxa"/>
            <w:vAlign w:val="bottom"/>
            <w:tcBorders>
              <w:top w:val="single" w:sz="8" w:color="0000FF"/>
            </w:tcBorders>
          </w:tcPr>
          <w:p>
            <w:pPr>
              <w:spacing w:after="0" w:line="20" w:lineRule="exact"/>
              <w:rPr>
                <w:sz w:val="1"/>
                <w:szCs w:val="1"/>
                <w:color w:val="auto"/>
              </w:rPr>
            </w:pPr>
          </w:p>
        </w:tc>
        <w:tc>
          <w:tcPr>
            <w:tcW w:w="114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340" w:type="dxa"/>
            <w:vAlign w:val="bottom"/>
            <w:shd w:val="clear" w:color="auto" w:fill="CEFFE7"/>
          </w:tcPr>
          <w:p>
            <w:pPr>
              <w:ind w:left="20"/>
              <w:spacing w:after="0" w:line="175" w:lineRule="exact"/>
              <w:rPr>
                <w:sz w:val="20"/>
                <w:szCs w:val="20"/>
                <w:color w:val="auto"/>
              </w:rPr>
            </w:pPr>
            <w:r>
              <w:rPr>
                <w:rFonts w:ascii="Arial" w:cs="Arial" w:eastAsia="Arial" w:hAnsi="Arial"/>
                <w:sz w:val="16"/>
                <w:szCs w:val="16"/>
                <w:color w:val="auto"/>
              </w:rPr>
              <w:t>4.3.1</w:t>
            </w:r>
          </w:p>
        </w:tc>
        <w:tc>
          <w:tcPr>
            <w:tcW w:w="9900" w:type="dxa"/>
            <w:vAlign w:val="bottom"/>
            <w:gridSpan w:val="32"/>
            <w:shd w:val="clear" w:color="auto" w:fill="CEFFE7"/>
          </w:tcPr>
          <w:p>
            <w:pPr>
              <w:spacing w:after="0" w:line="175" w:lineRule="exact"/>
              <w:rPr>
                <w:rFonts w:ascii="Arial" w:cs="Arial" w:eastAsia="Arial" w:hAnsi="Arial"/>
                <w:sz w:val="16"/>
                <w:szCs w:val="16"/>
                <w:color w:val="0000FF"/>
              </w:rPr>
            </w:pPr>
            <w:hyperlink r:id="rId110">
              <w:r>
                <w:rPr>
                  <w:rFonts w:ascii="Arial" w:cs="Arial" w:eastAsia="Arial" w:hAnsi="Arial"/>
                  <w:sz w:val="16"/>
                  <w:szCs w:val="16"/>
                  <w:color w:val="0000FF"/>
                </w:rPr>
                <w:t>First Supplemental Indenture, dated as of September 3, 2009, between Cheyenne Light, Fuel and Power Company and Wells Fargo</w:t>
              </w:r>
            </w:hyperlink>
          </w:p>
        </w:tc>
      </w:tr>
      <w:tr>
        <w:trPr>
          <w:trHeight w:val="142"/>
        </w:trPr>
        <w:tc>
          <w:tcPr>
            <w:tcW w:w="1340" w:type="dxa"/>
            <w:vAlign w:val="bottom"/>
            <w:tcBorders>
              <w:top w:val="single" w:sz="8" w:color="CEFFE7"/>
            </w:tcBorders>
            <w:shd w:val="clear" w:color="auto" w:fill="CEFFE7"/>
          </w:tcPr>
          <w:p>
            <w:pPr>
              <w:spacing w:after="0"/>
              <w:rPr>
                <w:sz w:val="12"/>
                <w:szCs w:val="12"/>
                <w:color w:val="auto"/>
              </w:rPr>
            </w:pPr>
          </w:p>
        </w:tc>
        <w:tc>
          <w:tcPr>
            <w:tcW w:w="9460" w:type="dxa"/>
            <w:vAlign w:val="bottom"/>
            <w:tcBorders>
              <w:top w:val="single" w:sz="8" w:color="0000FF"/>
            </w:tcBorders>
            <w:gridSpan w:val="17"/>
            <w:shd w:val="clear" w:color="auto" w:fill="CEFFE7"/>
          </w:tcPr>
          <w:p>
            <w:pPr>
              <w:spacing w:after="0" w:line="142" w:lineRule="exact"/>
              <w:rPr>
                <w:rFonts w:ascii="Arial" w:cs="Arial" w:eastAsia="Arial" w:hAnsi="Arial"/>
                <w:sz w:val="16"/>
                <w:szCs w:val="16"/>
                <w:color w:val="0000FF"/>
              </w:rPr>
            </w:pPr>
            <w:hyperlink r:id="rId110">
              <w:r>
                <w:rPr>
                  <w:rFonts w:ascii="Arial" w:cs="Arial" w:eastAsia="Arial" w:hAnsi="Arial"/>
                  <w:sz w:val="16"/>
                  <w:szCs w:val="16"/>
                  <w:color w:val="0000FF"/>
                </w:rPr>
                <w:t>Bank, National Association (filed as Exhibit 10.3 to the Registrant’s Form 8-K filed on October 2, 2014).</w:t>
              </w:r>
            </w:hyperlink>
          </w:p>
        </w:tc>
        <w:tc>
          <w:tcPr>
            <w:tcW w:w="20" w:type="dxa"/>
            <w:vAlign w:val="bottom"/>
            <w:tcBorders>
              <w:top w:val="single" w:sz="8" w:color="CEFFE7"/>
            </w:tcBorders>
            <w:shd w:val="clear" w:color="auto" w:fill="CEFFE7"/>
          </w:tcPr>
          <w:p>
            <w:pPr>
              <w:spacing w:after="0"/>
              <w:rPr>
                <w:sz w:val="12"/>
                <w:szCs w:val="12"/>
                <w:color w:val="auto"/>
              </w:rPr>
            </w:pPr>
          </w:p>
        </w:tc>
        <w:tc>
          <w:tcPr>
            <w:tcW w:w="160" w:type="dxa"/>
            <w:vAlign w:val="bottom"/>
            <w:tcBorders>
              <w:top w:val="single" w:sz="8" w:color="CEFFE7"/>
            </w:tcBorders>
            <w:gridSpan w:val="5"/>
            <w:shd w:val="clear" w:color="auto" w:fill="CEFFE7"/>
          </w:tcPr>
          <w:p>
            <w:pPr>
              <w:spacing w:after="0"/>
              <w:rPr>
                <w:sz w:val="12"/>
                <w:szCs w:val="12"/>
                <w:color w:val="auto"/>
              </w:rPr>
            </w:pPr>
          </w:p>
        </w:tc>
        <w:tc>
          <w:tcPr>
            <w:tcW w:w="20" w:type="dxa"/>
            <w:vAlign w:val="bottom"/>
            <w:tcBorders>
              <w:top w:val="single" w:sz="8" w:color="CEFFE7"/>
            </w:tcBorders>
            <w:shd w:val="clear" w:color="auto" w:fill="CEFFE7"/>
          </w:tcPr>
          <w:p>
            <w:pPr>
              <w:spacing w:after="0"/>
              <w:rPr>
                <w:sz w:val="12"/>
                <w:szCs w:val="12"/>
                <w:color w:val="auto"/>
              </w:rPr>
            </w:pPr>
          </w:p>
        </w:tc>
        <w:tc>
          <w:tcPr>
            <w:tcW w:w="40" w:type="dxa"/>
            <w:vAlign w:val="bottom"/>
            <w:tcBorders>
              <w:top w:val="single" w:sz="8" w:color="CEFFE7"/>
            </w:tcBorders>
            <w:gridSpan w:val="2"/>
            <w:shd w:val="clear" w:color="auto" w:fill="CEFFE7"/>
          </w:tcPr>
          <w:p>
            <w:pPr>
              <w:spacing w:after="0"/>
              <w:rPr>
                <w:sz w:val="12"/>
                <w:szCs w:val="12"/>
                <w:color w:val="auto"/>
              </w:rPr>
            </w:pPr>
          </w:p>
        </w:tc>
        <w:tc>
          <w:tcPr>
            <w:tcW w:w="60" w:type="dxa"/>
            <w:vAlign w:val="bottom"/>
            <w:tcBorders>
              <w:top w:val="single" w:sz="8" w:color="CEFFE7"/>
            </w:tcBorders>
            <w:gridSpan w:val="2"/>
            <w:shd w:val="clear" w:color="auto" w:fill="CEFFE7"/>
          </w:tcPr>
          <w:p>
            <w:pPr>
              <w:spacing w:after="0"/>
              <w:rPr>
                <w:sz w:val="12"/>
                <w:szCs w:val="12"/>
                <w:color w:val="auto"/>
              </w:rPr>
            </w:pPr>
          </w:p>
        </w:tc>
        <w:tc>
          <w:tcPr>
            <w:tcW w:w="140" w:type="dxa"/>
            <w:vAlign w:val="bottom"/>
            <w:tcBorders>
              <w:top w:val="single" w:sz="8" w:color="CEFFE7"/>
            </w:tcBorders>
            <w:gridSpan w:val="4"/>
            <w:shd w:val="clear" w:color="auto" w:fill="CEFFE7"/>
          </w:tcPr>
          <w:p>
            <w:pPr>
              <w:spacing w:after="0"/>
              <w:rPr>
                <w:sz w:val="12"/>
                <w:szCs w:val="12"/>
                <w:color w:val="auto"/>
              </w:rPr>
            </w:pPr>
          </w:p>
        </w:tc>
      </w:tr>
      <w:tr>
        <w:trPr>
          <w:trHeight w:val="21"/>
        </w:trPr>
        <w:tc>
          <w:tcPr>
            <w:tcW w:w="1340" w:type="dxa"/>
            <w:vAlign w:val="bottom"/>
            <w:tcBorders>
              <w:top w:val="single" w:sz="8" w:color="CEFFE7"/>
            </w:tcBorders>
            <w:shd w:val="clear" w:color="auto" w:fill="CEFFE7"/>
          </w:tcPr>
          <w:p>
            <w:pPr>
              <w:spacing w:after="0" w:line="20" w:lineRule="exact"/>
              <w:rPr>
                <w:sz w:val="1"/>
                <w:szCs w:val="1"/>
                <w:color w:val="auto"/>
              </w:rPr>
            </w:pPr>
          </w:p>
        </w:tc>
        <w:tc>
          <w:tcPr>
            <w:tcW w:w="460" w:type="dxa"/>
            <w:vAlign w:val="bottom"/>
            <w:tcBorders>
              <w:top w:val="single" w:sz="8" w:color="0000FF"/>
            </w:tcBorders>
            <w:shd w:val="clear" w:color="auto" w:fill="CEFFE7"/>
          </w:tcPr>
          <w:p>
            <w:pPr>
              <w:spacing w:after="0" w:line="20" w:lineRule="exact"/>
              <w:rPr>
                <w:sz w:val="1"/>
                <w:szCs w:val="1"/>
                <w:color w:val="auto"/>
              </w:rPr>
            </w:pPr>
          </w:p>
        </w:tc>
        <w:tc>
          <w:tcPr>
            <w:tcW w:w="22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140" w:type="dxa"/>
            <w:vAlign w:val="bottom"/>
            <w:tcBorders>
              <w:top w:val="single" w:sz="8" w:color="0000FF"/>
            </w:tcBorders>
            <w:shd w:val="clear" w:color="auto" w:fill="CEFFE7"/>
          </w:tcPr>
          <w:p>
            <w:pPr>
              <w:spacing w:after="0" w:line="20" w:lineRule="exact"/>
              <w:rPr>
                <w:sz w:val="1"/>
                <w:szCs w:val="1"/>
                <w:color w:val="auto"/>
              </w:rPr>
            </w:pPr>
          </w:p>
        </w:tc>
        <w:tc>
          <w:tcPr>
            <w:tcW w:w="1440" w:type="dxa"/>
            <w:vAlign w:val="bottom"/>
            <w:tcBorders>
              <w:top w:val="single" w:sz="8" w:color="0000FF"/>
            </w:tcBorders>
            <w:shd w:val="clear" w:color="auto" w:fill="CEFFE7"/>
          </w:tcPr>
          <w:p>
            <w:pPr>
              <w:spacing w:after="0" w:line="20" w:lineRule="exact"/>
              <w:rPr>
                <w:sz w:val="1"/>
                <w:szCs w:val="1"/>
                <w:color w:val="auto"/>
              </w:rPr>
            </w:pPr>
          </w:p>
        </w:tc>
        <w:tc>
          <w:tcPr>
            <w:tcW w:w="1140" w:type="dxa"/>
            <w:vAlign w:val="bottom"/>
            <w:tcBorders>
              <w:top w:val="single" w:sz="8" w:color="0000FF"/>
            </w:tcBorders>
            <w:shd w:val="clear" w:color="auto" w:fill="CEFFE7"/>
          </w:tcPr>
          <w:p>
            <w:pPr>
              <w:spacing w:after="0" w:line="20" w:lineRule="exact"/>
              <w:rPr>
                <w:sz w:val="1"/>
                <w:szCs w:val="1"/>
                <w:color w:val="auto"/>
              </w:rPr>
            </w:pPr>
          </w:p>
        </w:tc>
        <w:tc>
          <w:tcPr>
            <w:tcW w:w="60" w:type="dxa"/>
            <w:vAlign w:val="bottom"/>
            <w:tcBorders>
              <w:top w:val="single" w:sz="8" w:color="0000FF"/>
            </w:tcBorders>
            <w:shd w:val="clear" w:color="auto" w:fill="CEFFE7"/>
          </w:tcPr>
          <w:p>
            <w:pPr>
              <w:spacing w:after="0" w:line="20" w:lineRule="exact"/>
              <w:rPr>
                <w:sz w:val="1"/>
                <w:szCs w:val="1"/>
                <w:color w:val="auto"/>
              </w:rPr>
            </w:pPr>
          </w:p>
        </w:tc>
        <w:tc>
          <w:tcPr>
            <w:tcW w:w="180" w:type="dxa"/>
            <w:vAlign w:val="bottom"/>
            <w:tcBorders>
              <w:top w:val="single" w:sz="8" w:color="0000FF"/>
            </w:tcBorders>
            <w:shd w:val="clear" w:color="auto" w:fill="CEFFE7"/>
          </w:tcPr>
          <w:p>
            <w:pPr>
              <w:spacing w:after="0" w:line="20" w:lineRule="exact"/>
              <w:rPr>
                <w:sz w:val="1"/>
                <w:szCs w:val="1"/>
                <w:color w:val="auto"/>
              </w:rPr>
            </w:pPr>
          </w:p>
        </w:tc>
        <w:tc>
          <w:tcPr>
            <w:tcW w:w="1100" w:type="dxa"/>
            <w:vAlign w:val="bottom"/>
            <w:tcBorders>
              <w:top w:val="single" w:sz="8" w:color="0000FF"/>
            </w:tcBorders>
            <w:shd w:val="clear" w:color="auto" w:fill="CEFFE7"/>
          </w:tcPr>
          <w:p>
            <w:pPr>
              <w:spacing w:after="0" w:line="20" w:lineRule="exact"/>
              <w:rPr>
                <w:sz w:val="1"/>
                <w:szCs w:val="1"/>
                <w:color w:val="auto"/>
              </w:rPr>
            </w:pPr>
          </w:p>
        </w:tc>
        <w:tc>
          <w:tcPr>
            <w:tcW w:w="120" w:type="dxa"/>
            <w:vAlign w:val="bottom"/>
            <w:tcBorders>
              <w:top w:val="single" w:sz="8" w:color="0000FF"/>
            </w:tcBorders>
            <w:shd w:val="clear" w:color="auto" w:fill="CEFFE7"/>
          </w:tcPr>
          <w:p>
            <w:pPr>
              <w:spacing w:after="0" w:line="20" w:lineRule="exact"/>
              <w:rPr>
                <w:sz w:val="1"/>
                <w:szCs w:val="1"/>
                <w:color w:val="auto"/>
              </w:rPr>
            </w:pPr>
          </w:p>
        </w:tc>
        <w:tc>
          <w:tcPr>
            <w:tcW w:w="2460" w:type="dxa"/>
            <w:vAlign w:val="bottom"/>
            <w:tcBorders>
              <w:top w:val="single" w:sz="8" w:color="0000FF"/>
            </w:tcBorders>
            <w:shd w:val="clear" w:color="auto" w:fill="CEFFE7"/>
          </w:tcPr>
          <w:p>
            <w:pPr>
              <w:spacing w:after="0" w:line="20" w:lineRule="exact"/>
              <w:rPr>
                <w:sz w:val="1"/>
                <w:szCs w:val="1"/>
                <w:color w:val="auto"/>
              </w:rPr>
            </w:pPr>
          </w:p>
        </w:tc>
        <w:tc>
          <w:tcPr>
            <w:tcW w:w="1860" w:type="dxa"/>
            <w:vAlign w:val="bottom"/>
            <w:tcBorders>
              <w:top w:val="single" w:sz="8" w:color="CEFFE7"/>
            </w:tcBorders>
            <w:shd w:val="clear" w:color="auto" w:fill="CEFFE7"/>
          </w:tcPr>
          <w:p>
            <w:pPr>
              <w:spacing w:after="0" w:line="20" w:lineRule="exact"/>
              <w:rPr>
                <w:sz w:val="1"/>
                <w:szCs w:val="1"/>
                <w:color w:val="auto"/>
              </w:rPr>
            </w:pPr>
          </w:p>
        </w:tc>
        <w:tc>
          <w:tcPr>
            <w:tcW w:w="8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8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r>
      <w:tr>
        <w:trPr>
          <w:trHeight w:val="175"/>
        </w:trPr>
        <w:tc>
          <w:tcPr>
            <w:tcW w:w="1340" w:type="dxa"/>
            <w:vAlign w:val="bottom"/>
          </w:tcPr>
          <w:p>
            <w:pPr>
              <w:ind w:left="20"/>
              <w:spacing w:after="0" w:line="175" w:lineRule="exact"/>
              <w:rPr>
                <w:sz w:val="20"/>
                <w:szCs w:val="20"/>
                <w:color w:val="auto"/>
              </w:rPr>
            </w:pPr>
            <w:r>
              <w:rPr>
                <w:rFonts w:ascii="Arial" w:cs="Arial" w:eastAsia="Arial" w:hAnsi="Arial"/>
                <w:sz w:val="16"/>
                <w:szCs w:val="16"/>
                <w:color w:val="auto"/>
              </w:rPr>
              <w:t>4.3.2</w:t>
            </w:r>
          </w:p>
        </w:tc>
        <w:tc>
          <w:tcPr>
            <w:tcW w:w="9900" w:type="dxa"/>
            <w:vAlign w:val="bottom"/>
            <w:gridSpan w:val="32"/>
          </w:tcPr>
          <w:p>
            <w:pPr>
              <w:spacing w:after="0" w:line="175" w:lineRule="exact"/>
              <w:rPr>
                <w:rFonts w:ascii="Arial" w:cs="Arial" w:eastAsia="Arial" w:hAnsi="Arial"/>
                <w:sz w:val="16"/>
                <w:szCs w:val="16"/>
                <w:color w:val="0000FF"/>
              </w:rPr>
            </w:pPr>
            <w:hyperlink r:id="rId111">
              <w:r>
                <w:rPr>
                  <w:rFonts w:ascii="Arial" w:cs="Arial" w:eastAsia="Arial" w:hAnsi="Arial"/>
                  <w:sz w:val="16"/>
                  <w:szCs w:val="16"/>
                  <w:color w:val="0000FF"/>
                </w:rPr>
                <w:t>Second Supplemental Indenture, dated as of October 1, 2014, between Cheyenne Light, Fuel and Power Company and Wells Fargo</w:t>
              </w:r>
            </w:hyperlink>
          </w:p>
        </w:tc>
      </w:tr>
      <w:tr>
        <w:trPr>
          <w:trHeight w:val="142"/>
        </w:trPr>
        <w:tc>
          <w:tcPr>
            <w:tcW w:w="1340" w:type="dxa"/>
            <w:vAlign w:val="bottom"/>
          </w:tcPr>
          <w:p>
            <w:pPr>
              <w:spacing w:after="0"/>
              <w:rPr>
                <w:sz w:val="12"/>
                <w:szCs w:val="12"/>
                <w:color w:val="auto"/>
              </w:rPr>
            </w:pPr>
          </w:p>
        </w:tc>
        <w:tc>
          <w:tcPr>
            <w:tcW w:w="9480" w:type="dxa"/>
            <w:vAlign w:val="bottom"/>
            <w:tcBorders>
              <w:top w:val="single" w:sz="8" w:color="0000FF"/>
            </w:tcBorders>
            <w:gridSpan w:val="18"/>
          </w:tcPr>
          <w:p>
            <w:pPr>
              <w:spacing w:after="0" w:line="142" w:lineRule="exact"/>
              <w:rPr>
                <w:rFonts w:ascii="Arial" w:cs="Arial" w:eastAsia="Arial" w:hAnsi="Arial"/>
                <w:sz w:val="16"/>
                <w:szCs w:val="16"/>
                <w:color w:val="0000FF"/>
              </w:rPr>
            </w:pPr>
            <w:hyperlink r:id="rId111">
              <w:r>
                <w:rPr>
                  <w:rFonts w:ascii="Arial" w:cs="Arial" w:eastAsia="Arial" w:hAnsi="Arial"/>
                  <w:sz w:val="16"/>
                  <w:szCs w:val="16"/>
                  <w:color w:val="0000FF"/>
                </w:rPr>
                <w:t>Bank, National Association (filed as Exhibit 10.4 to the Registrant’s Form 8-K filed on October 2, 2014).</w:t>
              </w:r>
            </w:hyperlink>
          </w:p>
        </w:tc>
        <w:tc>
          <w:tcPr>
            <w:tcW w:w="160" w:type="dxa"/>
            <w:vAlign w:val="bottom"/>
            <w:gridSpan w:val="5"/>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2"/>
          </w:tcPr>
          <w:p>
            <w:pPr>
              <w:spacing w:after="0"/>
              <w:rPr>
                <w:sz w:val="12"/>
                <w:szCs w:val="12"/>
                <w:color w:val="auto"/>
              </w:rPr>
            </w:pPr>
          </w:p>
        </w:tc>
        <w:tc>
          <w:tcPr>
            <w:tcW w:w="140" w:type="dxa"/>
            <w:vAlign w:val="bottom"/>
            <w:gridSpan w:val="4"/>
          </w:tcPr>
          <w:p>
            <w:pPr>
              <w:spacing w:after="0"/>
              <w:rPr>
                <w:sz w:val="12"/>
                <w:szCs w:val="12"/>
                <w:color w:val="auto"/>
              </w:rPr>
            </w:pPr>
          </w:p>
        </w:tc>
      </w:tr>
      <w:tr>
        <w:trPr>
          <w:trHeight w:val="21"/>
        </w:trPr>
        <w:tc>
          <w:tcPr>
            <w:tcW w:w="134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440" w:type="dxa"/>
            <w:vAlign w:val="bottom"/>
            <w:tcBorders>
              <w:top w:val="single" w:sz="8" w:color="0000FF"/>
            </w:tcBorders>
          </w:tcPr>
          <w:p>
            <w:pPr>
              <w:spacing w:after="0" w:line="20" w:lineRule="exact"/>
              <w:rPr>
                <w:sz w:val="1"/>
                <w:szCs w:val="1"/>
                <w:color w:val="auto"/>
              </w:rPr>
            </w:pPr>
          </w:p>
        </w:tc>
        <w:tc>
          <w:tcPr>
            <w:tcW w:w="11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1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460" w:type="dxa"/>
            <w:vAlign w:val="bottom"/>
            <w:tcBorders>
              <w:top w:val="single" w:sz="8" w:color="0000FF"/>
            </w:tcBorders>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40" w:type="dxa"/>
            <w:vAlign w:val="bottom"/>
            <w:tcBorders>
              <w:bottom w:val="single" w:sz="8" w:color="CEFFE7"/>
            </w:tcBorders>
            <w:shd w:val="clear" w:color="auto" w:fill="CEFFE7"/>
          </w:tcPr>
          <w:p>
            <w:pPr>
              <w:ind w:left="20"/>
              <w:spacing w:after="0" w:line="175" w:lineRule="exact"/>
              <w:rPr>
                <w:sz w:val="20"/>
                <w:szCs w:val="20"/>
                <w:color w:val="auto"/>
              </w:rPr>
            </w:pPr>
            <w:r>
              <w:rPr>
                <w:rFonts w:ascii="Arial" w:cs="Arial" w:eastAsia="Arial" w:hAnsi="Arial"/>
                <w:sz w:val="16"/>
                <w:szCs w:val="16"/>
                <w:color w:val="auto"/>
              </w:rPr>
              <w:t>4.4</w:t>
            </w:r>
          </w:p>
        </w:tc>
        <w:tc>
          <w:tcPr>
            <w:tcW w:w="9500" w:type="dxa"/>
            <w:vAlign w:val="bottom"/>
            <w:tcBorders>
              <w:bottom w:val="single" w:sz="8" w:color="0000FF"/>
            </w:tcBorders>
            <w:gridSpan w:val="19"/>
            <w:shd w:val="clear" w:color="auto" w:fill="CEFFE7"/>
          </w:tcPr>
          <w:p>
            <w:pPr>
              <w:spacing w:after="0" w:line="175" w:lineRule="exact"/>
              <w:rPr>
                <w:rFonts w:ascii="Arial" w:cs="Arial" w:eastAsia="Arial" w:hAnsi="Arial"/>
                <w:sz w:val="16"/>
                <w:szCs w:val="16"/>
                <w:color w:val="0000FF"/>
              </w:rPr>
            </w:pPr>
            <w:hyperlink r:id="rId112">
              <w:r>
                <w:rPr>
                  <w:rFonts w:ascii="Arial" w:cs="Arial" w:eastAsia="Arial" w:hAnsi="Arial"/>
                  <w:sz w:val="16"/>
                  <w:szCs w:val="16"/>
                  <w:color w:val="0000FF"/>
                </w:rPr>
                <w:t xml:space="preserve">Form of Stock Certificate for Common Stock, Par Value </w:t>
              </w:r>
              <w:r>
                <w:rPr>
                  <w:rFonts w:ascii="Arial" w:cs="Arial" w:eastAsia="Arial" w:hAnsi="Arial"/>
                  <w:sz w:val="16"/>
                  <w:szCs w:val="16"/>
                  <w:u w:val="single" w:color="auto"/>
                  <w:color w:val="0000FF"/>
                </w:rPr>
                <w:t>$</w:t>
              </w:r>
              <w:r>
                <w:rPr>
                  <w:rFonts w:ascii="Arial" w:cs="Arial" w:eastAsia="Arial" w:hAnsi="Arial"/>
                  <w:sz w:val="16"/>
                  <w:szCs w:val="16"/>
                  <w:color w:val="0000FF"/>
                </w:rPr>
                <w:t>1.00 Per Share (filed as Exhibit 4.2 to the Registrant’s Form 10-K for 2000).</w:t>
              </w:r>
            </w:hyperlink>
          </w:p>
        </w:tc>
        <w:tc>
          <w:tcPr>
            <w:tcW w:w="400" w:type="dxa"/>
            <w:vAlign w:val="bottom"/>
            <w:tcBorders>
              <w:bottom w:val="single" w:sz="8" w:color="CEFFE7"/>
            </w:tcBorders>
            <w:gridSpan w:val="13"/>
            <w:shd w:val="clear" w:color="auto" w:fill="CEFFE7"/>
          </w:tcPr>
          <w:p>
            <w:pPr>
              <w:spacing w:after="0"/>
              <w:rPr>
                <w:sz w:val="17"/>
                <w:szCs w:val="17"/>
                <w:color w:val="auto"/>
              </w:rPr>
            </w:pPr>
          </w:p>
        </w:tc>
      </w:tr>
      <w:tr>
        <w:trPr>
          <w:trHeight w:val="175"/>
        </w:trPr>
        <w:tc>
          <w:tcPr>
            <w:tcW w:w="1340" w:type="dxa"/>
            <w:vAlign w:val="bottom"/>
          </w:tcPr>
          <w:p>
            <w:pPr>
              <w:ind w:left="20"/>
              <w:spacing w:after="0" w:line="175" w:lineRule="exact"/>
              <w:rPr>
                <w:sz w:val="20"/>
                <w:szCs w:val="20"/>
                <w:color w:val="auto"/>
              </w:rPr>
            </w:pPr>
            <w:r>
              <w:rPr>
                <w:rFonts w:ascii="Arial" w:cs="Arial" w:eastAsia="Arial" w:hAnsi="Arial"/>
                <w:sz w:val="16"/>
                <w:szCs w:val="16"/>
                <w:color w:val="auto"/>
              </w:rPr>
              <w:t>10.1</w:t>
            </w:r>
          </w:p>
        </w:tc>
        <w:tc>
          <w:tcPr>
            <w:tcW w:w="9900" w:type="dxa"/>
            <w:vAlign w:val="bottom"/>
            <w:gridSpan w:val="32"/>
          </w:tcPr>
          <w:p>
            <w:pPr>
              <w:spacing w:after="0" w:line="175" w:lineRule="exact"/>
              <w:rPr>
                <w:rFonts w:ascii="Arial" w:cs="Arial" w:eastAsia="Arial" w:hAnsi="Arial"/>
                <w:sz w:val="16"/>
                <w:szCs w:val="16"/>
                <w:color w:val="0000FF"/>
              </w:rPr>
            </w:pPr>
            <w:hyperlink r:id="rId113">
              <w:r>
                <w:rPr>
                  <w:rFonts w:ascii="Arial" w:cs="Arial" w:eastAsia="Arial" w:hAnsi="Arial"/>
                  <w:sz w:val="16"/>
                  <w:szCs w:val="16"/>
                  <w:color w:val="0000FF"/>
                </w:rPr>
                <w:t>Credit Agreement dated as of February 24, 2021 among Black Hills Corporation, as Borrower, the financial institutions party thereto, as</w:t>
              </w:r>
            </w:hyperlink>
          </w:p>
        </w:tc>
      </w:tr>
      <w:tr>
        <w:trPr>
          <w:trHeight w:val="142"/>
        </w:trPr>
        <w:tc>
          <w:tcPr>
            <w:tcW w:w="1340" w:type="dxa"/>
            <w:vAlign w:val="bottom"/>
          </w:tcPr>
          <w:p>
            <w:pPr>
              <w:spacing w:after="0"/>
              <w:rPr>
                <w:sz w:val="12"/>
                <w:szCs w:val="12"/>
                <w:color w:val="auto"/>
              </w:rPr>
            </w:pPr>
          </w:p>
        </w:tc>
        <w:tc>
          <w:tcPr>
            <w:tcW w:w="9640" w:type="dxa"/>
            <w:vAlign w:val="bottom"/>
            <w:tcBorders>
              <w:top w:val="single" w:sz="8" w:color="0000FF"/>
              <w:bottom w:val="single" w:sz="8" w:color="0000FF"/>
            </w:tcBorders>
            <w:gridSpan w:val="23"/>
          </w:tcPr>
          <w:p>
            <w:pPr>
              <w:spacing w:after="0" w:line="142" w:lineRule="exact"/>
              <w:rPr>
                <w:rFonts w:ascii="Arial" w:cs="Arial" w:eastAsia="Arial" w:hAnsi="Arial"/>
                <w:sz w:val="16"/>
                <w:szCs w:val="16"/>
                <w:color w:val="0000FF"/>
                <w:w w:val="99"/>
              </w:rPr>
            </w:pPr>
            <w:hyperlink r:id="rId113">
              <w:r>
                <w:rPr>
                  <w:rFonts w:ascii="Arial" w:cs="Arial" w:eastAsia="Arial" w:hAnsi="Arial"/>
                  <w:sz w:val="16"/>
                  <w:szCs w:val="16"/>
                  <w:color w:val="0000FF"/>
                  <w:w w:val="99"/>
                </w:rPr>
                <w:t>Banks, and U.S. Bank National Association, as Administrative Agent (filed as Exhibit 10.1 to the Registrant’s Form 8–K filed on February</w:t>
              </w:r>
            </w:hyperlink>
          </w:p>
        </w:tc>
        <w:tc>
          <w:tcPr>
            <w:tcW w:w="20" w:type="dxa"/>
            <w:vAlign w:val="bottom"/>
            <w:tcBorders>
              <w:bottom w:val="single" w:sz="8" w:color="0000FF"/>
            </w:tcBorders>
          </w:tcPr>
          <w:p>
            <w:pPr>
              <w:spacing w:after="0"/>
              <w:rPr>
                <w:sz w:val="12"/>
                <w:szCs w:val="12"/>
                <w:color w:val="auto"/>
              </w:rPr>
            </w:pPr>
          </w:p>
        </w:tc>
        <w:tc>
          <w:tcPr>
            <w:tcW w:w="40" w:type="dxa"/>
            <w:vAlign w:val="bottom"/>
            <w:tcBorders>
              <w:bottom w:val="single" w:sz="8" w:color="0000FF"/>
            </w:tcBorders>
            <w:gridSpan w:val="2"/>
          </w:tcPr>
          <w:p>
            <w:pPr>
              <w:spacing w:after="0"/>
              <w:rPr>
                <w:sz w:val="12"/>
                <w:szCs w:val="12"/>
                <w:color w:val="auto"/>
              </w:rPr>
            </w:pPr>
          </w:p>
        </w:tc>
        <w:tc>
          <w:tcPr>
            <w:tcW w:w="60" w:type="dxa"/>
            <w:vAlign w:val="bottom"/>
            <w:tcBorders>
              <w:bottom w:val="single" w:sz="8" w:color="0000FF"/>
            </w:tcBorders>
            <w:gridSpan w:val="2"/>
          </w:tcPr>
          <w:p>
            <w:pPr>
              <w:spacing w:after="0"/>
              <w:rPr>
                <w:sz w:val="12"/>
                <w:szCs w:val="12"/>
                <w:color w:val="auto"/>
              </w:rPr>
            </w:pPr>
          </w:p>
        </w:tc>
        <w:tc>
          <w:tcPr>
            <w:tcW w:w="140" w:type="dxa"/>
            <w:vAlign w:val="bottom"/>
            <w:gridSpan w:val="4"/>
          </w:tcPr>
          <w:p>
            <w:pPr>
              <w:spacing w:after="0"/>
              <w:rPr>
                <w:sz w:val="12"/>
                <w:szCs w:val="12"/>
                <w:color w:val="auto"/>
              </w:rPr>
            </w:pPr>
          </w:p>
        </w:tc>
      </w:tr>
      <w:tr>
        <w:trPr>
          <w:trHeight w:val="142"/>
        </w:trPr>
        <w:tc>
          <w:tcPr>
            <w:tcW w:w="1340" w:type="dxa"/>
            <w:vAlign w:val="bottom"/>
          </w:tcPr>
          <w:p>
            <w:pPr>
              <w:spacing w:after="0"/>
              <w:rPr>
                <w:sz w:val="12"/>
                <w:szCs w:val="12"/>
                <w:color w:val="auto"/>
              </w:rPr>
            </w:pPr>
          </w:p>
        </w:tc>
        <w:tc>
          <w:tcPr>
            <w:tcW w:w="860" w:type="dxa"/>
            <w:vAlign w:val="bottom"/>
            <w:gridSpan w:val="4"/>
          </w:tcPr>
          <w:p>
            <w:pPr>
              <w:spacing w:after="0" w:line="142" w:lineRule="exact"/>
              <w:rPr>
                <w:rFonts w:ascii="Arial" w:cs="Arial" w:eastAsia="Arial" w:hAnsi="Arial"/>
                <w:sz w:val="16"/>
                <w:szCs w:val="16"/>
                <w:color w:val="0000FF"/>
              </w:rPr>
            </w:pPr>
            <w:hyperlink r:id="rId113">
              <w:r>
                <w:rPr>
                  <w:rFonts w:ascii="Arial" w:cs="Arial" w:eastAsia="Arial" w:hAnsi="Arial"/>
                  <w:sz w:val="16"/>
                  <w:szCs w:val="16"/>
                  <w:color w:val="0000FF"/>
                </w:rPr>
                <w:t>25, 2021).</w:t>
              </w:r>
            </w:hyperlink>
          </w:p>
        </w:tc>
        <w:tc>
          <w:tcPr>
            <w:tcW w:w="14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1"/>
        </w:trPr>
        <w:tc>
          <w:tcPr>
            <w:tcW w:w="134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340" w:type="dxa"/>
            <w:vAlign w:val="bottom"/>
            <w:shd w:val="clear" w:color="auto" w:fill="CEFFE7"/>
          </w:tcPr>
          <w:p>
            <w:pPr>
              <w:ind w:left="20"/>
              <w:spacing w:after="0" w:line="175" w:lineRule="exact"/>
              <w:rPr>
                <w:sz w:val="20"/>
                <w:szCs w:val="20"/>
                <w:color w:val="auto"/>
              </w:rPr>
            </w:pPr>
            <w:r>
              <w:rPr>
                <w:rFonts w:ascii="Arial" w:cs="Arial" w:eastAsia="Arial" w:hAnsi="Arial"/>
                <w:sz w:val="16"/>
                <w:szCs w:val="16"/>
                <w:color w:val="auto"/>
              </w:rPr>
              <w:t>31.1*</w:t>
            </w:r>
          </w:p>
        </w:tc>
        <w:tc>
          <w:tcPr>
            <w:tcW w:w="9900" w:type="dxa"/>
            <w:vAlign w:val="bottom"/>
            <w:gridSpan w:val="32"/>
            <w:shd w:val="clear" w:color="auto" w:fill="CEFFE7"/>
          </w:tcPr>
          <w:p>
            <w:pPr>
              <w:spacing w:after="0" w:line="175" w:lineRule="exact"/>
              <w:rPr>
                <w:rFonts w:ascii="Arial" w:cs="Arial" w:eastAsia="Arial" w:hAnsi="Arial"/>
                <w:sz w:val="16"/>
                <w:szCs w:val="16"/>
                <w:color w:val="0000FF"/>
              </w:rPr>
            </w:pPr>
            <w:hyperlink w:anchor="page49">
              <w:r>
                <w:rPr>
                  <w:rFonts w:ascii="Arial" w:cs="Arial" w:eastAsia="Arial" w:hAnsi="Arial"/>
                  <w:sz w:val="16"/>
                  <w:szCs w:val="16"/>
                  <w:color w:val="0000FF"/>
                </w:rPr>
                <w:t>Certification of Chief Executive Officer pursuant to Rule 13a - 14(a) of the Securities Exchange Act of 1934, as adopted pursuant to</w:t>
              </w:r>
            </w:hyperlink>
          </w:p>
        </w:tc>
      </w:tr>
      <w:tr>
        <w:trPr>
          <w:trHeight w:val="142"/>
        </w:trPr>
        <w:tc>
          <w:tcPr>
            <w:tcW w:w="1340" w:type="dxa"/>
            <w:vAlign w:val="bottom"/>
            <w:tcBorders>
              <w:top w:val="single" w:sz="8" w:color="CEFFE7"/>
            </w:tcBorders>
            <w:shd w:val="clear" w:color="auto" w:fill="CEFFE7"/>
          </w:tcPr>
          <w:p>
            <w:pPr>
              <w:spacing w:after="0"/>
              <w:rPr>
                <w:sz w:val="12"/>
                <w:szCs w:val="12"/>
                <w:color w:val="auto"/>
              </w:rPr>
            </w:pPr>
          </w:p>
        </w:tc>
        <w:tc>
          <w:tcPr>
            <w:tcW w:w="9380" w:type="dxa"/>
            <w:vAlign w:val="bottom"/>
            <w:tcBorders>
              <w:top w:val="single" w:sz="8" w:color="0000FF"/>
            </w:tcBorders>
            <w:gridSpan w:val="16"/>
            <w:shd w:val="clear" w:color="auto" w:fill="CEFFE7"/>
          </w:tcPr>
          <w:p>
            <w:pPr>
              <w:spacing w:after="0" w:line="142" w:lineRule="exact"/>
              <w:rPr>
                <w:rFonts w:ascii="Arial" w:cs="Arial" w:eastAsia="Arial" w:hAnsi="Arial"/>
                <w:sz w:val="16"/>
                <w:szCs w:val="16"/>
                <w:color w:val="0000FF"/>
              </w:rPr>
            </w:pPr>
            <w:hyperlink w:anchor="page49">
              <w:r>
                <w:rPr>
                  <w:rFonts w:ascii="Arial" w:cs="Arial" w:eastAsia="Arial" w:hAnsi="Arial"/>
                  <w:sz w:val="16"/>
                  <w:szCs w:val="16"/>
                  <w:color w:val="0000FF"/>
                </w:rPr>
                <w:t>Section 302 of the Sarbanes - Oxley Act of 2002.</w:t>
              </w:r>
            </w:hyperlink>
          </w:p>
        </w:tc>
        <w:tc>
          <w:tcPr>
            <w:tcW w:w="280" w:type="dxa"/>
            <w:vAlign w:val="bottom"/>
            <w:tcBorders>
              <w:top w:val="single" w:sz="8" w:color="CEFFE7"/>
            </w:tcBorders>
            <w:gridSpan w:val="8"/>
            <w:shd w:val="clear" w:color="auto" w:fill="CEFFE7"/>
          </w:tcPr>
          <w:p>
            <w:pPr>
              <w:spacing w:after="0"/>
              <w:rPr>
                <w:sz w:val="12"/>
                <w:szCs w:val="12"/>
                <w:color w:val="auto"/>
              </w:rPr>
            </w:pPr>
          </w:p>
        </w:tc>
        <w:tc>
          <w:tcPr>
            <w:tcW w:w="40" w:type="dxa"/>
            <w:vAlign w:val="bottom"/>
            <w:tcBorders>
              <w:top w:val="single" w:sz="8" w:color="CEFFE7"/>
            </w:tcBorders>
            <w:gridSpan w:val="2"/>
            <w:shd w:val="clear" w:color="auto" w:fill="CEFFE7"/>
          </w:tcPr>
          <w:p>
            <w:pPr>
              <w:spacing w:after="0"/>
              <w:rPr>
                <w:sz w:val="12"/>
                <w:szCs w:val="12"/>
                <w:color w:val="auto"/>
              </w:rPr>
            </w:pPr>
          </w:p>
        </w:tc>
        <w:tc>
          <w:tcPr>
            <w:tcW w:w="200" w:type="dxa"/>
            <w:vAlign w:val="bottom"/>
            <w:tcBorders>
              <w:top w:val="single" w:sz="8" w:color="CEFFE7"/>
            </w:tcBorders>
            <w:gridSpan w:val="6"/>
            <w:shd w:val="clear" w:color="auto" w:fill="CEFFE7"/>
          </w:tcPr>
          <w:p>
            <w:pPr>
              <w:spacing w:after="0"/>
              <w:rPr>
                <w:sz w:val="12"/>
                <w:szCs w:val="12"/>
                <w:color w:val="auto"/>
              </w:rPr>
            </w:pPr>
          </w:p>
        </w:tc>
      </w:tr>
      <w:tr>
        <w:trPr>
          <w:trHeight w:val="21"/>
        </w:trPr>
        <w:tc>
          <w:tcPr>
            <w:tcW w:w="1340" w:type="dxa"/>
            <w:vAlign w:val="bottom"/>
            <w:tcBorders>
              <w:top w:val="single" w:sz="8" w:color="CEFFE7"/>
            </w:tcBorders>
            <w:shd w:val="clear" w:color="auto" w:fill="CEFFE7"/>
          </w:tcPr>
          <w:p>
            <w:pPr>
              <w:spacing w:after="0" w:line="20" w:lineRule="exact"/>
              <w:rPr>
                <w:sz w:val="1"/>
                <w:szCs w:val="1"/>
                <w:color w:val="auto"/>
              </w:rPr>
            </w:pPr>
          </w:p>
        </w:tc>
        <w:tc>
          <w:tcPr>
            <w:tcW w:w="460" w:type="dxa"/>
            <w:vAlign w:val="bottom"/>
            <w:tcBorders>
              <w:top w:val="single" w:sz="8" w:color="0000FF"/>
            </w:tcBorders>
            <w:shd w:val="clear" w:color="auto" w:fill="CEFFE7"/>
          </w:tcPr>
          <w:p>
            <w:pPr>
              <w:spacing w:after="0" w:line="20" w:lineRule="exact"/>
              <w:rPr>
                <w:sz w:val="1"/>
                <w:szCs w:val="1"/>
                <w:color w:val="auto"/>
              </w:rPr>
            </w:pPr>
          </w:p>
        </w:tc>
        <w:tc>
          <w:tcPr>
            <w:tcW w:w="22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140" w:type="dxa"/>
            <w:vAlign w:val="bottom"/>
            <w:tcBorders>
              <w:top w:val="single" w:sz="8" w:color="0000FF"/>
            </w:tcBorders>
            <w:shd w:val="clear" w:color="auto" w:fill="CEFFE7"/>
          </w:tcPr>
          <w:p>
            <w:pPr>
              <w:spacing w:after="0" w:line="20" w:lineRule="exact"/>
              <w:rPr>
                <w:sz w:val="1"/>
                <w:szCs w:val="1"/>
                <w:color w:val="auto"/>
              </w:rPr>
            </w:pPr>
          </w:p>
        </w:tc>
        <w:tc>
          <w:tcPr>
            <w:tcW w:w="1440" w:type="dxa"/>
            <w:vAlign w:val="bottom"/>
            <w:tcBorders>
              <w:top w:val="single" w:sz="8" w:color="0000FF"/>
            </w:tcBorders>
            <w:shd w:val="clear" w:color="auto" w:fill="CEFFE7"/>
          </w:tcPr>
          <w:p>
            <w:pPr>
              <w:spacing w:after="0" w:line="20" w:lineRule="exact"/>
              <w:rPr>
                <w:sz w:val="1"/>
                <w:szCs w:val="1"/>
                <w:color w:val="auto"/>
              </w:rPr>
            </w:pPr>
          </w:p>
        </w:tc>
        <w:tc>
          <w:tcPr>
            <w:tcW w:w="1140" w:type="dxa"/>
            <w:vAlign w:val="bottom"/>
            <w:tcBorders>
              <w:top w:val="single" w:sz="8" w:color="0000FF"/>
            </w:tcBorders>
            <w:shd w:val="clear" w:color="auto" w:fill="CEFFE7"/>
          </w:tcPr>
          <w:p>
            <w:pPr>
              <w:spacing w:after="0" w:line="20" w:lineRule="exact"/>
              <w:rPr>
                <w:sz w:val="1"/>
                <w:szCs w:val="1"/>
                <w:color w:val="auto"/>
              </w:rPr>
            </w:pPr>
          </w:p>
        </w:tc>
        <w:tc>
          <w:tcPr>
            <w:tcW w:w="60" w:type="dxa"/>
            <w:vAlign w:val="bottom"/>
            <w:tcBorders>
              <w:top w:val="single" w:sz="8" w:color="0000FF"/>
            </w:tcBorders>
            <w:shd w:val="clear" w:color="auto" w:fill="CEFFE7"/>
          </w:tcPr>
          <w:p>
            <w:pPr>
              <w:spacing w:after="0" w:line="20" w:lineRule="exact"/>
              <w:rPr>
                <w:sz w:val="1"/>
                <w:szCs w:val="1"/>
                <w:color w:val="auto"/>
              </w:rPr>
            </w:pPr>
          </w:p>
        </w:tc>
        <w:tc>
          <w:tcPr>
            <w:tcW w:w="180" w:type="dxa"/>
            <w:vAlign w:val="bottom"/>
            <w:tcBorders>
              <w:top w:val="single" w:sz="8" w:color="CEFFE7"/>
            </w:tcBorders>
            <w:shd w:val="clear" w:color="auto" w:fill="CEFFE7"/>
          </w:tcPr>
          <w:p>
            <w:pPr>
              <w:spacing w:after="0" w:line="20" w:lineRule="exact"/>
              <w:rPr>
                <w:sz w:val="1"/>
                <w:szCs w:val="1"/>
                <w:color w:val="auto"/>
              </w:rPr>
            </w:pPr>
          </w:p>
        </w:tc>
        <w:tc>
          <w:tcPr>
            <w:tcW w:w="1100" w:type="dxa"/>
            <w:vAlign w:val="bottom"/>
            <w:tcBorders>
              <w:top w:val="single" w:sz="8" w:color="CEFFE7"/>
            </w:tcBorders>
            <w:shd w:val="clear" w:color="auto" w:fill="CEFFE7"/>
          </w:tcPr>
          <w:p>
            <w:pPr>
              <w:spacing w:after="0" w:line="20" w:lineRule="exact"/>
              <w:rPr>
                <w:sz w:val="1"/>
                <w:szCs w:val="1"/>
                <w:color w:val="auto"/>
              </w:rPr>
            </w:pPr>
          </w:p>
        </w:tc>
        <w:tc>
          <w:tcPr>
            <w:tcW w:w="120" w:type="dxa"/>
            <w:vAlign w:val="bottom"/>
            <w:tcBorders>
              <w:top w:val="single" w:sz="8" w:color="CEFFE7"/>
            </w:tcBorders>
            <w:shd w:val="clear" w:color="auto" w:fill="CEFFE7"/>
          </w:tcPr>
          <w:p>
            <w:pPr>
              <w:spacing w:after="0" w:line="20" w:lineRule="exact"/>
              <w:rPr>
                <w:sz w:val="1"/>
                <w:szCs w:val="1"/>
                <w:color w:val="auto"/>
              </w:rPr>
            </w:pPr>
          </w:p>
        </w:tc>
        <w:tc>
          <w:tcPr>
            <w:tcW w:w="2460" w:type="dxa"/>
            <w:vAlign w:val="bottom"/>
            <w:tcBorders>
              <w:top w:val="single" w:sz="8" w:color="CEFFE7"/>
            </w:tcBorders>
            <w:shd w:val="clear" w:color="auto" w:fill="CEFFE7"/>
          </w:tcPr>
          <w:p>
            <w:pPr>
              <w:spacing w:after="0" w:line="20" w:lineRule="exact"/>
              <w:rPr>
                <w:sz w:val="1"/>
                <w:szCs w:val="1"/>
                <w:color w:val="auto"/>
              </w:rPr>
            </w:pPr>
          </w:p>
        </w:tc>
        <w:tc>
          <w:tcPr>
            <w:tcW w:w="1860" w:type="dxa"/>
            <w:vAlign w:val="bottom"/>
            <w:tcBorders>
              <w:top w:val="single" w:sz="8" w:color="CEFFE7"/>
            </w:tcBorders>
            <w:shd w:val="clear" w:color="auto" w:fill="CEFFE7"/>
          </w:tcPr>
          <w:p>
            <w:pPr>
              <w:spacing w:after="0" w:line="20" w:lineRule="exact"/>
              <w:rPr>
                <w:sz w:val="1"/>
                <w:szCs w:val="1"/>
                <w:color w:val="auto"/>
              </w:rPr>
            </w:pPr>
          </w:p>
        </w:tc>
        <w:tc>
          <w:tcPr>
            <w:tcW w:w="8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8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r>
      <w:tr>
        <w:trPr>
          <w:trHeight w:val="176"/>
        </w:trPr>
        <w:tc>
          <w:tcPr>
            <w:tcW w:w="1340" w:type="dxa"/>
            <w:vAlign w:val="bottom"/>
          </w:tcPr>
          <w:p>
            <w:pPr>
              <w:ind w:left="20"/>
              <w:spacing w:after="0" w:line="175" w:lineRule="exact"/>
              <w:rPr>
                <w:sz w:val="20"/>
                <w:szCs w:val="20"/>
                <w:color w:val="auto"/>
              </w:rPr>
            </w:pPr>
            <w:r>
              <w:rPr>
                <w:rFonts w:ascii="Arial" w:cs="Arial" w:eastAsia="Arial" w:hAnsi="Arial"/>
                <w:sz w:val="16"/>
                <w:szCs w:val="16"/>
                <w:color w:val="auto"/>
              </w:rPr>
              <w:t>31.2*</w:t>
            </w:r>
          </w:p>
        </w:tc>
        <w:tc>
          <w:tcPr>
            <w:tcW w:w="9900" w:type="dxa"/>
            <w:vAlign w:val="bottom"/>
            <w:gridSpan w:val="32"/>
          </w:tcPr>
          <w:p>
            <w:pPr>
              <w:spacing w:after="0" w:line="175" w:lineRule="exact"/>
              <w:rPr>
                <w:rFonts w:ascii="Arial" w:cs="Arial" w:eastAsia="Arial" w:hAnsi="Arial"/>
                <w:sz w:val="16"/>
                <w:szCs w:val="16"/>
                <w:color w:val="0000FF"/>
              </w:rPr>
            </w:pPr>
            <w:hyperlink w:anchor="page50">
              <w:r>
                <w:rPr>
                  <w:rFonts w:ascii="Arial" w:cs="Arial" w:eastAsia="Arial" w:hAnsi="Arial"/>
                  <w:sz w:val="16"/>
                  <w:szCs w:val="16"/>
                  <w:color w:val="0000FF"/>
                </w:rPr>
                <w:t>Certification of Chief Financial Officer pursuant to Rule 13a - 14(a) of the Securities Exchange Act of 1934, as adopted pursuant to</w:t>
              </w:r>
            </w:hyperlink>
          </w:p>
        </w:tc>
      </w:tr>
      <w:tr>
        <w:trPr>
          <w:trHeight w:val="142"/>
        </w:trPr>
        <w:tc>
          <w:tcPr>
            <w:tcW w:w="1340" w:type="dxa"/>
            <w:vAlign w:val="bottom"/>
          </w:tcPr>
          <w:p>
            <w:pPr>
              <w:spacing w:after="0"/>
              <w:rPr>
                <w:sz w:val="12"/>
                <w:szCs w:val="12"/>
                <w:color w:val="auto"/>
              </w:rPr>
            </w:pPr>
          </w:p>
        </w:tc>
        <w:tc>
          <w:tcPr>
            <w:tcW w:w="9320" w:type="dxa"/>
            <w:vAlign w:val="bottom"/>
            <w:tcBorders>
              <w:top w:val="single" w:sz="8" w:color="0000FF"/>
            </w:tcBorders>
            <w:gridSpan w:val="14"/>
          </w:tcPr>
          <w:p>
            <w:pPr>
              <w:spacing w:after="0" w:line="142" w:lineRule="exact"/>
              <w:rPr>
                <w:rFonts w:ascii="Arial" w:cs="Arial" w:eastAsia="Arial" w:hAnsi="Arial"/>
                <w:sz w:val="16"/>
                <w:szCs w:val="16"/>
                <w:color w:val="0000FF"/>
              </w:rPr>
            </w:pPr>
            <w:hyperlink w:anchor="page50">
              <w:r>
                <w:rPr>
                  <w:rFonts w:ascii="Arial" w:cs="Arial" w:eastAsia="Arial" w:hAnsi="Arial"/>
                  <w:sz w:val="16"/>
                  <w:szCs w:val="16"/>
                  <w:color w:val="0000FF"/>
                </w:rPr>
                <w:t>Section 302 of the Sarbanes - Oxley Act of 2002.</w:t>
              </w:r>
            </w:hyperlink>
          </w:p>
        </w:tc>
        <w:tc>
          <w:tcPr>
            <w:tcW w:w="340" w:type="dxa"/>
            <w:vAlign w:val="bottom"/>
            <w:gridSpan w:val="10"/>
          </w:tcPr>
          <w:p>
            <w:pPr>
              <w:spacing w:after="0"/>
              <w:rPr>
                <w:sz w:val="12"/>
                <w:szCs w:val="12"/>
                <w:color w:val="auto"/>
              </w:rPr>
            </w:pPr>
          </w:p>
        </w:tc>
        <w:tc>
          <w:tcPr>
            <w:tcW w:w="40" w:type="dxa"/>
            <w:vAlign w:val="bottom"/>
            <w:gridSpan w:val="2"/>
          </w:tcPr>
          <w:p>
            <w:pPr>
              <w:spacing w:after="0"/>
              <w:rPr>
                <w:sz w:val="12"/>
                <w:szCs w:val="12"/>
                <w:color w:val="auto"/>
              </w:rPr>
            </w:pPr>
          </w:p>
        </w:tc>
        <w:tc>
          <w:tcPr>
            <w:tcW w:w="200" w:type="dxa"/>
            <w:vAlign w:val="bottom"/>
            <w:gridSpan w:val="6"/>
          </w:tcPr>
          <w:p>
            <w:pPr>
              <w:spacing w:after="0"/>
              <w:rPr>
                <w:sz w:val="12"/>
                <w:szCs w:val="12"/>
                <w:color w:val="auto"/>
              </w:rPr>
            </w:pPr>
          </w:p>
        </w:tc>
      </w:tr>
      <w:tr>
        <w:trPr>
          <w:trHeight w:val="20"/>
        </w:trPr>
        <w:tc>
          <w:tcPr>
            <w:tcW w:w="134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440" w:type="dxa"/>
            <w:vAlign w:val="bottom"/>
            <w:tcBorders>
              <w:top w:val="single" w:sz="8" w:color="0000FF"/>
            </w:tcBorders>
          </w:tcPr>
          <w:p>
            <w:pPr>
              <w:spacing w:after="0" w:line="20" w:lineRule="exact"/>
              <w:rPr>
                <w:sz w:val="1"/>
                <w:szCs w:val="1"/>
                <w:color w:val="auto"/>
              </w:rPr>
            </w:pPr>
          </w:p>
        </w:tc>
        <w:tc>
          <w:tcPr>
            <w:tcW w:w="11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340" w:type="dxa"/>
            <w:vAlign w:val="bottom"/>
            <w:shd w:val="clear" w:color="auto" w:fill="CEFFE7"/>
          </w:tcPr>
          <w:p>
            <w:pPr>
              <w:ind w:left="20"/>
              <w:spacing w:after="0" w:line="175" w:lineRule="exact"/>
              <w:rPr>
                <w:sz w:val="20"/>
                <w:szCs w:val="20"/>
                <w:color w:val="auto"/>
              </w:rPr>
            </w:pPr>
            <w:r>
              <w:rPr>
                <w:rFonts w:ascii="Arial" w:cs="Arial" w:eastAsia="Arial" w:hAnsi="Arial"/>
                <w:sz w:val="16"/>
                <w:szCs w:val="16"/>
                <w:color w:val="auto"/>
              </w:rPr>
              <w:t>32.1*</w:t>
            </w:r>
          </w:p>
        </w:tc>
        <w:tc>
          <w:tcPr>
            <w:tcW w:w="9900" w:type="dxa"/>
            <w:vAlign w:val="bottom"/>
            <w:gridSpan w:val="32"/>
            <w:shd w:val="clear" w:color="auto" w:fill="CEFFE7"/>
          </w:tcPr>
          <w:p>
            <w:pPr>
              <w:spacing w:after="0" w:line="175" w:lineRule="exact"/>
              <w:rPr>
                <w:rFonts w:ascii="Arial" w:cs="Arial" w:eastAsia="Arial" w:hAnsi="Arial"/>
                <w:sz w:val="16"/>
                <w:szCs w:val="16"/>
                <w:color w:val="0000FF"/>
              </w:rPr>
            </w:pPr>
            <w:hyperlink w:anchor="page51">
              <w:r>
                <w:rPr>
                  <w:rFonts w:ascii="Arial" w:cs="Arial" w:eastAsia="Arial" w:hAnsi="Arial"/>
                  <w:sz w:val="16"/>
                  <w:szCs w:val="16"/>
                  <w:color w:val="0000FF"/>
                </w:rPr>
                <w:t>Certification of Chief Executive Officer pursuant to 18 U.S.C. Section 1350, as adopted pursuant to Section 906 of the Sarbanes - Oxley</w:t>
              </w:r>
            </w:hyperlink>
          </w:p>
        </w:tc>
      </w:tr>
      <w:tr>
        <w:trPr>
          <w:trHeight w:val="163"/>
        </w:trPr>
        <w:tc>
          <w:tcPr>
            <w:tcW w:w="1340" w:type="dxa"/>
            <w:vAlign w:val="bottom"/>
            <w:tcBorders>
              <w:top w:val="single" w:sz="8" w:color="CEFFE7"/>
              <w:bottom w:val="single" w:sz="8" w:color="CEFFE7"/>
            </w:tcBorders>
            <w:shd w:val="clear" w:color="auto" w:fill="CEFFE7"/>
          </w:tcPr>
          <w:p>
            <w:pPr>
              <w:spacing w:after="0"/>
              <w:rPr>
                <w:sz w:val="14"/>
                <w:szCs w:val="14"/>
                <w:color w:val="auto"/>
              </w:rPr>
            </w:pPr>
          </w:p>
        </w:tc>
        <w:tc>
          <w:tcPr>
            <w:tcW w:w="860" w:type="dxa"/>
            <w:vAlign w:val="bottom"/>
            <w:tcBorders>
              <w:top w:val="single" w:sz="8" w:color="0000FF"/>
              <w:bottom w:val="single" w:sz="8" w:color="0000FF"/>
            </w:tcBorders>
            <w:gridSpan w:val="4"/>
            <w:shd w:val="clear" w:color="auto" w:fill="CEFFE7"/>
          </w:tcPr>
          <w:p>
            <w:pPr>
              <w:spacing w:after="0" w:line="142" w:lineRule="exact"/>
              <w:rPr>
                <w:rFonts w:ascii="Arial" w:cs="Arial" w:eastAsia="Arial" w:hAnsi="Arial"/>
                <w:sz w:val="16"/>
                <w:szCs w:val="16"/>
                <w:color w:val="0000FF"/>
                <w:w w:val="98"/>
              </w:rPr>
            </w:pPr>
            <w:hyperlink w:anchor="page51">
              <w:r>
                <w:rPr>
                  <w:rFonts w:ascii="Arial" w:cs="Arial" w:eastAsia="Arial" w:hAnsi="Arial"/>
                  <w:sz w:val="16"/>
                  <w:szCs w:val="16"/>
                  <w:color w:val="0000FF"/>
                  <w:w w:val="98"/>
                </w:rPr>
                <w:t>Act of 2002.</w:t>
              </w:r>
            </w:hyperlink>
          </w:p>
        </w:tc>
        <w:tc>
          <w:tcPr>
            <w:tcW w:w="8840" w:type="dxa"/>
            <w:vAlign w:val="bottom"/>
            <w:tcBorders>
              <w:top w:val="single" w:sz="8" w:color="0000FF"/>
              <w:bottom w:val="single" w:sz="8" w:color="CEFFE7"/>
            </w:tcBorders>
            <w:gridSpan w:val="22"/>
            <w:shd w:val="clear" w:color="auto" w:fill="CEFFE7"/>
          </w:tcPr>
          <w:p>
            <w:pPr>
              <w:spacing w:after="0"/>
              <w:rPr>
                <w:sz w:val="14"/>
                <w:szCs w:val="14"/>
                <w:color w:val="auto"/>
              </w:rPr>
            </w:pPr>
          </w:p>
        </w:tc>
        <w:tc>
          <w:tcPr>
            <w:tcW w:w="200" w:type="dxa"/>
            <w:vAlign w:val="bottom"/>
            <w:tcBorders>
              <w:top w:val="single" w:sz="8" w:color="CEFFE7"/>
              <w:bottom w:val="single" w:sz="8" w:color="CEFFE7"/>
            </w:tcBorders>
            <w:gridSpan w:val="6"/>
            <w:shd w:val="clear" w:color="auto" w:fill="CEFFE7"/>
          </w:tcPr>
          <w:p>
            <w:pPr>
              <w:spacing w:after="0"/>
              <w:rPr>
                <w:sz w:val="14"/>
                <w:szCs w:val="14"/>
                <w:color w:val="auto"/>
              </w:rPr>
            </w:pPr>
          </w:p>
        </w:tc>
      </w:tr>
      <w:tr>
        <w:trPr>
          <w:trHeight w:val="175"/>
        </w:trPr>
        <w:tc>
          <w:tcPr>
            <w:tcW w:w="1340" w:type="dxa"/>
            <w:vAlign w:val="bottom"/>
          </w:tcPr>
          <w:p>
            <w:pPr>
              <w:ind w:left="20"/>
              <w:spacing w:after="0" w:line="175" w:lineRule="exact"/>
              <w:rPr>
                <w:sz w:val="20"/>
                <w:szCs w:val="20"/>
                <w:color w:val="auto"/>
              </w:rPr>
            </w:pPr>
            <w:r>
              <w:rPr>
                <w:rFonts w:ascii="Arial" w:cs="Arial" w:eastAsia="Arial" w:hAnsi="Arial"/>
                <w:sz w:val="16"/>
                <w:szCs w:val="16"/>
                <w:color w:val="auto"/>
              </w:rPr>
              <w:t>32.2*</w:t>
            </w:r>
          </w:p>
        </w:tc>
        <w:tc>
          <w:tcPr>
            <w:tcW w:w="9900" w:type="dxa"/>
            <w:vAlign w:val="bottom"/>
            <w:gridSpan w:val="32"/>
          </w:tcPr>
          <w:p>
            <w:pPr>
              <w:spacing w:after="0" w:line="175" w:lineRule="exact"/>
              <w:rPr>
                <w:rFonts w:ascii="Arial" w:cs="Arial" w:eastAsia="Arial" w:hAnsi="Arial"/>
                <w:sz w:val="16"/>
                <w:szCs w:val="16"/>
                <w:color w:val="0000FF"/>
              </w:rPr>
            </w:pPr>
            <w:hyperlink w:anchor="page52">
              <w:r>
                <w:rPr>
                  <w:rFonts w:ascii="Arial" w:cs="Arial" w:eastAsia="Arial" w:hAnsi="Arial"/>
                  <w:sz w:val="16"/>
                  <w:szCs w:val="16"/>
                  <w:color w:val="0000FF"/>
                </w:rPr>
                <w:t>Certification of Chief Financial Officer pursuant to 18 U.S.C. Section 1350, as adopted pursuant to Section 906 of the Sarbanes - Oxley</w:t>
              </w:r>
            </w:hyperlink>
          </w:p>
        </w:tc>
      </w:tr>
      <w:tr>
        <w:trPr>
          <w:trHeight w:val="142"/>
        </w:trPr>
        <w:tc>
          <w:tcPr>
            <w:tcW w:w="1340" w:type="dxa"/>
            <w:vAlign w:val="bottom"/>
          </w:tcPr>
          <w:p>
            <w:pPr>
              <w:spacing w:after="0"/>
              <w:rPr>
                <w:sz w:val="12"/>
                <w:szCs w:val="12"/>
                <w:color w:val="auto"/>
              </w:rPr>
            </w:pPr>
          </w:p>
        </w:tc>
        <w:tc>
          <w:tcPr>
            <w:tcW w:w="9660" w:type="dxa"/>
            <w:vAlign w:val="bottom"/>
            <w:tcBorders>
              <w:top w:val="single" w:sz="8" w:color="0000FF"/>
            </w:tcBorders>
            <w:gridSpan w:val="24"/>
          </w:tcPr>
          <w:p>
            <w:pPr>
              <w:spacing w:after="0" w:line="142" w:lineRule="exact"/>
              <w:rPr>
                <w:rFonts w:ascii="Arial" w:cs="Arial" w:eastAsia="Arial" w:hAnsi="Arial"/>
                <w:sz w:val="16"/>
                <w:szCs w:val="16"/>
                <w:color w:val="0000FF"/>
              </w:rPr>
            </w:pPr>
            <w:hyperlink w:anchor="page52">
              <w:r>
                <w:rPr>
                  <w:rFonts w:ascii="Arial" w:cs="Arial" w:eastAsia="Arial" w:hAnsi="Arial"/>
                  <w:sz w:val="16"/>
                  <w:szCs w:val="16"/>
                  <w:color w:val="0000FF"/>
                </w:rPr>
                <w:t>Act of 2002.</w:t>
              </w:r>
            </w:hyperlink>
          </w:p>
        </w:tc>
        <w:tc>
          <w:tcPr>
            <w:tcW w:w="240" w:type="dxa"/>
            <w:vAlign w:val="bottom"/>
            <w:gridSpan w:val="8"/>
          </w:tcPr>
          <w:p>
            <w:pPr>
              <w:spacing w:after="0"/>
              <w:rPr>
                <w:sz w:val="12"/>
                <w:szCs w:val="12"/>
                <w:color w:val="auto"/>
              </w:rPr>
            </w:pPr>
          </w:p>
        </w:tc>
      </w:tr>
      <w:tr>
        <w:trPr>
          <w:trHeight w:val="20"/>
        </w:trPr>
        <w:tc>
          <w:tcPr>
            <w:tcW w:w="134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340" w:type="dxa"/>
            <w:vAlign w:val="bottom"/>
            <w:shd w:val="clear" w:color="auto" w:fill="CEFFE7"/>
          </w:tcPr>
          <w:p>
            <w:pPr>
              <w:ind w:left="20"/>
              <w:spacing w:after="0" w:line="175" w:lineRule="exact"/>
              <w:rPr>
                <w:sz w:val="20"/>
                <w:szCs w:val="20"/>
                <w:color w:val="auto"/>
              </w:rPr>
            </w:pPr>
            <w:r>
              <w:rPr>
                <w:rFonts w:ascii="Arial" w:cs="Arial" w:eastAsia="Arial" w:hAnsi="Arial"/>
                <w:sz w:val="16"/>
                <w:szCs w:val="16"/>
                <w:color w:val="auto"/>
              </w:rPr>
              <w:t>95*</w:t>
            </w:r>
          </w:p>
        </w:tc>
        <w:tc>
          <w:tcPr>
            <w:tcW w:w="9900" w:type="dxa"/>
            <w:vAlign w:val="bottom"/>
            <w:gridSpan w:val="32"/>
            <w:shd w:val="clear" w:color="auto" w:fill="CEFFE7"/>
          </w:tcPr>
          <w:p>
            <w:pPr>
              <w:spacing w:after="0" w:line="175" w:lineRule="exact"/>
              <w:rPr>
                <w:rFonts w:ascii="Arial" w:cs="Arial" w:eastAsia="Arial" w:hAnsi="Arial"/>
                <w:sz w:val="16"/>
                <w:szCs w:val="16"/>
                <w:color w:val="0000FF"/>
              </w:rPr>
            </w:pPr>
            <w:hyperlink w:anchor="page53">
              <w:r>
                <w:rPr>
                  <w:rFonts w:ascii="Arial" w:cs="Arial" w:eastAsia="Arial" w:hAnsi="Arial"/>
                  <w:sz w:val="16"/>
                  <w:szCs w:val="16"/>
                  <w:color w:val="0000FF"/>
                </w:rPr>
                <w:t>Mine Safety and Health Administration Safety Data.</w:t>
              </w:r>
            </w:hyperlink>
          </w:p>
        </w:tc>
      </w:tr>
      <w:tr>
        <w:trPr>
          <w:trHeight w:val="20"/>
        </w:trPr>
        <w:tc>
          <w:tcPr>
            <w:tcW w:w="1340" w:type="dxa"/>
            <w:vAlign w:val="bottom"/>
            <w:tcBorders>
              <w:top w:val="single" w:sz="8" w:color="CEFFE7"/>
            </w:tcBorders>
            <w:shd w:val="clear" w:color="auto" w:fill="CEFFE7"/>
          </w:tcPr>
          <w:p>
            <w:pPr>
              <w:spacing w:after="0" w:line="20" w:lineRule="exact"/>
              <w:rPr>
                <w:sz w:val="1"/>
                <w:szCs w:val="1"/>
                <w:color w:val="auto"/>
              </w:rPr>
            </w:pPr>
          </w:p>
        </w:tc>
        <w:tc>
          <w:tcPr>
            <w:tcW w:w="460" w:type="dxa"/>
            <w:vAlign w:val="bottom"/>
            <w:tcBorders>
              <w:top w:val="single" w:sz="8" w:color="0000FF"/>
            </w:tcBorders>
            <w:shd w:val="clear" w:color="auto" w:fill="CEFFE7"/>
          </w:tcPr>
          <w:p>
            <w:pPr>
              <w:spacing w:after="0" w:line="20" w:lineRule="exact"/>
              <w:rPr>
                <w:sz w:val="1"/>
                <w:szCs w:val="1"/>
                <w:color w:val="auto"/>
              </w:rPr>
            </w:pPr>
          </w:p>
        </w:tc>
        <w:tc>
          <w:tcPr>
            <w:tcW w:w="22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140" w:type="dxa"/>
            <w:vAlign w:val="bottom"/>
            <w:tcBorders>
              <w:top w:val="single" w:sz="8" w:color="0000FF"/>
            </w:tcBorders>
            <w:shd w:val="clear" w:color="auto" w:fill="CEFFE7"/>
          </w:tcPr>
          <w:p>
            <w:pPr>
              <w:spacing w:after="0" w:line="20" w:lineRule="exact"/>
              <w:rPr>
                <w:sz w:val="1"/>
                <w:szCs w:val="1"/>
                <w:color w:val="auto"/>
              </w:rPr>
            </w:pPr>
          </w:p>
        </w:tc>
        <w:tc>
          <w:tcPr>
            <w:tcW w:w="1440" w:type="dxa"/>
            <w:vAlign w:val="bottom"/>
            <w:tcBorders>
              <w:top w:val="single" w:sz="8" w:color="0000FF"/>
            </w:tcBorders>
            <w:shd w:val="clear" w:color="auto" w:fill="CEFFE7"/>
          </w:tcPr>
          <w:p>
            <w:pPr>
              <w:spacing w:after="0" w:line="20" w:lineRule="exact"/>
              <w:rPr>
                <w:sz w:val="1"/>
                <w:szCs w:val="1"/>
                <w:color w:val="auto"/>
              </w:rPr>
            </w:pPr>
          </w:p>
        </w:tc>
        <w:tc>
          <w:tcPr>
            <w:tcW w:w="1140" w:type="dxa"/>
            <w:vAlign w:val="bottom"/>
            <w:tcBorders>
              <w:top w:val="single" w:sz="8" w:color="0000FF"/>
            </w:tcBorders>
            <w:shd w:val="clear" w:color="auto" w:fill="CEFFE7"/>
          </w:tcPr>
          <w:p>
            <w:pPr>
              <w:spacing w:after="0" w:line="20" w:lineRule="exact"/>
              <w:rPr>
                <w:sz w:val="1"/>
                <w:szCs w:val="1"/>
                <w:color w:val="auto"/>
              </w:rPr>
            </w:pPr>
          </w:p>
        </w:tc>
        <w:tc>
          <w:tcPr>
            <w:tcW w:w="60" w:type="dxa"/>
            <w:vAlign w:val="bottom"/>
            <w:tcBorders>
              <w:top w:val="single" w:sz="8" w:color="0000FF"/>
            </w:tcBorders>
            <w:shd w:val="clear" w:color="auto" w:fill="CEFFE7"/>
          </w:tcPr>
          <w:p>
            <w:pPr>
              <w:spacing w:after="0" w:line="20" w:lineRule="exact"/>
              <w:rPr>
                <w:sz w:val="1"/>
                <w:szCs w:val="1"/>
                <w:color w:val="auto"/>
              </w:rPr>
            </w:pPr>
          </w:p>
        </w:tc>
        <w:tc>
          <w:tcPr>
            <w:tcW w:w="180" w:type="dxa"/>
            <w:vAlign w:val="bottom"/>
            <w:tcBorders>
              <w:top w:val="single" w:sz="8" w:color="0000FF"/>
            </w:tcBorders>
            <w:shd w:val="clear" w:color="auto" w:fill="CEFFE7"/>
          </w:tcPr>
          <w:p>
            <w:pPr>
              <w:spacing w:after="0" w:line="20" w:lineRule="exact"/>
              <w:rPr>
                <w:sz w:val="1"/>
                <w:szCs w:val="1"/>
                <w:color w:val="auto"/>
              </w:rPr>
            </w:pPr>
          </w:p>
        </w:tc>
        <w:tc>
          <w:tcPr>
            <w:tcW w:w="1100" w:type="dxa"/>
            <w:vAlign w:val="bottom"/>
            <w:tcBorders>
              <w:top w:val="single" w:sz="8" w:color="CEFFE7"/>
            </w:tcBorders>
            <w:shd w:val="clear" w:color="auto" w:fill="CEFFE7"/>
          </w:tcPr>
          <w:p>
            <w:pPr>
              <w:spacing w:after="0" w:line="20" w:lineRule="exact"/>
              <w:rPr>
                <w:sz w:val="1"/>
                <w:szCs w:val="1"/>
                <w:color w:val="auto"/>
              </w:rPr>
            </w:pPr>
          </w:p>
        </w:tc>
        <w:tc>
          <w:tcPr>
            <w:tcW w:w="120" w:type="dxa"/>
            <w:vAlign w:val="bottom"/>
            <w:tcBorders>
              <w:top w:val="single" w:sz="8" w:color="CEFFE7"/>
            </w:tcBorders>
            <w:shd w:val="clear" w:color="auto" w:fill="CEFFE7"/>
          </w:tcPr>
          <w:p>
            <w:pPr>
              <w:spacing w:after="0" w:line="20" w:lineRule="exact"/>
              <w:rPr>
                <w:sz w:val="1"/>
                <w:szCs w:val="1"/>
                <w:color w:val="auto"/>
              </w:rPr>
            </w:pPr>
          </w:p>
        </w:tc>
        <w:tc>
          <w:tcPr>
            <w:tcW w:w="2460" w:type="dxa"/>
            <w:vAlign w:val="bottom"/>
            <w:tcBorders>
              <w:top w:val="single" w:sz="8" w:color="CEFFE7"/>
            </w:tcBorders>
            <w:shd w:val="clear" w:color="auto" w:fill="CEFFE7"/>
          </w:tcPr>
          <w:p>
            <w:pPr>
              <w:spacing w:after="0" w:line="20" w:lineRule="exact"/>
              <w:rPr>
                <w:sz w:val="1"/>
                <w:szCs w:val="1"/>
                <w:color w:val="auto"/>
              </w:rPr>
            </w:pPr>
          </w:p>
        </w:tc>
        <w:tc>
          <w:tcPr>
            <w:tcW w:w="1860" w:type="dxa"/>
            <w:vAlign w:val="bottom"/>
            <w:tcBorders>
              <w:top w:val="single" w:sz="8" w:color="CEFFE7"/>
            </w:tcBorders>
            <w:shd w:val="clear" w:color="auto" w:fill="CEFFE7"/>
          </w:tcPr>
          <w:p>
            <w:pPr>
              <w:spacing w:after="0" w:line="20" w:lineRule="exact"/>
              <w:rPr>
                <w:sz w:val="1"/>
                <w:szCs w:val="1"/>
                <w:color w:val="auto"/>
              </w:rPr>
            </w:pPr>
          </w:p>
        </w:tc>
        <w:tc>
          <w:tcPr>
            <w:tcW w:w="8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8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r>
      <w:tr>
        <w:trPr>
          <w:trHeight w:val="177"/>
        </w:trPr>
        <w:tc>
          <w:tcPr>
            <w:tcW w:w="1340" w:type="dxa"/>
            <w:vAlign w:val="bottom"/>
          </w:tcPr>
          <w:p>
            <w:pPr>
              <w:ind w:left="20"/>
              <w:spacing w:after="0" w:line="178" w:lineRule="exact"/>
              <w:rPr>
                <w:sz w:val="20"/>
                <w:szCs w:val="20"/>
                <w:color w:val="auto"/>
              </w:rPr>
            </w:pPr>
            <w:r>
              <w:rPr>
                <w:rFonts w:ascii="Arial" w:cs="Arial" w:eastAsia="Arial" w:hAnsi="Arial"/>
                <w:sz w:val="16"/>
                <w:szCs w:val="16"/>
                <w:color w:val="auto"/>
              </w:rPr>
              <w:t>101.INS*</w:t>
            </w:r>
          </w:p>
        </w:tc>
        <w:tc>
          <w:tcPr>
            <w:tcW w:w="9900" w:type="dxa"/>
            <w:vAlign w:val="bottom"/>
            <w:gridSpan w:val="32"/>
          </w:tcPr>
          <w:p>
            <w:pPr>
              <w:spacing w:after="0" w:line="178" w:lineRule="exact"/>
              <w:rPr>
                <w:sz w:val="20"/>
                <w:szCs w:val="20"/>
                <w:color w:val="auto"/>
              </w:rPr>
            </w:pPr>
            <w:r>
              <w:rPr>
                <w:rFonts w:ascii="Arial" w:cs="Arial" w:eastAsia="Arial" w:hAnsi="Arial"/>
                <w:sz w:val="16"/>
                <w:szCs w:val="16"/>
                <w:color w:val="auto"/>
              </w:rPr>
              <w:t>XBRL Instance Document - the instance document does not appear in the Interactive Data File because its XBRL tags are embedded</w:t>
            </w:r>
          </w:p>
        </w:tc>
      </w:tr>
      <w:tr>
        <w:trPr>
          <w:trHeight w:val="198"/>
        </w:trPr>
        <w:tc>
          <w:tcPr>
            <w:tcW w:w="1340" w:type="dxa"/>
            <w:vAlign w:val="bottom"/>
          </w:tcPr>
          <w:p>
            <w:pPr>
              <w:spacing w:after="0"/>
              <w:rPr>
                <w:sz w:val="17"/>
                <w:szCs w:val="17"/>
                <w:color w:val="auto"/>
              </w:rPr>
            </w:pPr>
          </w:p>
        </w:tc>
        <w:tc>
          <w:tcPr>
            <w:tcW w:w="9900" w:type="dxa"/>
            <w:vAlign w:val="bottom"/>
            <w:gridSpan w:val="32"/>
          </w:tcPr>
          <w:p>
            <w:pPr>
              <w:spacing w:after="0"/>
              <w:rPr>
                <w:sz w:val="20"/>
                <w:szCs w:val="20"/>
                <w:color w:val="auto"/>
              </w:rPr>
            </w:pPr>
            <w:r>
              <w:rPr>
                <w:rFonts w:ascii="Arial" w:cs="Arial" w:eastAsia="Arial" w:hAnsi="Arial"/>
                <w:sz w:val="16"/>
                <w:szCs w:val="16"/>
                <w:color w:val="auto"/>
              </w:rPr>
              <w:t>within the Inline XBRL document</w:t>
            </w:r>
          </w:p>
        </w:tc>
      </w:tr>
      <w:tr>
        <w:trPr>
          <w:trHeight w:val="219"/>
        </w:trPr>
        <w:tc>
          <w:tcPr>
            <w:tcW w:w="1340" w:type="dxa"/>
            <w:vAlign w:val="bottom"/>
            <w:shd w:val="clear" w:color="auto" w:fill="CEFFE7"/>
          </w:tcPr>
          <w:p>
            <w:pPr>
              <w:ind w:left="20"/>
              <w:spacing w:after="0"/>
              <w:rPr>
                <w:sz w:val="20"/>
                <w:szCs w:val="20"/>
                <w:color w:val="auto"/>
              </w:rPr>
            </w:pPr>
            <w:r>
              <w:rPr>
                <w:rFonts w:ascii="Arial" w:cs="Arial" w:eastAsia="Arial" w:hAnsi="Arial"/>
                <w:sz w:val="16"/>
                <w:szCs w:val="16"/>
                <w:color w:val="auto"/>
              </w:rPr>
              <w:t>101.SCH*</w:t>
            </w:r>
          </w:p>
        </w:tc>
        <w:tc>
          <w:tcPr>
            <w:tcW w:w="9900" w:type="dxa"/>
            <w:vAlign w:val="bottom"/>
            <w:gridSpan w:val="32"/>
            <w:shd w:val="clear" w:color="auto" w:fill="CEFFE7"/>
          </w:tcPr>
          <w:p>
            <w:pPr>
              <w:spacing w:after="0"/>
              <w:rPr>
                <w:sz w:val="20"/>
                <w:szCs w:val="20"/>
                <w:color w:val="auto"/>
              </w:rPr>
            </w:pPr>
            <w:r>
              <w:rPr>
                <w:rFonts w:ascii="Arial" w:cs="Arial" w:eastAsia="Arial" w:hAnsi="Arial"/>
                <w:sz w:val="16"/>
                <w:szCs w:val="16"/>
                <w:color w:val="auto"/>
              </w:rPr>
              <w:t>XBRL Taxonomy Extension Schema Document</w:t>
            </w:r>
          </w:p>
        </w:tc>
      </w:tr>
      <w:tr>
        <w:trPr>
          <w:trHeight w:val="213"/>
        </w:trPr>
        <w:tc>
          <w:tcPr>
            <w:tcW w:w="1340" w:type="dxa"/>
            <w:vAlign w:val="bottom"/>
          </w:tcPr>
          <w:p>
            <w:pPr>
              <w:ind w:left="20"/>
              <w:spacing w:after="0"/>
              <w:rPr>
                <w:sz w:val="20"/>
                <w:szCs w:val="20"/>
                <w:color w:val="auto"/>
              </w:rPr>
            </w:pPr>
            <w:r>
              <w:rPr>
                <w:rFonts w:ascii="Arial" w:cs="Arial" w:eastAsia="Arial" w:hAnsi="Arial"/>
                <w:sz w:val="16"/>
                <w:szCs w:val="16"/>
                <w:color w:val="auto"/>
              </w:rPr>
              <w:t>101.CAL*</w:t>
            </w:r>
          </w:p>
        </w:tc>
        <w:tc>
          <w:tcPr>
            <w:tcW w:w="9900" w:type="dxa"/>
            <w:vAlign w:val="bottom"/>
            <w:gridSpan w:val="32"/>
          </w:tcPr>
          <w:p>
            <w:pPr>
              <w:spacing w:after="0"/>
              <w:rPr>
                <w:sz w:val="20"/>
                <w:szCs w:val="20"/>
                <w:color w:val="auto"/>
              </w:rPr>
            </w:pPr>
            <w:r>
              <w:rPr>
                <w:rFonts w:ascii="Arial" w:cs="Arial" w:eastAsia="Arial" w:hAnsi="Arial"/>
                <w:sz w:val="16"/>
                <w:szCs w:val="16"/>
                <w:color w:val="auto"/>
              </w:rPr>
              <w:t>XBRL Taxonomy Extension Calculation Linkbase Document</w:t>
            </w:r>
          </w:p>
        </w:tc>
      </w:tr>
      <w:tr>
        <w:trPr>
          <w:trHeight w:val="219"/>
        </w:trPr>
        <w:tc>
          <w:tcPr>
            <w:tcW w:w="1340" w:type="dxa"/>
            <w:vAlign w:val="bottom"/>
            <w:shd w:val="clear" w:color="auto" w:fill="CEFFE7"/>
          </w:tcPr>
          <w:p>
            <w:pPr>
              <w:ind w:left="20"/>
              <w:spacing w:after="0"/>
              <w:rPr>
                <w:sz w:val="20"/>
                <w:szCs w:val="20"/>
                <w:color w:val="auto"/>
              </w:rPr>
            </w:pPr>
            <w:r>
              <w:rPr>
                <w:rFonts w:ascii="Arial" w:cs="Arial" w:eastAsia="Arial" w:hAnsi="Arial"/>
                <w:sz w:val="16"/>
                <w:szCs w:val="16"/>
                <w:color w:val="auto"/>
              </w:rPr>
              <w:t>101.DEF*</w:t>
            </w:r>
          </w:p>
        </w:tc>
        <w:tc>
          <w:tcPr>
            <w:tcW w:w="9900" w:type="dxa"/>
            <w:vAlign w:val="bottom"/>
            <w:gridSpan w:val="32"/>
            <w:shd w:val="clear" w:color="auto" w:fill="CEFFE7"/>
          </w:tcPr>
          <w:p>
            <w:pPr>
              <w:spacing w:after="0"/>
              <w:rPr>
                <w:sz w:val="20"/>
                <w:szCs w:val="20"/>
                <w:color w:val="auto"/>
              </w:rPr>
            </w:pPr>
            <w:r>
              <w:rPr>
                <w:rFonts w:ascii="Arial" w:cs="Arial" w:eastAsia="Arial" w:hAnsi="Arial"/>
                <w:sz w:val="16"/>
                <w:szCs w:val="16"/>
                <w:color w:val="auto"/>
              </w:rPr>
              <w:t>XBRL Taxonomy Extension Definition Linkbase Document</w:t>
            </w:r>
          </w:p>
        </w:tc>
      </w:tr>
      <w:tr>
        <w:trPr>
          <w:trHeight w:val="213"/>
        </w:trPr>
        <w:tc>
          <w:tcPr>
            <w:tcW w:w="1340" w:type="dxa"/>
            <w:vAlign w:val="bottom"/>
          </w:tcPr>
          <w:p>
            <w:pPr>
              <w:ind w:left="20"/>
              <w:spacing w:after="0"/>
              <w:rPr>
                <w:sz w:val="20"/>
                <w:szCs w:val="20"/>
                <w:color w:val="auto"/>
              </w:rPr>
            </w:pPr>
            <w:r>
              <w:rPr>
                <w:rFonts w:ascii="Arial" w:cs="Arial" w:eastAsia="Arial" w:hAnsi="Arial"/>
                <w:sz w:val="16"/>
                <w:szCs w:val="16"/>
                <w:color w:val="auto"/>
              </w:rPr>
              <w:t>101.LAB*</w:t>
            </w:r>
          </w:p>
        </w:tc>
        <w:tc>
          <w:tcPr>
            <w:tcW w:w="9900" w:type="dxa"/>
            <w:vAlign w:val="bottom"/>
            <w:gridSpan w:val="32"/>
          </w:tcPr>
          <w:p>
            <w:pPr>
              <w:spacing w:after="0"/>
              <w:rPr>
                <w:sz w:val="20"/>
                <w:szCs w:val="20"/>
                <w:color w:val="auto"/>
              </w:rPr>
            </w:pPr>
            <w:r>
              <w:rPr>
                <w:rFonts w:ascii="Arial" w:cs="Arial" w:eastAsia="Arial" w:hAnsi="Arial"/>
                <w:sz w:val="16"/>
                <w:szCs w:val="16"/>
                <w:color w:val="auto"/>
              </w:rPr>
              <w:t>XBRL Taxonomy Extension Label Linkbase Document</w:t>
            </w:r>
          </w:p>
        </w:tc>
      </w:tr>
      <w:tr>
        <w:trPr>
          <w:trHeight w:val="219"/>
        </w:trPr>
        <w:tc>
          <w:tcPr>
            <w:tcW w:w="1340" w:type="dxa"/>
            <w:vAlign w:val="bottom"/>
            <w:shd w:val="clear" w:color="auto" w:fill="CEFFE7"/>
          </w:tcPr>
          <w:p>
            <w:pPr>
              <w:ind w:left="20"/>
              <w:spacing w:after="0"/>
              <w:rPr>
                <w:sz w:val="20"/>
                <w:szCs w:val="20"/>
                <w:color w:val="auto"/>
              </w:rPr>
            </w:pPr>
            <w:r>
              <w:rPr>
                <w:rFonts w:ascii="Arial" w:cs="Arial" w:eastAsia="Arial" w:hAnsi="Arial"/>
                <w:sz w:val="16"/>
                <w:szCs w:val="16"/>
                <w:color w:val="auto"/>
              </w:rPr>
              <w:t>101.PRE*</w:t>
            </w:r>
          </w:p>
        </w:tc>
        <w:tc>
          <w:tcPr>
            <w:tcW w:w="9900" w:type="dxa"/>
            <w:vAlign w:val="bottom"/>
            <w:gridSpan w:val="32"/>
            <w:shd w:val="clear" w:color="auto" w:fill="CEFFE7"/>
          </w:tcPr>
          <w:p>
            <w:pPr>
              <w:spacing w:after="0"/>
              <w:rPr>
                <w:sz w:val="20"/>
                <w:szCs w:val="20"/>
                <w:color w:val="auto"/>
              </w:rPr>
            </w:pPr>
            <w:r>
              <w:rPr>
                <w:rFonts w:ascii="Arial" w:cs="Arial" w:eastAsia="Arial" w:hAnsi="Arial"/>
                <w:sz w:val="16"/>
                <w:szCs w:val="16"/>
                <w:color w:val="auto"/>
              </w:rPr>
              <w:t>XBRL Taxonomy Extension Presentation Linkbase Document</w:t>
            </w:r>
          </w:p>
        </w:tc>
      </w:tr>
      <w:tr>
        <w:trPr>
          <w:trHeight w:val="210"/>
        </w:trPr>
        <w:tc>
          <w:tcPr>
            <w:tcW w:w="1340" w:type="dxa"/>
            <w:vAlign w:val="bottom"/>
          </w:tcPr>
          <w:p>
            <w:pPr>
              <w:ind w:left="20"/>
              <w:spacing w:after="0"/>
              <w:rPr>
                <w:sz w:val="20"/>
                <w:szCs w:val="20"/>
                <w:color w:val="auto"/>
              </w:rPr>
            </w:pPr>
            <w:r>
              <w:rPr>
                <w:rFonts w:ascii="Arial" w:cs="Arial" w:eastAsia="Arial" w:hAnsi="Arial"/>
                <w:sz w:val="16"/>
                <w:szCs w:val="16"/>
                <w:color w:val="auto"/>
              </w:rPr>
              <w:t>104*</w:t>
            </w:r>
          </w:p>
        </w:tc>
        <w:tc>
          <w:tcPr>
            <w:tcW w:w="9900" w:type="dxa"/>
            <w:vAlign w:val="bottom"/>
            <w:gridSpan w:val="32"/>
          </w:tcPr>
          <w:p>
            <w:pPr>
              <w:spacing w:after="0"/>
              <w:rPr>
                <w:sz w:val="20"/>
                <w:szCs w:val="20"/>
                <w:color w:val="auto"/>
              </w:rPr>
            </w:pPr>
            <w:r>
              <w:rPr>
                <w:rFonts w:ascii="Arial" w:cs="Arial" w:eastAsia="Arial" w:hAnsi="Arial"/>
                <w:sz w:val="16"/>
                <w:szCs w:val="16"/>
                <w:color w:val="auto"/>
              </w:rPr>
              <w:t>Cover Page Interactive Data File (formatted as inline XBRL and contained in Exhibit 101)</w:t>
            </w:r>
          </w:p>
        </w:tc>
      </w:tr>
      <w:tr>
        <w:trPr>
          <w:trHeight w:val="864"/>
        </w:trPr>
        <w:tc>
          <w:tcPr>
            <w:tcW w:w="1340" w:type="dxa"/>
            <w:vAlign w:val="bottom"/>
          </w:tcPr>
          <w:p>
            <w:pPr>
              <w:spacing w:after="0"/>
              <w:rPr>
                <w:sz w:val="24"/>
                <w:szCs w:val="24"/>
                <w:color w:val="auto"/>
              </w:rPr>
            </w:pPr>
          </w:p>
        </w:tc>
        <w:tc>
          <w:tcPr>
            <w:tcW w:w="4780" w:type="dxa"/>
            <w:vAlign w:val="bottom"/>
            <w:gridSpan w:val="9"/>
          </w:tcPr>
          <w:p>
            <w:pPr>
              <w:ind w:left="4200"/>
              <w:spacing w:after="0"/>
              <w:rPr>
                <w:sz w:val="20"/>
                <w:szCs w:val="20"/>
                <w:color w:val="auto"/>
              </w:rPr>
            </w:pPr>
            <w:r>
              <w:rPr>
                <w:rFonts w:ascii="Arial" w:cs="Arial" w:eastAsia="Arial" w:hAnsi="Arial"/>
                <w:sz w:val="16"/>
                <w:szCs w:val="16"/>
                <w:color w:val="auto"/>
              </w:rPr>
              <w:t>47</w:t>
            </w:r>
          </w:p>
        </w:tc>
        <w:tc>
          <w:tcPr>
            <w:tcW w:w="1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51"/>
        </w:trPr>
        <w:tc>
          <w:tcPr>
            <w:tcW w:w="13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460" w:type="dxa"/>
            <w:vAlign w:val="bottom"/>
            <w:tcBorders>
              <w:bottom w:val="single" w:sz="8" w:color="9A9A9A"/>
            </w:tcBorders>
          </w:tcPr>
          <w:p>
            <w:pPr>
              <w:spacing w:after="0"/>
              <w:rPr>
                <w:sz w:val="24"/>
                <w:szCs w:val="24"/>
                <w:color w:val="auto"/>
              </w:rPr>
            </w:pPr>
          </w:p>
        </w:tc>
        <w:tc>
          <w:tcPr>
            <w:tcW w:w="18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86" w:lineRule="exact"/>
        <w:rPr>
          <w:sz w:val="20"/>
          <w:szCs w:val="20"/>
          <w:color w:val="auto"/>
        </w:rPr>
      </w:pPr>
    </w:p>
    <w:p>
      <w:pPr>
        <w:jc w:val="center"/>
        <w:ind w:right="-259"/>
        <w:spacing w:after="0"/>
        <w:rPr>
          <w:sz w:val="20"/>
          <w:szCs w:val="20"/>
          <w:color w:val="auto"/>
        </w:rPr>
      </w:pPr>
      <w:r>
        <w:rPr>
          <w:rFonts w:ascii="Arial" w:cs="Arial" w:eastAsia="Arial" w:hAnsi="Arial"/>
          <w:sz w:val="16"/>
          <w:szCs w:val="16"/>
          <w:b w:val="1"/>
          <w:bCs w:val="1"/>
          <w:color w:val="auto"/>
        </w:rPr>
        <w:t>SIGNATURES</w:t>
      </w:r>
    </w:p>
    <w:p>
      <w:pPr>
        <w:spacing w:after="0" w:line="200" w:lineRule="exact"/>
        <w:rPr>
          <w:sz w:val="20"/>
          <w:szCs w:val="20"/>
          <w:color w:val="auto"/>
        </w:rPr>
      </w:pPr>
    </w:p>
    <w:p>
      <w:pPr>
        <w:spacing w:after="0" w:line="311" w:lineRule="exact"/>
        <w:rPr>
          <w:sz w:val="20"/>
          <w:szCs w:val="20"/>
          <w:color w:val="auto"/>
        </w:rPr>
      </w:pPr>
    </w:p>
    <w:p>
      <w:pPr>
        <w:ind w:firstLine="648"/>
        <w:spacing w:after="0" w:line="260"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222" w:lineRule="exact"/>
        <w:rPr>
          <w:sz w:val="20"/>
          <w:szCs w:val="20"/>
          <w:color w:val="auto"/>
        </w:rPr>
      </w:pPr>
    </w:p>
    <w:p>
      <w:pPr>
        <w:ind w:left="5040"/>
        <w:spacing w:after="0"/>
        <w:rPr>
          <w:sz w:val="20"/>
          <w:szCs w:val="20"/>
          <w:color w:val="auto"/>
        </w:rPr>
      </w:pPr>
      <w:r>
        <w:rPr>
          <w:rFonts w:ascii="Arial" w:cs="Arial" w:eastAsia="Arial" w:hAnsi="Arial"/>
          <w:sz w:val="16"/>
          <w:szCs w:val="16"/>
          <w:color w:val="auto"/>
        </w:rPr>
        <w:t>BLACK HILLS CORPORATION</w:t>
      </w:r>
    </w:p>
    <w:p>
      <w:pPr>
        <w:spacing w:after="0" w:line="140" w:lineRule="exact"/>
        <w:rPr>
          <w:sz w:val="20"/>
          <w:szCs w:val="20"/>
          <w:color w:val="auto"/>
        </w:rPr>
      </w:pPr>
    </w:p>
    <w:p>
      <w:pPr>
        <w:ind w:left="5420"/>
        <w:spacing w:after="0"/>
        <w:rPr>
          <w:sz w:val="20"/>
          <w:szCs w:val="20"/>
          <w:color w:val="auto"/>
        </w:rPr>
      </w:pPr>
      <w:r>
        <w:rPr>
          <w:rFonts w:ascii="Arial" w:cs="Arial" w:eastAsia="Arial" w:hAnsi="Arial"/>
          <w:sz w:val="16"/>
          <w:szCs w:val="16"/>
          <w:color w:val="auto"/>
        </w:rPr>
        <w:t>/s/ Linden R.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3425190</wp:posOffset>
            </wp:positionH>
            <wp:positionV relativeFrom="paragraph">
              <wp:posOffset>10795</wp:posOffset>
            </wp:positionV>
            <wp:extent cx="37033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6">
                      <a:extLst>
                        <a:ext uri="{28A0092B-C50C-407E-A947-70E740481C1C}"/>
                      </a:extLst>
                    </a:blip>
                    <a:srcRect/>
                    <a:stretch>
                      <a:fillRect/>
                    </a:stretch>
                  </pic:blipFill>
                  <pic:spPr bwMode="auto">
                    <a:xfrm>
                      <a:off x="0" y="0"/>
                      <a:ext cx="3703320" cy="8255"/>
                    </a:xfrm>
                    <a:prstGeom prst="rect">
                      <a:avLst/>
                    </a:prstGeom>
                    <a:noFill/>
                  </pic:spPr>
                </pic:pic>
              </a:graphicData>
            </a:graphic>
          </wp:anchor>
        </w:drawing>
      </w:r>
    </w:p>
    <w:p>
      <w:pPr>
        <w:spacing w:after="0" w:line="26" w:lineRule="exact"/>
        <w:rPr>
          <w:sz w:val="20"/>
          <w:szCs w:val="20"/>
          <w:color w:val="auto"/>
        </w:rPr>
      </w:pPr>
    </w:p>
    <w:p>
      <w:pPr>
        <w:ind w:left="5420"/>
        <w:spacing w:after="0"/>
        <w:rPr>
          <w:sz w:val="20"/>
          <w:szCs w:val="20"/>
          <w:color w:val="auto"/>
        </w:rPr>
      </w:pPr>
      <w:r>
        <w:rPr>
          <w:rFonts w:ascii="Arial" w:cs="Arial" w:eastAsia="Arial" w:hAnsi="Arial"/>
          <w:sz w:val="16"/>
          <w:szCs w:val="16"/>
          <w:color w:val="auto"/>
        </w:rPr>
        <w:t>Linden R. Evans, President and</w:t>
      </w:r>
    </w:p>
    <w:p>
      <w:pPr>
        <w:spacing w:after="0" w:line="32"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Chief Executive Officer</w:t>
      </w:r>
    </w:p>
    <w:p>
      <w:pPr>
        <w:spacing w:after="0" w:line="302" w:lineRule="exact"/>
        <w:rPr>
          <w:sz w:val="20"/>
          <w:szCs w:val="20"/>
          <w:color w:val="auto"/>
        </w:rPr>
      </w:pPr>
    </w:p>
    <w:p>
      <w:pPr>
        <w:ind w:left="5420"/>
        <w:spacing w:after="0"/>
        <w:rPr>
          <w:sz w:val="20"/>
          <w:szCs w:val="20"/>
          <w:color w:val="auto"/>
        </w:rPr>
      </w:pPr>
      <w:r>
        <w:rPr>
          <w:rFonts w:ascii="Arial" w:cs="Arial" w:eastAsia="Arial" w:hAnsi="Arial"/>
          <w:sz w:val="16"/>
          <w:szCs w:val="16"/>
          <w:color w:val="auto"/>
        </w:rPr>
        <w:t>/s/ Richard W. Kinzley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3425190</wp:posOffset>
            </wp:positionH>
            <wp:positionV relativeFrom="paragraph">
              <wp:posOffset>10795</wp:posOffset>
            </wp:positionV>
            <wp:extent cx="37033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7">
                      <a:extLst>
                        <a:ext uri="{28A0092B-C50C-407E-A947-70E740481C1C}"/>
                      </a:extLst>
                    </a:blip>
                    <a:srcRect/>
                    <a:stretch>
                      <a:fillRect/>
                    </a:stretch>
                  </pic:blipFill>
                  <pic:spPr bwMode="auto">
                    <a:xfrm>
                      <a:off x="0" y="0"/>
                      <a:ext cx="3703320" cy="8890"/>
                    </a:xfrm>
                    <a:prstGeom prst="rect">
                      <a:avLst/>
                    </a:prstGeom>
                    <a:noFill/>
                  </pic:spPr>
                </pic:pic>
              </a:graphicData>
            </a:graphic>
          </wp:anchor>
        </w:drawing>
      </w:r>
    </w:p>
    <w:p>
      <w:pPr>
        <w:spacing w:after="0" w:line="26" w:lineRule="exact"/>
        <w:rPr>
          <w:sz w:val="20"/>
          <w:szCs w:val="20"/>
          <w:color w:val="auto"/>
        </w:rPr>
      </w:pPr>
    </w:p>
    <w:p>
      <w:pPr>
        <w:ind w:left="5420"/>
        <w:spacing w:after="0"/>
        <w:rPr>
          <w:sz w:val="20"/>
          <w:szCs w:val="20"/>
          <w:color w:val="auto"/>
        </w:rPr>
      </w:pPr>
      <w:r>
        <w:rPr>
          <w:rFonts w:ascii="Arial" w:cs="Arial" w:eastAsia="Arial" w:hAnsi="Arial"/>
          <w:sz w:val="16"/>
          <w:szCs w:val="16"/>
          <w:color w:val="auto"/>
        </w:rPr>
        <w:t>Richard W. Kinzley, Senior Vice President and</w:t>
      </w:r>
    </w:p>
    <w:p>
      <w:pPr>
        <w:spacing w:after="0" w:line="32"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Chief Financial Officer</w:t>
      </w:r>
    </w:p>
    <w:p>
      <w:pPr>
        <w:spacing w:after="0" w:line="194"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740" w:type="dxa"/>
            <w:vAlign w:val="bottom"/>
          </w:tcPr>
          <w:p>
            <w:pPr>
              <w:spacing w:after="0"/>
              <w:rPr>
                <w:sz w:val="20"/>
                <w:szCs w:val="20"/>
                <w:color w:val="auto"/>
              </w:rPr>
            </w:pPr>
            <w:r>
              <w:rPr>
                <w:rFonts w:ascii="Arial" w:cs="Arial" w:eastAsia="Arial" w:hAnsi="Arial"/>
                <w:sz w:val="16"/>
                <w:szCs w:val="16"/>
                <w:color w:val="auto"/>
              </w:rPr>
              <w:t>Dated:</w:t>
            </w:r>
          </w:p>
        </w:tc>
        <w:tc>
          <w:tcPr>
            <w:tcW w:w="1140" w:type="dxa"/>
            <w:vAlign w:val="bottom"/>
          </w:tcPr>
          <w:p>
            <w:pPr>
              <w:ind w:left="240"/>
              <w:spacing w:after="0"/>
              <w:rPr>
                <w:sz w:val="20"/>
                <w:szCs w:val="20"/>
                <w:color w:val="auto"/>
              </w:rPr>
            </w:pPr>
            <w:r>
              <w:rPr>
                <w:rFonts w:ascii="Arial" w:cs="Arial" w:eastAsia="Arial" w:hAnsi="Arial"/>
                <w:sz w:val="16"/>
                <w:szCs w:val="16"/>
                <w:color w:val="auto"/>
                <w:w w:val="99"/>
              </w:rPr>
              <w:t>May 5, 2021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259"/>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1000"/>
          </w:cols>
          <w:pgMar w:left="320" w:top="121" w:right="579" w:bottom="1440" w:gutter="0" w:footer="0" w:header="0"/>
        </w:sectPr>
      </w:pPr>
    </w:p>
    <w:bookmarkStart w:id="48" w:name="page49"/>
    <w:bookmarkEnd w:id="48"/>
    <w:p>
      <w:pPr>
        <w:jc w:val="right"/>
        <w:spacing w:after="0"/>
        <w:rPr>
          <w:sz w:val="20"/>
          <w:szCs w:val="20"/>
          <w:color w:val="auto"/>
        </w:rPr>
      </w:pPr>
      <w:r>
        <w:rPr>
          <w:rFonts w:ascii="Arial" w:cs="Arial" w:eastAsia="Arial" w:hAnsi="Arial"/>
          <w:sz w:val="16"/>
          <w:szCs w:val="16"/>
          <w:b w:val="1"/>
          <w:bCs w:val="1"/>
          <w:color w:val="auto"/>
        </w:rPr>
        <w:t>Exhibit 31.1</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CERTIFICATION</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color w:val="auto"/>
        </w:rPr>
        <w:t>I, Linden R. Evans, certify that:</w:t>
      </w:r>
    </w:p>
    <w:p>
      <w:pPr>
        <w:spacing w:after="0" w:line="383" w:lineRule="exact"/>
        <w:rPr>
          <w:sz w:val="20"/>
          <w:szCs w:val="20"/>
          <w:color w:val="auto"/>
        </w:rPr>
      </w:pPr>
    </w:p>
    <w:p>
      <w:pPr>
        <w:ind w:left="800" w:hanging="774"/>
        <w:spacing w:after="0"/>
        <w:tabs>
          <w:tab w:leader="none" w:pos="8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Black Hills Corporation;</w:t>
      </w:r>
    </w:p>
    <w:p>
      <w:pPr>
        <w:spacing w:after="0" w:line="194" w:lineRule="exact"/>
        <w:rPr>
          <w:rFonts w:ascii="Arial" w:cs="Arial" w:eastAsia="Arial" w:hAnsi="Arial"/>
          <w:sz w:val="16"/>
          <w:szCs w:val="16"/>
          <w:color w:val="auto"/>
        </w:rPr>
      </w:pPr>
    </w:p>
    <w:p>
      <w:pPr>
        <w:jc w:val="both"/>
        <w:ind w:left="800" w:right="220" w:hanging="774"/>
        <w:spacing w:after="0" w:line="225" w:lineRule="auto"/>
        <w:tabs>
          <w:tab w:leader="none" w:pos="8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4" w:lineRule="exact"/>
        <w:rPr>
          <w:rFonts w:ascii="Arial" w:cs="Arial" w:eastAsia="Arial" w:hAnsi="Arial"/>
          <w:sz w:val="16"/>
          <w:szCs w:val="16"/>
          <w:color w:val="auto"/>
        </w:rPr>
      </w:pPr>
    </w:p>
    <w:p>
      <w:pPr>
        <w:ind w:left="800" w:right="80" w:hanging="774"/>
        <w:spacing w:after="0" w:line="232" w:lineRule="auto"/>
        <w:tabs>
          <w:tab w:leader="none" w:pos="8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4" w:lineRule="exact"/>
        <w:rPr>
          <w:rFonts w:ascii="Arial" w:cs="Arial" w:eastAsia="Arial" w:hAnsi="Arial"/>
          <w:sz w:val="16"/>
          <w:szCs w:val="16"/>
          <w:color w:val="auto"/>
        </w:rPr>
      </w:pPr>
    </w:p>
    <w:p>
      <w:pPr>
        <w:jc w:val="both"/>
        <w:ind w:left="800" w:right="80" w:hanging="774"/>
        <w:spacing w:after="0" w:line="225" w:lineRule="auto"/>
        <w:tabs>
          <w:tab w:leader="none" w:pos="8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4" w:lineRule="exact"/>
        <w:rPr>
          <w:rFonts w:ascii="Arial" w:cs="Arial" w:eastAsia="Arial" w:hAnsi="Arial"/>
          <w:sz w:val="16"/>
          <w:szCs w:val="16"/>
          <w:color w:val="auto"/>
        </w:rPr>
      </w:pPr>
    </w:p>
    <w:p>
      <w:pPr>
        <w:ind w:left="1600" w:right="160" w:hanging="791"/>
        <w:spacing w:after="0" w:line="225" w:lineRule="auto"/>
        <w:tabs>
          <w:tab w:leader="none" w:pos="1600" w:val="left"/>
        </w:tabs>
        <w:numPr>
          <w:ilvl w:val="1"/>
          <w:numId w:val="40"/>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4" w:lineRule="exact"/>
        <w:rPr>
          <w:rFonts w:ascii="Arial" w:cs="Arial" w:eastAsia="Arial" w:hAnsi="Arial"/>
          <w:sz w:val="16"/>
          <w:szCs w:val="16"/>
          <w:color w:val="auto"/>
        </w:rPr>
      </w:pPr>
    </w:p>
    <w:p>
      <w:pPr>
        <w:ind w:left="1600" w:right="220" w:hanging="791"/>
        <w:spacing w:after="0" w:line="225" w:lineRule="auto"/>
        <w:tabs>
          <w:tab w:leader="none" w:pos="1600" w:val="left"/>
        </w:tabs>
        <w:numPr>
          <w:ilvl w:val="1"/>
          <w:numId w:val="40"/>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4" w:lineRule="exact"/>
        <w:rPr>
          <w:rFonts w:ascii="Arial" w:cs="Arial" w:eastAsia="Arial" w:hAnsi="Arial"/>
          <w:sz w:val="16"/>
          <w:szCs w:val="16"/>
          <w:color w:val="auto"/>
        </w:rPr>
      </w:pPr>
    </w:p>
    <w:p>
      <w:pPr>
        <w:ind w:left="1600" w:right="180" w:hanging="791"/>
        <w:spacing w:after="0" w:line="225" w:lineRule="auto"/>
        <w:tabs>
          <w:tab w:leader="none" w:pos="1600" w:val="left"/>
        </w:tabs>
        <w:numPr>
          <w:ilvl w:val="1"/>
          <w:numId w:val="4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4" w:lineRule="exact"/>
        <w:rPr>
          <w:rFonts w:ascii="Arial" w:cs="Arial" w:eastAsia="Arial" w:hAnsi="Arial"/>
          <w:sz w:val="16"/>
          <w:szCs w:val="16"/>
          <w:color w:val="auto"/>
        </w:rPr>
      </w:pPr>
    </w:p>
    <w:p>
      <w:pPr>
        <w:ind w:left="1600" w:right="60" w:hanging="791"/>
        <w:spacing w:after="0" w:line="225" w:lineRule="auto"/>
        <w:tabs>
          <w:tab w:leader="none" w:pos="1600" w:val="left"/>
        </w:tabs>
        <w:numPr>
          <w:ilvl w:val="1"/>
          <w:numId w:val="40"/>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4" w:lineRule="exact"/>
        <w:rPr>
          <w:rFonts w:ascii="Arial" w:cs="Arial" w:eastAsia="Arial" w:hAnsi="Arial"/>
          <w:sz w:val="16"/>
          <w:szCs w:val="16"/>
          <w:color w:val="auto"/>
        </w:rPr>
      </w:pPr>
    </w:p>
    <w:p>
      <w:pPr>
        <w:ind w:left="800" w:right="100" w:hanging="774"/>
        <w:spacing w:after="0" w:line="232" w:lineRule="auto"/>
        <w:tabs>
          <w:tab w:leader="none" w:pos="8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84" w:lineRule="exact"/>
        <w:rPr>
          <w:rFonts w:ascii="Arial" w:cs="Arial" w:eastAsia="Arial" w:hAnsi="Arial"/>
          <w:sz w:val="16"/>
          <w:szCs w:val="16"/>
          <w:color w:val="auto"/>
        </w:rPr>
      </w:pPr>
    </w:p>
    <w:p>
      <w:pPr>
        <w:ind w:left="1600" w:right="340" w:hanging="791"/>
        <w:spacing w:after="0" w:line="232" w:lineRule="auto"/>
        <w:tabs>
          <w:tab w:leader="none" w:pos="1600" w:val="left"/>
        </w:tabs>
        <w:numPr>
          <w:ilvl w:val="1"/>
          <w:numId w:val="4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4" w:lineRule="exact"/>
        <w:rPr>
          <w:rFonts w:ascii="Arial" w:cs="Arial" w:eastAsia="Arial" w:hAnsi="Arial"/>
          <w:sz w:val="16"/>
          <w:szCs w:val="16"/>
          <w:color w:val="auto"/>
        </w:rPr>
      </w:pPr>
    </w:p>
    <w:p>
      <w:pPr>
        <w:ind w:left="1600" w:right="560" w:hanging="791"/>
        <w:spacing w:after="0" w:line="232" w:lineRule="auto"/>
        <w:tabs>
          <w:tab w:leader="none" w:pos="1600" w:val="left"/>
        </w:tabs>
        <w:numPr>
          <w:ilvl w:val="1"/>
          <w:numId w:val="40"/>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580" w:type="dxa"/>
            <w:vAlign w:val="bottom"/>
          </w:tcPr>
          <w:p>
            <w:pPr>
              <w:spacing w:after="0"/>
              <w:rPr>
                <w:sz w:val="20"/>
                <w:szCs w:val="20"/>
                <w:color w:val="auto"/>
              </w:rPr>
            </w:pPr>
            <w:r>
              <w:rPr>
                <w:rFonts w:ascii="Arial" w:cs="Arial" w:eastAsia="Arial" w:hAnsi="Arial"/>
                <w:sz w:val="16"/>
                <w:szCs w:val="16"/>
                <w:color w:val="auto"/>
              </w:rPr>
              <w:t>Date:</w:t>
            </w:r>
          </w:p>
        </w:tc>
        <w:tc>
          <w:tcPr>
            <w:tcW w:w="1100" w:type="dxa"/>
            <w:vAlign w:val="bottom"/>
          </w:tcPr>
          <w:p>
            <w:pPr>
              <w:ind w:left="200"/>
              <w:spacing w:after="0"/>
              <w:rPr>
                <w:sz w:val="20"/>
                <w:szCs w:val="20"/>
                <w:color w:val="auto"/>
              </w:rPr>
            </w:pPr>
            <w:r>
              <w:rPr>
                <w:rFonts w:ascii="Arial" w:cs="Arial" w:eastAsia="Arial" w:hAnsi="Arial"/>
                <w:sz w:val="16"/>
                <w:szCs w:val="16"/>
                <w:color w:val="auto"/>
                <w:w w:val="99"/>
              </w:rPr>
              <w:t>May 5, 2021</w:t>
            </w:r>
          </w:p>
        </w:tc>
      </w:tr>
    </w:tbl>
    <w:p>
      <w:pPr>
        <w:spacing w:after="0" w:line="21"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/S/ LINDEN R.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10795</wp:posOffset>
            </wp:positionV>
            <wp:extent cx="293179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8">
                      <a:extLst>
                        <a:ext uri="{28A0092B-C50C-407E-A947-70E740481C1C}"/>
                      </a:extLst>
                    </a:blip>
                    <a:srcRect/>
                    <a:stretch>
                      <a:fillRect/>
                    </a:stretch>
                  </pic:blipFill>
                  <pic:spPr bwMode="auto">
                    <a:xfrm>
                      <a:off x="0" y="0"/>
                      <a:ext cx="2931795" cy="8890"/>
                    </a:xfrm>
                    <a:prstGeom prst="rect">
                      <a:avLst/>
                    </a:prstGeom>
                    <a:noFill/>
                  </pic:spPr>
                </pic:pic>
              </a:graphicData>
            </a:graphic>
          </wp:anchor>
        </w:drawing>
      </w:r>
    </w:p>
    <w:p>
      <w:pPr>
        <w:spacing w:after="0" w:line="26"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Linden R. Evans</w:t>
      </w:r>
    </w:p>
    <w:p>
      <w:pPr>
        <w:spacing w:after="0" w:line="32"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President and Chief Executive Officer</w:t>
      </w:r>
    </w:p>
    <w:p>
      <w:pPr>
        <w:sectPr>
          <w:pgSz w:w="11900" w:h="16838" w:orient="portrait"/>
          <w:cols w:equalWidth="0" w:num="1">
            <w:col w:w="11240"/>
          </w:cols>
          <w:pgMar w:left="320" w:top="891" w:right="339" w:bottom="1440" w:gutter="0" w:footer="0" w:header="0"/>
        </w:sectPr>
      </w:pPr>
    </w:p>
    <w:bookmarkStart w:id="49" w:name="page50"/>
    <w:bookmarkEnd w:id="49"/>
    <w:p>
      <w:pPr>
        <w:jc w:val="right"/>
        <w:spacing w:after="0"/>
        <w:rPr>
          <w:sz w:val="20"/>
          <w:szCs w:val="20"/>
          <w:color w:val="auto"/>
        </w:rPr>
      </w:pPr>
      <w:r>
        <w:rPr>
          <w:rFonts w:ascii="Arial" w:cs="Arial" w:eastAsia="Arial" w:hAnsi="Arial"/>
          <w:sz w:val="16"/>
          <w:szCs w:val="16"/>
          <w:b w:val="1"/>
          <w:bCs w:val="1"/>
          <w:color w:val="auto"/>
        </w:rPr>
        <w:t>Exhibit 31.2</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CERTIFICATION</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color w:val="auto"/>
        </w:rPr>
        <w:t>I, Richard W. Kinzley, certify that:</w:t>
      </w:r>
    </w:p>
    <w:p>
      <w:pPr>
        <w:spacing w:after="0" w:line="383" w:lineRule="exact"/>
        <w:rPr>
          <w:sz w:val="20"/>
          <w:szCs w:val="20"/>
          <w:color w:val="auto"/>
        </w:rPr>
      </w:pPr>
    </w:p>
    <w:p>
      <w:pPr>
        <w:ind w:left="800" w:hanging="774"/>
        <w:spacing w:after="0"/>
        <w:tabs>
          <w:tab w:leader="none" w:pos="8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Black Hills Corporation;</w:t>
      </w:r>
    </w:p>
    <w:p>
      <w:pPr>
        <w:spacing w:after="0" w:line="194" w:lineRule="exact"/>
        <w:rPr>
          <w:rFonts w:ascii="Arial" w:cs="Arial" w:eastAsia="Arial" w:hAnsi="Arial"/>
          <w:sz w:val="16"/>
          <w:szCs w:val="16"/>
          <w:color w:val="auto"/>
        </w:rPr>
      </w:pPr>
    </w:p>
    <w:p>
      <w:pPr>
        <w:jc w:val="both"/>
        <w:ind w:left="800" w:right="220" w:hanging="774"/>
        <w:spacing w:after="0" w:line="225" w:lineRule="auto"/>
        <w:tabs>
          <w:tab w:leader="none" w:pos="8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4" w:lineRule="exact"/>
        <w:rPr>
          <w:rFonts w:ascii="Arial" w:cs="Arial" w:eastAsia="Arial" w:hAnsi="Arial"/>
          <w:sz w:val="16"/>
          <w:szCs w:val="16"/>
          <w:color w:val="auto"/>
        </w:rPr>
      </w:pPr>
    </w:p>
    <w:p>
      <w:pPr>
        <w:ind w:left="800" w:right="80" w:hanging="774"/>
        <w:spacing w:after="0" w:line="232" w:lineRule="auto"/>
        <w:tabs>
          <w:tab w:leader="none" w:pos="8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4" w:lineRule="exact"/>
        <w:rPr>
          <w:rFonts w:ascii="Arial" w:cs="Arial" w:eastAsia="Arial" w:hAnsi="Arial"/>
          <w:sz w:val="16"/>
          <w:szCs w:val="16"/>
          <w:color w:val="auto"/>
        </w:rPr>
      </w:pPr>
    </w:p>
    <w:p>
      <w:pPr>
        <w:jc w:val="both"/>
        <w:ind w:left="800" w:right="80" w:hanging="774"/>
        <w:spacing w:after="0" w:line="225" w:lineRule="auto"/>
        <w:tabs>
          <w:tab w:leader="none" w:pos="8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4" w:lineRule="exact"/>
        <w:rPr>
          <w:rFonts w:ascii="Arial" w:cs="Arial" w:eastAsia="Arial" w:hAnsi="Arial"/>
          <w:sz w:val="16"/>
          <w:szCs w:val="16"/>
          <w:color w:val="auto"/>
        </w:rPr>
      </w:pPr>
    </w:p>
    <w:p>
      <w:pPr>
        <w:ind w:left="1600" w:right="160" w:hanging="791"/>
        <w:spacing w:after="0" w:line="225" w:lineRule="auto"/>
        <w:tabs>
          <w:tab w:leader="none" w:pos="1600" w:val="left"/>
        </w:tabs>
        <w:numPr>
          <w:ilvl w:val="1"/>
          <w:numId w:val="41"/>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4" w:lineRule="exact"/>
        <w:rPr>
          <w:rFonts w:ascii="Arial" w:cs="Arial" w:eastAsia="Arial" w:hAnsi="Arial"/>
          <w:sz w:val="16"/>
          <w:szCs w:val="16"/>
          <w:color w:val="auto"/>
        </w:rPr>
      </w:pPr>
    </w:p>
    <w:p>
      <w:pPr>
        <w:ind w:left="1600" w:right="220" w:hanging="791"/>
        <w:spacing w:after="0" w:line="225" w:lineRule="auto"/>
        <w:tabs>
          <w:tab w:leader="none" w:pos="1600" w:val="left"/>
        </w:tabs>
        <w:numPr>
          <w:ilvl w:val="1"/>
          <w:numId w:val="41"/>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4" w:lineRule="exact"/>
        <w:rPr>
          <w:rFonts w:ascii="Arial" w:cs="Arial" w:eastAsia="Arial" w:hAnsi="Arial"/>
          <w:sz w:val="16"/>
          <w:szCs w:val="16"/>
          <w:color w:val="auto"/>
        </w:rPr>
      </w:pPr>
    </w:p>
    <w:p>
      <w:pPr>
        <w:ind w:left="1600" w:right="180" w:hanging="791"/>
        <w:spacing w:after="0" w:line="225" w:lineRule="auto"/>
        <w:tabs>
          <w:tab w:leader="none" w:pos="1600" w:val="left"/>
        </w:tabs>
        <w:numPr>
          <w:ilvl w:val="1"/>
          <w:numId w:val="4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4" w:lineRule="exact"/>
        <w:rPr>
          <w:rFonts w:ascii="Arial" w:cs="Arial" w:eastAsia="Arial" w:hAnsi="Arial"/>
          <w:sz w:val="16"/>
          <w:szCs w:val="16"/>
          <w:color w:val="auto"/>
        </w:rPr>
      </w:pPr>
    </w:p>
    <w:p>
      <w:pPr>
        <w:ind w:left="1600" w:right="60" w:hanging="791"/>
        <w:spacing w:after="0" w:line="225" w:lineRule="auto"/>
        <w:tabs>
          <w:tab w:leader="none" w:pos="1600" w:val="left"/>
        </w:tabs>
        <w:numPr>
          <w:ilvl w:val="1"/>
          <w:numId w:val="41"/>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4" w:lineRule="exact"/>
        <w:rPr>
          <w:rFonts w:ascii="Arial" w:cs="Arial" w:eastAsia="Arial" w:hAnsi="Arial"/>
          <w:sz w:val="16"/>
          <w:szCs w:val="16"/>
          <w:color w:val="auto"/>
        </w:rPr>
      </w:pPr>
    </w:p>
    <w:p>
      <w:pPr>
        <w:ind w:left="800" w:right="100" w:hanging="774"/>
        <w:spacing w:after="0" w:line="232" w:lineRule="auto"/>
        <w:tabs>
          <w:tab w:leader="none" w:pos="8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84" w:lineRule="exact"/>
        <w:rPr>
          <w:rFonts w:ascii="Arial" w:cs="Arial" w:eastAsia="Arial" w:hAnsi="Arial"/>
          <w:sz w:val="16"/>
          <w:szCs w:val="16"/>
          <w:color w:val="auto"/>
        </w:rPr>
      </w:pPr>
    </w:p>
    <w:p>
      <w:pPr>
        <w:ind w:left="1600" w:right="340" w:hanging="791"/>
        <w:spacing w:after="0" w:line="232" w:lineRule="auto"/>
        <w:tabs>
          <w:tab w:leader="none" w:pos="1600" w:val="left"/>
        </w:tabs>
        <w:numPr>
          <w:ilvl w:val="1"/>
          <w:numId w:val="4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4" w:lineRule="exact"/>
        <w:rPr>
          <w:rFonts w:ascii="Arial" w:cs="Arial" w:eastAsia="Arial" w:hAnsi="Arial"/>
          <w:sz w:val="16"/>
          <w:szCs w:val="16"/>
          <w:color w:val="auto"/>
        </w:rPr>
      </w:pPr>
    </w:p>
    <w:p>
      <w:pPr>
        <w:ind w:left="1600" w:right="560" w:hanging="791"/>
        <w:spacing w:after="0" w:line="232" w:lineRule="auto"/>
        <w:tabs>
          <w:tab w:leader="none" w:pos="1600" w:val="left"/>
        </w:tabs>
        <w:numPr>
          <w:ilvl w:val="1"/>
          <w:numId w:val="41"/>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600" w:type="dxa"/>
            <w:vAlign w:val="bottom"/>
          </w:tcPr>
          <w:p>
            <w:pPr>
              <w:spacing w:after="0"/>
              <w:rPr>
                <w:sz w:val="20"/>
                <w:szCs w:val="20"/>
                <w:color w:val="auto"/>
              </w:rPr>
            </w:pPr>
            <w:r>
              <w:rPr>
                <w:rFonts w:ascii="Arial" w:cs="Arial" w:eastAsia="Arial" w:hAnsi="Arial"/>
                <w:sz w:val="16"/>
                <w:szCs w:val="16"/>
                <w:color w:val="auto"/>
              </w:rPr>
              <w:t>Date:</w:t>
            </w:r>
          </w:p>
        </w:tc>
        <w:tc>
          <w:tcPr>
            <w:tcW w:w="1080" w:type="dxa"/>
            <w:vAlign w:val="bottom"/>
          </w:tcPr>
          <w:p>
            <w:pPr>
              <w:ind w:left="180"/>
              <w:spacing w:after="0"/>
              <w:rPr>
                <w:sz w:val="20"/>
                <w:szCs w:val="20"/>
                <w:color w:val="auto"/>
              </w:rPr>
            </w:pPr>
            <w:r>
              <w:rPr>
                <w:rFonts w:ascii="Arial" w:cs="Arial" w:eastAsia="Arial" w:hAnsi="Arial"/>
                <w:sz w:val="16"/>
                <w:szCs w:val="16"/>
                <w:color w:val="auto"/>
                <w:w w:val="99"/>
              </w:rPr>
              <w:t>May 5, 2021</w:t>
            </w:r>
          </w:p>
        </w:tc>
      </w:tr>
    </w:tbl>
    <w:p>
      <w:pPr>
        <w:spacing w:after="0" w:line="21" w:lineRule="exact"/>
        <w:rPr>
          <w:sz w:val="20"/>
          <w:szCs w:val="20"/>
          <w:color w:val="auto"/>
        </w:rPr>
      </w:pPr>
    </w:p>
    <w:p>
      <w:pPr>
        <w:ind w:left="5180"/>
        <w:spacing w:after="0"/>
        <w:rPr>
          <w:sz w:val="20"/>
          <w:szCs w:val="20"/>
          <w:color w:val="auto"/>
        </w:rPr>
      </w:pPr>
      <w:r>
        <w:rPr>
          <w:rFonts w:ascii="Arial" w:cs="Arial" w:eastAsia="Arial" w:hAnsi="Arial"/>
          <w:sz w:val="16"/>
          <w:szCs w:val="16"/>
          <w:color w:val="auto"/>
        </w:rPr>
        <w:t>/S/ RICHARD W. KINZLEY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3279775</wp:posOffset>
            </wp:positionH>
            <wp:positionV relativeFrom="paragraph">
              <wp:posOffset>10795</wp:posOffset>
            </wp:positionV>
            <wp:extent cx="293179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9">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spacing w:after="0" w:line="26" w:lineRule="exact"/>
        <w:rPr>
          <w:sz w:val="20"/>
          <w:szCs w:val="20"/>
          <w:color w:val="auto"/>
        </w:rPr>
      </w:pPr>
    </w:p>
    <w:p>
      <w:pPr>
        <w:ind w:left="5180"/>
        <w:spacing w:after="0"/>
        <w:rPr>
          <w:sz w:val="20"/>
          <w:szCs w:val="20"/>
          <w:color w:val="auto"/>
        </w:rPr>
      </w:pPr>
      <w:r>
        <w:rPr>
          <w:rFonts w:ascii="Arial" w:cs="Arial" w:eastAsia="Arial" w:hAnsi="Arial"/>
          <w:sz w:val="16"/>
          <w:szCs w:val="16"/>
          <w:color w:val="auto"/>
        </w:rPr>
        <w:t>Richard W. Kinzley</w:t>
      </w:r>
    </w:p>
    <w:p>
      <w:pPr>
        <w:spacing w:after="0" w:line="32" w:lineRule="exact"/>
        <w:rPr>
          <w:sz w:val="20"/>
          <w:szCs w:val="20"/>
          <w:color w:val="auto"/>
        </w:rPr>
      </w:pPr>
    </w:p>
    <w:p>
      <w:pPr>
        <w:ind w:left="5180"/>
        <w:spacing w:after="0"/>
        <w:rPr>
          <w:sz w:val="20"/>
          <w:szCs w:val="20"/>
          <w:color w:val="auto"/>
        </w:rPr>
      </w:pPr>
      <w:r>
        <w:rPr>
          <w:rFonts w:ascii="Arial" w:cs="Arial" w:eastAsia="Arial" w:hAnsi="Arial"/>
          <w:sz w:val="16"/>
          <w:szCs w:val="16"/>
          <w:color w:val="auto"/>
        </w:rPr>
        <w:t>Senior Vice President and Chief Financial Officer</w:t>
      </w:r>
    </w:p>
    <w:p>
      <w:pPr>
        <w:sectPr>
          <w:pgSz w:w="11900" w:h="16838" w:orient="portrait"/>
          <w:cols w:equalWidth="0" w:num="1">
            <w:col w:w="11240"/>
          </w:cols>
          <w:pgMar w:left="320" w:top="891" w:right="339" w:bottom="1440" w:gutter="0" w:footer="0" w:header="0"/>
        </w:sectPr>
      </w:pPr>
    </w:p>
    <w:bookmarkStart w:id="50" w:name="page51"/>
    <w:bookmarkEnd w:id="50"/>
    <w:p>
      <w:pPr>
        <w:jc w:val="right"/>
        <w:spacing w:after="0"/>
        <w:rPr>
          <w:sz w:val="20"/>
          <w:szCs w:val="20"/>
          <w:color w:val="auto"/>
        </w:rPr>
      </w:pPr>
      <w:r>
        <w:rPr>
          <w:rFonts w:ascii="Arial" w:cs="Arial" w:eastAsia="Arial" w:hAnsi="Arial"/>
          <w:sz w:val="16"/>
          <w:szCs w:val="16"/>
          <w:b w:val="1"/>
          <w:bCs w:val="1"/>
          <w:color w:val="auto"/>
        </w:rPr>
        <w:t>Exhibit 32.1</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CERTIFICATION 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 U.S.C. SECTION 1350,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AS ADOPTED 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SECTION 906 OF THE SARBANES-OXLEY ACT OF 2002</w:t>
      </w:r>
    </w:p>
    <w:p>
      <w:pPr>
        <w:spacing w:after="0" w:line="86" w:lineRule="exact"/>
        <w:rPr>
          <w:sz w:val="20"/>
          <w:szCs w:val="20"/>
          <w:color w:val="auto"/>
        </w:rPr>
      </w:pPr>
    </w:p>
    <w:p>
      <w:pPr>
        <w:ind w:right="200"/>
        <w:spacing w:after="0" w:line="253" w:lineRule="auto"/>
        <w:rPr>
          <w:sz w:val="20"/>
          <w:szCs w:val="20"/>
          <w:color w:val="auto"/>
        </w:rPr>
      </w:pPr>
      <w:r>
        <w:rPr>
          <w:rFonts w:ascii="Arial" w:cs="Arial" w:eastAsia="Arial" w:hAnsi="Arial"/>
          <w:sz w:val="16"/>
          <w:szCs w:val="16"/>
          <w:color w:val="auto"/>
        </w:rPr>
        <w:t>In connection with the Quarterly Report of Black Hills Corporation (the “Company”) on Form 10-Q for the period ended March 31, 2021 as filed with the Securities and Exchange Commission on the date hereof (the “Report”), I, Linden R. Evans, President and Chief Executive Officer of the Company, certify, pursuant to 18 U.S.C. ss. 1350, as adopted pursuant to ss. 906 of the Sarbanes-Oxley Act of 2002, that:</w:t>
      </w:r>
    </w:p>
    <w:p>
      <w:pPr>
        <w:spacing w:after="0" w:line="215" w:lineRule="exact"/>
        <w:rPr>
          <w:sz w:val="20"/>
          <w:szCs w:val="20"/>
          <w:color w:val="auto"/>
        </w:rPr>
      </w:pPr>
    </w:p>
    <w:p>
      <w:pPr>
        <w:ind w:left="1600" w:hanging="791"/>
        <w:spacing w:after="0"/>
        <w:tabs>
          <w:tab w:leader="none" w:pos="16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 (a) or 15 (d) of the Securities Exchange Act of 1934; and</w:t>
      </w:r>
    </w:p>
    <w:p>
      <w:pPr>
        <w:spacing w:after="0" w:line="194" w:lineRule="exact"/>
        <w:rPr>
          <w:rFonts w:ascii="Arial" w:cs="Arial" w:eastAsia="Arial" w:hAnsi="Arial"/>
          <w:sz w:val="16"/>
          <w:szCs w:val="16"/>
          <w:color w:val="auto"/>
        </w:rPr>
      </w:pPr>
    </w:p>
    <w:p>
      <w:pPr>
        <w:ind w:left="1600" w:right="120" w:hanging="791"/>
        <w:spacing w:after="0" w:line="232" w:lineRule="auto"/>
        <w:tabs>
          <w:tab w:leader="none" w:pos="16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87"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600" w:type="dxa"/>
            <w:vAlign w:val="bottom"/>
          </w:tcPr>
          <w:p>
            <w:pPr>
              <w:spacing w:after="0"/>
              <w:rPr>
                <w:sz w:val="20"/>
                <w:szCs w:val="20"/>
                <w:color w:val="auto"/>
              </w:rPr>
            </w:pPr>
            <w:r>
              <w:rPr>
                <w:rFonts w:ascii="Arial" w:cs="Arial" w:eastAsia="Arial" w:hAnsi="Arial"/>
                <w:sz w:val="16"/>
                <w:szCs w:val="16"/>
                <w:color w:val="auto"/>
              </w:rPr>
              <w:t>Date:</w:t>
            </w:r>
          </w:p>
        </w:tc>
        <w:tc>
          <w:tcPr>
            <w:tcW w:w="1080" w:type="dxa"/>
            <w:vAlign w:val="bottom"/>
          </w:tcPr>
          <w:p>
            <w:pPr>
              <w:ind w:left="180"/>
              <w:spacing w:after="0"/>
              <w:rPr>
                <w:sz w:val="20"/>
                <w:szCs w:val="20"/>
                <w:color w:val="auto"/>
              </w:rPr>
            </w:pPr>
            <w:r>
              <w:rPr>
                <w:rFonts w:ascii="Arial" w:cs="Arial" w:eastAsia="Arial" w:hAnsi="Arial"/>
                <w:sz w:val="16"/>
                <w:szCs w:val="16"/>
                <w:color w:val="auto"/>
                <w:w w:val="99"/>
              </w:rPr>
              <w:t>May 5, 2021</w:t>
            </w:r>
          </w:p>
        </w:tc>
      </w:tr>
    </w:tbl>
    <w:p>
      <w:pPr>
        <w:spacing w:after="0" w:line="291" w:lineRule="exact"/>
        <w:rPr>
          <w:sz w:val="20"/>
          <w:szCs w:val="20"/>
          <w:color w:val="auto"/>
        </w:rPr>
      </w:pPr>
    </w:p>
    <w:p>
      <w:pPr>
        <w:ind w:left="5180"/>
        <w:spacing w:after="0"/>
        <w:rPr>
          <w:sz w:val="20"/>
          <w:szCs w:val="20"/>
          <w:color w:val="auto"/>
        </w:rPr>
      </w:pPr>
      <w:r>
        <w:rPr>
          <w:rFonts w:ascii="Arial" w:cs="Arial" w:eastAsia="Arial" w:hAnsi="Arial"/>
          <w:sz w:val="16"/>
          <w:szCs w:val="16"/>
          <w:color w:val="auto"/>
        </w:rPr>
        <w:t>/S/ LINDEN R.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3279775</wp:posOffset>
            </wp:positionH>
            <wp:positionV relativeFrom="paragraph">
              <wp:posOffset>10795</wp:posOffset>
            </wp:positionV>
            <wp:extent cx="293179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0">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spacing w:after="0" w:line="26" w:lineRule="exact"/>
        <w:rPr>
          <w:sz w:val="20"/>
          <w:szCs w:val="20"/>
          <w:color w:val="auto"/>
        </w:rPr>
      </w:pPr>
    </w:p>
    <w:p>
      <w:pPr>
        <w:ind w:left="5180"/>
        <w:spacing w:after="0"/>
        <w:rPr>
          <w:sz w:val="20"/>
          <w:szCs w:val="20"/>
          <w:color w:val="auto"/>
        </w:rPr>
      </w:pPr>
      <w:r>
        <w:rPr>
          <w:rFonts w:ascii="Arial" w:cs="Arial" w:eastAsia="Arial" w:hAnsi="Arial"/>
          <w:sz w:val="16"/>
          <w:szCs w:val="16"/>
          <w:color w:val="auto"/>
        </w:rPr>
        <w:t>Linden R. Evans</w:t>
      </w:r>
    </w:p>
    <w:p>
      <w:pPr>
        <w:spacing w:after="0" w:line="32" w:lineRule="exact"/>
        <w:rPr>
          <w:sz w:val="20"/>
          <w:szCs w:val="20"/>
          <w:color w:val="auto"/>
        </w:rPr>
      </w:pPr>
    </w:p>
    <w:p>
      <w:pPr>
        <w:ind w:left="5180"/>
        <w:spacing w:after="0"/>
        <w:rPr>
          <w:sz w:val="20"/>
          <w:szCs w:val="20"/>
          <w:color w:val="auto"/>
        </w:rPr>
      </w:pPr>
      <w:r>
        <w:rPr>
          <w:rFonts w:ascii="Arial" w:cs="Arial" w:eastAsia="Arial" w:hAnsi="Arial"/>
          <w:sz w:val="16"/>
          <w:szCs w:val="16"/>
          <w:color w:val="auto"/>
        </w:rPr>
        <w:t>President and Chief Executive Officer</w:t>
      </w:r>
    </w:p>
    <w:p>
      <w:pPr>
        <w:sectPr>
          <w:pgSz w:w="11900" w:h="16838" w:orient="portrait"/>
          <w:cols w:equalWidth="0" w:num="1">
            <w:col w:w="11240"/>
          </w:cols>
          <w:pgMar w:left="320" w:top="891" w:right="339" w:bottom="1440" w:gutter="0" w:footer="0" w:header="0"/>
        </w:sectPr>
      </w:pPr>
    </w:p>
    <w:bookmarkStart w:id="51" w:name="page52"/>
    <w:bookmarkEnd w:id="51"/>
    <w:p>
      <w:pPr>
        <w:jc w:val="right"/>
        <w:spacing w:after="0"/>
        <w:rPr>
          <w:sz w:val="20"/>
          <w:szCs w:val="20"/>
          <w:color w:val="auto"/>
        </w:rPr>
      </w:pPr>
      <w:r>
        <w:rPr>
          <w:rFonts w:ascii="Arial" w:cs="Arial" w:eastAsia="Arial" w:hAnsi="Arial"/>
          <w:sz w:val="16"/>
          <w:szCs w:val="16"/>
          <w:b w:val="1"/>
          <w:bCs w:val="1"/>
          <w:color w:val="auto"/>
        </w:rPr>
        <w:t>Exhibit 32.2</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CERTIFICATION 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 U.S.C. SECTION 1350,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AS ADOPTED 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SECTION 906 OF THE SARBANES-OXLEY ACT OF 2002</w:t>
      </w:r>
    </w:p>
    <w:p>
      <w:pPr>
        <w:spacing w:after="0" w:line="86" w:lineRule="exact"/>
        <w:rPr>
          <w:sz w:val="20"/>
          <w:szCs w:val="20"/>
          <w:color w:val="auto"/>
        </w:rPr>
      </w:pPr>
    </w:p>
    <w:p>
      <w:pPr>
        <w:jc w:val="both"/>
        <w:ind w:right="460"/>
        <w:spacing w:after="0" w:line="253" w:lineRule="auto"/>
        <w:rPr>
          <w:sz w:val="20"/>
          <w:szCs w:val="20"/>
          <w:color w:val="auto"/>
        </w:rPr>
      </w:pPr>
      <w:r>
        <w:rPr>
          <w:rFonts w:ascii="Arial" w:cs="Arial" w:eastAsia="Arial" w:hAnsi="Arial"/>
          <w:sz w:val="16"/>
          <w:szCs w:val="16"/>
          <w:color w:val="auto"/>
        </w:rPr>
        <w:t>In connection with the Quarterly Report of Black Hills Corporation (the “Company”) on Form 10-Q for the period ended March 31, 2021 as filed with the Securities and Exchange Commission on the date hereof (the “Report”), I, Richard W. Kinzley, Senior Vice President and Chief Financial Officer of the Company, certify, pursuant to 18 U.S.C. ss. 1350, as adopted pursuant to ss. 906 of the Sarbanes-Oxley Act of 2002, that:</w:t>
      </w:r>
    </w:p>
    <w:p>
      <w:pPr>
        <w:spacing w:after="0" w:line="215" w:lineRule="exact"/>
        <w:rPr>
          <w:sz w:val="20"/>
          <w:szCs w:val="20"/>
          <w:color w:val="auto"/>
        </w:rPr>
      </w:pPr>
    </w:p>
    <w:p>
      <w:pPr>
        <w:ind w:left="1600" w:hanging="791"/>
        <w:spacing w:after="0"/>
        <w:tabs>
          <w:tab w:leader="none" w:pos="16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 (a) or 15 (d) of the Securities Exchange Act of 1934; and</w:t>
      </w:r>
    </w:p>
    <w:p>
      <w:pPr>
        <w:spacing w:after="0" w:line="194" w:lineRule="exact"/>
        <w:rPr>
          <w:rFonts w:ascii="Arial" w:cs="Arial" w:eastAsia="Arial" w:hAnsi="Arial"/>
          <w:sz w:val="16"/>
          <w:szCs w:val="16"/>
          <w:color w:val="auto"/>
        </w:rPr>
      </w:pPr>
    </w:p>
    <w:p>
      <w:pPr>
        <w:ind w:left="1600" w:right="120" w:hanging="791"/>
        <w:spacing w:after="0" w:line="232" w:lineRule="auto"/>
        <w:tabs>
          <w:tab w:leader="none" w:pos="16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87"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580" w:type="dxa"/>
            <w:vAlign w:val="bottom"/>
          </w:tcPr>
          <w:p>
            <w:pPr>
              <w:spacing w:after="0"/>
              <w:rPr>
                <w:sz w:val="20"/>
                <w:szCs w:val="20"/>
                <w:color w:val="auto"/>
              </w:rPr>
            </w:pPr>
            <w:r>
              <w:rPr>
                <w:rFonts w:ascii="Arial" w:cs="Arial" w:eastAsia="Arial" w:hAnsi="Arial"/>
                <w:sz w:val="16"/>
                <w:szCs w:val="16"/>
                <w:color w:val="auto"/>
              </w:rPr>
              <w:t>Date:</w:t>
            </w:r>
          </w:p>
        </w:tc>
        <w:tc>
          <w:tcPr>
            <w:tcW w:w="1100" w:type="dxa"/>
            <w:vAlign w:val="bottom"/>
          </w:tcPr>
          <w:p>
            <w:pPr>
              <w:ind w:left="200"/>
              <w:spacing w:after="0"/>
              <w:rPr>
                <w:sz w:val="20"/>
                <w:szCs w:val="20"/>
                <w:color w:val="auto"/>
              </w:rPr>
            </w:pPr>
            <w:r>
              <w:rPr>
                <w:rFonts w:ascii="Arial" w:cs="Arial" w:eastAsia="Arial" w:hAnsi="Arial"/>
                <w:sz w:val="16"/>
                <w:szCs w:val="16"/>
                <w:color w:val="auto"/>
                <w:w w:val="99"/>
              </w:rPr>
              <w:t>May 5, 2021</w:t>
            </w:r>
          </w:p>
        </w:tc>
      </w:tr>
    </w:tbl>
    <w:p>
      <w:pPr>
        <w:spacing w:after="0" w:line="291"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/S/ RICHARD W. KINZLEY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10795</wp:posOffset>
            </wp:positionV>
            <wp:extent cx="293179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1">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spacing w:after="0" w:line="26"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Richard W. Kinzley</w:t>
      </w:r>
    </w:p>
    <w:p>
      <w:pPr>
        <w:spacing w:after="0" w:line="32"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Senior Vice President and Chief Financial Officer</w:t>
      </w:r>
    </w:p>
    <w:p>
      <w:pPr>
        <w:sectPr>
          <w:pgSz w:w="11900" w:h="16838" w:orient="portrait"/>
          <w:cols w:equalWidth="0" w:num="1">
            <w:col w:w="11240"/>
          </w:cols>
          <w:pgMar w:left="320" w:top="891" w:right="339" w:bottom="1440" w:gutter="0" w:footer="0" w:header="0"/>
        </w:sectPr>
      </w:pPr>
    </w:p>
    <w:bookmarkStart w:id="52" w:name="page53"/>
    <w:bookmarkEnd w:id="52"/>
    <w:p>
      <w:pPr>
        <w:jc w:val="right"/>
        <w:spacing w:after="0"/>
        <w:rPr>
          <w:sz w:val="20"/>
          <w:szCs w:val="20"/>
          <w:color w:val="auto"/>
        </w:rPr>
      </w:pPr>
      <w:r>
        <w:rPr>
          <w:rFonts w:ascii="Arial" w:cs="Arial" w:eastAsia="Arial" w:hAnsi="Arial"/>
          <w:sz w:val="16"/>
          <w:szCs w:val="16"/>
          <w:b w:val="1"/>
          <w:bCs w:val="1"/>
          <w:color w:val="auto"/>
        </w:rPr>
        <w:t>Exhibit 95</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color w:val="auto"/>
        </w:rPr>
        <w:t>Information concerning mine safety violations or other regulatory matters required by Sections 1503(a) of Dodd-Frank is included below.</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Mine Safety and Health Administration Safety Data</w:t>
      </w:r>
    </w:p>
    <w:p>
      <w:pPr>
        <w:spacing w:after="0" w:line="214" w:lineRule="exact"/>
        <w:rPr>
          <w:sz w:val="20"/>
          <w:szCs w:val="20"/>
          <w:color w:val="auto"/>
        </w:rPr>
      </w:pPr>
    </w:p>
    <w:p>
      <w:pPr>
        <w:ind w:right="80"/>
        <w:spacing w:after="0" w:line="250" w:lineRule="auto"/>
        <w:rPr>
          <w:sz w:val="20"/>
          <w:szCs w:val="20"/>
          <w:color w:val="auto"/>
        </w:rPr>
      </w:pPr>
      <w:r>
        <w:rPr>
          <w:rFonts w:ascii="Arial" w:cs="Arial" w:eastAsia="Arial" w:hAnsi="Arial"/>
          <w:sz w:val="16"/>
          <w:szCs w:val="16"/>
          <w:color w:val="auto"/>
        </w:rPr>
        <w:t>Safety is a core value at Black Hills Corporation and at each of its subsidiary operations. We have in place a comprehensive safety program that includes extensive health and safety training for all employees, site inspections, emergency response preparedness, crisis communications training, incident investigation, regulatory compliance training and process auditing, as well as an open dialogue between all levels of employees. The goals of our processes are to eliminate exposure to hazards in the workplace, ensure that we comply with all mine safety regulations, and support regulatory and industry efforts to improve the health and safety of our employees along with the industry as a whole.</w:t>
      </w:r>
    </w:p>
    <w:p>
      <w:pPr>
        <w:spacing w:after="0" w:line="230" w:lineRule="exact"/>
        <w:rPr>
          <w:sz w:val="20"/>
          <w:szCs w:val="20"/>
          <w:color w:val="auto"/>
        </w:rPr>
      </w:pPr>
    </w:p>
    <w:p>
      <w:pPr>
        <w:ind w:right="80"/>
        <w:spacing w:after="0" w:line="246" w:lineRule="auto"/>
        <w:rPr>
          <w:sz w:val="20"/>
          <w:szCs w:val="20"/>
          <w:color w:val="auto"/>
        </w:rPr>
      </w:pPr>
      <w:r>
        <w:rPr>
          <w:rFonts w:ascii="Arial" w:cs="Arial" w:eastAsia="Arial" w:hAnsi="Arial"/>
          <w:sz w:val="16"/>
          <w:szCs w:val="16"/>
          <w:color w:val="auto"/>
        </w:rPr>
        <w:t>Under the Dodd-Frank Act, each operator of a coal or other mine is required to include certain mine safety results in its periodic reports filed with the SEC. Our mining operation, consisting of Wyodak Coal Mine, is subject to regulation by the federal Mine Safety and Health Administration ("MSHA") under the Federal Mine Safety and Health Act of 1977 (the “Mine Act”). Below we present the following information regarding certain mining safety and health matters for the three month period ended March 31, 2021. In evaluating this information, consideration should be given to factors such as: (i) the number of citations and orders will vary depending on the size of the coal mine, (ii) the number of citations issued will vary from inspector to inspector and mine to mine, and</w:t>
      </w:r>
    </w:p>
    <w:p>
      <w:pPr>
        <w:spacing w:after="0" w:line="2" w:lineRule="exact"/>
        <w:rPr>
          <w:sz w:val="20"/>
          <w:szCs w:val="20"/>
          <w:color w:val="auto"/>
        </w:rPr>
      </w:pPr>
    </w:p>
    <w:p>
      <w:pPr>
        <w:ind w:right="160" w:firstLine="8"/>
        <w:spacing w:after="0" w:line="260" w:lineRule="auto"/>
        <w:tabs>
          <w:tab w:leader="none" w:pos="261" w:val="left"/>
        </w:tabs>
        <w:numPr>
          <w:ilvl w:val="0"/>
          <w:numId w:val="44"/>
        </w:numPr>
        <w:rPr>
          <w:rFonts w:ascii="Arial" w:cs="Arial" w:eastAsia="Arial" w:hAnsi="Arial"/>
          <w:sz w:val="16"/>
          <w:szCs w:val="16"/>
          <w:color w:val="auto"/>
        </w:rPr>
      </w:pPr>
      <w:r>
        <w:rPr>
          <w:rFonts w:ascii="Arial" w:cs="Arial" w:eastAsia="Arial" w:hAnsi="Arial"/>
          <w:sz w:val="16"/>
          <w:szCs w:val="16"/>
          <w:color w:val="auto"/>
        </w:rPr>
        <w:t>citations and orders can be contested and appealed, and in that process, are often reduced in severity and amount, and are sometimes dismissed. The information presented includes:</w:t>
      </w:r>
    </w:p>
    <w:p>
      <w:pPr>
        <w:spacing w:after="0" w:line="222" w:lineRule="exact"/>
        <w:rPr>
          <w:rFonts w:ascii="Arial" w:cs="Arial" w:eastAsia="Arial" w:hAnsi="Arial"/>
          <w:sz w:val="16"/>
          <w:szCs w:val="16"/>
          <w:color w:val="auto"/>
        </w:rPr>
      </w:pPr>
    </w:p>
    <w:p>
      <w:pPr>
        <w:ind w:left="660" w:right="100" w:hanging="328"/>
        <w:spacing w:after="0" w:line="260" w:lineRule="auto"/>
        <w:tabs>
          <w:tab w:leader="none" w:pos="649" w:val="left"/>
        </w:tabs>
        <w:numPr>
          <w:ilvl w:val="1"/>
          <w:numId w:val="44"/>
        </w:numPr>
        <w:rPr>
          <w:rFonts w:ascii="Arial" w:cs="Arial" w:eastAsia="Arial" w:hAnsi="Arial"/>
          <w:sz w:val="16"/>
          <w:szCs w:val="16"/>
          <w:color w:val="auto"/>
        </w:rPr>
      </w:pPr>
      <w:r>
        <w:rPr>
          <w:rFonts w:ascii="Arial" w:cs="Arial" w:eastAsia="Arial" w:hAnsi="Arial"/>
          <w:sz w:val="16"/>
          <w:szCs w:val="16"/>
          <w:color w:val="auto"/>
        </w:rPr>
        <w:t>Total number of violations of mandatory health and safety standards that could significantly and substantially contribute to the cause and effect of a coal or other mine safety or health hazard under section 104 of the Mine Act for which we have received a citation from MSHA;</w:t>
      </w:r>
    </w:p>
    <w:p>
      <w:pPr>
        <w:spacing w:after="0" w:line="222" w:lineRule="exact"/>
        <w:rPr>
          <w:rFonts w:ascii="Arial" w:cs="Arial" w:eastAsia="Arial" w:hAnsi="Arial"/>
          <w:sz w:val="16"/>
          <w:szCs w:val="16"/>
          <w:color w:val="auto"/>
        </w:rPr>
      </w:pPr>
    </w:p>
    <w:p>
      <w:pPr>
        <w:ind w:left="640" w:hanging="308"/>
        <w:spacing w:after="0"/>
        <w:tabs>
          <w:tab w:leader="none" w:pos="640" w:val="left"/>
        </w:tabs>
        <w:numPr>
          <w:ilvl w:val="1"/>
          <w:numId w:val="44"/>
        </w:numPr>
        <w:rPr>
          <w:rFonts w:ascii="Arial" w:cs="Arial" w:eastAsia="Arial" w:hAnsi="Arial"/>
          <w:sz w:val="16"/>
          <w:szCs w:val="16"/>
          <w:color w:val="auto"/>
        </w:rPr>
      </w:pPr>
      <w:r>
        <w:rPr>
          <w:rFonts w:ascii="Arial" w:cs="Arial" w:eastAsia="Arial" w:hAnsi="Arial"/>
          <w:sz w:val="16"/>
          <w:szCs w:val="16"/>
          <w:color w:val="auto"/>
        </w:rPr>
        <w:t>Total number of orders issued under section 104(b) of the Mine Act;</w:t>
      </w:r>
    </w:p>
    <w:p>
      <w:pPr>
        <w:spacing w:after="0" w:line="248" w:lineRule="exact"/>
        <w:rPr>
          <w:rFonts w:ascii="Arial" w:cs="Arial" w:eastAsia="Arial" w:hAnsi="Arial"/>
          <w:sz w:val="16"/>
          <w:szCs w:val="16"/>
          <w:color w:val="auto"/>
        </w:rPr>
      </w:pPr>
    </w:p>
    <w:p>
      <w:pPr>
        <w:ind w:left="660" w:right="360" w:hanging="328"/>
        <w:spacing w:after="0" w:line="260" w:lineRule="auto"/>
        <w:tabs>
          <w:tab w:leader="none" w:pos="649" w:val="left"/>
        </w:tabs>
        <w:numPr>
          <w:ilvl w:val="1"/>
          <w:numId w:val="44"/>
        </w:numPr>
        <w:rPr>
          <w:rFonts w:ascii="Arial" w:cs="Arial" w:eastAsia="Arial" w:hAnsi="Arial"/>
          <w:sz w:val="16"/>
          <w:szCs w:val="16"/>
          <w:color w:val="auto"/>
        </w:rPr>
      </w:pPr>
      <w:r>
        <w:rPr>
          <w:rFonts w:ascii="Arial" w:cs="Arial" w:eastAsia="Arial" w:hAnsi="Arial"/>
          <w:sz w:val="16"/>
          <w:szCs w:val="16"/>
          <w:color w:val="auto"/>
        </w:rPr>
        <w:t>Total number of citations and orders for unwarrantable failure of the mine operator to comply with mandatory health and safety standards under section 104(d) of the Mine Act;</w:t>
      </w:r>
    </w:p>
    <w:p>
      <w:pPr>
        <w:spacing w:after="0" w:line="222" w:lineRule="exact"/>
        <w:rPr>
          <w:rFonts w:ascii="Arial" w:cs="Arial" w:eastAsia="Arial" w:hAnsi="Arial"/>
          <w:sz w:val="16"/>
          <w:szCs w:val="16"/>
          <w:color w:val="auto"/>
        </w:rPr>
      </w:pPr>
    </w:p>
    <w:p>
      <w:pPr>
        <w:ind w:left="640" w:hanging="308"/>
        <w:spacing w:after="0"/>
        <w:tabs>
          <w:tab w:leader="none" w:pos="640" w:val="left"/>
        </w:tabs>
        <w:numPr>
          <w:ilvl w:val="1"/>
          <w:numId w:val="44"/>
        </w:numPr>
        <w:rPr>
          <w:rFonts w:ascii="Arial" w:cs="Arial" w:eastAsia="Arial" w:hAnsi="Arial"/>
          <w:sz w:val="16"/>
          <w:szCs w:val="16"/>
          <w:color w:val="auto"/>
        </w:rPr>
      </w:pPr>
      <w:r>
        <w:rPr>
          <w:rFonts w:ascii="Arial" w:cs="Arial" w:eastAsia="Arial" w:hAnsi="Arial"/>
          <w:sz w:val="16"/>
          <w:szCs w:val="16"/>
          <w:color w:val="auto"/>
        </w:rPr>
        <w:t>Total number of imminent danger orders issued under section 107(a) of the Mine Act; and</w:t>
      </w:r>
    </w:p>
    <w:p>
      <w:pPr>
        <w:spacing w:after="0" w:line="248" w:lineRule="exact"/>
        <w:rPr>
          <w:rFonts w:ascii="Arial" w:cs="Arial" w:eastAsia="Arial" w:hAnsi="Arial"/>
          <w:sz w:val="16"/>
          <w:szCs w:val="16"/>
          <w:color w:val="auto"/>
        </w:rPr>
      </w:pPr>
    </w:p>
    <w:p>
      <w:pPr>
        <w:ind w:left="640" w:hanging="308"/>
        <w:spacing w:after="0"/>
        <w:tabs>
          <w:tab w:leader="none" w:pos="640" w:val="left"/>
        </w:tabs>
        <w:numPr>
          <w:ilvl w:val="1"/>
          <w:numId w:val="44"/>
        </w:numPr>
        <w:rPr>
          <w:rFonts w:ascii="Arial" w:cs="Arial" w:eastAsia="Arial" w:hAnsi="Arial"/>
          <w:sz w:val="16"/>
          <w:szCs w:val="16"/>
          <w:color w:val="auto"/>
        </w:rPr>
      </w:pPr>
      <w:r>
        <w:rPr>
          <w:rFonts w:ascii="Arial" w:cs="Arial" w:eastAsia="Arial" w:hAnsi="Arial"/>
          <w:sz w:val="16"/>
          <w:szCs w:val="16"/>
          <w:color w:val="auto"/>
        </w:rPr>
        <w:t>Total dollar value of proposed assessments from MSHA under the Mine Act.</w:t>
      </w:r>
    </w:p>
    <w:p>
      <w:pPr>
        <w:spacing w:after="0" w:line="248"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The table below sets forth the total number of citations and/or orders issued by MSHA to WRDC under the indicated provisions of the Mine Act, together with the total dollar value of proposed MSHA assessments received during the three months ended March 31, 2021 and legal actions pending before the Federal Mine Safety and Health Review Commission, together with the Administrative Law Judges thereof, for WRDC, our only mining complex. All citations were abated within 24 hours of issue.</w:t>
      </w:r>
    </w:p>
    <w:p>
      <w:pPr>
        <w:spacing w:after="0" w:line="307"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1140" w:type="dxa"/>
            <w:vAlign w:val="bottom"/>
          </w:tcPr>
          <w:p>
            <w:pPr>
              <w:spacing w:after="0"/>
              <w:rPr>
                <w:sz w:val="12"/>
                <w:szCs w:val="12"/>
                <w:color w:val="auto"/>
              </w:rPr>
            </w:pPr>
          </w:p>
        </w:tc>
        <w:tc>
          <w:tcPr>
            <w:tcW w:w="1120" w:type="dxa"/>
            <w:vAlign w:val="bottom"/>
          </w:tcPr>
          <w:p>
            <w:pPr>
              <w:jc w:val="center"/>
              <w:spacing w:after="0"/>
              <w:rPr>
                <w:sz w:val="20"/>
                <w:szCs w:val="20"/>
                <w:color w:val="auto"/>
              </w:rPr>
            </w:pPr>
            <w:r>
              <w:rPr>
                <w:rFonts w:ascii="Arial" w:cs="Arial" w:eastAsia="Arial" w:hAnsi="Arial"/>
                <w:sz w:val="13"/>
                <w:szCs w:val="13"/>
                <w:b w:val="1"/>
                <w:bCs w:val="1"/>
                <w:color w:val="auto"/>
                <w:w w:val="97"/>
              </w:rPr>
              <w:t>Mine Act Section</w:t>
            </w:r>
          </w:p>
        </w:tc>
        <w:tc>
          <w:tcPr>
            <w:tcW w:w="660" w:type="dxa"/>
            <w:vAlign w:val="bottom"/>
          </w:tcPr>
          <w:p>
            <w:pPr>
              <w:spacing w:after="0"/>
              <w:rPr>
                <w:sz w:val="12"/>
                <w:szCs w:val="12"/>
                <w:color w:val="auto"/>
              </w:rPr>
            </w:pPr>
          </w:p>
        </w:tc>
        <w:tc>
          <w:tcPr>
            <w:tcW w:w="8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5"/>
              </w:rPr>
              <w:t>Mine Act</w:t>
            </w:r>
          </w:p>
        </w:tc>
        <w:tc>
          <w:tcPr>
            <w:tcW w:w="960" w:type="dxa"/>
            <w:vAlign w:val="bottom"/>
          </w:tcPr>
          <w:p>
            <w:pPr>
              <w:spacing w:after="0"/>
              <w:rPr>
                <w:sz w:val="12"/>
                <w:szCs w:val="12"/>
                <w:color w:val="auto"/>
              </w:rPr>
            </w:pP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95"/>
              </w:rPr>
              <w:t>Mine Act</w:t>
            </w: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w w:val="94"/>
              </w:rPr>
              <w:t>Legal</w:t>
            </w:r>
          </w:p>
        </w:tc>
        <w:tc>
          <w:tcPr>
            <w:tcW w:w="780" w:type="dxa"/>
            <w:vAlign w:val="bottom"/>
            <w:vMerge w:val="restart"/>
          </w:tcPr>
          <w:p>
            <w:pPr>
              <w:jc w:val="center"/>
              <w:ind w:right="37"/>
              <w:spacing w:after="0"/>
              <w:rPr>
                <w:sz w:val="20"/>
                <w:szCs w:val="20"/>
                <w:color w:val="auto"/>
              </w:rPr>
            </w:pPr>
            <w:r>
              <w:rPr>
                <w:rFonts w:ascii="Arial" w:cs="Arial" w:eastAsia="Arial" w:hAnsi="Arial"/>
                <w:sz w:val="13"/>
                <w:szCs w:val="13"/>
                <w:b w:val="1"/>
                <w:bCs w:val="1"/>
                <w:color w:val="auto"/>
                <w:w w:val="94"/>
              </w:rPr>
              <w:t>Legal</w:t>
            </w:r>
          </w:p>
        </w:tc>
        <w:tc>
          <w:tcPr>
            <w:tcW w:w="8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4"/>
              </w:rPr>
              <w:t>Legal</w:t>
            </w:r>
          </w:p>
        </w:tc>
        <w:tc>
          <w:tcPr>
            <w:tcW w:w="0" w:type="dxa"/>
            <w:vAlign w:val="bottom"/>
          </w:tcPr>
          <w:p>
            <w:pPr>
              <w:spacing w:after="0"/>
              <w:rPr>
                <w:sz w:val="1"/>
                <w:szCs w:val="1"/>
                <w:color w:val="auto"/>
              </w:rPr>
            </w:pPr>
          </w:p>
        </w:tc>
      </w:tr>
      <w:tr>
        <w:trPr>
          <w:trHeight w:val="122"/>
        </w:trPr>
        <w:tc>
          <w:tcPr>
            <w:tcW w:w="1140" w:type="dxa"/>
            <w:vAlign w:val="bottom"/>
          </w:tcPr>
          <w:p>
            <w:pPr>
              <w:spacing w:after="0"/>
              <w:rPr>
                <w:sz w:val="10"/>
                <w:szCs w:val="10"/>
                <w:color w:val="auto"/>
              </w:rPr>
            </w:pPr>
          </w:p>
        </w:tc>
        <w:tc>
          <w:tcPr>
            <w:tcW w:w="112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6"/>
              </w:rPr>
              <w:t>104 S&amp;S</w:t>
            </w:r>
          </w:p>
        </w:tc>
        <w:tc>
          <w:tcPr>
            <w:tcW w:w="6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5"/>
              </w:rPr>
              <w:t>Mine Act</w:t>
            </w:r>
          </w:p>
        </w:tc>
        <w:tc>
          <w:tcPr>
            <w:tcW w:w="860" w:type="dxa"/>
            <w:vAlign w:val="bottom"/>
            <w:vMerge w:val="continue"/>
          </w:tcPr>
          <w:p>
            <w:pPr>
              <w:spacing w:after="0"/>
              <w:rPr>
                <w:sz w:val="10"/>
                <w:szCs w:val="10"/>
                <w:color w:val="auto"/>
              </w:rPr>
            </w:pPr>
          </w:p>
        </w:tc>
        <w:tc>
          <w:tcPr>
            <w:tcW w:w="960" w:type="dxa"/>
            <w:vAlign w:val="bottom"/>
            <w:vMerge w:val="restart"/>
          </w:tcPr>
          <w:p>
            <w:pPr>
              <w:jc w:val="center"/>
              <w:ind w:right="17"/>
              <w:spacing w:after="0"/>
              <w:rPr>
                <w:sz w:val="20"/>
                <w:szCs w:val="20"/>
                <w:color w:val="auto"/>
              </w:rPr>
            </w:pPr>
            <w:r>
              <w:rPr>
                <w:rFonts w:ascii="Arial" w:cs="Arial" w:eastAsia="Arial" w:hAnsi="Arial"/>
                <w:sz w:val="13"/>
                <w:szCs w:val="13"/>
                <w:b w:val="1"/>
                <w:bCs w:val="1"/>
                <w:color w:val="auto"/>
                <w:w w:val="95"/>
              </w:rPr>
              <w:t>Mine Act</w:t>
            </w:r>
          </w:p>
        </w:tc>
        <w:tc>
          <w:tcPr>
            <w:tcW w:w="76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3"/>
              </w:rPr>
              <w:t>Section</w:t>
            </w:r>
          </w:p>
        </w:tc>
        <w:tc>
          <w:tcPr>
            <w:tcW w:w="3220" w:type="dxa"/>
            <w:vAlign w:val="bottom"/>
            <w:gridSpan w:val="4"/>
            <w:vMerge w:val="restart"/>
          </w:tcPr>
          <w:p>
            <w:pPr>
              <w:ind w:left="80"/>
              <w:spacing w:after="0"/>
              <w:rPr>
                <w:sz w:val="20"/>
                <w:szCs w:val="20"/>
                <w:color w:val="auto"/>
              </w:rPr>
            </w:pPr>
            <w:r>
              <w:rPr>
                <w:rFonts w:ascii="Arial" w:cs="Arial" w:eastAsia="Arial" w:hAnsi="Arial"/>
                <w:sz w:val="13"/>
                <w:szCs w:val="13"/>
                <w:b w:val="1"/>
                <w:bCs w:val="1"/>
                <w:color w:val="auto"/>
                <w:w w:val="98"/>
              </w:rPr>
              <w:t>Total Dollar Value Total Number Received Notice of</w:t>
            </w:r>
          </w:p>
        </w:tc>
        <w:tc>
          <w:tcPr>
            <w:tcW w:w="88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6"/>
              </w:rPr>
              <w:t>Actions</w:t>
            </w:r>
          </w:p>
        </w:tc>
        <w:tc>
          <w:tcPr>
            <w:tcW w:w="780" w:type="dxa"/>
            <w:vAlign w:val="bottom"/>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140" w:type="dxa"/>
            <w:vAlign w:val="bottom"/>
          </w:tcPr>
          <w:p>
            <w:pPr>
              <w:spacing w:after="0"/>
              <w:rPr>
                <w:sz w:val="10"/>
                <w:szCs w:val="10"/>
                <w:color w:val="auto"/>
              </w:rPr>
            </w:pPr>
          </w:p>
        </w:tc>
        <w:tc>
          <w:tcPr>
            <w:tcW w:w="112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7"/>
              </w:rPr>
              <w:t>Citations issued</w:t>
            </w:r>
          </w:p>
        </w:tc>
        <w:tc>
          <w:tcPr>
            <w:tcW w:w="660" w:type="dxa"/>
            <w:vAlign w:val="bottom"/>
            <w:vMerge w:val="continue"/>
          </w:tcPr>
          <w:p>
            <w:pPr>
              <w:spacing w:after="0"/>
              <w:rPr>
                <w:sz w:val="10"/>
                <w:szCs w:val="10"/>
                <w:color w:val="auto"/>
              </w:rPr>
            </w:pPr>
          </w:p>
        </w:tc>
        <w:tc>
          <w:tcPr>
            <w:tcW w:w="86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7"/>
              </w:rPr>
              <w:t>Section</w:t>
            </w:r>
          </w:p>
        </w:tc>
        <w:tc>
          <w:tcPr>
            <w:tcW w:w="960" w:type="dxa"/>
            <w:vAlign w:val="bottom"/>
            <w:vMerge w:val="continue"/>
          </w:tcPr>
          <w:p>
            <w:pPr>
              <w:spacing w:after="0"/>
              <w:rPr>
                <w:sz w:val="10"/>
                <w:szCs w:val="10"/>
                <w:color w:val="auto"/>
              </w:rPr>
            </w:pPr>
          </w:p>
        </w:tc>
        <w:tc>
          <w:tcPr>
            <w:tcW w:w="76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5"/>
              </w:rPr>
              <w:t>107(a)</w:t>
            </w:r>
          </w:p>
        </w:tc>
        <w:tc>
          <w:tcPr>
            <w:tcW w:w="3220" w:type="dxa"/>
            <w:vAlign w:val="bottom"/>
            <w:gridSpan w:val="4"/>
            <w:vMerge w:val="continue"/>
          </w:tcPr>
          <w:p>
            <w:pPr>
              <w:spacing w:after="0"/>
              <w:rPr>
                <w:sz w:val="10"/>
                <w:szCs w:val="10"/>
                <w:color w:val="auto"/>
              </w:rPr>
            </w:pPr>
          </w:p>
        </w:tc>
        <w:tc>
          <w:tcPr>
            <w:tcW w:w="88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7"/>
              </w:rPr>
              <w:t>Pending as</w:t>
            </w:r>
          </w:p>
        </w:tc>
        <w:tc>
          <w:tcPr>
            <w:tcW w:w="780" w:type="dxa"/>
            <w:vAlign w:val="bottom"/>
          </w:tcPr>
          <w:p>
            <w:pPr>
              <w:jc w:val="center"/>
              <w:ind w:right="57"/>
              <w:spacing w:after="0" w:line="122" w:lineRule="exact"/>
              <w:rPr>
                <w:sz w:val="20"/>
                <w:szCs w:val="20"/>
                <w:color w:val="auto"/>
              </w:rPr>
            </w:pPr>
            <w:r>
              <w:rPr>
                <w:rFonts w:ascii="Arial" w:cs="Arial" w:eastAsia="Arial" w:hAnsi="Arial"/>
                <w:sz w:val="13"/>
                <w:szCs w:val="13"/>
                <w:b w:val="1"/>
                <w:bCs w:val="1"/>
                <w:color w:val="auto"/>
                <w:w w:val="96"/>
              </w:rPr>
              <w:t>Actions</w:t>
            </w:r>
          </w:p>
        </w:tc>
        <w:tc>
          <w:tcPr>
            <w:tcW w:w="80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6"/>
              </w:rPr>
              <w:t>Actions</w:t>
            </w:r>
          </w:p>
        </w:tc>
        <w:tc>
          <w:tcPr>
            <w:tcW w:w="0" w:type="dxa"/>
            <w:vAlign w:val="bottom"/>
          </w:tcPr>
          <w:p>
            <w:pPr>
              <w:spacing w:after="0"/>
              <w:rPr>
                <w:sz w:val="1"/>
                <w:szCs w:val="1"/>
                <w:color w:val="auto"/>
              </w:rPr>
            </w:pPr>
          </w:p>
        </w:tc>
      </w:tr>
      <w:tr>
        <w:trPr>
          <w:trHeight w:val="121"/>
        </w:trPr>
        <w:tc>
          <w:tcPr>
            <w:tcW w:w="11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5"/>
              </w:rPr>
              <w:t>Mine/ MSHA</w:t>
            </w:r>
          </w:p>
        </w:tc>
        <w:tc>
          <w:tcPr>
            <w:tcW w:w="112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7"/>
              </w:rPr>
              <w:t>during three</w:t>
            </w:r>
          </w:p>
        </w:tc>
        <w:tc>
          <w:tcPr>
            <w:tcW w:w="66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3"/>
              </w:rPr>
              <w:t>Section</w:t>
            </w:r>
          </w:p>
        </w:tc>
        <w:tc>
          <w:tcPr>
            <w:tcW w:w="86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3"/>
              </w:rPr>
              <w:t>104(d)</w:t>
            </w:r>
          </w:p>
        </w:tc>
        <w:tc>
          <w:tcPr>
            <w:tcW w:w="96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6"/>
              </w:rPr>
              <w:t>Section 110(b)</w:t>
            </w:r>
          </w:p>
        </w:tc>
        <w:tc>
          <w:tcPr>
            <w:tcW w:w="76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6"/>
              </w:rPr>
              <w:t>Imminent</w:t>
            </w:r>
          </w:p>
        </w:tc>
        <w:tc>
          <w:tcPr>
            <w:tcW w:w="180" w:type="dxa"/>
            <w:vAlign w:val="bottom"/>
          </w:tcPr>
          <w:p>
            <w:pPr>
              <w:spacing w:after="0"/>
              <w:rPr>
                <w:sz w:val="10"/>
                <w:szCs w:val="10"/>
                <w:color w:val="auto"/>
              </w:rPr>
            </w:pPr>
          </w:p>
        </w:tc>
        <w:tc>
          <w:tcPr>
            <w:tcW w:w="980" w:type="dxa"/>
            <w:vAlign w:val="bottom"/>
          </w:tcPr>
          <w:p>
            <w:pPr>
              <w:jc w:val="center"/>
              <w:ind w:right="57"/>
              <w:spacing w:after="0" w:line="122" w:lineRule="exact"/>
              <w:rPr>
                <w:sz w:val="20"/>
                <w:szCs w:val="20"/>
                <w:color w:val="auto"/>
              </w:rPr>
            </w:pPr>
            <w:r>
              <w:rPr>
                <w:rFonts w:ascii="Arial" w:cs="Arial" w:eastAsia="Arial" w:hAnsi="Arial"/>
                <w:sz w:val="13"/>
                <w:szCs w:val="13"/>
                <w:b w:val="1"/>
                <w:bCs w:val="1"/>
                <w:color w:val="auto"/>
                <w:w w:val="97"/>
              </w:rPr>
              <w:t>of Proposed</w:t>
            </w:r>
          </w:p>
        </w:tc>
        <w:tc>
          <w:tcPr>
            <w:tcW w:w="88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6"/>
              </w:rPr>
              <w:t>of Mining</w:t>
            </w:r>
          </w:p>
        </w:tc>
        <w:tc>
          <w:tcPr>
            <w:tcW w:w="118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6"/>
              </w:rPr>
              <w:t>Potential to Have</w:t>
            </w:r>
          </w:p>
        </w:tc>
        <w:tc>
          <w:tcPr>
            <w:tcW w:w="88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6"/>
              </w:rPr>
              <w:t>of Last Day</w:t>
            </w:r>
          </w:p>
        </w:tc>
        <w:tc>
          <w:tcPr>
            <w:tcW w:w="780" w:type="dxa"/>
            <w:vAlign w:val="bottom"/>
          </w:tcPr>
          <w:p>
            <w:pPr>
              <w:jc w:val="center"/>
              <w:ind w:right="37"/>
              <w:spacing w:after="0" w:line="122" w:lineRule="exact"/>
              <w:rPr>
                <w:sz w:val="20"/>
                <w:szCs w:val="20"/>
                <w:color w:val="auto"/>
              </w:rPr>
            </w:pPr>
            <w:r>
              <w:rPr>
                <w:rFonts w:ascii="Arial" w:cs="Arial" w:eastAsia="Arial" w:hAnsi="Arial"/>
                <w:sz w:val="13"/>
                <w:szCs w:val="13"/>
                <w:b w:val="1"/>
                <w:bCs w:val="1"/>
                <w:color w:val="auto"/>
                <w:w w:val="96"/>
              </w:rPr>
              <w:t>Initiated</w:t>
            </w:r>
          </w:p>
        </w:tc>
        <w:tc>
          <w:tcPr>
            <w:tcW w:w="80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6"/>
              </w:rPr>
              <w:t>Resolved</w:t>
            </w:r>
          </w:p>
        </w:tc>
        <w:tc>
          <w:tcPr>
            <w:tcW w:w="0" w:type="dxa"/>
            <w:vAlign w:val="bottom"/>
          </w:tcPr>
          <w:p>
            <w:pPr>
              <w:spacing w:after="0"/>
              <w:rPr>
                <w:sz w:val="1"/>
                <w:szCs w:val="1"/>
                <w:color w:val="auto"/>
              </w:rPr>
            </w:pPr>
          </w:p>
        </w:tc>
      </w:tr>
      <w:tr>
        <w:trPr>
          <w:trHeight w:val="167"/>
        </w:trPr>
        <w:tc>
          <w:tcPr>
            <w:tcW w:w="1140" w:type="dxa"/>
            <w:vAlign w:val="bottom"/>
            <w:vMerge w:val="continue"/>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3"/>
                <w:szCs w:val="13"/>
                <w:b w:val="1"/>
                <w:bCs w:val="1"/>
                <w:color w:val="auto"/>
                <w:w w:val="96"/>
              </w:rPr>
              <w:t>months ended</w:t>
            </w: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w w:val="93"/>
              </w:rPr>
              <w:t>104(b)</w:t>
            </w: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w w:val="97"/>
              </w:rPr>
              <w:t>Citations and</w:t>
            </w:r>
          </w:p>
        </w:tc>
        <w:tc>
          <w:tcPr>
            <w:tcW w:w="960" w:type="dxa"/>
            <w:vAlign w:val="bottom"/>
          </w:tcPr>
          <w:p>
            <w:pPr>
              <w:jc w:val="right"/>
              <w:ind w:right="377"/>
              <w:spacing w:after="0"/>
              <w:rPr>
                <w:sz w:val="20"/>
                <w:szCs w:val="20"/>
                <w:color w:val="auto"/>
              </w:rPr>
            </w:pPr>
            <w:r>
              <w:rPr>
                <w:rFonts w:ascii="Arial" w:cs="Arial" w:eastAsia="Arial" w:hAnsi="Arial"/>
                <w:sz w:val="13"/>
                <w:szCs w:val="13"/>
                <w:b w:val="1"/>
                <w:bCs w:val="1"/>
                <w:color w:val="auto"/>
              </w:rPr>
              <w:t>(2)</w:t>
            </w: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98"/>
              </w:rPr>
              <w:t>Danger</w:t>
            </w:r>
          </w:p>
        </w:tc>
        <w:tc>
          <w:tcPr>
            <w:tcW w:w="180" w:type="dxa"/>
            <w:vAlign w:val="bottom"/>
          </w:tcPr>
          <w:p>
            <w:pPr>
              <w:spacing w:after="0"/>
              <w:rPr>
                <w:sz w:val="14"/>
                <w:szCs w:val="14"/>
                <w:color w:val="auto"/>
              </w:rPr>
            </w:pPr>
          </w:p>
        </w:tc>
        <w:tc>
          <w:tcPr>
            <w:tcW w:w="980" w:type="dxa"/>
            <w:vAlign w:val="bottom"/>
          </w:tcPr>
          <w:p>
            <w:pPr>
              <w:jc w:val="center"/>
              <w:ind w:right="57"/>
              <w:spacing w:after="0"/>
              <w:rPr>
                <w:sz w:val="20"/>
                <w:szCs w:val="20"/>
                <w:color w:val="auto"/>
              </w:rPr>
            </w:pPr>
            <w:r>
              <w:rPr>
                <w:rFonts w:ascii="Arial" w:cs="Arial" w:eastAsia="Arial" w:hAnsi="Arial"/>
                <w:sz w:val="13"/>
                <w:szCs w:val="13"/>
                <w:b w:val="1"/>
                <w:bCs w:val="1"/>
                <w:color w:val="auto"/>
                <w:w w:val="99"/>
              </w:rPr>
              <w:t>MSHA</w:t>
            </w: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w w:val="97"/>
              </w:rPr>
              <w:t>Related</w:t>
            </w:r>
          </w:p>
        </w:tc>
        <w:tc>
          <w:tcPr>
            <w:tcW w:w="1180" w:type="dxa"/>
            <w:vAlign w:val="bottom"/>
          </w:tcPr>
          <w:p>
            <w:pPr>
              <w:jc w:val="center"/>
              <w:spacing w:after="0"/>
              <w:rPr>
                <w:sz w:val="20"/>
                <w:szCs w:val="20"/>
                <w:color w:val="auto"/>
              </w:rPr>
            </w:pPr>
            <w:r>
              <w:rPr>
                <w:rFonts w:ascii="Arial" w:cs="Arial" w:eastAsia="Arial" w:hAnsi="Arial"/>
                <w:sz w:val="13"/>
                <w:szCs w:val="13"/>
                <w:b w:val="1"/>
                <w:bCs w:val="1"/>
                <w:color w:val="auto"/>
                <w:w w:val="97"/>
              </w:rPr>
              <w:t>Pattern Under</w:t>
            </w: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w w:val="97"/>
              </w:rPr>
              <w:t>of</w:t>
            </w:r>
          </w:p>
        </w:tc>
        <w:tc>
          <w:tcPr>
            <w:tcW w:w="780" w:type="dxa"/>
            <w:vAlign w:val="bottom"/>
          </w:tcPr>
          <w:p>
            <w:pPr>
              <w:jc w:val="center"/>
              <w:ind w:right="37"/>
              <w:spacing w:after="0"/>
              <w:rPr>
                <w:sz w:val="20"/>
                <w:szCs w:val="20"/>
                <w:color w:val="auto"/>
              </w:rPr>
            </w:pPr>
            <w:r>
              <w:rPr>
                <w:rFonts w:ascii="Arial" w:cs="Arial" w:eastAsia="Arial" w:hAnsi="Arial"/>
                <w:sz w:val="13"/>
                <w:szCs w:val="13"/>
                <w:b w:val="1"/>
                <w:bCs w:val="1"/>
                <w:color w:val="auto"/>
                <w:w w:val="95"/>
              </w:rPr>
              <w:t>During</w:t>
            </w: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95"/>
              </w:rPr>
              <w:t>During</w:t>
            </w:r>
          </w:p>
        </w:tc>
        <w:tc>
          <w:tcPr>
            <w:tcW w:w="0" w:type="dxa"/>
            <w:vAlign w:val="bottom"/>
          </w:tcPr>
          <w:p>
            <w:pPr>
              <w:spacing w:after="0"/>
              <w:rPr>
                <w:sz w:val="1"/>
                <w:szCs w:val="1"/>
                <w:color w:val="auto"/>
              </w:rPr>
            </w:pPr>
          </w:p>
        </w:tc>
      </w:tr>
      <w:tr>
        <w:trPr>
          <w:trHeight w:val="130"/>
        </w:trPr>
        <w:tc>
          <w:tcPr>
            <w:tcW w:w="1140" w:type="dxa"/>
            <w:vAlign w:val="bottom"/>
          </w:tcPr>
          <w:p>
            <w:pPr>
              <w:jc w:val="center"/>
              <w:spacing w:after="0" w:line="130" w:lineRule="exact"/>
              <w:rPr>
                <w:sz w:val="20"/>
                <w:szCs w:val="20"/>
                <w:color w:val="auto"/>
              </w:rPr>
            </w:pPr>
            <w:r>
              <w:rPr>
                <w:rFonts w:ascii="Arial" w:cs="Arial" w:eastAsia="Arial" w:hAnsi="Arial"/>
                <w:sz w:val="13"/>
                <w:szCs w:val="13"/>
                <w:b w:val="1"/>
                <w:bCs w:val="1"/>
                <w:color w:val="auto"/>
                <w:w w:val="96"/>
              </w:rPr>
              <w:t>Identification</w:t>
            </w:r>
          </w:p>
        </w:tc>
        <w:tc>
          <w:tcPr>
            <w:tcW w:w="11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7"/>
              </w:rPr>
              <w:t>March 31, 2021</w:t>
            </w:r>
          </w:p>
        </w:tc>
        <w:tc>
          <w:tcPr>
            <w:tcW w:w="6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6"/>
              </w:rPr>
              <w:t>Orders (#)</w:t>
            </w:r>
          </w:p>
        </w:tc>
        <w:tc>
          <w:tcPr>
            <w:tcW w:w="8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6"/>
              </w:rPr>
              <w:t>Orders (#)</w:t>
            </w:r>
          </w:p>
        </w:tc>
        <w:tc>
          <w:tcPr>
            <w:tcW w:w="9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5"/>
              </w:rPr>
              <w:t>Violations (#)</w:t>
            </w:r>
          </w:p>
        </w:tc>
        <w:tc>
          <w:tcPr>
            <w:tcW w:w="7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6"/>
              </w:rPr>
              <w:t>Orders (#)</w:t>
            </w:r>
          </w:p>
        </w:tc>
        <w:tc>
          <w:tcPr>
            <w:tcW w:w="180" w:type="dxa"/>
            <w:vAlign w:val="bottom"/>
          </w:tcPr>
          <w:p>
            <w:pPr>
              <w:spacing w:after="0"/>
              <w:rPr>
                <w:sz w:val="11"/>
                <w:szCs w:val="11"/>
                <w:color w:val="auto"/>
              </w:rPr>
            </w:pPr>
          </w:p>
        </w:tc>
        <w:tc>
          <w:tcPr>
            <w:tcW w:w="980" w:type="dxa"/>
            <w:vAlign w:val="bottom"/>
            <w:vMerge w:val="restart"/>
          </w:tcPr>
          <w:p>
            <w:pPr>
              <w:jc w:val="center"/>
              <w:ind w:right="57"/>
              <w:spacing w:after="0"/>
              <w:rPr>
                <w:sz w:val="20"/>
                <w:szCs w:val="20"/>
                <w:color w:val="auto"/>
              </w:rPr>
            </w:pPr>
            <w:r>
              <w:rPr>
                <w:rFonts w:ascii="Arial" w:cs="Arial" w:eastAsia="Arial" w:hAnsi="Arial"/>
                <w:sz w:val="13"/>
                <w:szCs w:val="13"/>
                <w:b w:val="1"/>
                <w:bCs w:val="1"/>
                <w:color w:val="auto"/>
                <w:w w:val="97"/>
              </w:rPr>
              <w:t>Assessments</w:t>
            </w:r>
          </w:p>
        </w:tc>
        <w:tc>
          <w:tcPr>
            <w:tcW w:w="8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7"/>
              </w:rPr>
              <w:t>Fatalities (#)</w:t>
            </w:r>
          </w:p>
        </w:tc>
        <w:tc>
          <w:tcPr>
            <w:tcW w:w="1180" w:type="dxa"/>
            <w:vAlign w:val="bottom"/>
          </w:tcPr>
          <w:p>
            <w:pPr>
              <w:jc w:val="center"/>
              <w:spacing w:after="0" w:line="130" w:lineRule="exact"/>
              <w:rPr>
                <w:sz w:val="20"/>
                <w:szCs w:val="20"/>
                <w:color w:val="auto"/>
              </w:rPr>
            </w:pPr>
            <w:r>
              <w:rPr>
                <w:rFonts w:ascii="Arial" w:cs="Arial" w:eastAsia="Arial" w:hAnsi="Arial"/>
                <w:sz w:val="13"/>
                <w:szCs w:val="13"/>
                <w:b w:val="1"/>
                <w:bCs w:val="1"/>
                <w:color w:val="auto"/>
                <w:w w:val="97"/>
              </w:rPr>
              <w:t>Section 104(e)</w:t>
            </w:r>
          </w:p>
        </w:tc>
        <w:tc>
          <w:tcPr>
            <w:tcW w:w="8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8"/>
              </w:rPr>
              <w:t>Period (#) (a)</w:t>
            </w:r>
          </w:p>
        </w:tc>
        <w:tc>
          <w:tcPr>
            <w:tcW w:w="780" w:type="dxa"/>
            <w:vAlign w:val="bottom"/>
            <w:vMerge w:val="restart"/>
          </w:tcPr>
          <w:p>
            <w:pPr>
              <w:jc w:val="center"/>
              <w:ind w:right="17"/>
              <w:spacing w:after="0"/>
              <w:rPr>
                <w:sz w:val="20"/>
                <w:szCs w:val="20"/>
                <w:color w:val="auto"/>
              </w:rPr>
            </w:pPr>
            <w:r>
              <w:rPr>
                <w:rFonts w:ascii="Arial" w:cs="Arial" w:eastAsia="Arial" w:hAnsi="Arial"/>
                <w:sz w:val="13"/>
                <w:szCs w:val="13"/>
                <w:b w:val="1"/>
                <w:bCs w:val="1"/>
                <w:color w:val="auto"/>
                <w:w w:val="96"/>
              </w:rPr>
              <w:t>Period (#)</w:t>
            </w:r>
          </w:p>
        </w:tc>
        <w:tc>
          <w:tcPr>
            <w:tcW w:w="8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6"/>
              </w:rPr>
              <w:t>Period (#)</w:t>
            </w:r>
          </w:p>
        </w:tc>
        <w:tc>
          <w:tcPr>
            <w:tcW w:w="0" w:type="dxa"/>
            <w:vAlign w:val="bottom"/>
          </w:tcPr>
          <w:p>
            <w:pPr>
              <w:spacing w:after="0"/>
              <w:rPr>
                <w:sz w:val="1"/>
                <w:szCs w:val="1"/>
                <w:color w:val="auto"/>
              </w:rPr>
            </w:pPr>
          </w:p>
        </w:tc>
      </w:tr>
      <w:tr>
        <w:trPr>
          <w:trHeight w:val="172"/>
        </w:trPr>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Number</w:t>
            </w:r>
          </w:p>
        </w:tc>
        <w:tc>
          <w:tcPr>
            <w:tcW w:w="1120" w:type="dxa"/>
            <w:vAlign w:val="bottom"/>
            <w:tcBorders>
              <w:bottom w:val="single" w:sz="8" w:color="auto"/>
            </w:tcBorders>
            <w:vMerge w:val="continue"/>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(yes/no)</w:t>
            </w:r>
          </w:p>
        </w:tc>
        <w:tc>
          <w:tcPr>
            <w:tcW w:w="880" w:type="dxa"/>
            <w:vAlign w:val="bottom"/>
            <w:tcBorders>
              <w:bottom w:val="single" w:sz="8" w:color="auto"/>
            </w:tcBorders>
            <w:vMerge w:val="continue"/>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140" w:type="dxa"/>
            <w:vAlign w:val="bottom"/>
          </w:tcPr>
          <w:p>
            <w:pPr>
              <w:ind w:left="20"/>
              <w:spacing w:after="0" w:line="126" w:lineRule="exact"/>
              <w:rPr>
                <w:sz w:val="20"/>
                <w:szCs w:val="20"/>
                <w:color w:val="auto"/>
              </w:rPr>
            </w:pPr>
            <w:r>
              <w:rPr>
                <w:rFonts w:ascii="Arial" w:cs="Arial" w:eastAsia="Arial" w:hAnsi="Arial"/>
                <w:sz w:val="13"/>
                <w:szCs w:val="13"/>
                <w:color w:val="auto"/>
              </w:rPr>
              <w:t>Wyodak Coal Mine</w:t>
            </w:r>
          </w:p>
        </w:tc>
        <w:tc>
          <w:tcPr>
            <w:tcW w:w="112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660" w:type="dxa"/>
            <w:vAlign w:val="bottom"/>
            <w:vMerge w:val="restart"/>
          </w:tcPr>
          <w:p>
            <w:pPr>
              <w:jc w:val="center"/>
              <w:spacing w:after="0"/>
              <w:rPr>
                <w:sz w:val="20"/>
                <w:szCs w:val="20"/>
                <w:color w:val="auto"/>
              </w:rPr>
            </w:pPr>
            <w:r>
              <w:rPr>
                <w:rFonts w:ascii="Arial" w:cs="Arial" w:eastAsia="Arial" w:hAnsi="Arial"/>
                <w:sz w:val="13"/>
                <w:szCs w:val="13"/>
                <w:color w:val="auto"/>
                <w:w w:val="91"/>
              </w:rPr>
              <w:t>—</w:t>
            </w:r>
          </w:p>
        </w:tc>
        <w:tc>
          <w:tcPr>
            <w:tcW w:w="860" w:type="dxa"/>
            <w:vAlign w:val="bottom"/>
            <w:vMerge w:val="restart"/>
          </w:tcPr>
          <w:p>
            <w:pPr>
              <w:jc w:val="center"/>
              <w:spacing w:after="0"/>
              <w:rPr>
                <w:sz w:val="20"/>
                <w:szCs w:val="20"/>
                <w:color w:val="auto"/>
              </w:rPr>
            </w:pPr>
            <w:r>
              <w:rPr>
                <w:rFonts w:ascii="Arial" w:cs="Arial" w:eastAsia="Arial" w:hAnsi="Arial"/>
                <w:sz w:val="13"/>
                <w:szCs w:val="13"/>
                <w:color w:val="auto"/>
                <w:w w:val="91"/>
              </w:rPr>
              <w:t>—</w:t>
            </w:r>
          </w:p>
        </w:tc>
        <w:tc>
          <w:tcPr>
            <w:tcW w:w="96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760" w:type="dxa"/>
            <w:vAlign w:val="bottom"/>
            <w:vMerge w:val="restart"/>
          </w:tcPr>
          <w:p>
            <w:pPr>
              <w:jc w:val="center"/>
              <w:spacing w:after="0"/>
              <w:rPr>
                <w:sz w:val="20"/>
                <w:szCs w:val="20"/>
                <w:color w:val="auto"/>
              </w:rPr>
            </w:pPr>
            <w:r>
              <w:rPr>
                <w:rFonts w:ascii="Arial" w:cs="Arial" w:eastAsia="Arial" w:hAnsi="Arial"/>
                <w:sz w:val="13"/>
                <w:szCs w:val="13"/>
                <w:color w:val="auto"/>
                <w:w w:val="91"/>
              </w:rPr>
              <w:t>—</w:t>
            </w:r>
          </w:p>
        </w:tc>
        <w:tc>
          <w:tcPr>
            <w:tcW w:w="180" w:type="dxa"/>
            <w:vAlign w:val="bottom"/>
            <w:vMerge w:val="restart"/>
          </w:tcPr>
          <w:p>
            <w:pPr>
              <w:ind w:left="80"/>
              <w:spacing w:after="0"/>
              <w:rPr>
                <w:sz w:val="20"/>
                <w:szCs w:val="20"/>
                <w:color w:val="auto"/>
              </w:rPr>
            </w:pPr>
            <w:r>
              <w:rPr>
                <w:rFonts w:ascii="Arial" w:cs="Arial" w:eastAsia="Arial" w:hAnsi="Arial"/>
                <w:sz w:val="13"/>
                <w:szCs w:val="13"/>
                <w:color w:val="auto"/>
              </w:rPr>
              <w:t>$</w:t>
            </w:r>
          </w:p>
        </w:tc>
        <w:tc>
          <w:tcPr>
            <w:tcW w:w="980" w:type="dxa"/>
            <w:vAlign w:val="bottom"/>
            <w:vMerge w:val="restart"/>
          </w:tcPr>
          <w:p>
            <w:pPr>
              <w:ind w:left="800"/>
              <w:spacing w:after="0"/>
              <w:rPr>
                <w:sz w:val="20"/>
                <w:szCs w:val="20"/>
                <w:color w:val="auto"/>
              </w:rPr>
            </w:pPr>
            <w:r>
              <w:rPr>
                <w:rFonts w:ascii="Arial" w:cs="Arial" w:eastAsia="Arial" w:hAnsi="Arial"/>
                <w:sz w:val="13"/>
                <w:szCs w:val="13"/>
                <w:color w:val="auto"/>
              </w:rPr>
              <w:t>—</w:t>
            </w:r>
          </w:p>
        </w:tc>
        <w:tc>
          <w:tcPr>
            <w:tcW w:w="880" w:type="dxa"/>
            <w:vAlign w:val="bottom"/>
            <w:vMerge w:val="restart"/>
          </w:tcPr>
          <w:p>
            <w:pPr>
              <w:jc w:val="center"/>
              <w:spacing w:after="0"/>
              <w:rPr>
                <w:sz w:val="20"/>
                <w:szCs w:val="20"/>
                <w:color w:val="auto"/>
              </w:rPr>
            </w:pPr>
            <w:r>
              <w:rPr>
                <w:rFonts w:ascii="Arial" w:cs="Arial" w:eastAsia="Arial" w:hAnsi="Arial"/>
                <w:sz w:val="13"/>
                <w:szCs w:val="13"/>
                <w:color w:val="auto"/>
                <w:w w:val="91"/>
              </w:rPr>
              <w:t>—</w:t>
            </w:r>
          </w:p>
        </w:tc>
        <w:tc>
          <w:tcPr>
            <w:tcW w:w="1180" w:type="dxa"/>
            <w:vAlign w:val="bottom"/>
            <w:vMerge w:val="restart"/>
          </w:tcPr>
          <w:p>
            <w:pPr>
              <w:jc w:val="center"/>
              <w:spacing w:after="0"/>
              <w:rPr>
                <w:sz w:val="20"/>
                <w:szCs w:val="20"/>
                <w:color w:val="auto"/>
              </w:rPr>
            </w:pPr>
            <w:r>
              <w:rPr>
                <w:rFonts w:ascii="Arial" w:cs="Arial" w:eastAsia="Arial" w:hAnsi="Arial"/>
                <w:sz w:val="13"/>
                <w:szCs w:val="13"/>
                <w:color w:val="auto"/>
                <w:w w:val="96"/>
              </w:rPr>
              <w:t>No</w:t>
            </w:r>
          </w:p>
        </w:tc>
        <w:tc>
          <w:tcPr>
            <w:tcW w:w="880" w:type="dxa"/>
            <w:vAlign w:val="bottom"/>
            <w:vMerge w:val="restart"/>
          </w:tcPr>
          <w:p>
            <w:pPr>
              <w:ind w:left="640"/>
              <w:spacing w:after="0"/>
              <w:rPr>
                <w:sz w:val="20"/>
                <w:szCs w:val="20"/>
                <w:color w:val="auto"/>
              </w:rPr>
            </w:pPr>
            <w:r>
              <w:rPr>
                <w:rFonts w:ascii="Arial" w:cs="Arial" w:eastAsia="Arial" w:hAnsi="Arial"/>
                <w:sz w:val="13"/>
                <w:szCs w:val="13"/>
                <w:color w:val="auto"/>
              </w:rPr>
              <w:t>—</w:t>
            </w:r>
          </w:p>
        </w:tc>
        <w:tc>
          <w:tcPr>
            <w:tcW w:w="780" w:type="dxa"/>
            <w:vAlign w:val="bottom"/>
            <w:vMerge w:val="restart"/>
          </w:tcPr>
          <w:p>
            <w:pPr>
              <w:ind w:left="540"/>
              <w:spacing w:after="0"/>
              <w:rPr>
                <w:sz w:val="20"/>
                <w:szCs w:val="20"/>
                <w:color w:val="auto"/>
              </w:rPr>
            </w:pPr>
            <w:r>
              <w:rPr>
                <w:rFonts w:ascii="Arial" w:cs="Arial" w:eastAsia="Arial" w:hAnsi="Arial"/>
                <w:sz w:val="13"/>
                <w:szCs w:val="13"/>
                <w:color w:val="auto"/>
              </w:rPr>
              <w:t>—</w:t>
            </w:r>
          </w:p>
        </w:tc>
        <w:tc>
          <w:tcPr>
            <w:tcW w:w="800" w:type="dxa"/>
            <w:vAlign w:val="bottom"/>
            <w:vMerge w:val="restart"/>
          </w:tcPr>
          <w:p>
            <w:pPr>
              <w:ind w:left="6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2"/>
        </w:trPr>
        <w:tc>
          <w:tcPr>
            <w:tcW w:w="1140" w:type="dxa"/>
            <w:vAlign w:val="bottom"/>
          </w:tcPr>
          <w:p>
            <w:pPr>
              <w:ind w:left="20"/>
              <w:spacing w:after="0"/>
              <w:rPr>
                <w:sz w:val="20"/>
                <w:szCs w:val="20"/>
                <w:color w:val="auto"/>
              </w:rPr>
            </w:pPr>
            <w:r>
              <w:rPr>
                <w:rFonts w:ascii="Arial" w:cs="Arial" w:eastAsia="Arial" w:hAnsi="Arial"/>
                <w:sz w:val="13"/>
                <w:szCs w:val="13"/>
                <w:color w:val="auto"/>
              </w:rPr>
              <w:t>- 4800083</w:t>
            </w:r>
          </w:p>
        </w:tc>
        <w:tc>
          <w:tcPr>
            <w:tcW w:w="1120" w:type="dxa"/>
            <w:vAlign w:val="bottom"/>
            <w:vMerge w:val="continue"/>
          </w:tcPr>
          <w:p>
            <w:pPr>
              <w:spacing w:after="0"/>
              <w:rPr>
                <w:sz w:val="13"/>
                <w:szCs w:val="13"/>
                <w:color w:val="auto"/>
              </w:rPr>
            </w:pPr>
          </w:p>
        </w:tc>
        <w:tc>
          <w:tcPr>
            <w:tcW w:w="660" w:type="dxa"/>
            <w:vAlign w:val="bottom"/>
            <w:vMerge w:val="continue"/>
          </w:tcPr>
          <w:p>
            <w:pPr>
              <w:spacing w:after="0"/>
              <w:rPr>
                <w:sz w:val="13"/>
                <w:szCs w:val="13"/>
                <w:color w:val="auto"/>
              </w:rPr>
            </w:pPr>
          </w:p>
        </w:tc>
        <w:tc>
          <w:tcPr>
            <w:tcW w:w="860" w:type="dxa"/>
            <w:vAlign w:val="bottom"/>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76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980" w:type="dxa"/>
            <w:vAlign w:val="bottom"/>
            <w:vMerge w:val="continue"/>
          </w:tcPr>
          <w:p>
            <w:pPr>
              <w:spacing w:after="0"/>
              <w:rPr>
                <w:sz w:val="13"/>
                <w:szCs w:val="13"/>
                <w:color w:val="auto"/>
              </w:rPr>
            </w:pPr>
          </w:p>
        </w:tc>
        <w:tc>
          <w:tcPr>
            <w:tcW w:w="880" w:type="dxa"/>
            <w:vAlign w:val="bottom"/>
            <w:vMerge w:val="continue"/>
          </w:tcPr>
          <w:p>
            <w:pPr>
              <w:spacing w:after="0"/>
              <w:rPr>
                <w:sz w:val="13"/>
                <w:szCs w:val="13"/>
                <w:color w:val="auto"/>
              </w:rPr>
            </w:pPr>
          </w:p>
        </w:tc>
        <w:tc>
          <w:tcPr>
            <w:tcW w:w="1180" w:type="dxa"/>
            <w:vAlign w:val="bottom"/>
            <w:vMerge w:val="continue"/>
          </w:tcPr>
          <w:p>
            <w:pPr>
              <w:spacing w:after="0"/>
              <w:rPr>
                <w:sz w:val="13"/>
                <w:szCs w:val="13"/>
                <w:color w:val="auto"/>
              </w:rPr>
            </w:pPr>
          </w:p>
        </w:tc>
        <w:tc>
          <w:tcPr>
            <w:tcW w:w="880" w:type="dxa"/>
            <w:vAlign w:val="bottom"/>
            <w:vMerge w:val="continue"/>
          </w:tcPr>
          <w:p>
            <w:pPr>
              <w:spacing w:after="0"/>
              <w:rPr>
                <w:sz w:val="13"/>
                <w:szCs w:val="13"/>
                <w:color w:val="auto"/>
              </w:rPr>
            </w:pPr>
          </w:p>
        </w:tc>
        <w:tc>
          <w:tcPr>
            <w:tcW w:w="780" w:type="dxa"/>
            <w:vAlign w:val="bottom"/>
            <w:vMerge w:val="continue"/>
          </w:tcPr>
          <w:p>
            <w:pPr>
              <w:spacing w:after="0"/>
              <w:rPr>
                <w:sz w:val="13"/>
                <w:szCs w:val="13"/>
                <w:color w:val="auto"/>
              </w:rPr>
            </w:pPr>
          </w:p>
        </w:tc>
        <w:tc>
          <w:tcPr>
            <w:tcW w:w="8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w:t>
      </w:r>
    </w:p>
    <w:p>
      <w:pPr>
        <w:spacing w:after="0" w:line="15" w:lineRule="exact"/>
        <w:rPr>
          <w:sz w:val="20"/>
          <w:szCs w:val="20"/>
          <w:color w:val="auto"/>
        </w:rPr>
      </w:pPr>
    </w:p>
    <w:p>
      <w:pPr>
        <w:ind w:left="340" w:right="200" w:hanging="332"/>
        <w:spacing w:after="0" w:line="249" w:lineRule="auto"/>
        <w:tabs>
          <w:tab w:leader="none" w:pos="349" w:val="left"/>
        </w:tabs>
        <w:numPr>
          <w:ilvl w:val="0"/>
          <w:numId w:val="45"/>
        </w:numPr>
        <w:rPr>
          <w:rFonts w:ascii="Arial" w:cs="Arial" w:eastAsia="Arial" w:hAnsi="Arial"/>
          <w:sz w:val="14"/>
          <w:szCs w:val="14"/>
          <w:color w:val="auto"/>
        </w:rPr>
      </w:pPr>
      <w:r>
        <w:rPr>
          <w:rFonts w:ascii="Arial" w:cs="Arial" w:eastAsia="Arial" w:hAnsi="Arial"/>
          <w:sz w:val="14"/>
          <w:szCs w:val="14"/>
          <w:color w:val="auto"/>
        </w:rPr>
        <w:t xml:space="preserve">The types of proceedings by class: (1) contests of citations and orders - none; (2) contests of proposed penalties - none; (3) complaints for compensation - none; (4) complaints of discharge, discrimination or interference under Section 105 of the </w:t>
      </w:r>
      <w:r>
        <w:rPr>
          <w:rFonts w:ascii="Arial" w:cs="Arial" w:eastAsia="Arial" w:hAnsi="Arial"/>
          <w:sz w:val="16"/>
          <w:szCs w:val="16"/>
          <w:color w:val="auto"/>
        </w:rPr>
        <w:t>Mine Act - none; (5) applications for temporary relief - none; and (6) appeals of</w:t>
      </w:r>
      <w:r>
        <w:rPr>
          <w:rFonts w:ascii="Arial" w:cs="Arial" w:eastAsia="Arial" w:hAnsi="Arial"/>
          <w:sz w:val="14"/>
          <w:szCs w:val="14"/>
          <w:color w:val="auto"/>
        </w:rPr>
        <w:t xml:space="preserve"> </w:t>
      </w:r>
      <w:r>
        <w:rPr>
          <w:rFonts w:ascii="Arial" w:cs="Arial" w:eastAsia="Arial" w:hAnsi="Arial"/>
          <w:sz w:val="16"/>
          <w:szCs w:val="16"/>
          <w:color w:val="auto"/>
        </w:rPr>
        <w:t>judges' decisions or orders to the FMSHRC - none.</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1D5AE9"/>
    <w:multiLevelType w:val="hybridMultilevel"/>
    <w:lvl w:ilvl="0">
      <w:lvlJc w:val="left"/>
      <w:lvlText w:val="☒"/>
      <w:numFmt w:val="bullet"/>
      <w:start w:val="1"/>
    </w:lvl>
  </w:abstractNum>
  <w:abstractNum w:abstractNumId="1">
    <w:nsid w:val="6763845E"/>
    <w:multiLevelType w:val="hybridMultilevel"/>
    <w:lvl w:ilvl="0">
      <w:lvlJc w:val="left"/>
      <w:lvlText w:val="☐"/>
      <w:numFmt w:val="bullet"/>
      <w:start w:val="1"/>
    </w:lvl>
  </w:abstractNum>
  <w:abstractNum w:abstractNumId="2">
    <w:nsid w:val="75A2A8D4"/>
    <w:multiLevelType w:val="hybridMultilevel"/>
    <w:lvl w:ilvl="0">
      <w:lvlJc w:val="left"/>
      <w:lvlText w:val="(%1)"/>
      <w:numFmt w:val="decimal"/>
      <w:start w:val="1"/>
    </w:lvl>
  </w:abstractNum>
  <w:abstractNum w:abstractNumId="3">
    <w:nsid w:val="8EDBDAB"/>
    <w:multiLevelType w:val="hybridMultilevel"/>
    <w:lvl w:ilvl="0">
      <w:lvlJc w:val="left"/>
      <w:lvlText w:val="(%1)"/>
      <w:numFmt w:val="lowerLetter"/>
      <w:start w:val="1"/>
    </w:lvl>
  </w:abstractNum>
  <w:abstractNum w:abstractNumId="4">
    <w:nsid w:val="79838CB2"/>
    <w:multiLevelType w:val="hybridMultilevel"/>
    <w:lvl w:ilvl="0">
      <w:lvlJc w:val="left"/>
      <w:lvlText w:val="(%1)"/>
      <w:numFmt w:val="lowerLetter"/>
      <w:start w:val="1"/>
    </w:lvl>
  </w:abstractNum>
  <w:abstractNum w:abstractNumId="5">
    <w:nsid w:val="4353D0CD"/>
    <w:multiLevelType w:val="hybridMultilevel"/>
    <w:lvl w:ilvl="0">
      <w:lvlJc w:val="left"/>
      <w:lvlText w:val="(%1)"/>
      <w:numFmt w:val="decimal"/>
      <w:start w:val="3"/>
    </w:lvl>
  </w:abstractNum>
  <w:abstractNum w:abstractNumId="6">
    <w:nsid w:val="B03E0C6"/>
    <w:multiLevelType w:val="hybridMultilevel"/>
    <w:lvl w:ilvl="0">
      <w:lvlJc w:val="left"/>
      <w:lvlText w:val="(%1)"/>
      <w:numFmt w:val="decimal"/>
      <w:start w:val="4"/>
    </w:lvl>
  </w:abstractNum>
  <w:abstractNum w:abstractNumId="7">
    <w:nsid w:val="189A769B"/>
    <w:multiLevelType w:val="hybridMultilevel"/>
    <w:lvl w:ilvl="0">
      <w:lvlJc w:val="left"/>
      <w:lvlText w:val="(%1)"/>
      <w:numFmt w:val="decimal"/>
      <w:start w:val="5"/>
    </w:lvl>
  </w:abstractNum>
  <w:abstractNum w:abstractNumId="8">
    <w:nsid w:val="54E49EB4"/>
    <w:multiLevelType w:val="hybridMultilevel"/>
    <w:lvl w:ilvl="0">
      <w:lvlJc w:val="left"/>
      <w:lvlText w:val="(%1)"/>
      <w:numFmt w:val="decimal"/>
      <w:start w:val="7"/>
    </w:lvl>
  </w:abstractNum>
  <w:abstractNum w:abstractNumId="9">
    <w:nsid w:val="71F32454"/>
    <w:multiLevelType w:val="hybridMultilevel"/>
    <w:lvl w:ilvl="0">
      <w:lvlJc w:val="left"/>
      <w:lvlText w:val="•"/>
      <w:numFmt w:val="bullet"/>
      <w:start w:val="1"/>
    </w:lvl>
  </w:abstractNum>
  <w:abstractNum w:abstractNumId="10">
    <w:nsid w:val="2CA88611"/>
    <w:multiLevelType w:val="hybridMultilevel"/>
    <w:lvl w:ilvl="0">
      <w:lvlJc w:val="left"/>
      <w:lvlText w:val="(%1)"/>
      <w:numFmt w:val="lowerLetter"/>
      <w:start w:val="1"/>
    </w:lvl>
  </w:abstractNum>
  <w:abstractNum w:abstractNumId="11">
    <w:nsid w:val="836C40E"/>
    <w:multiLevelType w:val="hybridMultilevel"/>
    <w:lvl w:ilvl="0">
      <w:lvlJc w:val="left"/>
      <w:lvlText w:val="(%1)"/>
      <w:numFmt w:val="decimal"/>
      <w:start w:val="8"/>
    </w:lvl>
  </w:abstractNum>
  <w:abstractNum w:abstractNumId="12">
    <w:nsid w:val="2901D82"/>
    <w:multiLevelType w:val="hybridMultilevel"/>
    <w:lvl w:ilvl="0">
      <w:lvlJc w:val="left"/>
      <w:lvlText w:val="(%1)"/>
      <w:numFmt w:val="lowerLetter"/>
      <w:start w:val="1"/>
    </w:lvl>
  </w:abstractNum>
  <w:abstractNum w:abstractNumId="13">
    <w:nsid w:val="3A95F874"/>
    <w:multiLevelType w:val="hybridMultilevel"/>
    <w:lvl w:ilvl="0">
      <w:lvlJc w:val="left"/>
      <w:lvlText w:val="(%1)"/>
      <w:numFmt w:val="decimal"/>
      <w:start w:val="9"/>
    </w:lvl>
  </w:abstractNum>
  <w:abstractNum w:abstractNumId="14">
    <w:nsid w:val="8138641"/>
    <w:multiLevelType w:val="hybridMultilevel"/>
    <w:lvl w:ilvl="0">
      <w:lvlJc w:val="left"/>
      <w:lvlText w:val="(%1)"/>
      <w:numFmt w:val="decimal"/>
      <w:start w:val="10"/>
    </w:lvl>
  </w:abstractNum>
  <w:abstractNum w:abstractNumId="15">
    <w:nsid w:val="1E7FF521"/>
    <w:multiLevelType w:val="hybridMultilevel"/>
    <w:lvl w:ilvl="0">
      <w:lvlJc w:val="left"/>
      <w:lvlText w:val="(%1)"/>
      <w:numFmt w:val="decimal"/>
      <w:start w:val="11"/>
    </w:lvl>
  </w:abstractNum>
  <w:abstractNum w:abstractNumId="16">
    <w:nsid w:val="7C3DBD3D"/>
    <w:multiLevelType w:val="hybridMultilevel"/>
    <w:lvl w:ilvl="0">
      <w:lvlJc w:val="left"/>
      <w:lvlText w:val="(%1)"/>
      <w:numFmt w:val="decimal"/>
      <w:start w:val="12"/>
    </w:lvl>
  </w:abstractNum>
  <w:abstractNum w:abstractNumId="17">
    <w:nsid w:val="737B8DDC"/>
    <w:multiLevelType w:val="hybridMultilevel"/>
    <w:lvl w:ilvl="0">
      <w:lvlJc w:val="left"/>
      <w:lvlText w:val="(%1)"/>
      <w:numFmt w:val="decimal"/>
      <w:start w:val="13"/>
    </w:lvl>
  </w:abstractNum>
  <w:abstractNum w:abstractNumId="18">
    <w:nsid w:val="6CEAF087"/>
    <w:multiLevelType w:val="hybridMultilevel"/>
    <w:lvl w:ilvl="0">
      <w:lvlJc w:val="left"/>
      <w:lvlText w:val="•"/>
      <w:numFmt w:val="bullet"/>
      <w:start w:val="1"/>
    </w:lvl>
  </w:abstractNum>
  <w:abstractNum w:abstractNumId="19">
    <w:nsid w:val="22221A70"/>
    <w:multiLevelType w:val="hybridMultilevel"/>
    <w:lvl w:ilvl="0">
      <w:lvlJc w:val="left"/>
      <w:lvlText w:val="•"/>
      <w:numFmt w:val="bullet"/>
      <w:start w:val="1"/>
    </w:lvl>
  </w:abstractNum>
  <w:abstractNum w:abstractNumId="20">
    <w:nsid w:val="4516DDE9"/>
    <w:multiLevelType w:val="hybridMultilevel"/>
    <w:lvl w:ilvl="0">
      <w:lvlJc w:val="left"/>
      <w:lvlText w:val="(%1)"/>
      <w:numFmt w:val="lowerLetter"/>
      <w:start w:val="1"/>
    </w:lvl>
  </w:abstractNum>
  <w:abstractNum w:abstractNumId="21">
    <w:nsid w:val="3006C83E"/>
    <w:multiLevelType w:val="hybridMultilevel"/>
    <w:lvl w:ilvl="0">
      <w:lvlJc w:val="left"/>
      <w:lvlText w:val="•"/>
      <w:numFmt w:val="bullet"/>
      <w:start w:val="1"/>
    </w:lvl>
  </w:abstractNum>
  <w:abstractNum w:abstractNumId="22">
    <w:nsid w:val="614FD4A1"/>
    <w:multiLevelType w:val="hybridMultilevel"/>
    <w:lvl w:ilvl="0">
      <w:lvlJc w:val="left"/>
      <w:lvlText w:val="•"/>
      <w:numFmt w:val="bullet"/>
      <w:start w:val="1"/>
    </w:lvl>
  </w:abstractNum>
  <w:abstractNum w:abstractNumId="23">
    <w:nsid w:val="419AC241"/>
    <w:multiLevelType w:val="hybridMultilevel"/>
    <w:lvl w:ilvl="0">
      <w:lvlJc w:val="left"/>
      <w:lvlText w:val="(%1)"/>
      <w:numFmt w:val="lowerLetter"/>
      <w:start w:val="1"/>
    </w:lvl>
  </w:abstractNum>
  <w:abstractNum w:abstractNumId="24">
    <w:nsid w:val="5577F8E1"/>
    <w:multiLevelType w:val="hybridMultilevel"/>
    <w:lvl w:ilvl="0">
      <w:lvlJc w:val="left"/>
      <w:lvlText w:val="(%1)"/>
      <w:numFmt w:val="lowerLetter"/>
      <w:start w:val="1"/>
    </w:lvl>
  </w:abstractNum>
  <w:abstractNum w:abstractNumId="25">
    <w:nsid w:val="440BADFC"/>
    <w:multiLevelType w:val="hybridMultilevel"/>
    <w:lvl w:ilvl="0">
      <w:lvlJc w:val="left"/>
      <w:lvlText w:val="(%1)"/>
      <w:numFmt w:val="lowerLetter"/>
      <w:start w:val="1"/>
    </w:lvl>
  </w:abstractNum>
  <w:abstractNum w:abstractNumId="26">
    <w:nsid w:val="5072367"/>
    <w:multiLevelType w:val="hybridMultilevel"/>
    <w:lvl w:ilvl="0">
      <w:lvlJc w:val="left"/>
      <w:lvlText w:val="(%1)"/>
      <w:numFmt w:val="lowerLetter"/>
      <w:start w:val="1"/>
    </w:lvl>
  </w:abstractNum>
  <w:abstractNum w:abstractNumId="27">
    <w:nsid w:val="3804823E"/>
    <w:multiLevelType w:val="hybridMultilevel"/>
    <w:lvl w:ilvl="0">
      <w:lvlJc w:val="left"/>
      <w:lvlText w:val="(%1)"/>
      <w:numFmt w:val="lowerLetter"/>
      <w:start w:val="1"/>
    </w:lvl>
  </w:abstractNum>
  <w:abstractNum w:abstractNumId="28">
    <w:nsid w:val="77465F01"/>
    <w:multiLevelType w:val="hybridMultilevel"/>
    <w:lvl w:ilvl="0">
      <w:lvlJc w:val="left"/>
      <w:lvlText w:val="(%1)"/>
      <w:numFmt w:val="lowerLetter"/>
      <w:start w:val="1"/>
    </w:lvl>
  </w:abstractNum>
  <w:abstractNum w:abstractNumId="29">
    <w:nsid w:val="7724C67E"/>
    <w:multiLevelType w:val="hybridMultilevel"/>
    <w:lvl w:ilvl="0">
      <w:lvlJc w:val="left"/>
      <w:lvlText w:val="(%1)"/>
      <w:numFmt w:val="lowerLetter"/>
      <w:start w:val="1"/>
    </w:lvl>
  </w:abstractNum>
  <w:abstractNum w:abstractNumId="30">
    <w:nsid w:val="5C482A97"/>
    <w:multiLevelType w:val="hybridMultilevel"/>
    <w:lvl w:ilvl="0">
      <w:lvlJc w:val="left"/>
      <w:lvlText w:val="(%1)"/>
      <w:numFmt w:val="lowerLetter"/>
      <w:start w:val="1"/>
    </w:lvl>
  </w:abstractNum>
  <w:abstractNum w:abstractNumId="31">
    <w:nsid w:val="2463B9EA"/>
    <w:multiLevelType w:val="hybridMultilevel"/>
    <w:lvl w:ilvl="0">
      <w:lvlJc w:val="left"/>
      <w:lvlText w:val="•"/>
      <w:numFmt w:val="bullet"/>
      <w:start w:val="1"/>
    </w:lvl>
    <w:lvl w:ilvl="1">
      <w:lvlJc w:val="left"/>
      <w:lvlText w:val="◦"/>
      <w:numFmt w:val="bullet"/>
      <w:start w:val="1"/>
    </w:lvl>
  </w:abstractNum>
  <w:abstractNum w:abstractNumId="32">
    <w:nsid w:val="5E884ADC"/>
    <w:multiLevelType w:val="hybridMultilevel"/>
    <w:lvl w:ilvl="0">
      <w:lvlJc w:val="left"/>
      <w:lvlText w:val="•"/>
      <w:numFmt w:val="bullet"/>
      <w:start w:val="1"/>
    </w:lvl>
  </w:abstractNum>
  <w:abstractNum w:abstractNumId="33">
    <w:nsid w:val="51EAD36B"/>
    <w:multiLevelType w:val="hybridMultilevel"/>
    <w:lvl w:ilvl="0">
      <w:lvlJc w:val="left"/>
      <w:lvlText w:val="•"/>
      <w:numFmt w:val="bullet"/>
      <w:start w:val="1"/>
    </w:lvl>
  </w:abstractNum>
  <w:abstractNum w:abstractNumId="34">
    <w:nsid w:val="2D517796"/>
    <w:multiLevelType w:val="hybridMultilevel"/>
    <w:lvl w:ilvl="0">
      <w:lvlJc w:val="left"/>
      <w:lvlText w:val="(%1)"/>
      <w:numFmt w:val="lowerLetter"/>
      <w:start w:val="1"/>
    </w:lvl>
  </w:abstractNum>
  <w:abstractNum w:abstractNumId="35">
    <w:nsid w:val="580BD78F"/>
    <w:multiLevelType w:val="hybridMultilevel"/>
    <w:lvl w:ilvl="0">
      <w:lvlJc w:val="left"/>
      <w:lvlText w:val="(%1)"/>
      <w:numFmt w:val="lowerLetter"/>
      <w:start w:val="1"/>
    </w:lvl>
  </w:abstractNum>
  <w:abstractNum w:abstractNumId="36">
    <w:nsid w:val="153EA438"/>
    <w:multiLevelType w:val="hybridMultilevel"/>
    <w:lvl w:ilvl="0">
      <w:lvlJc w:val="left"/>
      <w:lvlText w:val="(%1)"/>
      <w:numFmt w:val="lowerLetter"/>
      <w:start w:val="1"/>
    </w:lvl>
  </w:abstractNum>
  <w:abstractNum w:abstractNumId="37">
    <w:nsid w:val="3855585C"/>
    <w:multiLevelType w:val="hybridMultilevel"/>
    <w:lvl w:ilvl="0">
      <w:lvlJc w:val="left"/>
      <w:lvlText w:val="(%1)"/>
      <w:numFmt w:val="lowerLetter"/>
      <w:start w:val="1"/>
    </w:lvl>
  </w:abstractNum>
  <w:abstractNum w:abstractNumId="38">
    <w:nsid w:val="70A64E2A"/>
    <w:multiLevelType w:val="hybridMultilevel"/>
    <w:lvl w:ilvl="0">
      <w:lvlJc w:val="left"/>
      <w:lvlText w:val="(%1)"/>
      <w:numFmt w:val="lowerLetter"/>
      <w:start w:val="1"/>
    </w:lvl>
  </w:abstractNum>
  <w:abstractNum w:abstractNumId="39">
    <w:nsid w:val="6A2342EC"/>
    <w:multiLevelType w:val="hybridMultilevel"/>
    <w:lvl w:ilvl="0">
      <w:lvlJc w:val="left"/>
      <w:lvlText w:val="%1."/>
      <w:numFmt w:val="decimal"/>
      <w:start w:val="1"/>
    </w:lvl>
    <w:lvl w:ilvl="1">
      <w:lvlJc w:val="left"/>
      <w:lvlText w:val="%2)"/>
      <w:numFmt w:val="lowerLetter"/>
      <w:start w:val="1"/>
    </w:lvl>
  </w:abstractNum>
  <w:abstractNum w:abstractNumId="40">
    <w:nsid w:val="2A487CB0"/>
    <w:multiLevelType w:val="hybridMultilevel"/>
    <w:lvl w:ilvl="0">
      <w:lvlJc w:val="left"/>
      <w:lvlText w:val="%1."/>
      <w:numFmt w:val="decimal"/>
      <w:start w:val="1"/>
    </w:lvl>
    <w:lvl w:ilvl="1">
      <w:lvlJc w:val="left"/>
      <w:lvlText w:val="%2)"/>
      <w:numFmt w:val="lowerLetter"/>
      <w:start w:val="1"/>
    </w:lvl>
  </w:abstractNum>
  <w:abstractNum w:abstractNumId="41">
    <w:nsid w:val="1D4ED43B"/>
    <w:multiLevelType w:val="hybridMultilevel"/>
    <w:lvl w:ilvl="0">
      <w:lvlJc w:val="left"/>
      <w:lvlText w:val="(%1)"/>
      <w:numFmt w:val="decimal"/>
      <w:start w:val="1"/>
    </w:lvl>
  </w:abstractNum>
  <w:abstractNum w:abstractNumId="42">
    <w:nsid w:val="725A06FB"/>
    <w:multiLevelType w:val="hybridMultilevel"/>
    <w:lvl w:ilvl="0">
      <w:lvlJc w:val="left"/>
      <w:lvlText w:val="(%1)"/>
      <w:numFmt w:val="decimal"/>
      <w:start w:val="1"/>
    </w:lvl>
  </w:abstractNum>
  <w:abstractNum w:abstractNumId="43">
    <w:nsid w:val="2CD89A32"/>
    <w:multiLevelType w:val="hybridMultilevel"/>
    <w:lvl w:ilvl="0">
      <w:lvlJc w:val="left"/>
      <w:lvlText w:val="(%1)"/>
      <w:numFmt w:val="lowerRoman"/>
      <w:start w:val="3"/>
    </w:lvl>
    <w:lvl w:ilvl="1">
      <w:lvlJc w:val="left"/>
      <w:lvlText w:val="•"/>
      <w:numFmt w:val="bullet"/>
      <w:start w:val="1"/>
    </w:lvl>
  </w:abstractNum>
  <w:abstractNum w:abstractNumId="44">
    <w:nsid w:val="57E4CCAF"/>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8" Type="http://schemas.openxmlformats.org/officeDocument/2006/relationships/image" Target="media/image85.png"/><Relationship Id="rId99" Type="http://schemas.openxmlformats.org/officeDocument/2006/relationships/image" Target="media/image86.png"/><Relationship Id="rId114" Type="http://schemas.openxmlformats.org/officeDocument/2006/relationships/image" Target="media/image87.png"/><Relationship Id="rId115" Type="http://schemas.openxmlformats.org/officeDocument/2006/relationships/image" Target="media/image88.png"/><Relationship Id="rId116" Type="http://schemas.openxmlformats.org/officeDocument/2006/relationships/image" Target="media/image89.png"/><Relationship Id="rId117" Type="http://schemas.openxmlformats.org/officeDocument/2006/relationships/image" Target="media/image90.png"/><Relationship Id="rId118" Type="http://schemas.openxmlformats.org/officeDocument/2006/relationships/image" Target="media/image91.png"/><Relationship Id="rId119" Type="http://schemas.openxmlformats.org/officeDocument/2006/relationships/image" Target="media/image92.png"/><Relationship Id="rId120" Type="http://schemas.openxmlformats.org/officeDocument/2006/relationships/image" Target="media/image93.png"/><Relationship Id="rId121" Type="http://schemas.openxmlformats.org/officeDocument/2006/relationships/image" Target="media/image94.png"/><Relationship Id="rId92" Type="http://schemas.openxmlformats.org/officeDocument/2006/relationships/hyperlink" Target="http://www.sec.gov/Archives/edgar/data/1130464/000113046418000007/bhcamendedarticles.htm" TargetMode="External"/><Relationship Id="rId93" Type="http://schemas.openxmlformats.org/officeDocument/2006/relationships/hyperlink" Target="http://www.sec.gov/Archives/edgar/data/1130464/000113046417000016/bkhexh3-amdrestatedbylawso.htm" TargetMode="External"/><Relationship Id="rId94" Type="http://schemas.openxmlformats.org/officeDocument/2006/relationships/hyperlink" Target="http://www.sec.gov/Archives/edgar/data/1130464/000113046403000214/ex4-1_10q603.htm" TargetMode="External"/><Relationship Id="rId95" Type="http://schemas.openxmlformats.org/officeDocument/2006/relationships/hyperlink" Target="http://www.sec.gov/Archives/edgar/data/1130464/000113046403000214/ex4-2_10q603.htm" TargetMode="External"/><Relationship Id="rId96" Type="http://schemas.openxmlformats.org/officeDocument/2006/relationships/hyperlink" Target="http://www.sec.gov/Archives/edgar/data/1130464/000110465909032244/a09-13238_3ex4.htm" TargetMode="External"/><Relationship Id="rId97" Type="http://schemas.openxmlformats.org/officeDocument/2006/relationships/hyperlink" Target="http://www.sec.gov/Archives/edgar/data/1130464/000110465910038202/a10-11184_5ex4.htm" TargetMode="External"/><Relationship Id="rId100" Type="http://schemas.openxmlformats.org/officeDocument/2006/relationships/hyperlink" Target="http://www.sec.gov/Archives/edgar/data/1130464/000110465913085420/a13-24110_4ex4.htm" TargetMode="External"/><Relationship Id="rId101" Type="http://schemas.openxmlformats.org/officeDocument/2006/relationships/hyperlink" Target="http://www.sec.gov/Archives/edgar/data/1130464/000110465916089656/a16-1059_4ex4d1.htm" TargetMode="External"/><Relationship Id="rId102" Type="http://schemas.openxmlformats.org/officeDocument/2006/relationships/hyperlink" Target="http://www.sec.gov/Archives/edgar/data/1130464/000110465916140657/a16-17027_1ex4d1.htm" TargetMode="External"/><Relationship Id="rId103" Type="http://schemas.openxmlformats.org/officeDocument/2006/relationships/hyperlink" Target="http://www.sec.gov/Archives/edgar/data/1130464/000110465918052602/a18-18564_4ex4d2.htm" TargetMode="External"/><Relationship Id="rId104" Type="http://schemas.openxmlformats.org/officeDocument/2006/relationships/hyperlink" Target="http://www.sec.gov/Archives/edgar/data/1130464/000141057819001533/tv530573_ex4-1.htm" TargetMode="External"/><Relationship Id="rId105" Type="http://schemas.openxmlformats.org/officeDocument/2006/relationships/hyperlink" Target="http://www.sec.gov/Archives/edgar/data/12400/000104746909009108/a2195001zex-4_19.htm" TargetMode="External"/><Relationship Id="rId106" Type="http://schemas.openxmlformats.org/officeDocument/2006/relationships/hyperlink" Target="http://www.sec.gov/Archives/edgar/data/12400/000093066102002633/dex42.txt" TargetMode="External"/><Relationship Id="rId107" Type="http://schemas.openxmlformats.org/officeDocument/2006/relationships/hyperlink" Target="http://www.sec.gov/Archives/edgar/data/12400/000110465909060487/a09-31821_7ex4d21.htm" TargetMode="External"/><Relationship Id="rId108" Type="http://schemas.openxmlformats.org/officeDocument/2006/relationships/hyperlink" Target="http://www.sec.gov/Archives/edgar/data/12400/000113046414000164/ex_10-1thirdsuppindentureb.htm" TargetMode="External"/><Relationship Id="rId109" Type="http://schemas.openxmlformats.org/officeDocument/2006/relationships/hyperlink" Target="http://www.sec.gov/Archives/edgar/data/12400/000113046414000164/ex_10-2restatedindenture.htm" TargetMode="External"/><Relationship Id="rId110" Type="http://schemas.openxmlformats.org/officeDocument/2006/relationships/hyperlink" Target="http://www.sec.gov/Archives/edgar/data/12400/000113046414000164/ex_10-3clfpfirstsupplement.htm" TargetMode="External"/><Relationship Id="rId111" Type="http://schemas.openxmlformats.org/officeDocument/2006/relationships/hyperlink" Target="http://www.sec.gov/Archives/edgar/data/12400/000113046414000164/ex_10-4clfpsupplementalind.htm" TargetMode="External"/><Relationship Id="rId112" Type="http://schemas.openxmlformats.org/officeDocument/2006/relationships/hyperlink" Target="http://www.sec.gov/Archives/edgar/data/1130464/000001240001000024/0000012400-01-000024-0002.txt" TargetMode="External"/><Relationship Id="rId113" Type="http://schemas.openxmlformats.org/officeDocument/2006/relationships/hyperlink" Target="https://www.sec.gov/Archives/edgar/data/1130464/000113046421000004/exhibit101creditagreement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2021-05-05T11:03:41Z</dcterms:created>
  <dcterms:modified xsi:type="dcterms:W3CDTF">2021-05-05T11:03:41Z</dcterms:modified>
</cp:coreProperties>
</file>