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67" w:lineRule="exact"/>
        <w:rPr>
          <w:sz w:val="24"/>
          <w:szCs w:val="24"/>
          <w:color w:val="auto"/>
        </w:rPr>
      </w:pPr>
    </w:p>
    <w:p>
      <w:pPr>
        <w:jc w:val="center"/>
        <w:ind w:left="3940" w:right="1400" w:hanging="2539"/>
        <w:spacing w:after="0" w:line="286" w:lineRule="auto"/>
        <w:tabs>
          <w:tab w:leader="none" w:pos="15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March 31, 2024</w:t>
      </w:r>
    </w:p>
    <w:p>
      <w:pPr>
        <w:spacing w:after="0" w:line="129" w:lineRule="exact"/>
        <w:rPr>
          <w:sz w:val="24"/>
          <w:szCs w:val="24"/>
          <w:color w:val="auto"/>
        </w:rPr>
      </w:pPr>
    </w:p>
    <w:p>
      <w:pPr>
        <w:ind w:left="3540" w:right="1360" w:hanging="2164"/>
        <w:spacing w:after="0" w:line="286" w:lineRule="auto"/>
        <w:tabs>
          <w:tab w:leader="none" w:pos="160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167" w:lineRule="exact"/>
        <w:rPr>
          <w:sz w:val="24"/>
          <w:szCs w:val="24"/>
          <w:color w:val="auto"/>
        </w:rPr>
      </w:pPr>
    </w:p>
    <w:p>
      <w:pPr>
        <w:ind w:left="2960"/>
        <w:spacing w:after="0"/>
        <w:tabs>
          <w:tab w:leader="none" w:pos="5500" w:val="left"/>
        </w:tabs>
        <w:rPr>
          <w:sz w:val="20"/>
          <w:szCs w:val="20"/>
          <w:color w:val="auto"/>
        </w:rPr>
      </w:pPr>
      <w:r>
        <w:rPr>
          <w:rFonts w:ascii="Arial" w:cs="Arial" w:eastAsia="Arial" w:hAnsi="Arial"/>
          <w:sz w:val="16"/>
          <w:szCs w:val="16"/>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51" w:lineRule="exact"/>
        <w:rPr>
          <w:sz w:val="24"/>
          <w:szCs w:val="24"/>
          <w:color w:val="auto"/>
        </w:rPr>
      </w:pPr>
    </w:p>
    <w:p>
      <w:pPr>
        <w:jc w:val="both"/>
        <w:ind w:right="4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480" w:type="dxa"/>
        <w:tblCellMar>
          <w:top w:w="0" w:type="dxa"/>
          <w:left w:w="0" w:type="dxa"/>
          <w:bottom w:w="0" w:type="dxa"/>
          <w:right w:w="0" w:type="dxa"/>
        </w:tblCellMar>
      </w:tblPr>
      <w:tr>
        <w:trPr>
          <w:trHeight w:val="272"/>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Wingdings" w:cs="Wingdings" w:eastAsia="Wingdings" w:hAnsi="Wingdings"/>
                <w:sz w:val="16"/>
                <w:szCs w:val="16"/>
                <w:b w:val="1"/>
                <w:bCs w:val="1"/>
                <w:color w:val="auto"/>
              </w:rPr>
              <w:t>x</w:t>
            </w:r>
          </w:p>
        </w:tc>
        <w:tc>
          <w:tcPr>
            <w:tcW w:w="26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8"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6" w:lineRule="exact"/>
        <w:rPr>
          <w:sz w:val="24"/>
          <w:szCs w:val="24"/>
          <w:color w:val="auto"/>
        </w:rPr>
      </w:pPr>
    </w:p>
    <w:p>
      <w:pPr>
        <w:spacing w:after="0" w:line="184" w:lineRule="exact"/>
        <w:tabs>
          <w:tab w:leader="none" w:pos="87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881" w:right="339" w:bottom="1440" w:gutter="0" w:footer="0" w:header="0"/>
        </w:sectPr>
      </w:pPr>
    </w:p>
    <w:p>
      <w:pPr>
        <w:spacing w:after="0" w:line="113" w:lineRule="exact"/>
        <w:rPr>
          <w:sz w:val="24"/>
          <w:szCs w:val="24"/>
          <w:color w:val="auto"/>
        </w:rPr>
      </w:pPr>
    </w:p>
    <w:p>
      <w:pPr>
        <w:ind w:left="24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Name of each exchange on which registered</w:t>
      </w:r>
    </w:p>
    <w:p>
      <w:pPr>
        <w:spacing w:after="0" w:line="113" w:lineRule="exact"/>
        <w:rPr>
          <w:sz w:val="24"/>
          <w:szCs w:val="24"/>
          <w:color w:val="auto"/>
        </w:rPr>
      </w:pPr>
    </w:p>
    <w:p>
      <w:pPr>
        <w:sectPr>
          <w:pgSz w:w="11900" w:h="16838" w:orient="portrait"/>
          <w:cols w:equalWidth="0" w:num="3">
            <w:col w:w="4360" w:space="720"/>
            <w:col w:w="1420" w:space="720"/>
            <w:col w:w="4020"/>
          </w:cols>
          <w:pgMar w:left="320" w:top="881" w:right="339" w:bottom="1440" w:gutter="0" w:footer="0" w:header="0"/>
          <w:type w:val="continuous"/>
        </w:sectPr>
      </w:pPr>
    </w:p>
    <w:p>
      <w:pPr>
        <w:ind w:left="184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40" w:space="720"/>
            <w:col w:w="1600" w:space="720"/>
            <w:col w:w="3360"/>
          </w:cols>
          <w:pgMar w:left="320" w:top="881" w:right="3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jc w:val="center"/>
              <w:ind w:left="2399"/>
              <w:spacing w:after="0"/>
              <w:rPr>
                <w:sz w:val="20"/>
                <w:szCs w:val="20"/>
                <w:color w:val="auto"/>
              </w:rPr>
            </w:pPr>
            <w:r>
              <w:rPr>
                <w:rFonts w:ascii="Arial" w:cs="Arial" w:eastAsia="Arial" w:hAnsi="Arial"/>
                <w:sz w:val="16"/>
                <w:szCs w:val="16"/>
                <w:color w:val="auto"/>
                <w:w w:val="99"/>
              </w:rPr>
              <w:t>Class</w:t>
            </w:r>
          </w:p>
        </w:tc>
        <w:tc>
          <w:tcPr>
            <w:tcW w:w="5480" w:type="dxa"/>
            <w:vAlign w:val="bottom"/>
          </w:tcPr>
          <w:p>
            <w:pPr>
              <w:ind w:left="500"/>
              <w:spacing w:after="0"/>
              <w:rPr>
                <w:sz w:val="20"/>
                <w:szCs w:val="20"/>
                <w:color w:val="auto"/>
              </w:rPr>
            </w:pPr>
            <w:r>
              <w:rPr>
                <w:rFonts w:ascii="Arial" w:cs="Arial" w:eastAsia="Arial" w:hAnsi="Arial"/>
                <w:sz w:val="16"/>
                <w:szCs w:val="16"/>
                <w:color w:val="auto"/>
              </w:rPr>
              <w:t>Outstanding at April 30, 2024</w:t>
            </w:r>
          </w:p>
        </w:tc>
      </w:tr>
      <w:tr>
        <w:trPr>
          <w:trHeight w:val="297"/>
        </w:trPr>
        <w:tc>
          <w:tcPr>
            <w:tcW w:w="5760" w:type="dxa"/>
            <w:vAlign w:val="bottom"/>
          </w:tcPr>
          <w:p>
            <w:pPr>
              <w:jc w:val="center"/>
              <w:ind w:left="2379"/>
              <w:spacing w:after="0"/>
              <w:rPr>
                <w:sz w:val="20"/>
                <w:szCs w:val="20"/>
                <w:color w:val="auto"/>
              </w:rPr>
            </w:pPr>
            <w:r>
              <w:rPr>
                <w:rFonts w:ascii="Arial" w:cs="Arial" w:eastAsia="Arial" w:hAnsi="Arial"/>
                <w:sz w:val="16"/>
                <w:szCs w:val="16"/>
                <w:color w:val="auto"/>
              </w:rPr>
              <w:t>Common stock, $1.00 par value</w:t>
            </w:r>
          </w:p>
        </w:tc>
        <w:tc>
          <w:tcPr>
            <w:tcW w:w="5480" w:type="dxa"/>
            <w:vAlign w:val="bottom"/>
          </w:tcPr>
          <w:p>
            <w:pPr>
              <w:ind w:left="720"/>
              <w:spacing w:after="0"/>
              <w:rPr>
                <w:sz w:val="20"/>
                <w:szCs w:val="20"/>
                <w:color w:val="auto"/>
              </w:rPr>
            </w:pPr>
            <w:r>
              <w:rPr>
                <w:rFonts w:ascii="Arial" w:cs="Arial" w:eastAsia="Arial" w:hAnsi="Arial"/>
                <w:sz w:val="16"/>
                <w:szCs w:val="16"/>
                <w:color w:val="auto"/>
              </w:rPr>
              <w:t>68,933,306 shares</w:t>
            </w:r>
          </w:p>
        </w:tc>
      </w:tr>
      <w:tr>
        <w:trPr>
          <w:trHeight w:val="1224"/>
        </w:trPr>
        <w:tc>
          <w:tcPr>
            <w:tcW w:w="57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gridSpan w:val="12"/>
          </w:tcPr>
          <w:p>
            <w:pPr>
              <w:jc w:val="center"/>
              <w:ind w:right="3140"/>
              <w:spacing w:after="0"/>
              <w:rPr>
                <w:sz w:val="20"/>
                <w:szCs w:val="20"/>
                <w:color w:val="auto"/>
              </w:rPr>
            </w:pPr>
            <w:r>
              <w:rPr>
                <w:rFonts w:ascii="Arial" w:cs="Arial" w:eastAsia="Arial" w:hAnsi="Arial"/>
                <w:sz w:val="16"/>
                <w:szCs w:val="16"/>
                <w:b w:val="1"/>
                <w:bCs w:val="1"/>
                <w:color w:val="auto"/>
              </w:rPr>
              <w:t>TABLE OF CONTENTS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11240" w:type="dxa"/>
            <w:vAlign w:val="bottom"/>
            <w:gridSpan w:val="62"/>
          </w:tcPr>
          <w:p>
            <w:pPr>
              <w:spacing w:after="0"/>
              <w:rPr>
                <w:sz w:val="20"/>
                <w:szCs w:val="20"/>
                <w:color w:val="auto"/>
              </w:rPr>
            </w:pPr>
            <w:r>
              <w:rPr>
                <w:rFonts w:ascii="Arial" w:cs="Arial" w:eastAsia="Arial" w:hAnsi="Arial"/>
                <w:sz w:val="16"/>
                <w:szCs w:val="16"/>
                <w:color w:val="auto"/>
              </w:rPr>
              <w:t>Page</w:t>
            </w:r>
          </w:p>
        </w:tc>
      </w:tr>
      <w:tr>
        <w:trPr>
          <w:trHeight w:val="162"/>
        </w:trPr>
        <w:tc>
          <w:tcPr>
            <w:tcW w:w="20" w:type="dxa"/>
            <w:vAlign w:val="bottom"/>
            <w:shd w:val="clear" w:color="auto" w:fill="CFF0FC"/>
          </w:tcPr>
          <w:p>
            <w:pPr>
              <w:spacing w:after="0"/>
              <w:rPr>
                <w:sz w:val="14"/>
                <w:szCs w:val="14"/>
                <w:color w:val="auto"/>
              </w:rPr>
            </w:pPr>
          </w:p>
        </w:tc>
        <w:tc>
          <w:tcPr>
            <w:tcW w:w="9660" w:type="dxa"/>
            <w:vAlign w:val="bottom"/>
            <w:gridSpan w:val="54"/>
            <w:shd w:val="clear" w:color="auto" w:fill="CFF0FC"/>
          </w:tcPr>
          <w:p>
            <w:pPr>
              <w:spacing w:after="0" w:line="162" w:lineRule="exact"/>
              <w:rPr>
                <w:sz w:val="20"/>
                <w:szCs w:val="20"/>
                <w:color w:val="auto"/>
              </w:rPr>
            </w:pPr>
            <w:r>
              <w:rPr>
                <w:rFonts w:ascii="Arial" w:cs="Arial" w:eastAsia="Arial" w:hAnsi="Arial"/>
                <w:sz w:val="16"/>
                <w:szCs w:val="16"/>
                <w:color w:val="0000FF"/>
              </w:rPr>
              <w:t>Glossary of Terms and Abbreviations</w:t>
            </w:r>
          </w:p>
        </w:tc>
        <w:tc>
          <w:tcPr>
            <w:tcW w:w="860" w:type="dxa"/>
            <w:vAlign w:val="bottom"/>
            <w:tcBorders>
              <w:top w:val="single" w:sz="8" w:color="auto"/>
            </w:tcBorders>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3</w:t>
            </w:r>
          </w:p>
        </w:tc>
        <w:tc>
          <w:tcPr>
            <w:tcW w:w="68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640" w:type="dxa"/>
            <w:vAlign w:val="bottom"/>
            <w:tcBorders>
              <w:top w:val="single" w:sz="8" w:color="0000FF"/>
            </w:tcBorders>
            <w:gridSpan w:val="12"/>
            <w:shd w:val="clear" w:color="auto" w:fill="CFF0FC"/>
          </w:tcPr>
          <w:p>
            <w:pPr>
              <w:spacing w:after="0" w:line="20" w:lineRule="exact"/>
              <w:rPr>
                <w:sz w:val="1"/>
                <w:szCs w:val="1"/>
                <w:color w:val="auto"/>
              </w:rPr>
            </w:pPr>
          </w:p>
        </w:tc>
        <w:tc>
          <w:tcPr>
            <w:tcW w:w="7760" w:type="dxa"/>
            <w:vAlign w:val="bottom"/>
            <w:tcBorders>
              <w:top w:val="single" w:sz="8" w:color="CFF0FC"/>
            </w:tcBorders>
            <w:gridSpan w:val="45"/>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8"/>
          </w:tcPr>
          <w:p>
            <w:pPr>
              <w:spacing w:after="0" w:line="162" w:lineRule="exact"/>
              <w:rPr>
                <w:sz w:val="20"/>
                <w:szCs w:val="20"/>
                <w:color w:val="auto"/>
              </w:rPr>
            </w:pPr>
            <w:r>
              <w:rPr>
                <w:rFonts w:ascii="Arial" w:cs="Arial" w:eastAsia="Arial" w:hAnsi="Arial"/>
                <w:sz w:val="16"/>
                <w:szCs w:val="16"/>
                <w:color w:val="0000FF"/>
              </w:rPr>
              <w:t>Forward-Looking Information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0" w:type="dxa"/>
            <w:vAlign w:val="bottom"/>
            <w:gridSpan w:val="2"/>
          </w:tcPr>
          <w:p>
            <w:pPr>
              <w:spacing w:after="0"/>
              <w:rPr>
                <w:sz w:val="19"/>
                <w:szCs w:val="19"/>
                <w:color w:val="auto"/>
              </w:rPr>
            </w:pPr>
          </w:p>
        </w:tc>
        <w:tc>
          <w:tcPr>
            <w:tcW w:w="2060" w:type="dxa"/>
            <w:vAlign w:val="bottom"/>
            <w:tcBorders>
              <w:top w:val="single" w:sz="8" w:color="0000FF"/>
            </w:tcBorders>
            <w:gridSpan w:val="6"/>
          </w:tcPr>
          <w:p>
            <w:pPr>
              <w:spacing w:after="0"/>
              <w:rPr>
                <w:sz w:val="19"/>
                <w:szCs w:val="19"/>
                <w:color w:val="auto"/>
              </w:rPr>
            </w:pPr>
          </w:p>
        </w:tc>
        <w:tc>
          <w:tcPr>
            <w:tcW w:w="8320" w:type="dxa"/>
            <w:vAlign w:val="bottom"/>
            <w:gridSpan w:val="50"/>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40" w:type="dxa"/>
            <w:vAlign w:val="bottom"/>
            <w:gridSpan w:val="3"/>
          </w:tcPr>
          <w:p>
            <w:pPr>
              <w:spacing w:after="0"/>
              <w:rPr>
                <w:sz w:val="19"/>
                <w:szCs w:val="19"/>
                <w:color w:val="auto"/>
              </w:rPr>
            </w:pPr>
          </w:p>
        </w:tc>
      </w:tr>
      <w:tr>
        <w:trPr>
          <w:trHeight w:val="183"/>
        </w:trPr>
        <w:tc>
          <w:tcPr>
            <w:tcW w:w="9680" w:type="dxa"/>
            <w:vAlign w:val="bottom"/>
            <w:gridSpan w:val="55"/>
            <w:shd w:val="clear" w:color="auto" w:fill="CFF0FC"/>
          </w:tcPr>
          <w:p>
            <w:pPr>
              <w:ind w:left="20"/>
              <w:spacing w:after="0" w:line="162" w:lineRule="exact"/>
              <w:rPr>
                <w:sz w:val="20"/>
                <w:szCs w:val="20"/>
                <w:color w:val="auto"/>
              </w:rPr>
            </w:pPr>
            <w:r>
              <w:rPr>
                <w:rFonts w:ascii="Arial" w:cs="Arial" w:eastAsia="Arial" w:hAnsi="Arial"/>
                <w:sz w:val="16"/>
                <w:szCs w:val="16"/>
                <w:color w:val="0000FF"/>
              </w:rPr>
              <w:t>PART I. FINANCIAL INFORMATION</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20" w:type="dxa"/>
            <w:vAlign w:val="bottom"/>
            <w:tcBorders>
              <w:top w:val="single" w:sz="8" w:color="CFF0FC"/>
            </w:tcBorders>
          </w:tcPr>
          <w:p>
            <w:pPr>
              <w:spacing w:after="0"/>
              <w:rPr>
                <w:sz w:val="17"/>
                <w:szCs w:val="17"/>
                <w:color w:val="auto"/>
              </w:rPr>
            </w:pPr>
          </w:p>
        </w:tc>
        <w:tc>
          <w:tcPr>
            <w:tcW w:w="2620" w:type="dxa"/>
            <w:vAlign w:val="bottom"/>
            <w:tcBorders>
              <w:top w:val="single" w:sz="8" w:color="0000FF"/>
            </w:tcBorders>
            <w:gridSpan w:val="11"/>
          </w:tcPr>
          <w:p>
            <w:pPr>
              <w:spacing w:after="0"/>
              <w:rPr>
                <w:sz w:val="17"/>
                <w:szCs w:val="17"/>
                <w:color w:val="auto"/>
              </w:rPr>
            </w:pPr>
          </w:p>
        </w:tc>
        <w:tc>
          <w:tcPr>
            <w:tcW w:w="7780" w:type="dxa"/>
            <w:vAlign w:val="bottom"/>
            <w:tcBorders>
              <w:top w:val="single" w:sz="8" w:color="CFF0FC"/>
            </w:tcBorders>
            <w:gridSpan w:val="46"/>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Borders>
              <w:top w:val="single" w:sz="8" w:color="CFF0FC"/>
            </w:tcBorders>
            <w:gridSpan w:val="3"/>
          </w:tcPr>
          <w:p>
            <w:pPr>
              <w:spacing w:after="0"/>
              <w:rPr>
                <w:sz w:val="17"/>
                <w:szCs w:val="17"/>
                <w:color w:val="auto"/>
              </w:rPr>
            </w:pPr>
          </w:p>
        </w:tc>
      </w:tr>
      <w:tr>
        <w:trPr>
          <w:trHeight w:val="162"/>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1.</w:t>
            </w:r>
          </w:p>
        </w:tc>
        <w:tc>
          <w:tcPr>
            <w:tcW w:w="2380" w:type="dxa"/>
            <w:vAlign w:val="bottom"/>
            <w:gridSpan w:val="30"/>
            <w:shd w:val="clear" w:color="auto" w:fill="CFF0FC"/>
          </w:tcPr>
          <w:p>
            <w:pPr>
              <w:spacing w:after="0" w:line="162" w:lineRule="exact"/>
              <w:rPr>
                <w:sz w:val="20"/>
                <w:szCs w:val="20"/>
                <w:color w:val="auto"/>
              </w:rPr>
            </w:pPr>
            <w:r>
              <w:rPr>
                <w:rFonts w:ascii="Arial" w:cs="Arial" w:eastAsia="Arial" w:hAnsi="Arial"/>
                <w:sz w:val="16"/>
                <w:szCs w:val="16"/>
                <w:color w:val="0000FF"/>
              </w:rPr>
              <w:t>Financial Statements - unaudited</w:t>
            </w:r>
          </w:p>
        </w:tc>
        <w:tc>
          <w:tcPr>
            <w:tcW w:w="5600" w:type="dxa"/>
            <w:vAlign w:val="bottom"/>
            <w:gridSpan w:val="21"/>
            <w:shd w:val="clear" w:color="auto" w:fill="CFF0FC"/>
          </w:tcPr>
          <w:p>
            <w:pPr>
              <w:spacing w:after="0"/>
              <w:rPr>
                <w:sz w:val="14"/>
                <w:szCs w:val="14"/>
                <w:color w:val="auto"/>
              </w:rPr>
            </w:pP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700" w:type="dxa"/>
            <w:vAlign w:val="bottom"/>
            <w:tcBorders>
              <w:top w:val="single" w:sz="8" w:color="CFF0FC"/>
            </w:tcBorders>
            <w:gridSpan w:val="4"/>
            <w:shd w:val="clear" w:color="auto" w:fill="CFF0FC"/>
          </w:tcPr>
          <w:p>
            <w:pPr>
              <w:spacing w:after="0" w:line="20" w:lineRule="exact"/>
              <w:rPr>
                <w:sz w:val="1"/>
                <w:szCs w:val="1"/>
                <w:color w:val="auto"/>
              </w:rPr>
            </w:pPr>
          </w:p>
        </w:tc>
        <w:tc>
          <w:tcPr>
            <w:tcW w:w="2380" w:type="dxa"/>
            <w:vAlign w:val="bottom"/>
            <w:tcBorders>
              <w:top w:val="single" w:sz="8" w:color="0000FF"/>
            </w:tcBorders>
            <w:gridSpan w:val="30"/>
            <w:shd w:val="clear" w:color="auto" w:fill="CFF0FC"/>
          </w:tcPr>
          <w:p>
            <w:pPr>
              <w:spacing w:after="0" w:line="20" w:lineRule="exact"/>
              <w:rPr>
                <w:sz w:val="1"/>
                <w:szCs w:val="1"/>
                <w:color w:val="auto"/>
              </w:rPr>
            </w:pPr>
          </w:p>
        </w:tc>
        <w:tc>
          <w:tcPr>
            <w:tcW w:w="6340" w:type="dxa"/>
            <w:vAlign w:val="bottom"/>
            <w:tcBorders>
              <w:top w:val="single" w:sz="8" w:color="CFF0FC"/>
            </w:tcBorders>
            <w:gridSpan w:val="24"/>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Consolidated Statements of Income</w:t>
            </w: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2560" w:type="dxa"/>
            <w:vAlign w:val="bottom"/>
            <w:tcBorders>
              <w:top w:val="single" w:sz="8" w:color="0000FF"/>
            </w:tcBorders>
            <w:gridSpan w:val="36"/>
          </w:tcPr>
          <w:p>
            <w:pPr>
              <w:spacing w:after="0" w:line="20" w:lineRule="exact"/>
              <w:rPr>
                <w:sz w:val="1"/>
                <w:szCs w:val="1"/>
                <w:color w:val="auto"/>
              </w:rPr>
            </w:pPr>
          </w:p>
        </w:tc>
        <w:tc>
          <w:tcPr>
            <w:tcW w:w="6020" w:type="dxa"/>
            <w:vAlign w:val="bottom"/>
            <w:gridSpan w:val="17"/>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Consolidated Statements of Comprehensive Income</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8</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3740" w:type="dxa"/>
            <w:vAlign w:val="bottom"/>
            <w:tcBorders>
              <w:top w:val="single" w:sz="8" w:color="0000FF"/>
            </w:tcBorders>
            <w:gridSpan w:val="43"/>
            <w:shd w:val="clear" w:color="auto" w:fill="CFF0FC"/>
          </w:tcPr>
          <w:p>
            <w:pPr>
              <w:spacing w:after="0" w:line="20" w:lineRule="exact"/>
              <w:rPr>
                <w:sz w:val="1"/>
                <w:szCs w:val="1"/>
                <w:color w:val="auto"/>
              </w:rPr>
            </w:pPr>
          </w:p>
        </w:tc>
        <w:tc>
          <w:tcPr>
            <w:tcW w:w="4840" w:type="dxa"/>
            <w:vAlign w:val="bottom"/>
            <w:tcBorders>
              <w:top w:val="single" w:sz="8" w:color="CFF0FC"/>
            </w:tcBorders>
            <w:gridSpan w:val="10"/>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gridSpan w:val="3"/>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Consolidated Balance Sheets</w:t>
            </w:r>
          </w:p>
        </w:tc>
        <w:tc>
          <w:tcPr>
            <w:tcW w:w="860" w:type="dxa"/>
            <w:vAlign w:val="bottom"/>
            <w:gridSpan w:val="5"/>
          </w:tcPr>
          <w:p>
            <w:pPr>
              <w:jc w:val="center"/>
              <w:ind w:left="619"/>
              <w:spacing w:after="0" w:line="162" w:lineRule="exact"/>
              <w:rPr>
                <w:sz w:val="20"/>
                <w:szCs w:val="20"/>
                <w:color w:val="auto"/>
              </w:rPr>
            </w:pPr>
            <w:r>
              <w:rPr>
                <w:rFonts w:ascii="Arial" w:cs="Arial" w:eastAsia="Arial" w:hAnsi="Arial"/>
                <w:sz w:val="16"/>
                <w:szCs w:val="16"/>
                <w:color w:val="0000FF"/>
                <w:w w:val="89"/>
              </w:rPr>
              <w:t>9</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2120" w:type="dxa"/>
            <w:vAlign w:val="bottom"/>
            <w:tcBorders>
              <w:top w:val="single" w:sz="8" w:color="0000FF"/>
            </w:tcBorders>
            <w:gridSpan w:val="27"/>
          </w:tcPr>
          <w:p>
            <w:pPr>
              <w:spacing w:after="0" w:line="20" w:lineRule="exact"/>
              <w:rPr>
                <w:sz w:val="1"/>
                <w:szCs w:val="1"/>
                <w:color w:val="auto"/>
              </w:rPr>
            </w:pPr>
          </w:p>
        </w:tc>
        <w:tc>
          <w:tcPr>
            <w:tcW w:w="6460" w:type="dxa"/>
            <w:vAlign w:val="bottom"/>
            <w:gridSpan w:val="26"/>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Consolidated Statements of Cash Flows</w:t>
            </w:r>
          </w:p>
        </w:tc>
        <w:tc>
          <w:tcPr>
            <w:tcW w:w="860" w:type="dxa"/>
            <w:vAlign w:val="bottom"/>
            <w:gridSpan w:val="5"/>
            <w:shd w:val="clear" w:color="auto" w:fill="CFF0FC"/>
          </w:tcPr>
          <w:p>
            <w:pPr>
              <w:jc w:val="center"/>
              <w:ind w:left="619"/>
              <w:spacing w:after="0" w:line="162" w:lineRule="exact"/>
              <w:rPr>
                <w:sz w:val="20"/>
                <w:szCs w:val="20"/>
                <w:color w:val="auto"/>
              </w:rPr>
            </w:pPr>
            <w:r>
              <w:rPr>
                <w:rFonts w:ascii="Arial" w:cs="Arial" w:eastAsia="Arial" w:hAnsi="Arial"/>
                <w:sz w:val="16"/>
                <w:szCs w:val="16"/>
                <w:color w:val="0000FF"/>
                <w:w w:val="89"/>
              </w:rPr>
              <w:t>11</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2880" w:type="dxa"/>
            <w:vAlign w:val="bottom"/>
            <w:tcBorders>
              <w:top w:val="single" w:sz="8" w:color="0000FF"/>
            </w:tcBorders>
            <w:gridSpan w:val="38"/>
            <w:shd w:val="clear" w:color="auto" w:fill="CFF0FC"/>
          </w:tcPr>
          <w:p>
            <w:pPr>
              <w:spacing w:after="0" w:line="20" w:lineRule="exact"/>
              <w:rPr>
                <w:sz w:val="1"/>
                <w:szCs w:val="1"/>
                <w:color w:val="auto"/>
              </w:rPr>
            </w:pPr>
          </w:p>
        </w:tc>
        <w:tc>
          <w:tcPr>
            <w:tcW w:w="5660" w:type="dxa"/>
            <w:vAlign w:val="bottom"/>
            <w:tcBorders>
              <w:top w:val="single" w:sz="8" w:color="CFF0FC"/>
            </w:tcBorders>
            <w:gridSpan w:val="14"/>
            <w:shd w:val="clear" w:color="auto" w:fill="CFF0FC"/>
          </w:tcPr>
          <w:p>
            <w:pPr>
              <w:spacing w:after="0" w:line="20" w:lineRule="exact"/>
              <w:rPr>
                <w:sz w:val="1"/>
                <w:szCs w:val="1"/>
                <w:color w:val="auto"/>
              </w:rPr>
            </w:pPr>
          </w:p>
        </w:tc>
        <w:tc>
          <w:tcPr>
            <w:tcW w:w="160" w:type="dxa"/>
            <w:vAlign w:val="bottom"/>
            <w:tcBorders>
              <w:top w:val="single" w:sz="8" w:color="0000FF"/>
            </w:tcBorders>
            <w:gridSpan w:val="3"/>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Consolidated Statements of Equity</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12</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840" w:type="dxa"/>
            <w:vAlign w:val="bottom"/>
            <w:gridSpan w:val="5"/>
          </w:tcPr>
          <w:p>
            <w:pPr>
              <w:spacing w:after="0" w:line="20" w:lineRule="exact"/>
              <w:rPr>
                <w:sz w:val="1"/>
                <w:szCs w:val="1"/>
                <w:color w:val="auto"/>
              </w:rPr>
            </w:pPr>
          </w:p>
        </w:tc>
        <w:tc>
          <w:tcPr>
            <w:tcW w:w="2480" w:type="dxa"/>
            <w:vAlign w:val="bottom"/>
            <w:tcBorders>
              <w:top w:val="single" w:sz="8" w:color="0000FF"/>
            </w:tcBorders>
            <w:gridSpan w:val="33"/>
          </w:tcPr>
          <w:p>
            <w:pPr>
              <w:spacing w:after="0" w:line="20" w:lineRule="exact"/>
              <w:rPr>
                <w:sz w:val="1"/>
                <w:szCs w:val="1"/>
                <w:color w:val="auto"/>
              </w:rPr>
            </w:pPr>
          </w:p>
        </w:tc>
        <w:tc>
          <w:tcPr>
            <w:tcW w:w="6040" w:type="dxa"/>
            <w:vAlign w:val="bottom"/>
            <w:gridSpan w:val="18"/>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Condensed Notes to Consolidated Financial Statements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13</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4020" w:type="dxa"/>
            <w:vAlign w:val="bottom"/>
            <w:tcBorders>
              <w:top w:val="single" w:sz="8" w:color="0000FF"/>
            </w:tcBorders>
            <w:gridSpan w:val="45"/>
          </w:tcPr>
          <w:p>
            <w:pPr>
              <w:ind w:left="80"/>
              <w:spacing w:after="0" w:line="162" w:lineRule="exact"/>
              <w:rPr>
                <w:sz w:val="20"/>
                <w:szCs w:val="20"/>
                <w:color w:val="auto"/>
              </w:rPr>
            </w:pPr>
            <w:r>
              <w:rPr>
                <w:rFonts w:ascii="Arial" w:cs="Arial" w:eastAsia="Arial" w:hAnsi="Arial"/>
                <w:sz w:val="16"/>
                <w:szCs w:val="16"/>
                <w:color w:val="0000FF"/>
              </w:rPr>
              <w:t>Note 1. Management’s Statement</w:t>
            </w:r>
          </w:p>
        </w:tc>
        <w:tc>
          <w:tcPr>
            <w:tcW w:w="3820" w:type="dxa"/>
            <w:vAlign w:val="bottom"/>
            <w:tcBorders>
              <w:top w:val="single" w:sz="8" w:color="CFF0FC"/>
            </w:tcBorders>
            <w:gridSpan w:val="5"/>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13</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2440" w:type="dxa"/>
            <w:vAlign w:val="bottom"/>
            <w:tcBorders>
              <w:top w:val="single" w:sz="8" w:color="0000FF"/>
            </w:tcBorders>
            <w:gridSpan w:val="34"/>
          </w:tcPr>
          <w:p>
            <w:pPr>
              <w:spacing w:after="0" w:line="20" w:lineRule="exact"/>
              <w:rPr>
                <w:sz w:val="1"/>
                <w:szCs w:val="1"/>
                <w:color w:val="auto"/>
              </w:rPr>
            </w:pPr>
          </w:p>
        </w:tc>
        <w:tc>
          <w:tcPr>
            <w:tcW w:w="6000" w:type="dxa"/>
            <w:vAlign w:val="bottom"/>
            <w:gridSpan w:val="1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2.</w:t>
            </w:r>
          </w:p>
        </w:tc>
        <w:tc>
          <w:tcPr>
            <w:tcW w:w="7160" w:type="dxa"/>
            <w:vAlign w:val="bottom"/>
            <w:gridSpan w:val="45"/>
            <w:shd w:val="clear" w:color="auto" w:fill="CFF0FC"/>
          </w:tcPr>
          <w:p>
            <w:pPr>
              <w:spacing w:after="0" w:line="162" w:lineRule="exact"/>
              <w:rPr>
                <w:sz w:val="20"/>
                <w:szCs w:val="20"/>
                <w:color w:val="auto"/>
              </w:rPr>
            </w:pPr>
            <w:r>
              <w:rPr>
                <w:rFonts w:ascii="Arial" w:cs="Arial" w:eastAsia="Arial" w:hAnsi="Arial"/>
                <w:sz w:val="16"/>
                <w:szCs w:val="16"/>
                <w:color w:val="0000FF"/>
              </w:rPr>
              <w:t>Regulatory Matters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14</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980" w:type="dxa"/>
            <w:vAlign w:val="bottom"/>
            <w:tcBorders>
              <w:top w:val="single" w:sz="8" w:color="0000FF"/>
            </w:tcBorders>
            <w:gridSpan w:val="23"/>
            <w:shd w:val="clear" w:color="auto" w:fill="CFF0FC"/>
          </w:tcPr>
          <w:p>
            <w:pPr>
              <w:spacing w:after="0" w:line="20" w:lineRule="exact"/>
              <w:rPr>
                <w:sz w:val="1"/>
                <w:szCs w:val="1"/>
                <w:color w:val="auto"/>
              </w:rPr>
            </w:pPr>
          </w:p>
        </w:tc>
        <w:tc>
          <w:tcPr>
            <w:tcW w:w="6460" w:type="dxa"/>
            <w:vAlign w:val="bottom"/>
            <w:tcBorders>
              <w:top w:val="single" w:sz="8" w:color="CFF0FC"/>
            </w:tcBorders>
            <w:gridSpan w:val="27"/>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3. Commitments, Contingencies and Guarantees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15</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920" w:type="dxa"/>
            <w:vAlign w:val="bottom"/>
            <w:tcBorders>
              <w:top w:val="single" w:sz="8" w:color="0000FF"/>
            </w:tcBorders>
            <w:gridSpan w:val="4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4. Revenue</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15</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1260" w:type="dxa"/>
            <w:vAlign w:val="bottom"/>
            <w:tcBorders>
              <w:top w:val="single" w:sz="8" w:color="0000FF"/>
            </w:tcBorders>
            <w:gridSpan w:val="12"/>
            <w:shd w:val="clear" w:color="auto" w:fill="CFF0FC"/>
          </w:tcPr>
          <w:p>
            <w:pPr>
              <w:spacing w:after="0" w:line="20" w:lineRule="exact"/>
              <w:rPr>
                <w:sz w:val="1"/>
                <w:szCs w:val="1"/>
                <w:color w:val="auto"/>
              </w:rPr>
            </w:pPr>
          </w:p>
        </w:tc>
        <w:tc>
          <w:tcPr>
            <w:tcW w:w="7180" w:type="dxa"/>
            <w:vAlign w:val="bottom"/>
            <w:tcBorders>
              <w:top w:val="single" w:sz="8" w:color="CFF0FC"/>
            </w:tcBorders>
            <w:gridSpan w:val="38"/>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ind w:left="80"/>
              <w:spacing w:after="0" w:line="162" w:lineRule="exact"/>
              <w:rPr>
                <w:sz w:val="20"/>
                <w:szCs w:val="20"/>
                <w:color w:val="auto"/>
              </w:rPr>
            </w:pPr>
            <w:r>
              <w:rPr>
                <w:rFonts w:ascii="Arial" w:cs="Arial" w:eastAsia="Arial" w:hAnsi="Arial"/>
                <w:sz w:val="16"/>
                <w:szCs w:val="16"/>
                <w:color w:val="0000FF"/>
              </w:rPr>
              <w:t>Note 5.</w:t>
            </w:r>
          </w:p>
        </w:tc>
        <w:tc>
          <w:tcPr>
            <w:tcW w:w="7160" w:type="dxa"/>
            <w:vAlign w:val="bottom"/>
            <w:gridSpan w:val="45"/>
          </w:tcPr>
          <w:p>
            <w:pPr>
              <w:spacing w:after="0" w:line="162" w:lineRule="exact"/>
              <w:rPr>
                <w:sz w:val="20"/>
                <w:szCs w:val="20"/>
                <w:color w:val="auto"/>
              </w:rPr>
            </w:pPr>
            <w:r>
              <w:rPr>
                <w:rFonts w:ascii="Arial" w:cs="Arial" w:eastAsia="Arial" w:hAnsi="Arial"/>
                <w:sz w:val="16"/>
                <w:szCs w:val="16"/>
                <w:color w:val="0000FF"/>
              </w:rPr>
              <w:t>Financing</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1300" w:type="dxa"/>
            <w:vAlign w:val="bottom"/>
            <w:tcBorders>
              <w:top w:val="single" w:sz="8" w:color="0000FF"/>
            </w:tcBorders>
            <w:gridSpan w:val="13"/>
          </w:tcPr>
          <w:p>
            <w:pPr>
              <w:spacing w:after="0" w:line="20" w:lineRule="exact"/>
              <w:rPr>
                <w:sz w:val="1"/>
                <w:szCs w:val="1"/>
                <w:color w:val="auto"/>
              </w:rPr>
            </w:pPr>
          </w:p>
        </w:tc>
        <w:tc>
          <w:tcPr>
            <w:tcW w:w="7140" w:type="dxa"/>
            <w:vAlign w:val="bottom"/>
            <w:gridSpan w:val="37"/>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6. Earnings Per Share</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17</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020" w:type="dxa"/>
            <w:vAlign w:val="bottom"/>
            <w:tcBorders>
              <w:top w:val="single" w:sz="8" w:color="0000FF"/>
            </w:tcBorders>
            <w:gridSpan w:val="25"/>
            <w:shd w:val="clear" w:color="auto" w:fill="CFF0FC"/>
          </w:tcPr>
          <w:p>
            <w:pPr>
              <w:spacing w:after="0" w:line="20" w:lineRule="exact"/>
              <w:rPr>
                <w:sz w:val="1"/>
                <w:szCs w:val="1"/>
                <w:color w:val="auto"/>
              </w:rPr>
            </w:pPr>
          </w:p>
        </w:tc>
        <w:tc>
          <w:tcPr>
            <w:tcW w:w="6420" w:type="dxa"/>
            <w:vAlign w:val="bottom"/>
            <w:tcBorders>
              <w:top w:val="single" w:sz="8" w:color="CFF0FC"/>
            </w:tcBorders>
            <w:gridSpan w:val="25"/>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7. Risk Management and Derivatives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17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080" w:type="dxa"/>
            <w:vAlign w:val="bottom"/>
            <w:tcBorders>
              <w:top w:val="single" w:sz="8" w:color="0000FF"/>
            </w:tcBorders>
            <w:gridSpan w:val="40"/>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8. Fair Value Measurements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20</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440" w:type="dxa"/>
            <w:vAlign w:val="bottom"/>
            <w:tcBorders>
              <w:top w:val="single" w:sz="8" w:color="0000FF"/>
            </w:tcBorders>
            <w:gridSpan w:val="34"/>
            <w:shd w:val="clear" w:color="auto" w:fill="CFF0FC"/>
          </w:tcPr>
          <w:p>
            <w:pPr>
              <w:spacing w:after="0" w:line="20" w:lineRule="exact"/>
              <w:rPr>
                <w:sz w:val="1"/>
                <w:szCs w:val="1"/>
                <w:color w:val="auto"/>
              </w:rPr>
            </w:pPr>
          </w:p>
        </w:tc>
        <w:tc>
          <w:tcPr>
            <w:tcW w:w="6000" w:type="dxa"/>
            <w:vAlign w:val="bottom"/>
            <w:tcBorders>
              <w:top w:val="single" w:sz="8" w:color="CFF0FC"/>
            </w:tcBorders>
            <w:gridSpan w:val="16"/>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9. Other Comprehensive Income</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22</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2760" w:type="dxa"/>
            <w:vAlign w:val="bottom"/>
            <w:tcBorders>
              <w:top w:val="single" w:sz="8" w:color="0000FF"/>
            </w:tcBorders>
            <w:gridSpan w:val="36"/>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w w:val="95"/>
              </w:rPr>
              <w:t>Note 10.</w:t>
            </w:r>
          </w:p>
        </w:tc>
        <w:tc>
          <w:tcPr>
            <w:tcW w:w="80" w:type="dxa"/>
            <w:vAlign w:val="bottom"/>
            <w:shd w:val="clear" w:color="auto" w:fill="CFF0FC"/>
          </w:tcPr>
          <w:p>
            <w:pPr>
              <w:spacing w:after="0"/>
              <w:rPr>
                <w:sz w:val="14"/>
                <w:szCs w:val="14"/>
                <w:color w:val="auto"/>
              </w:rPr>
            </w:pPr>
          </w:p>
        </w:tc>
        <w:tc>
          <w:tcPr>
            <w:tcW w:w="7080" w:type="dxa"/>
            <w:vAlign w:val="bottom"/>
            <w:gridSpan w:val="44"/>
            <w:shd w:val="clear" w:color="auto" w:fill="CFF0FC"/>
          </w:tcPr>
          <w:p>
            <w:pPr>
              <w:ind w:left="20"/>
              <w:spacing w:after="0" w:line="162" w:lineRule="exact"/>
              <w:rPr>
                <w:sz w:val="20"/>
                <w:szCs w:val="20"/>
                <w:color w:val="auto"/>
              </w:rPr>
            </w:pPr>
            <w:r>
              <w:rPr>
                <w:rFonts w:ascii="Arial" w:cs="Arial" w:eastAsia="Arial" w:hAnsi="Arial"/>
                <w:sz w:val="16"/>
                <w:szCs w:val="16"/>
                <w:color w:val="0000FF"/>
              </w:rPr>
              <w:t>Employee Benefit Plans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23</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420" w:type="dxa"/>
            <w:vAlign w:val="bottom"/>
            <w:tcBorders>
              <w:top w:val="single" w:sz="8" w:color="0000FF"/>
            </w:tcBorders>
            <w:gridSpan w:val="33"/>
            <w:shd w:val="clear" w:color="auto" w:fill="CFF0FC"/>
          </w:tcPr>
          <w:p>
            <w:pPr>
              <w:spacing w:after="0" w:line="20" w:lineRule="exact"/>
              <w:rPr>
                <w:sz w:val="1"/>
                <w:szCs w:val="1"/>
                <w:color w:val="auto"/>
              </w:rPr>
            </w:pPr>
          </w:p>
        </w:tc>
        <w:tc>
          <w:tcPr>
            <w:tcW w:w="6020" w:type="dxa"/>
            <w:vAlign w:val="bottom"/>
            <w:tcBorders>
              <w:top w:val="single" w:sz="8" w:color="CFF0FC"/>
            </w:tcBorders>
            <w:gridSpan w:val="17"/>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40" w:type="dxa"/>
            <w:vAlign w:val="bottom"/>
            <w:gridSpan w:val="50"/>
          </w:tcPr>
          <w:p>
            <w:pPr>
              <w:ind w:left="80"/>
              <w:spacing w:after="0" w:line="162" w:lineRule="exact"/>
              <w:rPr>
                <w:sz w:val="20"/>
                <w:szCs w:val="20"/>
                <w:color w:val="auto"/>
              </w:rPr>
            </w:pPr>
            <w:r>
              <w:rPr>
                <w:rFonts w:ascii="Arial" w:cs="Arial" w:eastAsia="Arial" w:hAnsi="Arial"/>
                <w:sz w:val="16"/>
                <w:szCs w:val="16"/>
                <w:color w:val="0000FF"/>
              </w:rPr>
              <w:t>Note 11. Income Taxes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23</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1680" w:type="dxa"/>
            <w:vAlign w:val="bottom"/>
            <w:tcBorders>
              <w:top w:val="single" w:sz="8" w:color="0000FF"/>
            </w:tcBorders>
            <w:gridSpan w:val="22"/>
          </w:tcPr>
          <w:p>
            <w:pPr>
              <w:spacing w:after="0" w:line="20" w:lineRule="exact"/>
              <w:rPr>
                <w:sz w:val="1"/>
                <w:szCs w:val="1"/>
                <w:color w:val="auto"/>
              </w:rPr>
            </w:pPr>
          </w:p>
        </w:tc>
        <w:tc>
          <w:tcPr>
            <w:tcW w:w="6760" w:type="dxa"/>
            <w:vAlign w:val="bottom"/>
            <w:gridSpan w:val="28"/>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5"/>
            <w:shd w:val="clear" w:color="auto" w:fill="CFF0FC"/>
          </w:tcPr>
          <w:p>
            <w:pPr>
              <w:ind w:left="80"/>
              <w:spacing w:after="0" w:line="162" w:lineRule="exact"/>
              <w:rPr>
                <w:sz w:val="20"/>
                <w:szCs w:val="20"/>
                <w:color w:val="auto"/>
              </w:rPr>
            </w:pPr>
            <w:r>
              <w:rPr>
                <w:rFonts w:ascii="Arial" w:cs="Arial" w:eastAsia="Arial" w:hAnsi="Arial"/>
                <w:sz w:val="16"/>
                <w:szCs w:val="16"/>
                <w:color w:val="0000FF"/>
                <w:w w:val="95"/>
              </w:rPr>
              <w:t>Note 12.</w:t>
            </w:r>
          </w:p>
        </w:tc>
        <w:tc>
          <w:tcPr>
            <w:tcW w:w="80" w:type="dxa"/>
            <w:vAlign w:val="bottom"/>
            <w:shd w:val="clear" w:color="auto" w:fill="CFF0FC"/>
          </w:tcPr>
          <w:p>
            <w:pPr>
              <w:spacing w:after="0"/>
              <w:rPr>
                <w:sz w:val="14"/>
                <w:szCs w:val="14"/>
                <w:color w:val="auto"/>
              </w:rPr>
            </w:pPr>
          </w:p>
        </w:tc>
        <w:tc>
          <w:tcPr>
            <w:tcW w:w="7080" w:type="dxa"/>
            <w:vAlign w:val="bottom"/>
            <w:gridSpan w:val="44"/>
            <w:shd w:val="clear" w:color="auto" w:fill="CFF0FC"/>
          </w:tcPr>
          <w:p>
            <w:pPr>
              <w:ind w:left="20"/>
              <w:spacing w:after="0" w:line="162" w:lineRule="exact"/>
              <w:rPr>
                <w:sz w:val="20"/>
                <w:szCs w:val="20"/>
                <w:color w:val="auto"/>
              </w:rPr>
            </w:pPr>
            <w:r>
              <w:rPr>
                <w:rFonts w:ascii="Arial" w:cs="Arial" w:eastAsia="Arial" w:hAnsi="Arial"/>
                <w:sz w:val="16"/>
                <w:szCs w:val="16"/>
                <w:color w:val="0000FF"/>
              </w:rPr>
              <w:t>Business Segment Information</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24</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1"/>
        </w:trPr>
        <w:tc>
          <w:tcPr>
            <w:tcW w:w="1920" w:type="dxa"/>
            <w:vAlign w:val="bottom"/>
            <w:tcBorders>
              <w:top w:val="single" w:sz="8" w:color="CFF0FC"/>
            </w:tcBorders>
            <w:gridSpan w:val="6"/>
            <w:shd w:val="clear" w:color="auto" w:fill="CFF0FC"/>
          </w:tcPr>
          <w:p>
            <w:pPr>
              <w:spacing w:after="0" w:line="20" w:lineRule="exact"/>
              <w:rPr>
                <w:sz w:val="1"/>
                <w:szCs w:val="1"/>
                <w:color w:val="auto"/>
              </w:rPr>
            </w:pPr>
          </w:p>
        </w:tc>
        <w:tc>
          <w:tcPr>
            <w:tcW w:w="2900" w:type="dxa"/>
            <w:vAlign w:val="bottom"/>
            <w:tcBorders>
              <w:top w:val="single" w:sz="8" w:color="0000FF"/>
            </w:tcBorders>
            <w:gridSpan w:val="39"/>
            <w:shd w:val="clear" w:color="auto" w:fill="CFF0FC"/>
          </w:tcPr>
          <w:p>
            <w:pPr>
              <w:spacing w:after="0" w:line="20" w:lineRule="exact"/>
              <w:rPr>
                <w:sz w:val="1"/>
                <w:szCs w:val="1"/>
                <w:color w:val="auto"/>
              </w:rPr>
            </w:pPr>
          </w:p>
        </w:tc>
        <w:tc>
          <w:tcPr>
            <w:tcW w:w="5540" w:type="dxa"/>
            <w:vAlign w:val="bottom"/>
            <w:tcBorders>
              <w:top w:val="single" w:sz="8" w:color="CFF0FC"/>
            </w:tcBorders>
            <w:gridSpan w:val="11"/>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5"/>
          </w:tcPr>
          <w:p>
            <w:pPr>
              <w:ind w:left="80"/>
              <w:spacing w:after="0" w:line="162" w:lineRule="exact"/>
              <w:rPr>
                <w:sz w:val="20"/>
                <w:szCs w:val="20"/>
                <w:color w:val="auto"/>
              </w:rPr>
            </w:pPr>
            <w:r>
              <w:rPr>
                <w:rFonts w:ascii="Arial" w:cs="Arial" w:eastAsia="Arial" w:hAnsi="Arial"/>
                <w:sz w:val="16"/>
                <w:szCs w:val="16"/>
                <w:color w:val="0000FF"/>
                <w:w w:val="95"/>
              </w:rPr>
              <w:t>Note 13.</w:t>
            </w:r>
          </w:p>
        </w:tc>
        <w:tc>
          <w:tcPr>
            <w:tcW w:w="80" w:type="dxa"/>
            <w:vAlign w:val="bottom"/>
          </w:tcPr>
          <w:p>
            <w:pPr>
              <w:spacing w:after="0"/>
              <w:rPr>
                <w:sz w:val="14"/>
                <w:szCs w:val="14"/>
                <w:color w:val="auto"/>
              </w:rPr>
            </w:pPr>
          </w:p>
        </w:tc>
        <w:tc>
          <w:tcPr>
            <w:tcW w:w="7080" w:type="dxa"/>
            <w:vAlign w:val="bottom"/>
            <w:gridSpan w:val="44"/>
          </w:tcPr>
          <w:p>
            <w:pPr>
              <w:ind w:left="20"/>
              <w:spacing w:after="0" w:line="162" w:lineRule="exact"/>
              <w:rPr>
                <w:sz w:val="20"/>
                <w:szCs w:val="20"/>
                <w:color w:val="auto"/>
              </w:rPr>
            </w:pPr>
            <w:r>
              <w:rPr>
                <w:rFonts w:ascii="Arial" w:cs="Arial" w:eastAsia="Arial" w:hAnsi="Arial"/>
                <w:sz w:val="16"/>
                <w:szCs w:val="16"/>
                <w:color w:val="0000FF"/>
              </w:rPr>
              <w:t>Selected Balance Sheet Information</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24</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920" w:type="dxa"/>
            <w:vAlign w:val="bottom"/>
            <w:gridSpan w:val="6"/>
          </w:tcPr>
          <w:p>
            <w:pPr>
              <w:spacing w:after="0" w:line="20" w:lineRule="exact"/>
              <w:rPr>
                <w:sz w:val="1"/>
                <w:szCs w:val="1"/>
                <w:color w:val="auto"/>
              </w:rPr>
            </w:pPr>
          </w:p>
        </w:tc>
        <w:tc>
          <w:tcPr>
            <w:tcW w:w="3280" w:type="dxa"/>
            <w:vAlign w:val="bottom"/>
            <w:tcBorders>
              <w:top w:val="single" w:sz="8" w:color="0000FF"/>
            </w:tcBorders>
            <w:gridSpan w:val="41"/>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40" w:type="dxa"/>
            <w:vAlign w:val="bottom"/>
            <w:gridSpan w:val="50"/>
            <w:shd w:val="clear" w:color="auto" w:fill="CFF0FC"/>
          </w:tcPr>
          <w:p>
            <w:pPr>
              <w:ind w:left="80"/>
              <w:spacing w:after="0" w:line="162" w:lineRule="exact"/>
              <w:rPr>
                <w:sz w:val="20"/>
                <w:szCs w:val="20"/>
                <w:color w:val="auto"/>
              </w:rPr>
            </w:pPr>
            <w:r>
              <w:rPr>
                <w:rFonts w:ascii="Arial" w:cs="Arial" w:eastAsia="Arial" w:hAnsi="Arial"/>
                <w:sz w:val="16"/>
                <w:szCs w:val="16"/>
                <w:color w:val="0000FF"/>
              </w:rPr>
              <w:t>Note 14. Subsequent Events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25</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2"/>
        </w:trPr>
        <w:tc>
          <w:tcPr>
            <w:tcW w:w="1920" w:type="dxa"/>
            <w:vAlign w:val="bottom"/>
            <w:tcBorders>
              <w:top w:val="single" w:sz="8" w:color="CFF0FC"/>
            </w:tcBorders>
            <w:gridSpan w:val="6"/>
          </w:tcPr>
          <w:p>
            <w:pPr>
              <w:spacing w:after="0"/>
              <w:rPr>
                <w:sz w:val="17"/>
                <w:szCs w:val="17"/>
                <w:color w:val="auto"/>
              </w:rPr>
            </w:pPr>
          </w:p>
        </w:tc>
        <w:tc>
          <w:tcPr>
            <w:tcW w:w="2100" w:type="dxa"/>
            <w:vAlign w:val="bottom"/>
            <w:tcBorders>
              <w:top w:val="single" w:sz="8" w:color="0000FF"/>
            </w:tcBorders>
            <w:gridSpan w:val="27"/>
          </w:tcPr>
          <w:p>
            <w:pPr>
              <w:spacing w:after="0"/>
              <w:rPr>
                <w:sz w:val="17"/>
                <w:szCs w:val="17"/>
                <w:color w:val="auto"/>
              </w:rPr>
            </w:pPr>
          </w:p>
        </w:tc>
        <w:tc>
          <w:tcPr>
            <w:tcW w:w="6340" w:type="dxa"/>
            <w:vAlign w:val="bottom"/>
            <w:tcBorders>
              <w:top w:val="single" w:sz="8" w:color="CFF0FC"/>
            </w:tcBorders>
            <w:gridSpan w:val="23"/>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2.</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26</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6380" w:type="dxa"/>
            <w:vAlign w:val="bottom"/>
            <w:tcBorders>
              <w:top w:val="single" w:sz="8" w:color="0000FF"/>
            </w:tcBorders>
            <w:gridSpan w:val="50"/>
          </w:tcPr>
          <w:p>
            <w:pPr>
              <w:ind w:left="140"/>
              <w:spacing w:after="0" w:line="162" w:lineRule="exact"/>
              <w:rPr>
                <w:sz w:val="20"/>
                <w:szCs w:val="20"/>
                <w:color w:val="auto"/>
              </w:rPr>
            </w:pPr>
            <w:r>
              <w:rPr>
                <w:rFonts w:ascii="Arial" w:cs="Arial" w:eastAsia="Arial" w:hAnsi="Arial"/>
                <w:sz w:val="16"/>
                <w:szCs w:val="16"/>
                <w:color w:val="0000FF"/>
              </w:rPr>
              <w:t>Executive Summary</w:t>
            </w:r>
          </w:p>
        </w:tc>
        <w:tc>
          <w:tcPr>
            <w:tcW w:w="160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26</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1440" w:type="dxa"/>
            <w:vAlign w:val="bottom"/>
            <w:tcBorders>
              <w:top w:val="single" w:sz="8" w:color="0000FF"/>
            </w:tcBorders>
            <w:gridSpan w:val="15"/>
          </w:tcPr>
          <w:p>
            <w:pPr>
              <w:spacing w:after="0" w:line="20" w:lineRule="exact"/>
              <w:rPr>
                <w:sz w:val="1"/>
                <w:szCs w:val="1"/>
                <w:color w:val="auto"/>
              </w:rPr>
            </w:pPr>
          </w:p>
        </w:tc>
        <w:tc>
          <w:tcPr>
            <w:tcW w:w="7080" w:type="dxa"/>
            <w:vAlign w:val="bottom"/>
            <w:gridSpan w:val="3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Recent Developments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26</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840" w:type="dxa"/>
            <w:vAlign w:val="bottom"/>
            <w:tcBorders>
              <w:top w:val="single" w:sz="8" w:color="CFF0FC"/>
            </w:tcBorders>
            <w:gridSpan w:val="5"/>
            <w:shd w:val="clear" w:color="auto" w:fill="CFF0FC"/>
          </w:tcPr>
          <w:p>
            <w:pPr>
              <w:spacing w:after="0" w:line="20" w:lineRule="exact"/>
              <w:rPr>
                <w:sz w:val="1"/>
                <w:szCs w:val="1"/>
                <w:color w:val="auto"/>
              </w:rPr>
            </w:pPr>
          </w:p>
        </w:tc>
        <w:tc>
          <w:tcPr>
            <w:tcW w:w="1580" w:type="dxa"/>
            <w:vAlign w:val="bottom"/>
            <w:tcBorders>
              <w:top w:val="single" w:sz="8" w:color="0000FF"/>
            </w:tcBorders>
            <w:gridSpan w:val="18"/>
            <w:shd w:val="clear" w:color="auto" w:fill="CFF0FC"/>
          </w:tcPr>
          <w:p>
            <w:pPr>
              <w:spacing w:after="0" w:line="20" w:lineRule="exact"/>
              <w:rPr>
                <w:sz w:val="1"/>
                <w:szCs w:val="1"/>
                <w:color w:val="auto"/>
              </w:rPr>
            </w:pPr>
          </w:p>
        </w:tc>
        <w:tc>
          <w:tcPr>
            <w:tcW w:w="6940" w:type="dxa"/>
            <w:vAlign w:val="bottom"/>
            <w:tcBorders>
              <w:top w:val="single" w:sz="8" w:color="CFF0FC"/>
            </w:tcBorders>
            <w:gridSpan w:val="33"/>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Results of Operations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27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1540" w:type="dxa"/>
            <w:vAlign w:val="bottom"/>
            <w:tcBorders>
              <w:top w:val="single" w:sz="8" w:color="0000FF"/>
            </w:tcBorders>
            <w:gridSpan w:val="17"/>
          </w:tcPr>
          <w:p>
            <w:pPr>
              <w:spacing w:after="0" w:line="20" w:lineRule="exact"/>
              <w:rPr>
                <w:sz w:val="1"/>
                <w:szCs w:val="1"/>
                <w:color w:val="auto"/>
              </w:rPr>
            </w:pPr>
          </w:p>
        </w:tc>
        <w:tc>
          <w:tcPr>
            <w:tcW w:w="6980" w:type="dxa"/>
            <w:vAlign w:val="bottom"/>
            <w:gridSpan w:val="3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40" w:type="dxa"/>
            <w:vAlign w:val="bottom"/>
            <w:gridSpan w:val="48"/>
            <w:shd w:val="clear" w:color="auto" w:fill="CFF0FC"/>
          </w:tcPr>
          <w:p>
            <w:pPr>
              <w:spacing w:after="0" w:line="162" w:lineRule="exact"/>
              <w:rPr>
                <w:sz w:val="20"/>
                <w:szCs w:val="20"/>
                <w:color w:val="auto"/>
              </w:rPr>
            </w:pPr>
            <w:r>
              <w:rPr>
                <w:rFonts w:ascii="Arial" w:cs="Arial" w:eastAsia="Arial" w:hAnsi="Arial"/>
                <w:sz w:val="16"/>
                <w:szCs w:val="16"/>
                <w:color w:val="0000FF"/>
              </w:rPr>
              <w:t>Consolidated Summary and Overview</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27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720" w:type="dxa"/>
            <w:vAlign w:val="bottom"/>
            <w:tcBorders>
              <w:top w:val="single" w:sz="8" w:color="0000FF"/>
            </w:tcBorders>
            <w:gridSpan w:val="37"/>
          </w:tcPr>
          <w:p>
            <w:pPr>
              <w:spacing w:after="0" w:line="162" w:lineRule="exact"/>
              <w:rPr>
                <w:sz w:val="20"/>
                <w:szCs w:val="20"/>
                <w:color w:val="auto"/>
              </w:rPr>
            </w:pPr>
            <w:r>
              <w:rPr>
                <w:rFonts w:ascii="Arial" w:cs="Arial" w:eastAsia="Arial" w:hAnsi="Arial"/>
                <w:sz w:val="16"/>
                <w:szCs w:val="16"/>
                <w:color w:val="0000FF"/>
              </w:rPr>
              <w:t>Non-GAAP Financial Measure</w:t>
            </w:r>
          </w:p>
        </w:tc>
        <w:tc>
          <w:tcPr>
            <w:tcW w:w="4920" w:type="dxa"/>
            <w:vAlign w:val="bottom"/>
            <w:tcBorders>
              <w:top w:val="single" w:sz="8" w:color="CFF0FC"/>
            </w:tcBorders>
            <w:gridSpan w:val="11"/>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28</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2180" w:type="dxa"/>
            <w:vAlign w:val="bottom"/>
            <w:tcBorders>
              <w:top w:val="single" w:sz="8" w:color="0000FF"/>
            </w:tcBorders>
            <w:gridSpan w:val="29"/>
          </w:tcPr>
          <w:p>
            <w:pPr>
              <w:spacing w:after="0" w:line="20" w:lineRule="exact"/>
              <w:rPr>
                <w:sz w:val="1"/>
                <w:szCs w:val="1"/>
                <w:color w:val="auto"/>
              </w:rPr>
            </w:pPr>
          </w:p>
        </w:tc>
        <w:tc>
          <w:tcPr>
            <w:tcW w:w="6140" w:type="dxa"/>
            <w:vAlign w:val="bottom"/>
            <w:gridSpan w:val="2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0000FF"/>
            </w:tcBorders>
            <w:gridSpan w:val="10"/>
            <w:shd w:val="clear" w:color="auto" w:fill="CFF0FC"/>
          </w:tcPr>
          <w:p>
            <w:pPr>
              <w:spacing w:after="0" w:line="162" w:lineRule="exact"/>
              <w:rPr>
                <w:sz w:val="20"/>
                <w:szCs w:val="20"/>
                <w:color w:val="auto"/>
              </w:rPr>
            </w:pPr>
            <w:r>
              <w:rPr>
                <w:rFonts w:ascii="Arial" w:cs="Arial" w:eastAsia="Arial" w:hAnsi="Arial"/>
                <w:sz w:val="16"/>
                <w:szCs w:val="16"/>
                <w:color w:val="0000FF"/>
                <w:w w:val="99"/>
              </w:rPr>
              <w:t>Electric Utilities</w:t>
            </w:r>
          </w:p>
        </w:tc>
        <w:tc>
          <w:tcPr>
            <w:tcW w:w="6540" w:type="dxa"/>
            <w:vAlign w:val="bottom"/>
            <w:tcBorders>
              <w:bottom w:val="single" w:sz="8" w:color="CFF0FC"/>
            </w:tcBorders>
            <w:gridSpan w:val="38"/>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28</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8"/>
          </w:tcPr>
          <w:p>
            <w:pPr>
              <w:spacing w:after="0" w:line="162" w:lineRule="exact"/>
              <w:rPr>
                <w:sz w:val="20"/>
                <w:szCs w:val="20"/>
                <w:color w:val="auto"/>
              </w:rPr>
            </w:pPr>
            <w:r>
              <w:rPr>
                <w:rFonts w:ascii="Arial" w:cs="Arial" w:eastAsia="Arial" w:hAnsi="Arial"/>
                <w:sz w:val="16"/>
                <w:szCs w:val="16"/>
                <w:color w:val="0000FF"/>
              </w:rPr>
              <w:t>Gas Utilities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860" w:type="dxa"/>
            <w:vAlign w:val="bottom"/>
            <w:tcBorders>
              <w:top w:val="single" w:sz="8" w:color="0000FF"/>
            </w:tcBorders>
            <w:gridSpan w:val="7"/>
          </w:tcPr>
          <w:p>
            <w:pPr>
              <w:spacing w:after="0" w:line="20" w:lineRule="exact"/>
              <w:rPr>
                <w:sz w:val="1"/>
                <w:szCs w:val="1"/>
                <w:color w:val="auto"/>
              </w:rPr>
            </w:pPr>
          </w:p>
        </w:tc>
        <w:tc>
          <w:tcPr>
            <w:tcW w:w="7460" w:type="dxa"/>
            <w:vAlign w:val="bottom"/>
            <w:gridSpan w:val="42"/>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0000FF"/>
            </w:tcBorders>
            <w:gridSpan w:val="20"/>
            <w:shd w:val="clear" w:color="auto" w:fill="CFF0FC"/>
          </w:tcPr>
          <w:p>
            <w:pPr>
              <w:spacing w:after="0" w:line="162" w:lineRule="exact"/>
              <w:rPr>
                <w:sz w:val="20"/>
                <w:szCs w:val="20"/>
                <w:color w:val="auto"/>
              </w:rPr>
            </w:pPr>
            <w:r>
              <w:rPr>
                <w:rFonts w:ascii="Arial" w:cs="Arial" w:eastAsia="Arial" w:hAnsi="Arial"/>
                <w:sz w:val="16"/>
                <w:szCs w:val="16"/>
                <w:color w:val="0000FF"/>
                <w:w w:val="99"/>
              </w:rPr>
              <w:t>Corporate and Other</w:t>
            </w:r>
          </w:p>
        </w:tc>
        <w:tc>
          <w:tcPr>
            <w:tcW w:w="6160" w:type="dxa"/>
            <w:vAlign w:val="bottom"/>
            <w:tcBorders>
              <w:bottom w:val="single" w:sz="8" w:color="CFF0FC"/>
            </w:tcBorders>
            <w:gridSpan w:val="28"/>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32</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8"/>
          </w:tcPr>
          <w:p>
            <w:pPr>
              <w:spacing w:after="0" w:line="162" w:lineRule="exact"/>
              <w:rPr>
                <w:sz w:val="20"/>
                <w:szCs w:val="20"/>
                <w:color w:val="auto"/>
              </w:rPr>
            </w:pPr>
            <w:r>
              <w:rPr>
                <w:rFonts w:ascii="Arial" w:cs="Arial" w:eastAsia="Arial" w:hAnsi="Arial"/>
                <w:sz w:val="16"/>
                <w:szCs w:val="16"/>
                <w:color w:val="0000FF"/>
              </w:rPr>
              <w:t>Consolidated Interest Expense, Other Income and Income Tax Expense</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33</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5140" w:type="dxa"/>
            <w:vAlign w:val="bottom"/>
            <w:tcBorders>
              <w:top w:val="single" w:sz="8" w:color="0000FF"/>
            </w:tcBorders>
            <w:gridSpan w:val="46"/>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Liquidity and Capital Resources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33</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60" w:type="dxa"/>
            <w:vAlign w:val="bottom"/>
            <w:tcBorders>
              <w:top w:val="single" w:sz="8" w:color="0000FF"/>
            </w:tcBorders>
            <w:gridSpan w:val="28"/>
          </w:tcPr>
          <w:p>
            <w:pPr>
              <w:spacing w:after="0" w:line="162" w:lineRule="exact"/>
              <w:rPr>
                <w:sz w:val="20"/>
                <w:szCs w:val="20"/>
                <w:color w:val="auto"/>
              </w:rPr>
            </w:pPr>
            <w:r>
              <w:rPr>
                <w:rFonts w:ascii="Arial" w:cs="Arial" w:eastAsia="Arial" w:hAnsi="Arial"/>
                <w:sz w:val="16"/>
                <w:szCs w:val="16"/>
                <w:color w:val="0000FF"/>
              </w:rPr>
              <w:t>Cash Flow Activities</w:t>
            </w:r>
          </w:p>
        </w:tc>
        <w:tc>
          <w:tcPr>
            <w:tcW w:w="5580" w:type="dxa"/>
            <w:vAlign w:val="bottom"/>
            <w:tcBorders>
              <w:top w:val="single" w:sz="8" w:color="CFF0FC"/>
            </w:tcBorders>
            <w:gridSpan w:val="20"/>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33</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1440" w:type="dxa"/>
            <w:vAlign w:val="bottom"/>
            <w:tcBorders>
              <w:top w:val="single" w:sz="8" w:color="0000FF"/>
            </w:tcBorders>
            <w:gridSpan w:val="18"/>
          </w:tcPr>
          <w:p>
            <w:pPr>
              <w:spacing w:after="0" w:line="20" w:lineRule="exact"/>
              <w:rPr>
                <w:sz w:val="1"/>
                <w:szCs w:val="1"/>
                <w:color w:val="auto"/>
              </w:rPr>
            </w:pPr>
          </w:p>
        </w:tc>
        <w:tc>
          <w:tcPr>
            <w:tcW w:w="6880" w:type="dxa"/>
            <w:vAlign w:val="bottom"/>
            <w:gridSpan w:val="31"/>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0000FF"/>
            </w:tcBorders>
            <w:gridSpan w:val="14"/>
            <w:shd w:val="clear" w:color="auto" w:fill="CFF0FC"/>
          </w:tcPr>
          <w:p>
            <w:pPr>
              <w:spacing w:after="0" w:line="162" w:lineRule="exact"/>
              <w:rPr>
                <w:sz w:val="20"/>
                <w:szCs w:val="20"/>
                <w:color w:val="auto"/>
              </w:rPr>
            </w:pPr>
            <w:r>
              <w:rPr>
                <w:rFonts w:ascii="Arial" w:cs="Arial" w:eastAsia="Arial" w:hAnsi="Arial"/>
                <w:sz w:val="16"/>
                <w:szCs w:val="16"/>
                <w:color w:val="0000FF"/>
                <w:w w:val="99"/>
              </w:rPr>
              <w:t>Capital Resources</w:t>
            </w:r>
          </w:p>
        </w:tc>
        <w:tc>
          <w:tcPr>
            <w:tcW w:w="6320" w:type="dxa"/>
            <w:vAlign w:val="bottom"/>
            <w:tcBorders>
              <w:bottom w:val="single" w:sz="8" w:color="CFF0FC"/>
            </w:tcBorders>
            <w:gridSpan w:val="34"/>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35</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40" w:type="dxa"/>
            <w:vAlign w:val="bottom"/>
            <w:gridSpan w:val="48"/>
          </w:tcPr>
          <w:p>
            <w:pPr>
              <w:spacing w:after="0" w:line="162" w:lineRule="exact"/>
              <w:rPr>
                <w:sz w:val="20"/>
                <w:szCs w:val="20"/>
                <w:color w:val="auto"/>
              </w:rPr>
            </w:pPr>
            <w:r>
              <w:rPr>
                <w:rFonts w:ascii="Arial" w:cs="Arial" w:eastAsia="Arial" w:hAnsi="Arial"/>
                <w:sz w:val="16"/>
                <w:szCs w:val="16"/>
                <w:color w:val="0000FF"/>
              </w:rPr>
              <w:t>Credit Ratings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35</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40" w:type="dxa"/>
            <w:vAlign w:val="bottom"/>
            <w:gridSpan w:val="7"/>
          </w:tcPr>
          <w:p>
            <w:pPr>
              <w:spacing w:after="0" w:line="20" w:lineRule="exact"/>
              <w:rPr>
                <w:sz w:val="1"/>
                <w:szCs w:val="1"/>
                <w:color w:val="auto"/>
              </w:rPr>
            </w:pPr>
          </w:p>
        </w:tc>
        <w:tc>
          <w:tcPr>
            <w:tcW w:w="1020" w:type="dxa"/>
            <w:vAlign w:val="bottom"/>
            <w:tcBorders>
              <w:top w:val="single" w:sz="8" w:color="0000FF"/>
            </w:tcBorders>
            <w:gridSpan w:val="9"/>
          </w:tcPr>
          <w:p>
            <w:pPr>
              <w:spacing w:after="0" w:line="20" w:lineRule="exact"/>
              <w:rPr>
                <w:sz w:val="1"/>
                <w:szCs w:val="1"/>
                <w:color w:val="auto"/>
              </w:rPr>
            </w:pPr>
          </w:p>
        </w:tc>
        <w:tc>
          <w:tcPr>
            <w:tcW w:w="7300" w:type="dxa"/>
            <w:vAlign w:val="bottom"/>
            <w:gridSpan w:val="4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0000FF"/>
            </w:tcBorders>
            <w:gridSpan w:val="21"/>
            <w:shd w:val="clear" w:color="auto" w:fill="CFF0FC"/>
          </w:tcPr>
          <w:p>
            <w:pPr>
              <w:spacing w:after="0" w:line="162" w:lineRule="exact"/>
              <w:rPr>
                <w:sz w:val="20"/>
                <w:szCs w:val="20"/>
                <w:color w:val="auto"/>
              </w:rPr>
            </w:pPr>
            <w:r>
              <w:rPr>
                <w:rFonts w:ascii="Arial" w:cs="Arial" w:eastAsia="Arial" w:hAnsi="Arial"/>
                <w:sz w:val="16"/>
                <w:szCs w:val="16"/>
                <w:color w:val="0000FF"/>
              </w:rPr>
              <w:t>Capital Requirements</w:t>
            </w:r>
          </w:p>
        </w:tc>
        <w:tc>
          <w:tcPr>
            <w:tcW w:w="6080" w:type="dxa"/>
            <w:vAlign w:val="bottom"/>
            <w:tcBorders>
              <w:bottom w:val="single" w:sz="8" w:color="CFF0FC"/>
            </w:tcBorders>
            <w:gridSpan w:val="27"/>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0000FF"/>
            </w:tcBorders>
            <w:gridSpan w:val="4"/>
            <w:shd w:val="clear" w:color="auto" w:fill="CFF0FC"/>
          </w:tcPr>
          <w:p>
            <w:pPr>
              <w:jc w:val="center"/>
              <w:spacing w:after="0" w:line="162" w:lineRule="exact"/>
              <w:rPr>
                <w:sz w:val="20"/>
                <w:szCs w:val="20"/>
                <w:color w:val="auto"/>
              </w:rPr>
            </w:pPr>
            <w:r>
              <w:rPr>
                <w:rFonts w:ascii="Arial" w:cs="Arial" w:eastAsia="Arial" w:hAnsi="Arial"/>
                <w:sz w:val="16"/>
                <w:szCs w:val="16"/>
                <w:color w:val="0000FF"/>
              </w:rPr>
              <w:t>35</w:t>
            </w:r>
          </w:p>
        </w:tc>
        <w:tc>
          <w:tcPr>
            <w:tcW w:w="6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980" w:type="dxa"/>
            <w:vAlign w:val="bottom"/>
            <w:gridSpan w:val="51"/>
          </w:tcPr>
          <w:p>
            <w:pPr>
              <w:ind w:left="140"/>
              <w:spacing w:after="0" w:line="162" w:lineRule="exact"/>
              <w:rPr>
                <w:sz w:val="20"/>
                <w:szCs w:val="20"/>
                <w:color w:val="auto"/>
              </w:rPr>
            </w:pPr>
            <w:r>
              <w:rPr>
                <w:rFonts w:ascii="Arial" w:cs="Arial" w:eastAsia="Arial" w:hAnsi="Arial"/>
                <w:sz w:val="16"/>
                <w:szCs w:val="16"/>
                <w:color w:val="0000FF"/>
              </w:rPr>
              <w:t>Critical Accounting Estimates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840" w:type="dxa"/>
            <w:vAlign w:val="bottom"/>
            <w:gridSpan w:val="5"/>
          </w:tcPr>
          <w:p>
            <w:pPr>
              <w:spacing w:after="0" w:line="20" w:lineRule="exact"/>
              <w:rPr>
                <w:sz w:val="1"/>
                <w:szCs w:val="1"/>
                <w:color w:val="auto"/>
              </w:rPr>
            </w:pPr>
          </w:p>
        </w:tc>
        <w:tc>
          <w:tcPr>
            <w:tcW w:w="2080" w:type="dxa"/>
            <w:vAlign w:val="bottom"/>
            <w:tcBorders>
              <w:top w:val="single" w:sz="8" w:color="0000FF"/>
            </w:tcBorders>
            <w:gridSpan w:val="25"/>
          </w:tcPr>
          <w:p>
            <w:pPr>
              <w:spacing w:after="0" w:line="20" w:lineRule="exact"/>
              <w:rPr>
                <w:sz w:val="1"/>
                <w:szCs w:val="1"/>
                <w:color w:val="auto"/>
              </w:rPr>
            </w:pPr>
          </w:p>
        </w:tc>
        <w:tc>
          <w:tcPr>
            <w:tcW w:w="6440" w:type="dxa"/>
            <w:vAlign w:val="bottom"/>
            <w:gridSpan w:val="26"/>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980" w:type="dxa"/>
            <w:vAlign w:val="bottom"/>
            <w:gridSpan w:val="51"/>
            <w:shd w:val="clear" w:color="auto" w:fill="CFF0FC"/>
          </w:tcPr>
          <w:p>
            <w:pPr>
              <w:ind w:left="140"/>
              <w:spacing w:after="0" w:line="162" w:lineRule="exact"/>
              <w:rPr>
                <w:sz w:val="20"/>
                <w:szCs w:val="20"/>
                <w:color w:val="auto"/>
              </w:rPr>
            </w:pPr>
            <w:r>
              <w:rPr>
                <w:rFonts w:ascii="Arial" w:cs="Arial" w:eastAsia="Arial" w:hAnsi="Arial"/>
                <w:sz w:val="16"/>
                <w:szCs w:val="16"/>
                <w:color w:val="0000FF"/>
              </w:rPr>
              <w:t>New Accounting Pronouncements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36</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1840" w:type="dxa"/>
            <w:vAlign w:val="bottom"/>
            <w:tcBorders>
              <w:top w:val="single" w:sz="8" w:color="CFF0FC"/>
            </w:tcBorders>
            <w:gridSpan w:val="5"/>
          </w:tcPr>
          <w:p>
            <w:pPr>
              <w:spacing w:after="0"/>
              <w:rPr>
                <w:sz w:val="17"/>
                <w:szCs w:val="17"/>
                <w:color w:val="auto"/>
              </w:rPr>
            </w:pPr>
          </w:p>
        </w:tc>
        <w:tc>
          <w:tcPr>
            <w:tcW w:w="2440" w:type="dxa"/>
            <w:vAlign w:val="bottom"/>
            <w:tcBorders>
              <w:top w:val="single" w:sz="8" w:color="0000FF"/>
            </w:tcBorders>
            <w:gridSpan w:val="32"/>
          </w:tcPr>
          <w:p>
            <w:pPr>
              <w:spacing w:after="0"/>
              <w:rPr>
                <w:sz w:val="17"/>
                <w:szCs w:val="17"/>
                <w:color w:val="auto"/>
              </w:rPr>
            </w:pPr>
          </w:p>
        </w:tc>
        <w:tc>
          <w:tcPr>
            <w:tcW w:w="6080" w:type="dxa"/>
            <w:vAlign w:val="bottom"/>
            <w:tcBorders>
              <w:top w:val="single" w:sz="8" w:color="CFF0FC"/>
            </w:tcBorders>
            <w:gridSpan w:val="19"/>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3.</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36</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1700" w:type="dxa"/>
            <w:vAlign w:val="bottom"/>
            <w:tcBorders>
              <w:top w:val="single" w:sz="8" w:color="CFF0FC"/>
            </w:tcBorders>
            <w:gridSpan w:val="4"/>
          </w:tcPr>
          <w:p>
            <w:pPr>
              <w:ind w:left="20"/>
              <w:spacing w:after="0" w:line="162"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47"/>
          </w:tcPr>
          <w:p>
            <w:pPr>
              <w:spacing w:after="0" w:line="162" w:lineRule="exact"/>
              <w:rPr>
                <w:sz w:val="20"/>
                <w:szCs w:val="20"/>
                <w:color w:val="auto"/>
              </w:rPr>
            </w:pPr>
            <w:r>
              <w:rPr>
                <w:rFonts w:ascii="Arial" w:cs="Arial" w:eastAsia="Arial" w:hAnsi="Arial"/>
                <w:sz w:val="16"/>
                <w:szCs w:val="16"/>
                <w:color w:val="0000FF"/>
              </w:rPr>
              <w:t>Controls and Procedures</w:t>
            </w:r>
          </w:p>
        </w:tc>
        <w:tc>
          <w:tcPr>
            <w:tcW w:w="3740" w:type="dxa"/>
            <w:vAlign w:val="bottom"/>
            <w:tcBorders>
              <w:top w:val="single" w:sz="8" w:color="CFF0FC"/>
            </w:tcBorders>
            <w:gridSpan w:val="4"/>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36</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23"/>
        </w:trPr>
        <w:tc>
          <w:tcPr>
            <w:tcW w:w="1700" w:type="dxa"/>
            <w:vAlign w:val="bottom"/>
            <w:gridSpan w:val="4"/>
          </w:tcPr>
          <w:p>
            <w:pPr>
              <w:spacing w:after="0"/>
              <w:rPr>
                <w:sz w:val="19"/>
                <w:szCs w:val="19"/>
                <w:color w:val="auto"/>
              </w:rPr>
            </w:pPr>
          </w:p>
        </w:tc>
        <w:tc>
          <w:tcPr>
            <w:tcW w:w="1800" w:type="dxa"/>
            <w:vAlign w:val="bottom"/>
            <w:tcBorders>
              <w:top w:val="single" w:sz="8" w:color="0000FF"/>
            </w:tcBorders>
            <w:gridSpan w:val="22"/>
          </w:tcPr>
          <w:p>
            <w:pPr>
              <w:spacing w:after="0"/>
              <w:rPr>
                <w:sz w:val="19"/>
                <w:szCs w:val="19"/>
                <w:color w:val="auto"/>
              </w:rPr>
            </w:pPr>
          </w:p>
        </w:tc>
        <w:tc>
          <w:tcPr>
            <w:tcW w:w="6860" w:type="dxa"/>
            <w:vAlign w:val="bottom"/>
            <w:gridSpan w:val="30"/>
          </w:tcPr>
          <w:p>
            <w:pPr>
              <w:spacing w:after="0"/>
              <w:rPr>
                <w:sz w:val="19"/>
                <w:szCs w:val="19"/>
                <w:color w:val="auto"/>
              </w:rPr>
            </w:pPr>
          </w:p>
        </w:tc>
        <w:tc>
          <w:tcPr>
            <w:tcW w:w="180" w:type="dxa"/>
            <w:vAlign w:val="bottom"/>
            <w:tcBorders>
              <w:top w:val="single" w:sz="8" w:color="0000FF"/>
            </w:tcBorders>
            <w:gridSpan w:val="4"/>
          </w:tcPr>
          <w:p>
            <w:pPr>
              <w:spacing w:after="0"/>
              <w:rPr>
                <w:sz w:val="19"/>
                <w:szCs w:val="19"/>
                <w:color w:val="auto"/>
              </w:rPr>
            </w:pPr>
          </w:p>
        </w:tc>
        <w:tc>
          <w:tcPr>
            <w:tcW w:w="700" w:type="dxa"/>
            <w:vAlign w:val="bottom"/>
            <w:gridSpan w:val="2"/>
          </w:tcPr>
          <w:p>
            <w:pPr>
              <w:spacing w:after="0"/>
              <w:rPr>
                <w:sz w:val="19"/>
                <w:szCs w:val="19"/>
                <w:color w:val="auto"/>
              </w:rPr>
            </w:pPr>
          </w:p>
        </w:tc>
      </w:tr>
      <w:tr>
        <w:trPr>
          <w:trHeight w:val="203"/>
        </w:trPr>
        <w:tc>
          <w:tcPr>
            <w:tcW w:w="2520" w:type="dxa"/>
            <w:vAlign w:val="bottom"/>
            <w:gridSpan w:val="10"/>
            <w:shd w:val="clear" w:color="auto" w:fill="CFF0FC"/>
          </w:tcPr>
          <w:p>
            <w:pPr>
              <w:ind w:left="20"/>
              <w:spacing w:after="0"/>
              <w:rPr>
                <w:sz w:val="20"/>
                <w:szCs w:val="20"/>
                <w:color w:val="auto"/>
              </w:rPr>
            </w:pPr>
            <w:r>
              <w:rPr>
                <w:rFonts w:ascii="Arial" w:cs="Arial" w:eastAsia="Arial" w:hAnsi="Arial"/>
                <w:sz w:val="16"/>
                <w:szCs w:val="16"/>
                <w:color w:val="auto"/>
              </w:rPr>
              <w:t>PART II. OTHER INFORMATION</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r>
      <w:tr>
        <w:trPr>
          <w:trHeight w:val="162"/>
        </w:trPr>
        <w:tc>
          <w:tcPr>
            <w:tcW w:w="17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Item 1.</w:t>
            </w:r>
          </w:p>
        </w:tc>
        <w:tc>
          <w:tcPr>
            <w:tcW w:w="7980" w:type="dxa"/>
            <w:vAlign w:val="bottom"/>
            <w:gridSpan w:val="51"/>
          </w:tcPr>
          <w:p>
            <w:pPr>
              <w:spacing w:after="0" w:line="162" w:lineRule="exact"/>
              <w:rPr>
                <w:sz w:val="20"/>
                <w:szCs w:val="20"/>
                <w:color w:val="auto"/>
              </w:rPr>
            </w:pPr>
            <w:r>
              <w:rPr>
                <w:rFonts w:ascii="Arial" w:cs="Arial" w:eastAsia="Arial" w:hAnsi="Arial"/>
                <w:sz w:val="16"/>
                <w:szCs w:val="16"/>
                <w:color w:val="0000FF"/>
              </w:rPr>
              <w:t>Legal Proceedings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1360" w:type="dxa"/>
            <w:vAlign w:val="bottom"/>
            <w:tcBorders>
              <w:top w:val="single" w:sz="8" w:color="0000FF"/>
            </w:tcBorders>
            <w:gridSpan w:val="12"/>
          </w:tcPr>
          <w:p>
            <w:pPr>
              <w:spacing w:after="0" w:line="20" w:lineRule="exact"/>
              <w:rPr>
                <w:sz w:val="1"/>
                <w:szCs w:val="1"/>
                <w:color w:val="auto"/>
              </w:rPr>
            </w:pPr>
          </w:p>
        </w:tc>
        <w:tc>
          <w:tcPr>
            <w:tcW w:w="7300" w:type="dxa"/>
            <w:vAlign w:val="bottom"/>
            <w:gridSpan w:val="40"/>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62"/>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1A.</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Risk Factors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36</w:t>
            </w:r>
          </w:p>
        </w:tc>
        <w:tc>
          <w:tcPr>
            <w:tcW w:w="6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0"/>
        </w:trPr>
        <w:tc>
          <w:tcPr>
            <w:tcW w:w="1700" w:type="dxa"/>
            <w:vAlign w:val="bottom"/>
            <w:tcBorders>
              <w:top w:val="single" w:sz="8" w:color="CFF0FC"/>
            </w:tcBorders>
            <w:gridSpan w:val="4"/>
            <w:shd w:val="clear" w:color="auto" w:fill="CFF0FC"/>
          </w:tcPr>
          <w:p>
            <w:pPr>
              <w:spacing w:after="0" w:line="20" w:lineRule="exact"/>
              <w:rPr>
                <w:sz w:val="1"/>
                <w:szCs w:val="1"/>
                <w:color w:val="auto"/>
              </w:rPr>
            </w:pPr>
          </w:p>
        </w:tc>
        <w:tc>
          <w:tcPr>
            <w:tcW w:w="900" w:type="dxa"/>
            <w:vAlign w:val="bottom"/>
            <w:tcBorders>
              <w:top w:val="single" w:sz="8" w:color="0000FF"/>
            </w:tcBorders>
            <w:gridSpan w:val="7"/>
            <w:shd w:val="clear" w:color="auto" w:fill="CFF0FC"/>
          </w:tcPr>
          <w:p>
            <w:pPr>
              <w:spacing w:after="0" w:line="20" w:lineRule="exact"/>
              <w:rPr>
                <w:sz w:val="1"/>
                <w:szCs w:val="1"/>
                <w:color w:val="auto"/>
              </w:rPr>
            </w:pPr>
          </w:p>
        </w:tc>
        <w:tc>
          <w:tcPr>
            <w:tcW w:w="7760" w:type="dxa"/>
            <w:vAlign w:val="bottom"/>
            <w:tcBorders>
              <w:top w:val="single" w:sz="8" w:color="CFF0FC"/>
            </w:tcBorders>
            <w:gridSpan w:val="45"/>
            <w:shd w:val="clear" w:color="auto" w:fill="CFF0FC"/>
          </w:tcPr>
          <w:p>
            <w:pPr>
              <w:spacing w:after="0" w:line="20" w:lineRule="exact"/>
              <w:rPr>
                <w:sz w:val="1"/>
                <w:szCs w:val="1"/>
                <w:color w:val="auto"/>
              </w:rPr>
            </w:pPr>
          </w:p>
        </w:tc>
        <w:tc>
          <w:tcPr>
            <w:tcW w:w="180" w:type="dxa"/>
            <w:vAlign w:val="bottom"/>
            <w:tcBorders>
              <w:top w:val="single" w:sz="8" w:color="0000FF"/>
            </w:tcBorders>
            <w:gridSpan w:val="4"/>
            <w:shd w:val="clear" w:color="auto" w:fill="CFF0FC"/>
          </w:tcPr>
          <w:p>
            <w:pPr>
              <w:spacing w:after="0" w:line="20" w:lineRule="exact"/>
              <w:rPr>
                <w:sz w:val="1"/>
                <w:szCs w:val="1"/>
                <w:color w:val="auto"/>
              </w:rPr>
            </w:pPr>
          </w:p>
        </w:tc>
        <w:tc>
          <w:tcPr>
            <w:tcW w:w="700" w:type="dxa"/>
            <w:vAlign w:val="bottom"/>
            <w:tcBorders>
              <w:top w:val="single" w:sz="8" w:color="CFF0FC"/>
            </w:tcBorders>
            <w:gridSpan w:val="2"/>
            <w:shd w:val="clear" w:color="auto" w:fill="CFF0FC"/>
          </w:tcPr>
          <w:p>
            <w:pPr>
              <w:spacing w:after="0" w:line="20" w:lineRule="exact"/>
              <w:rPr>
                <w:sz w:val="1"/>
                <w:szCs w:val="1"/>
                <w:color w:val="auto"/>
              </w:rPr>
            </w:pPr>
          </w:p>
        </w:tc>
      </w:tr>
      <w:tr>
        <w:trPr>
          <w:trHeight w:val="162"/>
        </w:trPr>
        <w:tc>
          <w:tcPr>
            <w:tcW w:w="170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Item 2.</w:t>
            </w:r>
          </w:p>
        </w:tc>
        <w:tc>
          <w:tcPr>
            <w:tcW w:w="7980" w:type="dxa"/>
            <w:vAlign w:val="bottom"/>
            <w:gridSpan w:val="51"/>
          </w:tcPr>
          <w:p>
            <w:pPr>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860" w:type="dxa"/>
            <w:vAlign w:val="bottom"/>
            <w:gridSpan w:val="5"/>
          </w:tcPr>
          <w:p>
            <w:pPr>
              <w:jc w:val="center"/>
              <w:ind w:left="599"/>
              <w:spacing w:after="0" w:line="162" w:lineRule="exact"/>
              <w:rPr>
                <w:sz w:val="20"/>
                <w:szCs w:val="20"/>
                <w:color w:val="auto"/>
              </w:rPr>
            </w:pPr>
            <w:r>
              <w:rPr>
                <w:rFonts w:ascii="Arial" w:cs="Arial" w:eastAsia="Arial" w:hAnsi="Arial"/>
                <w:sz w:val="16"/>
                <w:szCs w:val="16"/>
                <w:color w:val="0000FF"/>
              </w:rPr>
              <w:t>36</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4380" w:type="dxa"/>
            <w:vAlign w:val="bottom"/>
            <w:tcBorders>
              <w:top w:val="single" w:sz="8" w:color="0000FF"/>
            </w:tcBorders>
            <w:gridSpan w:val="48"/>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4.</w:t>
            </w:r>
          </w:p>
        </w:tc>
        <w:tc>
          <w:tcPr>
            <w:tcW w:w="7980" w:type="dxa"/>
            <w:vAlign w:val="bottom"/>
            <w:gridSpan w:val="51"/>
            <w:shd w:val="clear" w:color="auto" w:fill="CFF0FC"/>
          </w:tcPr>
          <w:p>
            <w:pPr>
              <w:spacing w:after="0" w:line="162" w:lineRule="exact"/>
              <w:rPr>
                <w:sz w:val="20"/>
                <w:szCs w:val="20"/>
                <w:color w:val="auto"/>
              </w:rPr>
            </w:pPr>
            <w:r>
              <w:rPr>
                <w:rFonts w:ascii="Arial" w:cs="Arial" w:eastAsia="Arial" w:hAnsi="Arial"/>
                <w:sz w:val="16"/>
                <w:szCs w:val="16"/>
                <w:color w:val="0000FF"/>
              </w:rPr>
              <w:t>Mine Safety Disclosures</w:t>
            </w: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162"/>
        </w:trPr>
        <w:tc>
          <w:tcPr>
            <w:tcW w:w="1700" w:type="dxa"/>
            <w:vAlign w:val="bottom"/>
            <w:tcBorders>
              <w:top w:val="single" w:sz="8" w:color="CFF0FC"/>
            </w:tcBorders>
            <w:gridSpan w:val="4"/>
          </w:tcPr>
          <w:p>
            <w:pPr>
              <w:ind w:left="20"/>
              <w:spacing w:after="0" w:line="162"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20"/>
          </w:tcPr>
          <w:p>
            <w:pPr>
              <w:spacing w:after="0" w:line="162" w:lineRule="exact"/>
              <w:rPr>
                <w:sz w:val="20"/>
                <w:szCs w:val="20"/>
                <w:color w:val="auto"/>
              </w:rPr>
            </w:pPr>
            <w:r>
              <w:rPr>
                <w:rFonts w:ascii="Arial" w:cs="Arial" w:eastAsia="Arial" w:hAnsi="Arial"/>
                <w:sz w:val="16"/>
                <w:szCs w:val="16"/>
                <w:color w:val="0000FF"/>
              </w:rPr>
              <w:t>Other Information</w:t>
            </w:r>
          </w:p>
        </w:tc>
        <w:tc>
          <w:tcPr>
            <w:tcW w:w="6240" w:type="dxa"/>
            <w:vAlign w:val="bottom"/>
            <w:tcBorders>
              <w:top w:val="single" w:sz="8" w:color="CFF0FC"/>
            </w:tcBorders>
            <w:gridSpan w:val="31"/>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80" w:type="dxa"/>
            <w:vAlign w:val="bottom"/>
            <w:tcBorders>
              <w:top w:val="single" w:sz="8" w:color="0000FF"/>
            </w:tcBorders>
            <w:gridSpan w:val="4"/>
          </w:tcPr>
          <w:p>
            <w:pPr>
              <w:jc w:val="center"/>
              <w:spacing w:after="0" w:line="162" w:lineRule="exact"/>
              <w:rPr>
                <w:sz w:val="20"/>
                <w:szCs w:val="20"/>
                <w:color w:val="auto"/>
              </w:rPr>
            </w:pPr>
            <w:r>
              <w:rPr>
                <w:rFonts w:ascii="Arial" w:cs="Arial" w:eastAsia="Arial" w:hAnsi="Arial"/>
                <w:sz w:val="16"/>
                <w:szCs w:val="16"/>
                <w:color w:val="0000FF"/>
              </w:rPr>
              <w:t>37</w:t>
            </w:r>
          </w:p>
        </w:tc>
        <w:tc>
          <w:tcPr>
            <w:tcW w:w="6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r>
      <w:tr>
        <w:trPr>
          <w:trHeight w:val="20"/>
        </w:trPr>
        <w:tc>
          <w:tcPr>
            <w:tcW w:w="1700" w:type="dxa"/>
            <w:vAlign w:val="bottom"/>
            <w:gridSpan w:val="4"/>
          </w:tcPr>
          <w:p>
            <w:pPr>
              <w:spacing w:after="0" w:line="20" w:lineRule="exact"/>
              <w:rPr>
                <w:sz w:val="1"/>
                <w:szCs w:val="1"/>
                <w:color w:val="auto"/>
              </w:rPr>
            </w:pPr>
          </w:p>
        </w:tc>
        <w:tc>
          <w:tcPr>
            <w:tcW w:w="1260" w:type="dxa"/>
            <w:vAlign w:val="bottom"/>
            <w:tcBorders>
              <w:top w:val="single" w:sz="8" w:color="0000FF"/>
            </w:tcBorders>
            <w:gridSpan w:val="11"/>
          </w:tcPr>
          <w:p>
            <w:pPr>
              <w:spacing w:after="0" w:line="20" w:lineRule="exact"/>
              <w:rPr>
                <w:sz w:val="1"/>
                <w:szCs w:val="1"/>
                <w:color w:val="auto"/>
              </w:rPr>
            </w:pPr>
          </w:p>
        </w:tc>
        <w:tc>
          <w:tcPr>
            <w:tcW w:w="7400" w:type="dxa"/>
            <w:vAlign w:val="bottom"/>
            <w:gridSpan w:val="41"/>
          </w:tcPr>
          <w:p>
            <w:pPr>
              <w:spacing w:after="0" w:line="20" w:lineRule="exact"/>
              <w:rPr>
                <w:sz w:val="1"/>
                <w:szCs w:val="1"/>
                <w:color w:val="auto"/>
              </w:rPr>
            </w:pPr>
          </w:p>
        </w:tc>
        <w:tc>
          <w:tcPr>
            <w:tcW w:w="180" w:type="dxa"/>
            <w:vAlign w:val="bottom"/>
            <w:tcBorders>
              <w:top w:val="single" w:sz="8" w:color="0000FF"/>
            </w:tcBorders>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auto"/>
              </w:rPr>
              <w:t>Item 6.</w:t>
            </w:r>
          </w:p>
        </w:tc>
        <w:tc>
          <w:tcPr>
            <w:tcW w:w="820" w:type="dxa"/>
            <w:vAlign w:val="bottom"/>
            <w:gridSpan w:val="6"/>
            <w:shd w:val="clear" w:color="auto" w:fill="CFF0FC"/>
          </w:tcPr>
          <w:p>
            <w:pPr>
              <w:spacing w:after="0" w:line="162" w:lineRule="exact"/>
              <w:rPr>
                <w:sz w:val="20"/>
                <w:szCs w:val="20"/>
                <w:color w:val="auto"/>
              </w:rPr>
            </w:pPr>
            <w:r>
              <w:rPr>
                <w:rFonts w:ascii="Arial" w:cs="Arial" w:eastAsia="Arial" w:hAnsi="Arial"/>
                <w:sz w:val="16"/>
                <w:szCs w:val="16"/>
                <w:color w:val="0000FF"/>
              </w:rPr>
              <w:t>Exhibits</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37</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203"/>
        </w:trPr>
        <w:tc>
          <w:tcPr>
            <w:tcW w:w="1700" w:type="dxa"/>
            <w:vAlign w:val="bottom"/>
            <w:tcBorders>
              <w:top w:val="single" w:sz="8" w:color="CFF0FC"/>
            </w:tcBorders>
            <w:gridSpan w:val="4"/>
          </w:tcPr>
          <w:p>
            <w:pPr>
              <w:spacing w:after="0"/>
              <w:rPr>
                <w:sz w:val="17"/>
                <w:szCs w:val="17"/>
                <w:color w:val="auto"/>
              </w:rPr>
            </w:pPr>
          </w:p>
        </w:tc>
        <w:tc>
          <w:tcPr>
            <w:tcW w:w="580" w:type="dxa"/>
            <w:vAlign w:val="bottom"/>
            <w:tcBorders>
              <w:top w:val="single" w:sz="8" w:color="0000FF"/>
            </w:tcBorders>
            <w:gridSpan w:val="5"/>
          </w:tcPr>
          <w:p>
            <w:pPr>
              <w:spacing w:after="0"/>
              <w:rPr>
                <w:sz w:val="17"/>
                <w:szCs w:val="17"/>
                <w:color w:val="auto"/>
              </w:rPr>
            </w:pPr>
          </w:p>
        </w:tc>
        <w:tc>
          <w:tcPr>
            <w:tcW w:w="8080" w:type="dxa"/>
            <w:vAlign w:val="bottom"/>
            <w:tcBorders>
              <w:top w:val="single" w:sz="8" w:color="CFF0FC"/>
            </w:tcBorders>
            <w:gridSpan w:val="47"/>
          </w:tcPr>
          <w:p>
            <w:pPr>
              <w:spacing w:after="0"/>
              <w:rPr>
                <w:sz w:val="17"/>
                <w:szCs w:val="17"/>
                <w:color w:val="auto"/>
              </w:rPr>
            </w:pPr>
          </w:p>
        </w:tc>
        <w:tc>
          <w:tcPr>
            <w:tcW w:w="180" w:type="dxa"/>
            <w:vAlign w:val="bottom"/>
            <w:tcBorders>
              <w:top w:val="single" w:sz="8" w:color="0000FF"/>
            </w:tcBorders>
            <w:gridSpan w:val="4"/>
          </w:tcPr>
          <w:p>
            <w:pPr>
              <w:spacing w:after="0"/>
              <w:rPr>
                <w:sz w:val="17"/>
                <w:szCs w:val="17"/>
                <w:color w:val="auto"/>
              </w:rPr>
            </w:pPr>
          </w:p>
        </w:tc>
        <w:tc>
          <w:tcPr>
            <w:tcW w:w="700" w:type="dxa"/>
            <w:vAlign w:val="bottom"/>
            <w:tcBorders>
              <w:top w:val="single" w:sz="8" w:color="CFF0FC"/>
            </w:tcBorders>
            <w:gridSpan w:val="2"/>
          </w:tcPr>
          <w:p>
            <w:pPr>
              <w:spacing w:after="0"/>
              <w:rPr>
                <w:sz w:val="17"/>
                <w:szCs w:val="17"/>
                <w:color w:val="auto"/>
              </w:rPr>
            </w:pPr>
          </w:p>
        </w:tc>
      </w:tr>
      <w:tr>
        <w:trPr>
          <w:trHeight w:val="183"/>
        </w:trPr>
        <w:tc>
          <w:tcPr>
            <w:tcW w:w="1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6"/>
                <w:szCs w:val="16"/>
                <w:color w:val="0000FF"/>
              </w:rPr>
              <w:t>Signatures</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860" w:type="dxa"/>
            <w:vAlign w:val="bottom"/>
            <w:gridSpan w:val="5"/>
            <w:shd w:val="clear" w:color="auto" w:fill="CFF0FC"/>
          </w:tcPr>
          <w:p>
            <w:pPr>
              <w:jc w:val="center"/>
              <w:ind w:left="599"/>
              <w:spacing w:after="0" w:line="162" w:lineRule="exact"/>
              <w:rPr>
                <w:sz w:val="20"/>
                <w:szCs w:val="20"/>
                <w:color w:val="auto"/>
              </w:rPr>
            </w:pPr>
            <w:r>
              <w:rPr>
                <w:rFonts w:ascii="Arial" w:cs="Arial" w:eastAsia="Arial" w:hAnsi="Arial"/>
                <w:sz w:val="16"/>
                <w:szCs w:val="16"/>
                <w:color w:val="0000FF"/>
              </w:rPr>
              <w:t>38</w:t>
            </w:r>
          </w:p>
        </w:tc>
        <w:tc>
          <w:tcPr>
            <w:tcW w:w="6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r>
      <w:tr>
        <w:trPr>
          <w:trHeight w:val="416"/>
        </w:trPr>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gridSpan w:val="39"/>
          </w:tcPr>
          <w:p>
            <w:pPr>
              <w:jc w:val="right"/>
              <w:ind w:right="180"/>
              <w:spacing w:after="0"/>
              <w:rPr>
                <w:sz w:val="20"/>
                <w:szCs w:val="20"/>
                <w:color w:val="auto"/>
              </w:rPr>
            </w:pPr>
            <w:r>
              <w:rPr>
                <w:rFonts w:ascii="Arial" w:cs="Arial" w:eastAsia="Arial" w:hAnsi="Arial"/>
                <w:sz w:val="16"/>
                <w:szCs w:val="16"/>
                <w:color w:val="auto"/>
              </w:rPr>
              <w:t>2</w:t>
            </w: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751"/>
        </w:trPr>
        <w:tc>
          <w:tcPr>
            <w:tcW w:w="11240" w:type="dxa"/>
            <w:vAlign w:val="bottom"/>
            <w:tcBorders>
              <w:bottom w:val="single" w:sz="8" w:color="9A9A9A"/>
            </w:tcBorders>
            <w:gridSpan w:val="6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7460" w:type="dxa"/>
            <w:vAlign w:val="bottom"/>
          </w:tcPr>
          <w:p>
            <w:pPr>
              <w:ind w:left="6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70"/>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3780" w:type="dxa"/>
            <w:vAlign w:val="bottom"/>
          </w:tcPr>
          <w:p>
            <w:pPr>
              <w:spacing w:after="0"/>
              <w:rPr>
                <w:sz w:val="15"/>
                <w:szCs w:val="15"/>
                <w:color w:val="auto"/>
              </w:rPr>
            </w:pPr>
          </w:p>
        </w:tc>
        <w:tc>
          <w:tcPr>
            <w:tcW w:w="7460" w:type="dxa"/>
            <w:vAlign w:val="bottom"/>
          </w:tcPr>
          <w:p>
            <w:pPr>
              <w:spacing w:after="0"/>
              <w:rPr>
                <w:sz w:val="15"/>
                <w:szCs w:val="15"/>
                <w:color w:val="auto"/>
              </w:rPr>
            </w:pP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AFUDC</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Allowance for Funds Used During Construction</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AOCI</w:t>
            </w:r>
          </w:p>
        </w:tc>
        <w:tc>
          <w:tcPr>
            <w:tcW w:w="7460" w:type="dxa"/>
            <w:vAlign w:val="bottom"/>
          </w:tcPr>
          <w:p>
            <w:pPr>
              <w:ind w:left="60"/>
              <w:spacing w:after="0"/>
              <w:rPr>
                <w:sz w:val="20"/>
                <w:szCs w:val="20"/>
                <w:color w:val="auto"/>
              </w:rPr>
            </w:pPr>
            <w:r>
              <w:rPr>
                <w:rFonts w:ascii="Arial" w:cs="Arial" w:eastAsia="Arial" w:hAnsi="Arial"/>
                <w:sz w:val="16"/>
                <w:szCs w:val="16"/>
                <w:color w:val="auto"/>
              </w:rPr>
              <w:t>Accumulated Other Comprehensive Income (Loss)</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APSC</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Arkansas Public Service Commission</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Arkansas Gas</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204"/>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ASU</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Accounting Standards Update as issued by the FASB</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ATM</w:t>
            </w:r>
          </w:p>
        </w:tc>
        <w:tc>
          <w:tcPr>
            <w:tcW w:w="7460" w:type="dxa"/>
            <w:vAlign w:val="bottom"/>
          </w:tcPr>
          <w:p>
            <w:pPr>
              <w:ind w:left="60"/>
              <w:spacing w:after="0"/>
              <w:rPr>
                <w:sz w:val="20"/>
                <w:szCs w:val="20"/>
                <w:color w:val="auto"/>
              </w:rPr>
            </w:pPr>
            <w:r>
              <w:rPr>
                <w:rFonts w:ascii="Arial" w:cs="Arial" w:eastAsia="Arial" w:hAnsi="Arial"/>
                <w:sz w:val="16"/>
                <w:szCs w:val="16"/>
                <w:color w:val="auto"/>
              </w:rPr>
              <w:t>At-the-market equity offering program</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Availability</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The availability factor of a power plant is the percentage of the time that it is available to provide</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energy.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BHC</w:t>
            </w: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Corporation; the Company</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Colorado IPP</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Black Hills Electric Generation</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Holdings, providing wholesale electric capacity and energy primarily to our Electric Utilities.</w:t>
            </w:r>
          </w:p>
        </w:tc>
      </w:tr>
      <w:tr>
        <w:trPr>
          <w:trHeight w:val="204"/>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Electric Parent Holdings</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Black Hills Energy</w:t>
            </w:r>
          </w:p>
        </w:tc>
        <w:tc>
          <w:tcPr>
            <w:tcW w:w="7460" w:type="dxa"/>
            <w:vAlign w:val="bottom"/>
          </w:tcPr>
          <w:p>
            <w:pPr>
              <w:ind w:left="6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175"/>
        </w:trPr>
        <w:tc>
          <w:tcPr>
            <w:tcW w:w="37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Black Hills Energy Renewable Resources (BHERR)</w:t>
            </w:r>
          </w:p>
        </w:tc>
        <w:tc>
          <w:tcPr>
            <w:tcW w:w="746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Energy Renewable Resources, LLC, a direct, wholly-owned subsidiary of Black Hills Non-</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regulated Holdings</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Black Hills Energy Services</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Black Hills Energy Services Company, an indirect, wholly-owned subsidiary of Black Hills Utility</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Holdings, providing natural gas commodity supply for the Choice Gas Programs (doing business as</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Black Hills Energy).</w:t>
            </w:r>
          </w:p>
        </w:tc>
      </w:tr>
      <w:tr>
        <w:trPr>
          <w:trHeight w:val="204"/>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Non-regulated Holdings</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Black Hills Utility Holdings</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business as Black Hills Energy)</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Wyoming</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Choice Gas Program</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Regulator-approved programs in Wyoming and Nebraska that allow certain utility customers to select</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their natural gas commodity supplier, providing for the unbundling of the commodity service from the</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distribution delivery service.</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Operating Decision Maker (CODM)</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Chief Executive Officer</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Clean Energy Plan</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2030 Ready Plan that establishes a roadmap and preferred resource portfolio for Colorado Electric to</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cost-effectively achieve the State of Colorado’s requirement calling upon electric utilities to reduce</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greenhouse gas emissions by a minimum of 80% from 2005 levels by 2030. The recommended</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resource portfolio proposes the addition of 400 MW of clean energy resources to Colorado Electric's</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system. Colorado legislation allows electric utilities to own up to 50% of the renewable generation</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assets added to comply with the Clean Energy Plan.</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w:t>
            </w:r>
            <w:r>
              <w:rPr>
                <w:rFonts w:ascii="Arial" w:cs="Arial" w:eastAsia="Arial" w:hAnsi="Arial"/>
                <w:sz w:val="10"/>
                <w:szCs w:val="10"/>
                <w:color w:val="auto"/>
              </w:rPr>
              <w:t>2</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Carbon dioxide</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Colorado Electric</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Holdings, providing electric services to customers in Colorado (doing business as Black Hills Energy).</w:t>
            </w:r>
          </w:p>
        </w:tc>
      </w:tr>
      <w:tr>
        <w:trPr>
          <w:trHeight w:val="176"/>
        </w:trPr>
        <w:tc>
          <w:tcPr>
            <w:tcW w:w="378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Colorado Gas</w:t>
            </w:r>
          </w:p>
        </w:tc>
        <w:tc>
          <w:tcPr>
            <w:tcW w:w="7460" w:type="dxa"/>
            <w:vAlign w:val="bottom"/>
            <w:shd w:val="clear" w:color="auto" w:fill="CFF0FC"/>
          </w:tcPr>
          <w:p>
            <w:pPr>
              <w:ind w:left="60"/>
              <w:spacing w:after="0" w:line="176" w:lineRule="exact"/>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175"/>
        </w:trPr>
        <w:tc>
          <w:tcPr>
            <w:tcW w:w="3780" w:type="dxa"/>
            <w:vAlign w:val="bottom"/>
          </w:tcPr>
          <w:p>
            <w:pPr>
              <w:ind w:left="20"/>
              <w:spacing w:after="0" w:line="175" w:lineRule="exact"/>
              <w:rPr>
                <w:sz w:val="20"/>
                <w:szCs w:val="20"/>
                <w:color w:val="auto"/>
              </w:rPr>
            </w:pPr>
            <w:r>
              <w:rPr>
                <w:rFonts w:ascii="Arial" w:cs="Arial" w:eastAsia="Arial" w:hAnsi="Arial"/>
                <w:sz w:val="16"/>
                <w:szCs w:val="16"/>
                <w:color w:val="auto"/>
              </w:rPr>
              <w:t>Common Use System</w:t>
            </w:r>
          </w:p>
        </w:tc>
        <w:tc>
          <w:tcPr>
            <w:tcW w:w="7460" w:type="dxa"/>
            <w:vAlign w:val="bottom"/>
          </w:tcPr>
          <w:p>
            <w:pPr>
              <w:ind w:left="60"/>
              <w:spacing w:after="0" w:line="175" w:lineRule="exact"/>
              <w:rPr>
                <w:sz w:val="20"/>
                <w:szCs w:val="20"/>
                <w:color w:val="auto"/>
              </w:rPr>
            </w:pPr>
            <w:r>
              <w:rPr>
                <w:rFonts w:ascii="Arial" w:cs="Arial" w:eastAsia="Arial" w:hAnsi="Arial"/>
                <w:sz w:val="16"/>
                <w:szCs w:val="16"/>
                <w:color w:val="auto"/>
              </w:rPr>
              <w:t>The Common Use System is a jointly operated transmission system we participate in with Basin</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Electric Power Cooperative and Powder River Energy Corporation. The Common Use System provides</w:t>
            </w:r>
          </w:p>
        </w:tc>
      </w:tr>
      <w:tr>
        <w:trPr>
          <w:trHeight w:val="189"/>
        </w:trPr>
        <w:tc>
          <w:tcPr>
            <w:tcW w:w="3780" w:type="dxa"/>
            <w:vAlign w:val="bottom"/>
          </w:tcPr>
          <w:p>
            <w:pPr>
              <w:spacing w:after="0"/>
              <w:rPr>
                <w:sz w:val="16"/>
                <w:szCs w:val="16"/>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transmission service over these utilities' combined 230-kilovolt (kV) and limited 69-kV transmission</w:t>
            </w:r>
          </w:p>
        </w:tc>
      </w:tr>
      <w:tr>
        <w:trPr>
          <w:trHeight w:val="216"/>
        </w:trPr>
        <w:tc>
          <w:tcPr>
            <w:tcW w:w="3780" w:type="dxa"/>
            <w:vAlign w:val="bottom"/>
          </w:tcPr>
          <w:p>
            <w:pPr>
              <w:spacing w:after="0"/>
              <w:rPr>
                <w:sz w:val="18"/>
                <w:szCs w:val="18"/>
                <w:color w:val="auto"/>
              </w:rPr>
            </w:pPr>
          </w:p>
        </w:tc>
        <w:tc>
          <w:tcPr>
            <w:tcW w:w="7460" w:type="dxa"/>
            <w:vAlign w:val="bottom"/>
          </w:tcPr>
          <w:p>
            <w:pPr>
              <w:ind w:left="60"/>
              <w:spacing w:after="0"/>
              <w:rPr>
                <w:sz w:val="20"/>
                <w:szCs w:val="20"/>
                <w:color w:val="auto"/>
              </w:rPr>
            </w:pPr>
            <w:r>
              <w:rPr>
                <w:rFonts w:ascii="Arial" w:cs="Arial" w:eastAsia="Arial" w:hAnsi="Arial"/>
                <w:sz w:val="16"/>
                <w:szCs w:val="16"/>
                <w:color w:val="auto"/>
              </w:rPr>
              <w:t>facilities within areas of southwestern South Dakota and northeastern Wyoming.</w:t>
            </w:r>
          </w:p>
        </w:tc>
      </w:tr>
      <w:tr>
        <w:trPr>
          <w:trHeight w:val="176"/>
        </w:trPr>
        <w:tc>
          <w:tcPr>
            <w:tcW w:w="378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Consolidated Indebtedness to Capitalization Ratio</w:t>
            </w:r>
          </w:p>
        </w:tc>
        <w:tc>
          <w:tcPr>
            <w:tcW w:w="7460" w:type="dxa"/>
            <w:vAlign w:val="bottom"/>
            <w:shd w:val="clear" w:color="auto" w:fill="CFF0FC"/>
          </w:tcPr>
          <w:p>
            <w:pPr>
              <w:ind w:left="60"/>
              <w:spacing w:after="0" w:line="176"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net worth (excluding non-controlling interest) plus consolidated indebtedness (including letters of credit</w:t>
            </w:r>
          </w:p>
        </w:tc>
      </w:tr>
      <w:tr>
        <w:trPr>
          <w:trHeight w:val="217"/>
        </w:trPr>
        <w:tc>
          <w:tcPr>
            <w:tcW w:w="3780" w:type="dxa"/>
            <w:vAlign w:val="bottom"/>
            <w:shd w:val="clear" w:color="auto" w:fill="CFF0FC"/>
          </w:tcPr>
          <w:p>
            <w:pPr>
              <w:spacing w:after="0"/>
              <w:rPr>
                <w:sz w:val="18"/>
                <w:szCs w:val="18"/>
                <w:color w:val="auto"/>
              </w:rPr>
            </w:pP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and certain guarantees issued) as defined within the current Revolving Credit Facility.</w:t>
            </w: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CP Program</w:t>
            </w:r>
          </w:p>
        </w:tc>
        <w:tc>
          <w:tcPr>
            <w:tcW w:w="7460" w:type="dxa"/>
            <w:vAlign w:val="bottom"/>
          </w:tcPr>
          <w:p>
            <w:pPr>
              <w:ind w:left="60"/>
              <w:spacing w:after="0"/>
              <w:rPr>
                <w:sz w:val="20"/>
                <w:szCs w:val="20"/>
                <w:color w:val="auto"/>
              </w:rPr>
            </w:pPr>
            <w:r>
              <w:rPr>
                <w:rFonts w:ascii="Arial" w:cs="Arial" w:eastAsia="Arial" w:hAnsi="Arial"/>
                <w:sz w:val="16"/>
                <w:szCs w:val="16"/>
                <w:color w:val="auto"/>
              </w:rPr>
              <w:t>Commercial Paper Program</w:t>
            </w:r>
          </w:p>
        </w:tc>
      </w:tr>
      <w:tr>
        <w:trPr>
          <w:trHeight w:val="203"/>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CPUC</w:t>
            </w:r>
          </w:p>
        </w:tc>
        <w:tc>
          <w:tcPr>
            <w:tcW w:w="74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Colorado Public Utilities Commission</w:t>
            </w:r>
          </w:p>
        </w:tc>
      </w:tr>
      <w:tr>
        <w:trPr>
          <w:trHeight w:val="215"/>
        </w:trPr>
        <w:tc>
          <w:tcPr>
            <w:tcW w:w="3780" w:type="dxa"/>
            <w:vAlign w:val="bottom"/>
          </w:tcPr>
          <w:p>
            <w:pPr>
              <w:spacing w:after="0"/>
              <w:rPr>
                <w:sz w:val="18"/>
                <w:szCs w:val="18"/>
                <w:color w:val="auto"/>
              </w:rPr>
            </w:pPr>
          </w:p>
        </w:tc>
        <w:tc>
          <w:tcPr>
            <w:tcW w:w="7460" w:type="dxa"/>
            <w:vAlign w:val="bottom"/>
          </w:tcPr>
          <w:p>
            <w:pPr>
              <w:ind w:left="1800"/>
              <w:spacing w:after="0"/>
              <w:rPr>
                <w:sz w:val="20"/>
                <w:szCs w:val="20"/>
                <w:color w:val="auto"/>
              </w:rPr>
            </w:pPr>
            <w:r>
              <w:rPr>
                <w:rFonts w:ascii="Arial" w:cs="Arial" w:eastAsia="Arial" w:hAnsi="Arial"/>
                <w:sz w:val="16"/>
                <w:szCs w:val="16"/>
                <w:color w:val="auto"/>
              </w:rPr>
              <w:t>3</w:t>
            </w:r>
          </w:p>
        </w:tc>
      </w:tr>
      <w:tr>
        <w:trPr>
          <w:trHeight w:val="737"/>
        </w:trPr>
        <w:tc>
          <w:tcPr>
            <w:tcW w:w="37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9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300" w:type="dxa"/>
            <w:vAlign w:val="bottom"/>
          </w:tcPr>
          <w:p>
            <w:pPr>
              <w:spacing w:after="0"/>
              <w:rPr>
                <w:sz w:val="16"/>
                <w:szCs w:val="16"/>
                <w:color w:val="auto"/>
              </w:rPr>
            </w:pPr>
          </w:p>
        </w:tc>
      </w:tr>
      <w:tr>
        <w:trPr>
          <w:trHeight w:val="587"/>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Dth</w:t>
            </w:r>
          </w:p>
        </w:tc>
        <w:tc>
          <w:tcPr>
            <w:tcW w:w="1580" w:type="dxa"/>
            <w:vAlign w:val="bottom"/>
          </w:tcPr>
          <w:p>
            <w:pPr>
              <w:spacing w:after="0"/>
              <w:rPr>
                <w:sz w:val="24"/>
                <w:szCs w:val="24"/>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EPA</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Environmental Protection Agency</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FASB</w:t>
            </w:r>
          </w:p>
        </w:tc>
        <w:tc>
          <w:tcPr>
            <w:tcW w:w="8300" w:type="dxa"/>
            <w:vAlign w:val="bottom"/>
          </w:tcPr>
          <w:p>
            <w:pPr>
              <w:ind w:left="900"/>
              <w:spacing w:after="0"/>
              <w:rPr>
                <w:sz w:val="20"/>
                <w:szCs w:val="20"/>
                <w:color w:val="auto"/>
              </w:rPr>
            </w:pPr>
            <w:r>
              <w:rPr>
                <w:rFonts w:ascii="Arial" w:cs="Arial" w:eastAsia="Arial" w:hAnsi="Arial"/>
                <w:sz w:val="16"/>
                <w:szCs w:val="16"/>
                <w:color w:val="auto"/>
              </w:rPr>
              <w:t>Financial Accounting Standards Board</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Fitch</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Fitch Ratings Inc.</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8300" w:type="dxa"/>
            <w:vAlign w:val="bottom"/>
          </w:tcPr>
          <w:p>
            <w:pPr>
              <w:ind w:left="90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5"/>
        </w:trPr>
        <w:tc>
          <w:tcPr>
            <w:tcW w:w="294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6"/>
                <w:szCs w:val="16"/>
                <w:color w:val="auto"/>
              </w:rPr>
              <w:t>Heating Degree Day</w:t>
            </w:r>
          </w:p>
        </w:tc>
        <w:tc>
          <w:tcPr>
            <w:tcW w:w="8300" w:type="dxa"/>
            <w:vAlign w:val="bottom"/>
            <w:shd w:val="clear" w:color="auto" w:fill="CFF0FC"/>
          </w:tcPr>
          <w:p>
            <w:pPr>
              <w:ind w:left="900"/>
              <w:spacing w:after="0" w:line="175" w:lineRule="exact"/>
              <w:rPr>
                <w:sz w:val="20"/>
                <w:szCs w:val="20"/>
                <w:color w:val="auto"/>
              </w:rPr>
            </w:pPr>
            <w:r>
              <w:rPr>
                <w:rFonts w:ascii="Arial" w:cs="Arial" w:eastAsia="Arial" w:hAnsi="Arial"/>
                <w:sz w:val="16"/>
                <w:szCs w:val="16"/>
                <w:color w:val="auto"/>
              </w:rPr>
              <w:t>A heating degree day is equivalent to each degree that the average of the high and the low</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temperatures for a day is below 65 degrees. The colder the climate, the greater the number of heating</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degree days. Heating degree days are used in the utility industry to measure the relative coldness of</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weather and to compare relative temperatures between one geographic area and another. Normal</w:t>
            </w:r>
          </w:p>
        </w:tc>
      </w:tr>
      <w:tr>
        <w:trPr>
          <w:trHeight w:val="217"/>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degree days are based on the National Weather Service data for selected locations.</w:t>
            </w:r>
          </w:p>
        </w:tc>
      </w:tr>
      <w:tr>
        <w:trPr>
          <w:trHeight w:val="175"/>
        </w:trPr>
        <w:tc>
          <w:tcPr>
            <w:tcW w:w="29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HomeServe</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We offer HomeServe products to our natural gas residential customers interested in purchasing</w:t>
            </w:r>
          </w:p>
        </w:tc>
      </w:tr>
      <w:tr>
        <w:trPr>
          <w:trHeight w:val="216"/>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additional home repair service plans.</w:t>
            </w:r>
          </w:p>
        </w:tc>
      </w:tr>
      <w:tr>
        <w:trPr>
          <w:trHeight w:val="176"/>
        </w:trPr>
        <w:tc>
          <w:tcPr>
            <w:tcW w:w="2940" w:type="dxa"/>
            <w:vAlign w:val="bottom"/>
            <w:gridSpan w:val="2"/>
            <w:shd w:val="clear" w:color="auto" w:fill="CFF0FC"/>
          </w:tcPr>
          <w:p>
            <w:pPr>
              <w:ind w:left="20"/>
              <w:spacing w:after="0" w:line="176" w:lineRule="exact"/>
              <w:rPr>
                <w:sz w:val="20"/>
                <w:szCs w:val="20"/>
                <w:color w:val="auto"/>
              </w:rPr>
            </w:pPr>
            <w:r>
              <w:rPr>
                <w:rFonts w:ascii="Arial" w:cs="Arial" w:eastAsia="Arial" w:hAnsi="Arial"/>
                <w:sz w:val="16"/>
                <w:szCs w:val="16"/>
                <w:color w:val="auto"/>
              </w:rPr>
              <w:t>Integrated Generation</w:t>
            </w:r>
          </w:p>
        </w:tc>
        <w:tc>
          <w:tcPr>
            <w:tcW w:w="8300" w:type="dxa"/>
            <w:vAlign w:val="bottom"/>
            <w:shd w:val="clear" w:color="auto" w:fill="CFF0FC"/>
          </w:tcPr>
          <w:p>
            <w:pPr>
              <w:ind w:left="900"/>
              <w:spacing w:after="0" w:line="176" w:lineRule="exact"/>
              <w:rPr>
                <w:sz w:val="20"/>
                <w:szCs w:val="20"/>
                <w:color w:val="auto"/>
              </w:rPr>
            </w:pPr>
            <w:r>
              <w:rPr>
                <w:rFonts w:ascii="Arial" w:cs="Arial" w:eastAsia="Arial" w:hAnsi="Arial"/>
                <w:sz w:val="16"/>
                <w:szCs w:val="16"/>
                <w:color w:val="auto"/>
              </w:rPr>
              <w:t>Non-regulated power generation and mining businesses (Black Hills Electric Generation and WRDC)</w:t>
            </w:r>
          </w:p>
        </w:tc>
      </w:tr>
      <w:tr>
        <w:trPr>
          <w:trHeight w:val="217"/>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that are vertically integrated within our Electric Utilities segment.</w:t>
            </w:r>
          </w:p>
        </w:tc>
      </w:tr>
      <w:tr>
        <w:trPr>
          <w:trHeight w:val="175"/>
        </w:trPr>
        <w:tc>
          <w:tcPr>
            <w:tcW w:w="29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Iowa Gas</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16"/>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IPP</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Independent Power Producer</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IRS</w:t>
            </w:r>
          </w:p>
        </w:tc>
        <w:tc>
          <w:tcPr>
            <w:tcW w:w="8300" w:type="dxa"/>
            <w:vAlign w:val="bottom"/>
          </w:tcPr>
          <w:p>
            <w:pPr>
              <w:ind w:left="900"/>
              <w:spacing w:after="0"/>
              <w:rPr>
                <w:sz w:val="20"/>
                <w:szCs w:val="20"/>
                <w:color w:val="auto"/>
              </w:rPr>
            </w:pPr>
            <w:r>
              <w:rPr>
                <w:rFonts w:ascii="Arial" w:cs="Arial" w:eastAsia="Arial" w:hAnsi="Arial"/>
                <w:sz w:val="16"/>
                <w:szCs w:val="16"/>
                <w:color w:val="auto"/>
              </w:rPr>
              <w:t>United States Internal Revenue Service</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IUB</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Iowa Utilities Board</w:t>
            </w:r>
          </w:p>
        </w:tc>
      </w:tr>
      <w:tr>
        <w:trPr>
          <w:trHeight w:val="175"/>
        </w:trPr>
        <w:tc>
          <w:tcPr>
            <w:tcW w:w="29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Kansas Gas</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189"/>
        </w:trPr>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Holdings, providing natural gas services to customers in Kansas (doing business as Black Hills</w:t>
            </w:r>
          </w:p>
        </w:tc>
      </w:tr>
      <w:tr>
        <w:trPr>
          <w:trHeight w:val="216"/>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Energy).</w:t>
            </w:r>
          </w:p>
        </w:tc>
      </w:tr>
      <w:tr>
        <w:trPr>
          <w:trHeight w:val="204"/>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MMBtu</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Million British thermal units</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Moody's</w:t>
            </w:r>
          </w:p>
        </w:tc>
        <w:tc>
          <w:tcPr>
            <w:tcW w:w="8300" w:type="dxa"/>
            <w:vAlign w:val="bottom"/>
          </w:tcPr>
          <w:p>
            <w:pPr>
              <w:ind w:left="900"/>
              <w:spacing w:after="0"/>
              <w:rPr>
                <w:sz w:val="20"/>
                <w:szCs w:val="20"/>
                <w:color w:val="auto"/>
              </w:rPr>
            </w:pPr>
            <w:r>
              <w:rPr>
                <w:rFonts w:ascii="Arial" w:cs="Arial" w:eastAsia="Arial" w:hAnsi="Arial"/>
                <w:sz w:val="16"/>
                <w:szCs w:val="16"/>
                <w:color w:val="auto"/>
              </w:rPr>
              <w:t>Moody's Investors Service, Inc.</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MW</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Megawatts</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MWh</w:t>
            </w:r>
          </w:p>
        </w:tc>
        <w:tc>
          <w:tcPr>
            <w:tcW w:w="8300" w:type="dxa"/>
            <w:vAlign w:val="bottom"/>
          </w:tcPr>
          <w:p>
            <w:pPr>
              <w:ind w:left="900"/>
              <w:spacing w:after="0"/>
              <w:rPr>
                <w:sz w:val="20"/>
                <w:szCs w:val="20"/>
                <w:color w:val="auto"/>
              </w:rPr>
            </w:pPr>
            <w:r>
              <w:rPr>
                <w:rFonts w:ascii="Arial" w:cs="Arial" w:eastAsia="Arial" w:hAnsi="Arial"/>
                <w:sz w:val="16"/>
                <w:szCs w:val="16"/>
                <w:color w:val="auto"/>
              </w:rPr>
              <w:t>Megawatt-hours</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N/A</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Not applicable</w:t>
            </w:r>
          </w:p>
        </w:tc>
      </w:tr>
      <w:tr>
        <w:trPr>
          <w:trHeight w:val="175"/>
        </w:trPr>
        <w:tc>
          <w:tcPr>
            <w:tcW w:w="29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Nebraska Gas</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16"/>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176"/>
        </w:trPr>
        <w:tc>
          <w:tcPr>
            <w:tcW w:w="2940" w:type="dxa"/>
            <w:vAlign w:val="bottom"/>
            <w:gridSpan w:val="2"/>
            <w:shd w:val="clear" w:color="auto" w:fill="CFF0FC"/>
          </w:tcPr>
          <w:p>
            <w:pPr>
              <w:ind w:left="20"/>
              <w:spacing w:after="0" w:line="176" w:lineRule="exact"/>
              <w:rPr>
                <w:sz w:val="20"/>
                <w:szCs w:val="20"/>
                <w:color w:val="auto"/>
              </w:rPr>
            </w:pPr>
            <w:r>
              <w:rPr>
                <w:rFonts w:ascii="Arial" w:cs="Arial" w:eastAsia="Arial" w:hAnsi="Arial"/>
                <w:sz w:val="16"/>
                <w:szCs w:val="16"/>
                <w:color w:val="auto"/>
              </w:rPr>
              <w:t>Northern Iowa Windpower</w:t>
            </w:r>
          </w:p>
        </w:tc>
        <w:tc>
          <w:tcPr>
            <w:tcW w:w="8300" w:type="dxa"/>
            <w:vAlign w:val="bottom"/>
            <w:shd w:val="clear" w:color="auto" w:fill="CFF0FC"/>
          </w:tcPr>
          <w:p>
            <w:pPr>
              <w:ind w:left="900"/>
              <w:spacing w:after="0" w:line="176" w:lineRule="exact"/>
              <w:rPr>
                <w:sz w:val="20"/>
                <w:szCs w:val="20"/>
                <w:color w:val="auto"/>
              </w:rPr>
            </w:pPr>
            <w:r>
              <w:rPr>
                <w:rFonts w:ascii="Arial" w:cs="Arial" w:eastAsia="Arial" w:hAnsi="Arial"/>
                <w:sz w:val="16"/>
                <w:szCs w:val="16"/>
                <w:color w:val="auto"/>
              </w:rPr>
              <w:t>Northern Iowa Windpower, LLC, a 87.1 MW wind farm located near Joice, Iowa, previously owned by</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Black Hills Electric Generation. In March 2023, Black Hills Electric Generation completed the sale of</w:t>
            </w:r>
          </w:p>
        </w:tc>
      </w:tr>
      <w:tr>
        <w:trPr>
          <w:trHeight w:val="217"/>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Northern Iowa Windpower assets to a third-party.</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OCI</w:t>
            </w:r>
          </w:p>
        </w:tc>
        <w:tc>
          <w:tcPr>
            <w:tcW w:w="8300" w:type="dxa"/>
            <w:vAlign w:val="bottom"/>
          </w:tcPr>
          <w:p>
            <w:pPr>
              <w:ind w:left="900"/>
              <w:spacing w:after="0"/>
              <w:rPr>
                <w:sz w:val="20"/>
                <w:szCs w:val="20"/>
                <w:color w:val="auto"/>
              </w:rPr>
            </w:pPr>
            <w:r>
              <w:rPr>
                <w:rFonts w:ascii="Arial" w:cs="Arial" w:eastAsia="Arial" w:hAnsi="Arial"/>
                <w:sz w:val="16"/>
                <w:szCs w:val="16"/>
                <w:color w:val="auto"/>
              </w:rPr>
              <w:t>Other Comprehensive Income</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PPA</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Power Purchase Agreement</w:t>
            </w:r>
          </w:p>
        </w:tc>
      </w:tr>
      <w:tr>
        <w:trPr>
          <w:trHeight w:val="175"/>
        </w:trPr>
        <w:tc>
          <w:tcPr>
            <w:tcW w:w="2940" w:type="dxa"/>
            <w:vAlign w:val="bottom"/>
            <w:gridSpan w:val="2"/>
          </w:tcPr>
          <w:p>
            <w:pPr>
              <w:ind w:left="20"/>
              <w:spacing w:after="0" w:line="175" w:lineRule="exact"/>
              <w:rPr>
                <w:sz w:val="20"/>
                <w:szCs w:val="20"/>
                <w:color w:val="auto"/>
              </w:rPr>
            </w:pPr>
            <w:r>
              <w:rPr>
                <w:rFonts w:ascii="Arial" w:cs="Arial" w:eastAsia="Arial" w:hAnsi="Arial"/>
                <w:sz w:val="16"/>
                <w:szCs w:val="16"/>
                <w:i w:val="1"/>
                <w:iCs w:val="1"/>
                <w:color w:val="auto"/>
              </w:rPr>
              <w:t>Ready Wyoming</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A 260-mile, multi-phase transmission expansion project in Wyoming. This transmission project is</w:t>
            </w:r>
          </w:p>
        </w:tc>
      </w:tr>
      <w:tr>
        <w:trPr>
          <w:trHeight w:val="189"/>
        </w:trPr>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expected to serve the growing needs of customers by enhancing resiliency of Wyoming Electric’s</w:t>
            </w:r>
          </w:p>
        </w:tc>
      </w:tr>
      <w:tr>
        <w:trPr>
          <w:trHeight w:val="189"/>
        </w:trPr>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overall electric system and expanding access to power markets and renewable resources. The project</w:t>
            </w:r>
          </w:p>
        </w:tc>
      </w:tr>
      <w:tr>
        <w:trPr>
          <w:trHeight w:val="189"/>
        </w:trPr>
        <w:tc>
          <w:tcPr>
            <w:tcW w:w="1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is expected to help Wyoming Electric maintain top-quartile reliability and enable economic</w:t>
            </w:r>
          </w:p>
        </w:tc>
      </w:tr>
      <w:tr>
        <w:trPr>
          <w:trHeight w:val="216"/>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development in the Cheyenne, Wyoming region.</w:t>
            </w:r>
          </w:p>
        </w:tc>
      </w:tr>
      <w:tr>
        <w:trPr>
          <w:trHeight w:val="176"/>
        </w:trPr>
        <w:tc>
          <w:tcPr>
            <w:tcW w:w="2940" w:type="dxa"/>
            <w:vAlign w:val="bottom"/>
            <w:gridSpan w:val="2"/>
            <w:shd w:val="clear" w:color="auto" w:fill="CFF0FC"/>
          </w:tcPr>
          <w:p>
            <w:pPr>
              <w:ind w:left="20"/>
              <w:spacing w:after="0" w:line="176" w:lineRule="exact"/>
              <w:rPr>
                <w:sz w:val="20"/>
                <w:szCs w:val="20"/>
                <w:color w:val="auto"/>
              </w:rPr>
            </w:pPr>
            <w:r>
              <w:rPr>
                <w:rFonts w:ascii="Arial" w:cs="Arial" w:eastAsia="Arial" w:hAnsi="Arial"/>
                <w:sz w:val="16"/>
                <w:szCs w:val="16"/>
                <w:color w:val="auto"/>
              </w:rPr>
              <w:t>Revolving Credit Facility</w:t>
            </w:r>
          </w:p>
        </w:tc>
        <w:tc>
          <w:tcPr>
            <w:tcW w:w="8300" w:type="dxa"/>
            <w:vAlign w:val="bottom"/>
            <w:shd w:val="clear" w:color="auto" w:fill="CFF0FC"/>
          </w:tcPr>
          <w:p>
            <w:pPr>
              <w:ind w:left="900"/>
              <w:spacing w:after="0" w:line="176"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purposes, which was amended on May 9, 2023 and will terminate on July 19, 2026. This facility</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includes an accordion feature that allows us to increase total commitments up to $1.0 billion with the</w:t>
            </w:r>
          </w:p>
        </w:tc>
      </w:tr>
      <w:tr>
        <w:trPr>
          <w:trHeight w:val="189"/>
        </w:trPr>
        <w:tc>
          <w:tcPr>
            <w:tcW w:w="13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consent of the administrative agent, the issuing agents and each bank increasing or providing a new</w:t>
            </w:r>
          </w:p>
        </w:tc>
      </w:tr>
      <w:tr>
        <w:trPr>
          <w:trHeight w:val="217"/>
        </w:trPr>
        <w:tc>
          <w:tcPr>
            <w:tcW w:w="13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commitment.</w:t>
            </w:r>
          </w:p>
        </w:tc>
      </w:tr>
      <w:tr>
        <w:trPr>
          <w:trHeight w:val="203"/>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RNG</w:t>
            </w:r>
          </w:p>
        </w:tc>
        <w:tc>
          <w:tcPr>
            <w:tcW w:w="8300" w:type="dxa"/>
            <w:vAlign w:val="bottom"/>
          </w:tcPr>
          <w:p>
            <w:pPr>
              <w:ind w:left="900"/>
              <w:spacing w:after="0"/>
              <w:rPr>
                <w:sz w:val="20"/>
                <w:szCs w:val="20"/>
                <w:color w:val="auto"/>
              </w:rPr>
            </w:pPr>
            <w:r>
              <w:rPr>
                <w:rFonts w:ascii="Arial" w:cs="Arial" w:eastAsia="Arial" w:hAnsi="Arial"/>
                <w:sz w:val="16"/>
                <w:szCs w:val="16"/>
                <w:color w:val="auto"/>
              </w:rPr>
              <w:t>Renewable Natural Gas</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SEC</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United States Securities and Exchange Commission</w:t>
            </w:r>
          </w:p>
        </w:tc>
      </w:tr>
      <w:tr>
        <w:trPr>
          <w:trHeight w:val="175"/>
        </w:trPr>
        <w:tc>
          <w:tcPr>
            <w:tcW w:w="29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Service Guard Comfort Plan</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Appliance protection plan that provides home appliance repair services through on-going monthly</w:t>
            </w:r>
          </w:p>
        </w:tc>
      </w:tr>
      <w:tr>
        <w:trPr>
          <w:trHeight w:val="216"/>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service agreements to residential utility customers.</w:t>
            </w:r>
          </w:p>
        </w:tc>
      </w:tr>
      <w:tr>
        <w:trPr>
          <w:trHeight w:val="203"/>
        </w:trPr>
        <w:tc>
          <w:tcPr>
            <w:tcW w:w="29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S&amp;P</w:t>
            </w:r>
          </w:p>
        </w:tc>
        <w:tc>
          <w:tcPr>
            <w:tcW w:w="8300" w:type="dxa"/>
            <w:vAlign w:val="bottom"/>
            <w:shd w:val="clear" w:color="auto" w:fill="CFF0FC"/>
          </w:tcPr>
          <w:p>
            <w:pPr>
              <w:ind w:left="900"/>
              <w:spacing w:after="0"/>
              <w:rPr>
                <w:sz w:val="20"/>
                <w:szCs w:val="20"/>
                <w:color w:val="auto"/>
              </w:rPr>
            </w:pPr>
            <w:r>
              <w:rPr>
                <w:rFonts w:ascii="Arial" w:cs="Arial" w:eastAsia="Arial" w:hAnsi="Arial"/>
                <w:sz w:val="16"/>
                <w:szCs w:val="16"/>
                <w:color w:val="auto"/>
              </w:rPr>
              <w:t>S&amp;P Global Ratings, a division of S&amp;P Global Inc.</w:t>
            </w:r>
          </w:p>
        </w:tc>
      </w:tr>
      <w:tr>
        <w:trPr>
          <w:trHeight w:val="175"/>
        </w:trPr>
        <w:tc>
          <w:tcPr>
            <w:tcW w:w="29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South Dakota Electric</w:t>
            </w:r>
          </w:p>
        </w:tc>
        <w:tc>
          <w:tcPr>
            <w:tcW w:w="8300" w:type="dxa"/>
            <w:vAlign w:val="bottom"/>
          </w:tcPr>
          <w:p>
            <w:pPr>
              <w:ind w:left="900"/>
              <w:spacing w:after="0" w:line="175"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02"/>
        </w:trPr>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300" w:type="dxa"/>
            <w:vAlign w:val="bottom"/>
          </w:tcPr>
          <w:p>
            <w:pPr>
              <w:ind w:left="90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215"/>
        </w:trPr>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300" w:type="dxa"/>
            <w:vAlign w:val="bottom"/>
          </w:tcPr>
          <w:p>
            <w:pPr>
              <w:ind w:left="2640"/>
              <w:spacing w:after="0"/>
              <w:rPr>
                <w:sz w:val="20"/>
                <w:szCs w:val="20"/>
                <w:color w:val="auto"/>
              </w:rPr>
            </w:pPr>
            <w:r>
              <w:rPr>
                <w:rFonts w:ascii="Arial" w:cs="Arial" w:eastAsia="Arial" w:hAnsi="Arial"/>
                <w:sz w:val="16"/>
                <w:szCs w:val="16"/>
                <w:color w:val="auto"/>
              </w:rPr>
              <w:t>4</w:t>
            </w:r>
          </w:p>
        </w:tc>
      </w:tr>
      <w:tr>
        <w:trPr>
          <w:trHeight w:val="751"/>
        </w:trPr>
        <w:tc>
          <w:tcPr>
            <w:tcW w:w="1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Tech Services</w:t>
            </w: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Non-regulated product lines delivered by our Utilities that 1) provide electrical system construction</w:t>
            </w:r>
          </w:p>
        </w:tc>
      </w:tr>
      <w:tr>
        <w:trPr>
          <w:trHeight w:val="189"/>
        </w:trPr>
        <w:tc>
          <w:tcPr>
            <w:tcW w:w="2800" w:type="dxa"/>
            <w:vAlign w:val="bottom"/>
            <w:shd w:val="clear" w:color="auto" w:fill="CFF0FC"/>
          </w:tcPr>
          <w:p>
            <w:pPr>
              <w:spacing w:after="0"/>
              <w:rPr>
                <w:sz w:val="16"/>
                <w:szCs w:val="16"/>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services to large industrial customers of our Electric Utilities, and 2) serve gas transportation</w:t>
            </w:r>
          </w:p>
        </w:tc>
      </w:tr>
      <w:tr>
        <w:trPr>
          <w:trHeight w:val="189"/>
        </w:trPr>
        <w:tc>
          <w:tcPr>
            <w:tcW w:w="2800" w:type="dxa"/>
            <w:vAlign w:val="bottom"/>
            <w:shd w:val="clear" w:color="auto" w:fill="CFF0FC"/>
          </w:tcPr>
          <w:p>
            <w:pPr>
              <w:spacing w:after="0"/>
              <w:rPr>
                <w:sz w:val="16"/>
                <w:szCs w:val="16"/>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customers throughout its service territory by constructing and maintaining customer-owned gas</w:t>
            </w:r>
          </w:p>
        </w:tc>
      </w:tr>
      <w:tr>
        <w:trPr>
          <w:trHeight w:val="217"/>
        </w:trPr>
        <w:tc>
          <w:tcPr>
            <w:tcW w:w="2800" w:type="dxa"/>
            <w:vAlign w:val="bottom"/>
            <w:shd w:val="clear" w:color="auto" w:fill="CFF0FC"/>
          </w:tcPr>
          <w:p>
            <w:pPr>
              <w:spacing w:after="0"/>
              <w:rPr>
                <w:sz w:val="18"/>
                <w:szCs w:val="18"/>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infrastructure facilities, typically through one-time contracts.</w:t>
            </w:r>
          </w:p>
        </w:tc>
      </w:tr>
      <w:tr>
        <w:trPr>
          <w:trHeight w:val="203"/>
        </w:trPr>
        <w:tc>
          <w:tcPr>
            <w:tcW w:w="2800" w:type="dxa"/>
            <w:vAlign w:val="bottom"/>
          </w:tcPr>
          <w:p>
            <w:pPr>
              <w:ind w:left="20"/>
              <w:spacing w:after="0"/>
              <w:rPr>
                <w:sz w:val="20"/>
                <w:szCs w:val="20"/>
                <w:color w:val="auto"/>
              </w:rPr>
            </w:pPr>
            <w:r>
              <w:rPr>
                <w:rFonts w:ascii="Arial" w:cs="Arial" w:eastAsia="Arial" w:hAnsi="Arial"/>
                <w:sz w:val="16"/>
                <w:szCs w:val="16"/>
                <w:color w:val="auto"/>
              </w:rPr>
              <w:t>Utilities</w:t>
            </w:r>
          </w:p>
        </w:tc>
        <w:tc>
          <w:tcPr>
            <w:tcW w:w="8440" w:type="dxa"/>
            <w:vAlign w:val="bottom"/>
          </w:tcPr>
          <w:p>
            <w:pPr>
              <w:ind w:left="1040"/>
              <w:spacing w:after="0"/>
              <w:rPr>
                <w:sz w:val="20"/>
                <w:szCs w:val="20"/>
                <w:color w:val="auto"/>
              </w:rPr>
            </w:pPr>
            <w:r>
              <w:rPr>
                <w:rFonts w:ascii="Arial" w:cs="Arial" w:eastAsia="Arial" w:hAnsi="Arial"/>
                <w:sz w:val="16"/>
                <w:szCs w:val="16"/>
                <w:color w:val="auto"/>
              </w:rPr>
              <w:t>Black Hills' Electric and Gas Utilities</w:t>
            </w:r>
          </w:p>
        </w:tc>
      </w:tr>
      <w:tr>
        <w:trPr>
          <w:trHeight w:val="175"/>
        </w:trPr>
        <w:tc>
          <w:tcPr>
            <w:tcW w:w="28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Wind Capacity Factor</w:t>
            </w:r>
          </w:p>
        </w:tc>
        <w:tc>
          <w:tcPr>
            <w:tcW w:w="8440" w:type="dxa"/>
            <w:vAlign w:val="bottom"/>
            <w:shd w:val="clear" w:color="auto" w:fill="CFF0FC"/>
          </w:tcPr>
          <w:p>
            <w:pPr>
              <w:ind w:left="1040"/>
              <w:spacing w:after="0" w:line="175" w:lineRule="exact"/>
              <w:rPr>
                <w:sz w:val="20"/>
                <w:szCs w:val="20"/>
                <w:color w:val="auto"/>
              </w:rPr>
            </w:pPr>
            <w:r>
              <w:rPr>
                <w:rFonts w:ascii="Arial" w:cs="Arial" w:eastAsia="Arial" w:hAnsi="Arial"/>
                <w:sz w:val="16"/>
                <w:szCs w:val="16"/>
                <w:color w:val="auto"/>
              </w:rPr>
              <w:t>Measures the amount of electricity a wind turbine produces in a given time period relative to its</w:t>
            </w:r>
          </w:p>
        </w:tc>
      </w:tr>
      <w:tr>
        <w:trPr>
          <w:trHeight w:val="217"/>
        </w:trPr>
        <w:tc>
          <w:tcPr>
            <w:tcW w:w="2800" w:type="dxa"/>
            <w:vAlign w:val="bottom"/>
            <w:shd w:val="clear" w:color="auto" w:fill="CFF0FC"/>
          </w:tcPr>
          <w:p>
            <w:pPr>
              <w:spacing w:after="0"/>
              <w:rPr>
                <w:sz w:val="18"/>
                <w:szCs w:val="18"/>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maximum potential.</w:t>
            </w:r>
          </w:p>
        </w:tc>
      </w:tr>
      <w:tr>
        <w:trPr>
          <w:trHeight w:val="175"/>
        </w:trPr>
        <w:tc>
          <w:tcPr>
            <w:tcW w:w="2800" w:type="dxa"/>
            <w:vAlign w:val="bottom"/>
          </w:tcPr>
          <w:p>
            <w:pPr>
              <w:ind w:left="20"/>
              <w:spacing w:after="0" w:line="175" w:lineRule="exact"/>
              <w:rPr>
                <w:sz w:val="20"/>
                <w:szCs w:val="20"/>
                <w:color w:val="auto"/>
              </w:rPr>
            </w:pPr>
            <w:r>
              <w:rPr>
                <w:rFonts w:ascii="Arial" w:cs="Arial" w:eastAsia="Arial" w:hAnsi="Arial"/>
                <w:sz w:val="16"/>
                <w:szCs w:val="16"/>
                <w:color w:val="auto"/>
              </w:rPr>
              <w:t>Winter Storm Uri</w:t>
            </w:r>
          </w:p>
        </w:tc>
        <w:tc>
          <w:tcPr>
            <w:tcW w:w="8440" w:type="dxa"/>
            <w:vAlign w:val="bottom"/>
          </w:tcPr>
          <w:p>
            <w:pPr>
              <w:ind w:left="1040"/>
              <w:spacing w:after="0" w:line="175" w:lineRule="exact"/>
              <w:rPr>
                <w:sz w:val="20"/>
                <w:szCs w:val="20"/>
                <w:color w:val="auto"/>
              </w:rPr>
            </w:pPr>
            <w:r>
              <w:rPr>
                <w:rFonts w:ascii="Arial" w:cs="Arial" w:eastAsia="Arial" w:hAnsi="Arial"/>
                <w:sz w:val="16"/>
                <w:szCs w:val="16"/>
                <w:color w:val="auto"/>
              </w:rPr>
              <w:t>February 2021 winter weather event that caused extreme cold temperatures in the central United</w:t>
            </w:r>
          </w:p>
        </w:tc>
      </w:tr>
      <w:tr>
        <w:trPr>
          <w:trHeight w:val="189"/>
        </w:trPr>
        <w:tc>
          <w:tcPr>
            <w:tcW w:w="2800" w:type="dxa"/>
            <w:vAlign w:val="bottom"/>
          </w:tcPr>
          <w:p>
            <w:pPr>
              <w:spacing w:after="0"/>
              <w:rPr>
                <w:sz w:val="16"/>
                <w:szCs w:val="16"/>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States and led to unprecedented fluctuations in customer demand and market pricing for natural gas</w:t>
            </w:r>
          </w:p>
        </w:tc>
      </w:tr>
      <w:tr>
        <w:trPr>
          <w:trHeight w:val="216"/>
        </w:trPr>
        <w:tc>
          <w:tcPr>
            <w:tcW w:w="280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and energy.</w:t>
            </w:r>
          </w:p>
        </w:tc>
      </w:tr>
      <w:tr>
        <w:trPr>
          <w:trHeight w:val="203"/>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WPSC</w:t>
            </w: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Wyoming Public Service Commission</w:t>
            </w:r>
          </w:p>
        </w:tc>
      </w:tr>
      <w:tr>
        <w:trPr>
          <w:trHeight w:val="175"/>
        </w:trPr>
        <w:tc>
          <w:tcPr>
            <w:tcW w:w="2800" w:type="dxa"/>
            <w:vAlign w:val="bottom"/>
          </w:tcPr>
          <w:p>
            <w:pPr>
              <w:ind w:left="20"/>
              <w:spacing w:after="0" w:line="175" w:lineRule="exact"/>
              <w:rPr>
                <w:sz w:val="20"/>
                <w:szCs w:val="20"/>
                <w:color w:val="auto"/>
              </w:rPr>
            </w:pPr>
            <w:r>
              <w:rPr>
                <w:rFonts w:ascii="Arial" w:cs="Arial" w:eastAsia="Arial" w:hAnsi="Arial"/>
                <w:sz w:val="16"/>
                <w:szCs w:val="16"/>
                <w:color w:val="auto"/>
              </w:rPr>
              <w:t>WRDC</w:t>
            </w:r>
          </w:p>
        </w:tc>
        <w:tc>
          <w:tcPr>
            <w:tcW w:w="8440" w:type="dxa"/>
            <w:vAlign w:val="bottom"/>
          </w:tcPr>
          <w:p>
            <w:pPr>
              <w:ind w:left="1040"/>
              <w:spacing w:after="0" w:line="175" w:lineRule="exact"/>
              <w:rPr>
                <w:sz w:val="20"/>
                <w:szCs w:val="20"/>
                <w:color w:val="auto"/>
              </w:rPr>
            </w:pPr>
            <w:r>
              <w:rPr>
                <w:rFonts w:ascii="Arial" w:cs="Arial" w:eastAsia="Arial" w:hAnsi="Arial"/>
                <w:sz w:val="16"/>
                <w:szCs w:val="16"/>
                <w:color w:val="auto"/>
              </w:rPr>
              <w:t>Wyodak Resources Development Corp., a coal mine which is a direct, wholly-owned subsidiary of</w:t>
            </w:r>
          </w:p>
        </w:tc>
      </w:tr>
      <w:tr>
        <w:trPr>
          <w:trHeight w:val="189"/>
        </w:trPr>
        <w:tc>
          <w:tcPr>
            <w:tcW w:w="2800" w:type="dxa"/>
            <w:vAlign w:val="bottom"/>
          </w:tcPr>
          <w:p>
            <w:pPr>
              <w:spacing w:after="0"/>
              <w:rPr>
                <w:sz w:val="16"/>
                <w:szCs w:val="16"/>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Black Hills Non-regulated Holdings, providing coal supply primarily to five on-site, mine-mouth</w:t>
            </w:r>
          </w:p>
        </w:tc>
      </w:tr>
      <w:tr>
        <w:trPr>
          <w:trHeight w:val="216"/>
        </w:trPr>
        <w:tc>
          <w:tcPr>
            <w:tcW w:w="280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generating facilities at our Gillette Energy Complex (doing business as Black Hills Energy).</w:t>
            </w:r>
          </w:p>
        </w:tc>
      </w:tr>
      <w:tr>
        <w:trPr>
          <w:trHeight w:val="176"/>
        </w:trPr>
        <w:tc>
          <w:tcPr>
            <w:tcW w:w="280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Wyoming Electric</w:t>
            </w:r>
          </w:p>
        </w:tc>
        <w:tc>
          <w:tcPr>
            <w:tcW w:w="8440" w:type="dxa"/>
            <w:vAlign w:val="bottom"/>
            <w:shd w:val="clear" w:color="auto" w:fill="CFF0FC"/>
          </w:tcPr>
          <w:p>
            <w:pPr>
              <w:ind w:left="1040"/>
              <w:spacing w:after="0" w:line="176" w:lineRule="exact"/>
              <w:rPr>
                <w:sz w:val="20"/>
                <w:szCs w:val="20"/>
                <w:color w:val="auto"/>
              </w:rPr>
            </w:pPr>
            <w:r>
              <w:rPr>
                <w:rFonts w:ascii="Arial" w:cs="Arial" w:eastAsia="Arial" w:hAnsi="Arial"/>
                <w:sz w:val="16"/>
                <w:szCs w:val="16"/>
                <w:color w:val="auto"/>
              </w:rPr>
              <w:t>Cheyenne Light, Fuel and Power Company, a direct, wholly-owned subsidiary of Black Hills</w:t>
            </w:r>
          </w:p>
        </w:tc>
      </w:tr>
      <w:tr>
        <w:trPr>
          <w:trHeight w:val="189"/>
        </w:trPr>
        <w:tc>
          <w:tcPr>
            <w:tcW w:w="2800" w:type="dxa"/>
            <w:vAlign w:val="bottom"/>
            <w:shd w:val="clear" w:color="auto" w:fill="CFF0FC"/>
          </w:tcPr>
          <w:p>
            <w:pPr>
              <w:spacing w:after="0"/>
              <w:rPr>
                <w:sz w:val="16"/>
                <w:szCs w:val="16"/>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Corporation, providing electric service to customers in the Cheyenne, Wyoming area (doing business</w:t>
            </w:r>
          </w:p>
        </w:tc>
      </w:tr>
      <w:tr>
        <w:trPr>
          <w:trHeight w:val="217"/>
        </w:trPr>
        <w:tc>
          <w:tcPr>
            <w:tcW w:w="2800" w:type="dxa"/>
            <w:vAlign w:val="bottom"/>
            <w:shd w:val="clear" w:color="auto" w:fill="CFF0FC"/>
          </w:tcPr>
          <w:p>
            <w:pPr>
              <w:spacing w:after="0"/>
              <w:rPr>
                <w:sz w:val="18"/>
                <w:szCs w:val="18"/>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as Black Hills Energy).</w:t>
            </w:r>
          </w:p>
        </w:tc>
      </w:tr>
      <w:tr>
        <w:trPr>
          <w:trHeight w:val="175"/>
        </w:trPr>
        <w:tc>
          <w:tcPr>
            <w:tcW w:w="2800" w:type="dxa"/>
            <w:vAlign w:val="bottom"/>
          </w:tcPr>
          <w:p>
            <w:pPr>
              <w:ind w:left="20"/>
              <w:spacing w:after="0" w:line="175" w:lineRule="exact"/>
              <w:rPr>
                <w:sz w:val="20"/>
                <w:szCs w:val="20"/>
                <w:color w:val="auto"/>
              </w:rPr>
            </w:pPr>
            <w:r>
              <w:rPr>
                <w:rFonts w:ascii="Arial" w:cs="Arial" w:eastAsia="Arial" w:hAnsi="Arial"/>
                <w:sz w:val="16"/>
                <w:szCs w:val="16"/>
                <w:color w:val="auto"/>
              </w:rPr>
              <w:t>Wyoming Gas</w:t>
            </w:r>
          </w:p>
        </w:tc>
        <w:tc>
          <w:tcPr>
            <w:tcW w:w="8440" w:type="dxa"/>
            <w:vAlign w:val="bottom"/>
          </w:tcPr>
          <w:p>
            <w:pPr>
              <w:ind w:left="1040"/>
              <w:spacing w:after="0" w:line="175" w:lineRule="exact"/>
              <w:rPr>
                <w:sz w:val="20"/>
                <w:szCs w:val="20"/>
                <w:color w:val="auto"/>
              </w:rPr>
            </w:pPr>
            <w:r>
              <w:rPr>
                <w:rFonts w:ascii="Arial" w:cs="Arial" w:eastAsia="Arial" w:hAnsi="Arial"/>
                <w:sz w:val="16"/>
                <w:szCs w:val="16"/>
                <w:color w:val="auto"/>
              </w:rPr>
              <w:t>Black Hills Wyoming Gas, LLC, an indirect, wholly-owned subsidiary of Black Hills Utility Holdings,</w:t>
            </w:r>
          </w:p>
        </w:tc>
      </w:tr>
      <w:tr>
        <w:trPr>
          <w:trHeight w:val="216"/>
        </w:trPr>
        <w:tc>
          <w:tcPr>
            <w:tcW w:w="280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176"/>
        </w:trPr>
        <w:tc>
          <w:tcPr>
            <w:tcW w:w="2800" w:type="dxa"/>
            <w:vAlign w:val="bottom"/>
            <w:shd w:val="clear" w:color="auto" w:fill="CFF0FC"/>
          </w:tcPr>
          <w:p>
            <w:pPr>
              <w:ind w:left="20"/>
              <w:spacing w:after="0" w:line="176" w:lineRule="exact"/>
              <w:rPr>
                <w:sz w:val="20"/>
                <w:szCs w:val="20"/>
                <w:color w:val="auto"/>
              </w:rPr>
            </w:pPr>
            <w:r>
              <w:rPr>
                <w:rFonts w:ascii="Arial" w:cs="Arial" w:eastAsia="Arial" w:hAnsi="Arial"/>
                <w:sz w:val="16"/>
                <w:szCs w:val="16"/>
                <w:color w:val="auto"/>
              </w:rPr>
              <w:t>Wyoming Integrity Rider</w:t>
            </w:r>
          </w:p>
        </w:tc>
        <w:tc>
          <w:tcPr>
            <w:tcW w:w="8440" w:type="dxa"/>
            <w:vAlign w:val="bottom"/>
            <w:shd w:val="clear" w:color="auto" w:fill="CFF0FC"/>
          </w:tcPr>
          <w:p>
            <w:pPr>
              <w:ind w:left="1040"/>
              <w:spacing w:after="0" w:line="176" w:lineRule="exact"/>
              <w:rPr>
                <w:sz w:val="20"/>
                <w:szCs w:val="20"/>
                <w:color w:val="auto"/>
              </w:rPr>
            </w:pPr>
            <w:r>
              <w:rPr>
                <w:rFonts w:ascii="Arial" w:cs="Arial" w:eastAsia="Arial" w:hAnsi="Arial"/>
                <w:sz w:val="16"/>
                <w:szCs w:val="16"/>
                <w:color w:val="auto"/>
              </w:rPr>
              <w:t>The Wyoming Integrity Rider (WIR) is a WPSC-approved tariff that allows us to recover costs from</w:t>
            </w:r>
          </w:p>
        </w:tc>
      </w:tr>
      <w:tr>
        <w:trPr>
          <w:trHeight w:val="189"/>
        </w:trPr>
        <w:tc>
          <w:tcPr>
            <w:tcW w:w="2800" w:type="dxa"/>
            <w:vAlign w:val="bottom"/>
            <w:shd w:val="clear" w:color="auto" w:fill="CFF0FC"/>
          </w:tcPr>
          <w:p>
            <w:pPr>
              <w:spacing w:after="0"/>
              <w:rPr>
                <w:sz w:val="16"/>
                <w:szCs w:val="16"/>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customers associated with ongoing infrastructure replacement, gas meter and yard line replacement</w:t>
            </w:r>
          </w:p>
        </w:tc>
      </w:tr>
      <w:tr>
        <w:trPr>
          <w:trHeight w:val="217"/>
        </w:trPr>
        <w:tc>
          <w:tcPr>
            <w:tcW w:w="2800" w:type="dxa"/>
            <w:vAlign w:val="bottom"/>
            <w:shd w:val="clear" w:color="auto" w:fill="CFF0FC"/>
          </w:tcPr>
          <w:p>
            <w:pPr>
              <w:spacing w:after="0"/>
              <w:rPr>
                <w:sz w:val="18"/>
                <w:szCs w:val="18"/>
                <w:color w:val="auto"/>
              </w:rPr>
            </w:pPr>
          </w:p>
        </w:tc>
        <w:tc>
          <w:tcPr>
            <w:tcW w:w="8440" w:type="dxa"/>
            <w:vAlign w:val="bottom"/>
            <w:shd w:val="clear" w:color="auto" w:fill="CFF0FC"/>
          </w:tcPr>
          <w:p>
            <w:pPr>
              <w:ind w:left="1040"/>
              <w:spacing w:after="0"/>
              <w:rPr>
                <w:sz w:val="20"/>
                <w:szCs w:val="20"/>
                <w:color w:val="auto"/>
              </w:rPr>
            </w:pPr>
            <w:r>
              <w:rPr>
                <w:rFonts w:ascii="Arial" w:cs="Arial" w:eastAsia="Arial" w:hAnsi="Arial"/>
                <w:sz w:val="16"/>
                <w:szCs w:val="16"/>
                <w:color w:val="auto"/>
              </w:rPr>
              <w:t>projects driven by federal regulation.</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2023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 10-Q and other reports that we file with the SEC from time to time,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-144145</wp:posOffset>
            </wp:positionV>
            <wp:extent cx="354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142" w:lineRule="exact"/>
        <w:rPr>
          <w:sz w:val="20"/>
          <w:szCs w:val="20"/>
          <w:color w:val="auto"/>
        </w:rPr>
      </w:pPr>
    </w:p>
    <w:p>
      <w:pPr>
        <w:ind w:left="380" w:right="240" w:hanging="372"/>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4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execute on our strategy;</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execute our financing plans;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changing interest rates;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achieve our greenhouse gas emissions intensity reduction goals;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Board of Directors’ approval of any future quarterly dividends;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future governmental regulation;</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inflation and volatile energy prices; and</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Other factors discussed from time to time in our filings with the SEC.</w:t>
      </w:r>
    </w:p>
    <w:p>
      <w:pPr>
        <w:spacing w:after="0" w:line="20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PART I.</w:t>
      </w:r>
      <w:r>
        <w:rPr>
          <w:sz w:val="20"/>
          <w:szCs w:val="20"/>
          <w:color w:val="auto"/>
        </w:rPr>
        <w:tab/>
      </w:r>
      <w:r>
        <w:rPr>
          <w:rFonts w:ascii="Arial" w:cs="Arial" w:eastAsia="Arial" w:hAnsi="Arial"/>
          <w:sz w:val="16"/>
          <w:szCs w:val="16"/>
          <w:b w:val="1"/>
          <w:bCs w:val="1"/>
          <w:color w:val="auto"/>
        </w:rPr>
        <w:t>FINANCIAL INFORMATION</w:t>
      </w:r>
    </w:p>
    <w:p>
      <w:pPr>
        <w:spacing w:after="0" w:line="208" w:lineRule="exact"/>
        <w:rPr>
          <w:sz w:val="20"/>
          <w:szCs w:val="20"/>
          <w:color w:val="auto"/>
        </w:rPr>
      </w:pPr>
    </w:p>
    <w:p>
      <w:pPr>
        <w:spacing w:after="0"/>
        <w:tabs>
          <w:tab w:leader="none" w:pos="10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INCOME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expenses: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Fuel, purchased power and cost of natural gas sold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and maintenance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46" w:lineRule="exact"/>
        <w:rPr>
          <w:sz w:val="20"/>
          <w:szCs w:val="20"/>
          <w:color w:val="auto"/>
        </w:rPr>
      </w:pPr>
    </w:p>
    <w:p>
      <w:pPr>
        <w:jc w:val="center"/>
        <w:ind w:right="4240"/>
        <w:spacing w:after="0"/>
        <w:rPr>
          <w:sz w:val="20"/>
          <w:szCs w:val="20"/>
          <w:color w:val="auto"/>
        </w:rPr>
      </w:pPr>
      <w:r>
        <w:rPr>
          <w:rFonts w:ascii="Arial" w:cs="Arial" w:eastAsia="Arial" w:hAnsi="Arial"/>
          <w:sz w:val="16"/>
          <w:szCs w:val="16"/>
          <w:color w:val="auto"/>
        </w:rPr>
        <w:t>Taxes - property and production</w:t>
      </w:r>
    </w:p>
    <w:p>
      <w:pPr>
        <w:spacing w:after="0" w:line="32" w:lineRule="exact"/>
        <w:rPr>
          <w:sz w:val="20"/>
          <w:szCs w:val="20"/>
          <w:color w:val="auto"/>
        </w:rPr>
      </w:pPr>
    </w:p>
    <w:p>
      <w:pPr>
        <w:jc w:val="center"/>
        <w:ind w:right="4360"/>
        <w:spacing w:after="0"/>
        <w:rPr>
          <w:sz w:val="20"/>
          <w:szCs w:val="20"/>
          <w:color w:val="auto"/>
        </w:rPr>
      </w:pPr>
      <w:r>
        <w:rPr>
          <w:rFonts w:ascii="Arial" w:cs="Arial" w:eastAsia="Arial" w:hAnsi="Arial"/>
          <w:sz w:val="16"/>
          <w:szCs w:val="16"/>
          <w:color w:val="auto"/>
        </w:rPr>
        <w:t>Total operating expenses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income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w:t>
      </w:r>
    </w:p>
    <w:p>
      <w:pPr>
        <w:spacing w:after="0" w:line="32" w:lineRule="exact"/>
        <w:rPr>
          <w:sz w:val="20"/>
          <w:szCs w:val="20"/>
          <w:color w:val="auto"/>
        </w:rPr>
      </w:pPr>
    </w:p>
    <w:p>
      <w:pPr>
        <w:ind w:left="20" w:right="2780"/>
        <w:spacing w:after="0" w:line="290" w:lineRule="auto"/>
        <w:rPr>
          <w:sz w:val="20"/>
          <w:szCs w:val="20"/>
          <w:color w:val="auto"/>
        </w:rPr>
      </w:pPr>
      <w:r>
        <w:rPr>
          <w:rFonts w:ascii="Arial" w:cs="Arial" w:eastAsia="Arial" w:hAnsi="Arial"/>
          <w:sz w:val="16"/>
          <w:szCs w:val="16"/>
          <w:color w:val="auto"/>
        </w:rPr>
        <w:t>Interest expense incurred net of amounts capitalized Interest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 net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other income (expense)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Three Months Ended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r>
      <w:tr>
        <w:trPr>
          <w:trHeight w:val="208"/>
        </w:trPr>
        <w:tc>
          <w:tcPr>
            <w:tcW w:w="320" w:type="dxa"/>
            <w:vAlign w:val="bottom"/>
          </w:tcPr>
          <w:p>
            <w:pPr>
              <w:spacing w:after="0"/>
              <w:rPr>
                <w:sz w:val="18"/>
                <w:szCs w:val="18"/>
                <w:color w:val="auto"/>
              </w:rPr>
            </w:pPr>
          </w:p>
        </w:tc>
        <w:tc>
          <w:tcPr>
            <w:tcW w:w="3640" w:type="dxa"/>
            <w:vAlign w:val="bottom"/>
            <w:gridSpan w:val="3"/>
          </w:tcPr>
          <w:p>
            <w:pPr>
              <w:jc w:val="right"/>
              <w:ind w:right="559"/>
              <w:spacing w:after="0"/>
              <w:rPr>
                <w:sz w:val="20"/>
                <w:szCs w:val="20"/>
                <w:color w:val="auto"/>
              </w:rPr>
            </w:pPr>
            <w:r>
              <w:rPr>
                <w:rFonts w:ascii="Arial" w:cs="Arial" w:eastAsia="Arial" w:hAnsi="Arial"/>
                <w:sz w:val="16"/>
                <w:szCs w:val="16"/>
                <w:color w:val="auto"/>
              </w:rPr>
              <w:t>(in millions, except per share amounts)</w:t>
            </w:r>
          </w:p>
        </w:tc>
      </w:tr>
      <w:tr>
        <w:trPr>
          <w:trHeight w:val="216"/>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726.4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921.2</w:t>
            </w:r>
          </w:p>
        </w:tc>
      </w:tr>
      <w:tr>
        <w:trPr>
          <w:trHeight w:val="641"/>
        </w:trPr>
        <w:tc>
          <w:tcPr>
            <w:tcW w:w="320" w:type="dxa"/>
            <w:vAlign w:val="bottom"/>
          </w:tcPr>
          <w:p>
            <w:pPr>
              <w:spacing w:after="0"/>
              <w:rPr>
                <w:sz w:val="24"/>
                <w:szCs w:val="24"/>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316.6</w:t>
            </w:r>
          </w:p>
        </w:tc>
        <w:tc>
          <w:tcPr>
            <w:tcW w:w="440" w:type="dxa"/>
            <w:vAlign w:val="bottom"/>
          </w:tcPr>
          <w:p>
            <w:pPr>
              <w:spacing w:after="0"/>
              <w:rPr>
                <w:sz w:val="24"/>
                <w:szCs w:val="24"/>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526.3</w:t>
            </w:r>
          </w:p>
        </w:tc>
      </w:tr>
      <w:tr>
        <w:trPr>
          <w:trHeight w:val="216"/>
        </w:trPr>
        <w:tc>
          <w:tcPr>
            <w:tcW w:w="3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133.6</w:t>
            </w:r>
          </w:p>
        </w:tc>
        <w:tc>
          <w:tcPr>
            <w:tcW w:w="44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141.0</w:t>
            </w:r>
          </w:p>
        </w:tc>
      </w:tr>
      <w:tr>
        <w:trPr>
          <w:trHeight w:val="216"/>
        </w:trPr>
        <w:tc>
          <w:tcPr>
            <w:tcW w:w="3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65.9</w:t>
            </w:r>
          </w:p>
        </w:tc>
        <w:tc>
          <w:tcPr>
            <w:tcW w:w="44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61.6</w:t>
            </w:r>
          </w:p>
        </w:tc>
      </w:tr>
      <w:tr>
        <w:trPr>
          <w:trHeight w:val="217"/>
        </w:trPr>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w:t>
            </w:r>
          </w:p>
        </w:tc>
      </w:tr>
      <w:tr>
        <w:trPr>
          <w:trHeight w:val="209"/>
        </w:trPr>
        <w:tc>
          <w:tcPr>
            <w:tcW w:w="3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533.1</w:t>
            </w:r>
          </w:p>
        </w:tc>
        <w:tc>
          <w:tcPr>
            <w:tcW w:w="44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746.3</w:t>
            </w:r>
          </w:p>
        </w:tc>
      </w:tr>
      <w:tr>
        <w:trPr>
          <w:trHeight w:val="431"/>
        </w:trPr>
        <w:tc>
          <w:tcPr>
            <w:tcW w:w="320" w:type="dxa"/>
            <w:vAlign w:val="bottom"/>
          </w:tcPr>
          <w:p>
            <w:pPr>
              <w:spacing w:after="0"/>
              <w:rPr>
                <w:sz w:val="24"/>
                <w:szCs w:val="24"/>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193.3</w:t>
            </w:r>
          </w:p>
        </w:tc>
        <w:tc>
          <w:tcPr>
            <w:tcW w:w="440" w:type="dxa"/>
            <w:vAlign w:val="bottom"/>
          </w:tcPr>
          <w:p>
            <w:pPr>
              <w:spacing w:after="0"/>
              <w:rPr>
                <w:sz w:val="24"/>
                <w:szCs w:val="24"/>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174.9</w:t>
            </w:r>
          </w:p>
        </w:tc>
      </w:tr>
      <w:tr>
        <w:trPr>
          <w:trHeight w:val="648"/>
        </w:trPr>
        <w:tc>
          <w:tcPr>
            <w:tcW w:w="3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(46.0 )</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(44.1 )</w:t>
            </w:r>
          </w:p>
        </w:tc>
      </w:tr>
      <w:tr>
        <w:trPr>
          <w:trHeight w:val="216"/>
        </w:trPr>
        <w:tc>
          <w:tcPr>
            <w:tcW w:w="3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0.6</w:t>
            </w:r>
          </w:p>
        </w:tc>
      </w:tr>
      <w:tr>
        <w:trPr>
          <w:trHeight w:val="217"/>
        </w:trPr>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r>
      <w:tr>
        <w:trPr>
          <w:trHeight w:val="210"/>
        </w:trPr>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(44.8 )</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(42.8 )</w:t>
            </w:r>
          </w:p>
        </w:tc>
      </w:tr>
      <w:tr>
        <w:trPr>
          <w:trHeight w:val="424"/>
        </w:trPr>
        <w:tc>
          <w:tcPr>
            <w:tcW w:w="320" w:type="dxa"/>
            <w:vAlign w:val="bottom"/>
          </w:tcPr>
          <w:p>
            <w:pPr>
              <w:spacing w:after="0"/>
              <w:rPr>
                <w:sz w:val="24"/>
                <w:szCs w:val="24"/>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148.5</w:t>
            </w:r>
          </w:p>
        </w:tc>
        <w:tc>
          <w:tcPr>
            <w:tcW w:w="440" w:type="dxa"/>
            <w:vAlign w:val="bottom"/>
          </w:tcPr>
          <w:p>
            <w:pPr>
              <w:spacing w:after="0"/>
              <w:rPr>
                <w:sz w:val="24"/>
                <w:szCs w:val="24"/>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-2501265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-2218055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-1943735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-1669415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-1386840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-1112520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-838200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-563880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-272415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560" w:space="720"/>
            <w:col w:w="396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7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(16.9 )</w:t>
            </w:r>
          </w:p>
        </w:tc>
        <w:tc>
          <w:tcPr>
            <w:tcW w:w="8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(14.7 )</w:t>
            </w:r>
          </w:p>
        </w:tc>
      </w:tr>
      <w:tr>
        <w:trPr>
          <w:trHeight w:val="209"/>
        </w:trPr>
        <w:tc>
          <w:tcPr>
            <w:tcW w:w="72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7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131.6</w:t>
            </w:r>
          </w:p>
        </w:tc>
        <w:tc>
          <w:tcPr>
            <w:tcW w:w="8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117.4</w:t>
            </w:r>
          </w:p>
        </w:tc>
      </w:tr>
      <w:tr>
        <w:trPr>
          <w:trHeight w:val="217"/>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7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(3.7 )</w:t>
            </w:r>
          </w:p>
        </w:tc>
        <w:tc>
          <w:tcPr>
            <w:tcW w:w="8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(3.3 )</w:t>
            </w:r>
          </w:p>
        </w:tc>
      </w:tr>
      <w:tr>
        <w:trPr>
          <w:trHeight w:val="210"/>
        </w:trPr>
        <w:tc>
          <w:tcPr>
            <w:tcW w:w="728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127.9</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114.1</w:t>
            </w:r>
          </w:p>
        </w:tc>
      </w:tr>
      <w:tr>
        <w:trPr>
          <w:trHeight w:val="20"/>
        </w:trPr>
        <w:tc>
          <w:tcPr>
            <w:tcW w:w="7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7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7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Earnings per share, Basic</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1.88</w:t>
            </w:r>
          </w:p>
        </w:tc>
        <w:tc>
          <w:tcPr>
            <w:tcW w:w="80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1.73</w:t>
            </w:r>
          </w:p>
        </w:tc>
      </w:tr>
      <w:tr>
        <w:trPr>
          <w:trHeight w:val="196"/>
        </w:trPr>
        <w:tc>
          <w:tcPr>
            <w:tcW w:w="7280" w:type="dxa"/>
            <w:vAlign w:val="bottom"/>
          </w:tcPr>
          <w:p>
            <w:pPr>
              <w:ind w:left="120"/>
              <w:spacing w:after="0"/>
              <w:rPr>
                <w:sz w:val="20"/>
                <w:szCs w:val="20"/>
                <w:color w:val="auto"/>
              </w:rPr>
            </w:pPr>
            <w:r>
              <w:rPr>
                <w:rFonts w:ascii="Arial" w:cs="Arial" w:eastAsia="Arial" w:hAnsi="Arial"/>
                <w:sz w:val="16"/>
                <w:szCs w:val="16"/>
                <w:color w:val="auto"/>
              </w:rPr>
              <w:t>Earnings per share, Diluted</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w:t>
            </w:r>
          </w:p>
        </w:tc>
      </w:tr>
      <w:tr>
        <w:trPr>
          <w:trHeight w:val="20"/>
        </w:trPr>
        <w:tc>
          <w:tcPr>
            <w:tcW w:w="7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7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7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Basic</w:t>
            </w:r>
          </w:p>
        </w:tc>
        <w:tc>
          <w:tcPr>
            <w:tcW w:w="7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68.2</w:t>
            </w:r>
          </w:p>
        </w:tc>
        <w:tc>
          <w:tcPr>
            <w:tcW w:w="8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66.0</w:t>
            </w:r>
          </w:p>
        </w:tc>
      </w:tr>
      <w:tr>
        <w:trPr>
          <w:trHeight w:val="197"/>
        </w:trPr>
        <w:tc>
          <w:tcPr>
            <w:tcW w:w="7280" w:type="dxa"/>
            <w:vAlign w:val="bottom"/>
          </w:tcPr>
          <w:p>
            <w:pPr>
              <w:ind w:left="120"/>
              <w:spacing w:after="0"/>
              <w:rPr>
                <w:sz w:val="20"/>
                <w:szCs w:val="20"/>
                <w:color w:val="auto"/>
              </w:rPr>
            </w:pPr>
            <w:r>
              <w:rPr>
                <w:rFonts w:ascii="Arial" w:cs="Arial" w:eastAsia="Arial" w:hAnsi="Arial"/>
                <w:sz w:val="16"/>
                <w:szCs w:val="16"/>
                <w:color w:val="auto"/>
              </w:rPr>
              <w:t>Diluted</w:t>
            </w: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68.3</w:t>
            </w: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66.1</w:t>
            </w:r>
          </w:p>
        </w:tc>
      </w:tr>
      <w:tr>
        <w:trPr>
          <w:trHeight w:val="20"/>
        </w:trPr>
        <w:tc>
          <w:tcPr>
            <w:tcW w:w="7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80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6720" w:type="dxa"/>
            <w:vAlign w:val="bottom"/>
          </w:tcPr>
          <w:p>
            <w:pPr>
              <w:jc w:val="center"/>
              <w:ind w:left="1719"/>
              <w:spacing w:after="0"/>
              <w:rPr>
                <w:sz w:val="20"/>
                <w:szCs w:val="20"/>
                <w:color w:val="auto"/>
              </w:rPr>
            </w:pPr>
            <w:r>
              <w:rPr>
                <w:rFonts w:ascii="Arial" w:cs="Arial" w:eastAsia="Arial" w:hAnsi="Arial"/>
                <w:sz w:val="16"/>
                <w:szCs w:val="16"/>
                <w:b w:val="1"/>
                <w:bCs w:val="1"/>
                <w:color w:val="auto"/>
              </w:rPr>
              <w:t>BLACK HILLS CORPORATION</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6720" w:type="dxa"/>
            <w:vAlign w:val="bottom"/>
          </w:tcPr>
          <w:p>
            <w:pPr>
              <w:jc w:val="center"/>
              <w:ind w:left="1719"/>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3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58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1000" w:type="dxa"/>
            <w:vAlign w:val="bottom"/>
          </w:tcPr>
          <w:p>
            <w:pPr>
              <w:spacing w:after="0"/>
              <w:rPr>
                <w:sz w:val="18"/>
                <w:szCs w:val="18"/>
                <w:color w:val="auto"/>
              </w:rPr>
            </w:pPr>
          </w:p>
        </w:tc>
        <w:tc>
          <w:tcPr>
            <w:tcW w:w="1580" w:type="dxa"/>
            <w:vAlign w:val="bottom"/>
            <w:gridSpan w:val="2"/>
          </w:tcPr>
          <w:p>
            <w:pPr>
              <w:jc w:val="center"/>
              <w:ind w:right="439"/>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80" w:type="dxa"/>
            <w:vAlign w:val="bottom"/>
            <w:gridSpan w:val="2"/>
          </w:tcPr>
          <w:p>
            <w:pPr>
              <w:jc w:val="center"/>
              <w:ind w:right="439"/>
              <w:spacing w:after="0"/>
              <w:rPr>
                <w:sz w:val="20"/>
                <w:szCs w:val="20"/>
                <w:color w:val="auto"/>
              </w:rPr>
            </w:pPr>
            <w:r>
              <w:rPr>
                <w:rFonts w:ascii="Arial" w:cs="Arial" w:eastAsia="Arial" w:hAnsi="Arial"/>
                <w:sz w:val="16"/>
                <w:szCs w:val="16"/>
                <w:color w:val="auto"/>
              </w:rPr>
              <w:t>(in millions)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131.6</w:t>
            </w: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80" w:type="dxa"/>
            <w:vAlign w:val="bottom"/>
            <w:gridSpan w:val="2"/>
          </w:tcPr>
          <w:p>
            <w:pPr>
              <w:ind w:left="200"/>
              <w:spacing w:after="0"/>
              <w:rPr>
                <w:sz w:val="20"/>
                <w:szCs w:val="20"/>
                <w:color w:val="auto"/>
              </w:rPr>
            </w:pPr>
            <w:r>
              <w:rPr>
                <w:rFonts w:ascii="Arial" w:cs="Arial" w:eastAsia="Arial" w:hAnsi="Arial"/>
                <w:sz w:val="16"/>
                <w:szCs w:val="16"/>
                <w:color w:val="auto"/>
              </w:rPr>
              <w:t>Derivative instruments designated as cash flow hedges: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settled/amortized interest rate swaps (net of tax of $(0.1)</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and $(0.2), respectively)</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8"/>
        </w:trPr>
        <w:tc>
          <w:tcPr>
            <w:tcW w:w="8080" w:type="dxa"/>
            <w:vAlign w:val="bottom"/>
            <w:gridSpan w:val="2"/>
          </w:tcPr>
          <w:p>
            <w:pPr>
              <w:ind w:left="380"/>
              <w:spacing w:after="0"/>
              <w:rPr>
                <w:sz w:val="20"/>
                <w:szCs w:val="20"/>
                <w:color w:val="auto"/>
              </w:rPr>
            </w:pPr>
            <w:r>
              <w:rPr>
                <w:rFonts w:ascii="Arial" w:cs="Arial" w:eastAsia="Arial" w:hAnsi="Arial"/>
                <w:sz w:val="16"/>
                <w:szCs w:val="16"/>
                <w:color w:val="auto"/>
              </w:rPr>
              <w:t>Net unrealized gains (losses) on commodity derivatives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80"/>
              <w:spacing w:after="0"/>
              <w:rPr>
                <w:sz w:val="20"/>
                <w:szCs w:val="20"/>
                <w:color w:val="auto"/>
              </w:rPr>
            </w:pPr>
            <w:r>
              <w:rPr>
                <w:rFonts w:ascii="Arial" w:cs="Arial" w:eastAsia="Arial" w:hAnsi="Arial"/>
                <w:sz w:val="16"/>
                <w:szCs w:val="16"/>
                <w:color w:val="auto"/>
              </w:rPr>
              <w:t>(net of tax of $0.0 and $0.3, respectively)</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(0.1 )</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189"/>
        </w:trPr>
        <w:tc>
          <w:tcPr>
            <w:tcW w:w="80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 commodity derivatives (net of tax of $(0.6) and</w:t>
            </w:r>
          </w:p>
        </w:tc>
        <w:tc>
          <w:tcPr>
            <w:tcW w:w="1000" w:type="dxa"/>
            <w:vAlign w:val="bottom"/>
            <w:shd w:val="clear" w:color="auto" w:fill="CFF0FC"/>
          </w:tcPr>
          <w:p>
            <w:pPr>
              <w:spacing w:after="0"/>
              <w:rPr>
                <w:sz w:val="16"/>
                <w:szCs w:val="16"/>
                <w:color w:val="auto"/>
              </w:rPr>
            </w:pPr>
          </w:p>
        </w:tc>
        <w:tc>
          <w:tcPr>
            <w:tcW w:w="58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2.0</w:t>
            </w:r>
          </w:p>
        </w:tc>
        <w:tc>
          <w:tcPr>
            <w:tcW w:w="1000" w:type="dxa"/>
            <w:vAlign w:val="bottom"/>
            <w:shd w:val="clear" w:color="auto" w:fill="CFF0FC"/>
          </w:tcPr>
          <w:p>
            <w:pPr>
              <w:spacing w:after="0"/>
              <w:rPr>
                <w:sz w:val="16"/>
                <w:szCs w:val="16"/>
                <w:color w:val="auto"/>
              </w:rPr>
            </w:pPr>
          </w:p>
        </w:tc>
        <w:tc>
          <w:tcPr>
            <w:tcW w:w="5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80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$(0.5), respectively)</w:t>
            </w: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1360" w:type="dxa"/>
            <w:vAlign w:val="bottom"/>
            <w:shd w:val="clear" w:color="auto" w:fill="CFF0FC"/>
          </w:tcPr>
          <w:p>
            <w:pPr>
              <w:spacing w:after="0"/>
              <w:rPr>
                <w:sz w:val="18"/>
                <w:szCs w:val="18"/>
                <w:color w:val="auto"/>
              </w:rPr>
            </w:pPr>
          </w:p>
        </w:tc>
        <w:tc>
          <w:tcPr>
            <w:tcW w:w="67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100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134.1</w:t>
            </w:r>
          </w:p>
        </w:tc>
        <w:tc>
          <w:tcPr>
            <w:tcW w:w="100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6"/>
        </w:trPr>
        <w:tc>
          <w:tcPr>
            <w:tcW w:w="80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(3.7 )</w:t>
            </w: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130.4</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for additional disclosures.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37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4080" w:type="dxa"/>
            <w:vAlign w:val="bottom"/>
            <w:gridSpan w:val="2"/>
          </w:tcPr>
          <w:p>
            <w:pPr>
              <w:jc w:val="right"/>
              <w:ind w:right="979"/>
              <w:spacing w:after="0"/>
              <w:rPr>
                <w:sz w:val="20"/>
                <w:szCs w:val="20"/>
                <w:color w:val="auto"/>
              </w:rPr>
            </w:pPr>
            <w:r>
              <w:rPr>
                <w:rFonts w:ascii="Arial" w:cs="Arial" w:eastAsia="Arial" w:hAnsi="Arial"/>
                <w:sz w:val="16"/>
                <w:szCs w:val="16"/>
                <w:b w:val="1"/>
                <w:bCs w:val="1"/>
                <w:color w:val="auto"/>
              </w:rPr>
              <w:t>BLACK HILLS CORPORATION</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80" w:type="dxa"/>
            <w:vAlign w:val="bottom"/>
            <w:gridSpan w:val="2"/>
          </w:tcPr>
          <w:p>
            <w:pPr>
              <w:jc w:val="right"/>
              <w:ind w:right="719"/>
              <w:spacing w:after="0"/>
              <w:rPr>
                <w:sz w:val="20"/>
                <w:szCs w:val="20"/>
                <w:color w:val="auto"/>
              </w:rPr>
            </w:pPr>
            <w:r>
              <w:rPr>
                <w:rFonts w:ascii="Arial" w:cs="Arial" w:eastAsia="Arial" w:hAnsi="Arial"/>
                <w:sz w:val="16"/>
                <w:szCs w:val="16"/>
                <w:b w:val="1"/>
                <w:bCs w:val="1"/>
                <w:color w:val="auto"/>
              </w:rPr>
              <w:t>CONSOLIDATED BALANCE SHEETS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200" w:type="dxa"/>
            <w:vAlign w:val="bottom"/>
          </w:tcPr>
          <w:p>
            <w:pPr>
              <w:spacing w:after="0"/>
              <w:rPr>
                <w:sz w:val="24"/>
                <w:szCs w:val="24"/>
                <w:color w:val="auto"/>
              </w:rPr>
            </w:pPr>
          </w:p>
        </w:tc>
        <w:tc>
          <w:tcPr>
            <w:tcW w:w="1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2024</w:t>
            </w:r>
          </w:p>
        </w:tc>
        <w:tc>
          <w:tcPr>
            <w:tcW w:w="12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As of</w:t>
            </w:r>
          </w:p>
        </w:tc>
        <w:tc>
          <w:tcPr>
            <w:tcW w:w="218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(in millions)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2400" w:type="dxa"/>
            <w:vAlign w:val="bottom"/>
          </w:tcPr>
          <w:p>
            <w:pPr>
              <w:ind w:left="1300"/>
              <w:spacing w:after="0"/>
              <w:rPr>
                <w:sz w:val="20"/>
                <w:szCs w:val="20"/>
                <w:color w:val="auto"/>
              </w:rPr>
            </w:pPr>
            <w:r>
              <w:rPr>
                <w:rFonts w:ascii="Arial" w:cs="Arial" w:eastAsia="Arial" w:hAnsi="Arial"/>
                <w:sz w:val="16"/>
                <w:szCs w:val="16"/>
                <w:b w:val="1"/>
                <w:bCs w:val="1"/>
                <w:color w:val="auto"/>
              </w:rPr>
              <w:t>ASSETS</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assets:</w:t>
            </w:r>
          </w:p>
        </w:tc>
        <w:tc>
          <w:tcPr>
            <w:tcW w:w="2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ind w:right="16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123.0</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Restricted cash and equivalents</w:t>
            </w:r>
          </w:p>
        </w:tc>
        <w:tc>
          <w:tcPr>
            <w:tcW w:w="2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Accounts receivable, net</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334.4</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Materials, supplies and fuel</w:t>
            </w:r>
          </w:p>
        </w:tc>
        <w:tc>
          <w:tcPr>
            <w:tcW w:w="2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130.6</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Income tax receivable, net</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assets, current</w:t>
            </w:r>
          </w:p>
        </w:tc>
        <w:tc>
          <w:tcPr>
            <w:tcW w:w="2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147.3</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Other current assets</w:t>
            </w:r>
          </w:p>
        </w:tc>
        <w:tc>
          <w:tcPr>
            <w:tcW w:w="22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2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797.6</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826.6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2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9,068.4</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8,917.2</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Less: accumulated depreciation</w:t>
            </w:r>
          </w:p>
        </w:tc>
        <w:tc>
          <w:tcPr>
            <w:tcW w:w="22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(1,845.3 )</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(1,797.9 )</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property, plant and equipment, net</w:t>
            </w:r>
          </w:p>
        </w:tc>
        <w:tc>
          <w:tcPr>
            <w:tcW w:w="22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7,223.1</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7,119.3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Goodwill</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1,299.5</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1,299.5</w:t>
            </w: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Intangible assets, net</w:t>
            </w:r>
          </w:p>
        </w:tc>
        <w:tc>
          <w:tcPr>
            <w:tcW w:w="2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5"/>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Regulatory assets, non-current</w:t>
            </w:r>
          </w:p>
        </w:tc>
        <w:tc>
          <w:tcPr>
            <w:tcW w:w="2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283.8</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304.4</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assets, non-current</w:t>
            </w:r>
          </w:p>
        </w:tc>
        <w:tc>
          <w:tcPr>
            <w:tcW w:w="22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64.3</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0"/>
        </w:trPr>
        <w:tc>
          <w:tcPr>
            <w:tcW w:w="3760" w:type="dxa"/>
            <w:vAlign w:val="bottom"/>
            <w:gridSpan w:val="2"/>
          </w:tcPr>
          <w:p>
            <w:pPr>
              <w:ind w:left="380"/>
              <w:spacing w:after="0"/>
              <w:rPr>
                <w:sz w:val="20"/>
                <w:szCs w:val="20"/>
                <w:color w:val="auto"/>
              </w:rPr>
            </w:pPr>
            <w:r>
              <w:rPr>
                <w:rFonts w:ascii="Arial" w:cs="Arial" w:eastAsia="Arial" w:hAnsi="Arial"/>
                <w:sz w:val="16"/>
                <w:szCs w:val="16"/>
                <w:color w:val="auto"/>
              </w:rPr>
              <w:t>Total other assets, non-current</w:t>
            </w:r>
          </w:p>
        </w:tc>
        <w:tc>
          <w:tcPr>
            <w:tcW w:w="22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1,656.0</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1,674.5</w:t>
            </w:r>
          </w:p>
        </w:tc>
        <w:tc>
          <w:tcPr>
            <w:tcW w:w="0" w:type="dxa"/>
            <w:vAlign w:val="bottom"/>
          </w:tcPr>
          <w:p>
            <w:pPr>
              <w:spacing w:after="0"/>
              <w:rPr>
                <w:sz w:val="1"/>
                <w:szCs w:val="1"/>
                <w:color w:val="auto"/>
              </w:rPr>
            </w:pPr>
          </w:p>
        </w:tc>
      </w:tr>
      <w:tr>
        <w:trPr>
          <w:trHeight w:val="210"/>
        </w:trPr>
        <w:tc>
          <w:tcPr>
            <w:tcW w:w="1360" w:type="dxa"/>
            <w:vAlign w:val="bottom"/>
            <w:shd w:val="clear" w:color="auto" w:fill="CFF0FC"/>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4080" w:type="dxa"/>
            <w:vAlign w:val="bottom"/>
            <w:gridSpan w:val="2"/>
          </w:tcPr>
          <w:p>
            <w:pPr>
              <w:jc w:val="right"/>
              <w:ind w:right="16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9,676.7</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9,620.4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3780" w:type="dxa"/>
            <w:vAlign w:val="bottom"/>
            <w:gridSpan w:val="2"/>
          </w:tcPr>
          <w:p>
            <w:pPr>
              <w:jc w:val="center"/>
              <w:ind w:right="659"/>
              <w:spacing w:after="0"/>
              <w:rPr>
                <w:sz w:val="20"/>
                <w:szCs w:val="20"/>
                <w:color w:val="auto"/>
              </w:rPr>
            </w:pPr>
            <w:r>
              <w:rPr>
                <w:rFonts w:ascii="Arial" w:cs="Arial" w:eastAsia="Arial" w:hAnsi="Arial"/>
                <w:sz w:val="16"/>
                <w:szCs w:val="16"/>
                <w:b w:val="1"/>
                <w:bCs w:val="1"/>
                <w:color w:val="auto"/>
              </w:rPr>
              <w:t>BLACK HILLS CORPORATION</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780" w:type="dxa"/>
            <w:vAlign w:val="bottom"/>
            <w:gridSpan w:val="2"/>
          </w:tcPr>
          <w:p>
            <w:pPr>
              <w:jc w:val="center"/>
              <w:ind w:right="639"/>
              <w:spacing w:after="0"/>
              <w:rPr>
                <w:sz w:val="20"/>
                <w:szCs w:val="20"/>
                <w:color w:val="auto"/>
              </w:rPr>
            </w:pPr>
            <w:r>
              <w:rPr>
                <w:rFonts w:ascii="Arial" w:cs="Arial" w:eastAsia="Arial" w:hAnsi="Arial"/>
                <w:sz w:val="16"/>
                <w:szCs w:val="16"/>
                <w:b w:val="1"/>
                <w:bCs w:val="1"/>
                <w:color w:val="auto"/>
              </w:rPr>
              <w:t>CONSOLIDATED BALANCE SHEETS</w:t>
            </w: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780" w:type="dxa"/>
            <w:vAlign w:val="bottom"/>
            <w:gridSpan w:val="2"/>
          </w:tcPr>
          <w:p>
            <w:pPr>
              <w:jc w:val="center"/>
              <w:ind w:right="659"/>
              <w:spacing w:after="0"/>
              <w:rPr>
                <w:sz w:val="20"/>
                <w:szCs w:val="20"/>
                <w:color w:val="auto"/>
              </w:rPr>
            </w:pPr>
            <w:r>
              <w:rPr>
                <w:rFonts w:ascii="Arial" w:cs="Arial" w:eastAsia="Arial" w:hAnsi="Arial"/>
                <w:sz w:val="16"/>
                <w:szCs w:val="16"/>
                <w:b w:val="1"/>
                <w:bCs w:val="1"/>
                <w:color w:val="auto"/>
              </w:rPr>
              <w:t>(Continued)</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1860" w:type="dxa"/>
            <w:vAlign w:val="bottom"/>
          </w:tcPr>
          <w:p>
            <w:pPr>
              <w:spacing w:after="0"/>
              <w:rPr>
                <w:sz w:val="24"/>
                <w:szCs w:val="24"/>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2024</w:t>
            </w:r>
          </w:p>
        </w:tc>
        <w:tc>
          <w:tcPr>
            <w:tcW w:w="11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As of</w:t>
            </w:r>
          </w:p>
        </w:tc>
        <w:tc>
          <w:tcPr>
            <w:tcW w:w="218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(in millions)</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2740" w:type="dxa"/>
            <w:vAlign w:val="bottom"/>
          </w:tcPr>
          <w:p>
            <w:pPr>
              <w:ind w:left="640"/>
              <w:spacing w:after="0"/>
              <w:rPr>
                <w:sz w:val="20"/>
                <w:szCs w:val="20"/>
                <w:color w:val="auto"/>
              </w:rPr>
            </w:pPr>
            <w:r>
              <w:rPr>
                <w:rFonts w:ascii="Arial" w:cs="Arial" w:eastAsia="Arial" w:hAnsi="Arial"/>
                <w:sz w:val="16"/>
                <w:szCs w:val="16"/>
                <w:b w:val="1"/>
                <w:bCs w:val="1"/>
                <w:color w:val="auto"/>
              </w:rPr>
              <w:t>LIABILITIES AND EQUITY</w:t>
            </w: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Accounts payable</w:t>
            </w:r>
          </w:p>
        </w:tc>
        <w:tc>
          <w:tcPr>
            <w:tcW w:w="3780" w:type="dxa"/>
            <w:vAlign w:val="bottom"/>
            <w:gridSpan w:val="2"/>
          </w:tcPr>
          <w:p>
            <w:pPr>
              <w:jc w:val="right"/>
              <w:ind w:right="17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132.6</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Accrued liabilities</w:t>
            </w: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263.9</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Derivative liabilities, current</w:t>
            </w: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liabilities, current</w:t>
            </w: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89.9</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Notes payable</w:t>
            </w: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Current maturities of long-term debt</w:t>
            </w:r>
          </w:p>
        </w:tc>
        <w:tc>
          <w:tcPr>
            <w:tcW w:w="186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600.0</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9"/>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current liabilities</w:t>
            </w:r>
          </w:p>
        </w:tc>
        <w:tc>
          <w:tcPr>
            <w:tcW w:w="186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1,088.4</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1,185.1</w:t>
            </w:r>
          </w:p>
        </w:tc>
        <w:tc>
          <w:tcPr>
            <w:tcW w:w="0" w:type="dxa"/>
            <w:vAlign w:val="bottom"/>
          </w:tcPr>
          <w:p>
            <w:pPr>
              <w:spacing w:after="0"/>
              <w:rPr>
                <w:sz w:val="1"/>
                <w:szCs w:val="1"/>
                <w:color w:val="auto"/>
              </w:rPr>
            </w:pPr>
          </w:p>
        </w:tc>
      </w:tr>
      <w:tr>
        <w:trPr>
          <w:trHeight w:val="210"/>
        </w:trPr>
        <w:tc>
          <w:tcPr>
            <w:tcW w:w="136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6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3,802.8</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3,801.2</w:t>
            </w:r>
          </w:p>
        </w:tc>
        <w:tc>
          <w:tcPr>
            <w:tcW w:w="0" w:type="dxa"/>
            <w:vAlign w:val="bottom"/>
          </w:tcPr>
          <w:p>
            <w:pPr>
              <w:spacing w:after="0"/>
              <w:rPr>
                <w:sz w:val="1"/>
                <w:szCs w:val="1"/>
                <w:color w:val="auto"/>
              </w:rPr>
            </w:pPr>
          </w:p>
        </w:tc>
      </w:tr>
      <w:tr>
        <w:trPr>
          <w:trHeight w:val="209"/>
        </w:trPr>
        <w:tc>
          <w:tcPr>
            <w:tcW w:w="136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Deferred income tax liabilities, net</w:t>
            </w: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576.1</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548.0</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Regulatory liabilities, non-current</w:t>
            </w: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463.5</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Benefit plan liabilities</w:t>
            </w: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124.1</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Other deferred credits and other liabilities</w:t>
            </w:r>
          </w:p>
        </w:tc>
        <w:tc>
          <w:tcPr>
            <w:tcW w:w="186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199.3</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86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1,363.0</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1,328.3</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Commitments, contingencies and guarantees (Note 3)</w:t>
            </w: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Stockholder's equity -</w:t>
            </w: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80" w:type="dxa"/>
            <w:vAlign w:val="bottom"/>
            <w:gridSpan w:val="4"/>
            <w:shd w:val="clear" w:color="auto" w:fill="CFF0FC"/>
          </w:tcPr>
          <w:p>
            <w:pPr>
              <w:ind w:left="200"/>
              <w:spacing w:after="0"/>
              <w:rPr>
                <w:sz w:val="20"/>
                <w:szCs w:val="20"/>
                <w:color w:val="auto"/>
              </w:rPr>
            </w:pPr>
            <w:r>
              <w:rPr>
                <w:rFonts w:ascii="Arial" w:cs="Arial" w:eastAsia="Arial" w:hAnsi="Arial"/>
                <w:sz w:val="16"/>
                <w:szCs w:val="16"/>
                <w:color w:val="auto"/>
              </w:rPr>
              <w:t>Common stock $1 par value; 100,000,000 shares authorized; issued</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68,969,578 and 68,265,042 shares, respectively</w:t>
            </w: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69.0</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0"/>
              <w:spacing w:after="0"/>
              <w:rPr>
                <w:sz w:val="20"/>
                <w:szCs w:val="20"/>
                <w:color w:val="auto"/>
              </w:rPr>
            </w:pPr>
            <w:r>
              <w:rPr>
                <w:rFonts w:ascii="Arial" w:cs="Arial" w:eastAsia="Arial" w:hAnsi="Arial"/>
                <w:sz w:val="16"/>
                <w:szCs w:val="16"/>
                <w:color w:val="auto"/>
              </w:rPr>
              <w:t>Additional paid-in capital</w:t>
            </w: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2,040.2</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2,007.7</w:t>
            </w:r>
          </w:p>
        </w:tc>
        <w:tc>
          <w:tcPr>
            <w:tcW w:w="0" w:type="dxa"/>
            <w:vAlign w:val="bottom"/>
          </w:tcPr>
          <w:p>
            <w:pPr>
              <w:spacing w:after="0"/>
              <w:rPr>
                <w:sz w:val="1"/>
                <w:szCs w:val="1"/>
                <w:color w:val="auto"/>
              </w:rPr>
            </w:pPr>
          </w:p>
        </w:tc>
      </w:tr>
      <w:tr>
        <w:trPr>
          <w:trHeight w:val="217"/>
        </w:trPr>
        <w:tc>
          <w:tcPr>
            <w:tcW w:w="41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Retained earnings</w:t>
            </w: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1,241.7</w:t>
            </w: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1,158.2</w:t>
            </w:r>
          </w:p>
        </w:tc>
        <w:tc>
          <w:tcPr>
            <w:tcW w:w="0" w:type="dxa"/>
            <w:vAlign w:val="bottom"/>
          </w:tcPr>
          <w:p>
            <w:pPr>
              <w:spacing w:after="0"/>
              <w:rPr>
                <w:sz w:val="1"/>
                <w:szCs w:val="1"/>
                <w:color w:val="auto"/>
              </w:rPr>
            </w:pPr>
          </w:p>
        </w:tc>
      </w:tr>
      <w:tr>
        <w:trPr>
          <w:trHeight w:val="215"/>
        </w:trPr>
        <w:tc>
          <w:tcPr>
            <w:tcW w:w="7880" w:type="dxa"/>
            <w:vAlign w:val="bottom"/>
            <w:gridSpan w:val="4"/>
          </w:tcPr>
          <w:p>
            <w:pPr>
              <w:ind w:left="200"/>
              <w:spacing w:after="0"/>
              <w:rPr>
                <w:sz w:val="20"/>
                <w:szCs w:val="20"/>
                <w:color w:val="auto"/>
              </w:rPr>
            </w:pPr>
            <w:r>
              <w:rPr>
                <w:rFonts w:ascii="Arial" w:cs="Arial" w:eastAsia="Arial" w:hAnsi="Arial"/>
                <w:sz w:val="16"/>
                <w:szCs w:val="16"/>
                <w:color w:val="auto"/>
              </w:rPr>
              <w:t>Treasury stock, at cost - 82,343 and 68,073 shares, respectively</w:t>
            </w:r>
          </w:p>
        </w:tc>
        <w:tc>
          <w:tcPr>
            <w:tcW w:w="720" w:type="dxa"/>
            <w:vAlign w:val="bottom"/>
          </w:tcPr>
          <w:p>
            <w:pPr>
              <w:jc w:val="right"/>
              <w:spacing w:after="0"/>
              <w:rPr>
                <w:sz w:val="20"/>
                <w:szCs w:val="20"/>
                <w:color w:val="auto"/>
              </w:rPr>
            </w:pPr>
            <w:r>
              <w:rPr>
                <w:rFonts w:ascii="Arial" w:cs="Arial" w:eastAsia="Arial" w:hAnsi="Arial"/>
                <w:sz w:val="16"/>
                <w:szCs w:val="16"/>
                <w:color w:val="auto"/>
              </w:rPr>
              <w:t>(4.7 )</w:t>
            </w:r>
          </w:p>
        </w:tc>
        <w:tc>
          <w:tcPr>
            <w:tcW w:w="4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86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(12.3 )</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209"/>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stockholders' equity</w:t>
            </w:r>
          </w:p>
        </w:tc>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3,333.9</w:t>
            </w:r>
          </w:p>
        </w:tc>
        <w:tc>
          <w:tcPr>
            <w:tcW w:w="46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3,215.3</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Non-controlling interest</w:t>
            </w:r>
          </w:p>
        </w:tc>
        <w:tc>
          <w:tcPr>
            <w:tcW w:w="186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88.6</w:t>
            </w:r>
          </w:p>
        </w:tc>
        <w:tc>
          <w:tcPr>
            <w:tcW w:w="46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0"/>
        </w:trPr>
        <w:tc>
          <w:tcPr>
            <w:tcW w:w="4100" w:type="dxa"/>
            <w:vAlign w:val="bottom"/>
            <w:gridSpan w:val="2"/>
          </w:tcPr>
          <w:p>
            <w:pPr>
              <w:ind w:left="380"/>
              <w:spacing w:after="0"/>
              <w:rPr>
                <w:sz w:val="20"/>
                <w:szCs w:val="20"/>
                <w:color w:val="auto"/>
              </w:rPr>
            </w:pPr>
            <w:r>
              <w:rPr>
                <w:rFonts w:ascii="Arial" w:cs="Arial" w:eastAsia="Arial" w:hAnsi="Arial"/>
                <w:sz w:val="16"/>
                <w:szCs w:val="16"/>
                <w:color w:val="auto"/>
              </w:rPr>
              <w:t>Total equity</w:t>
            </w:r>
          </w:p>
        </w:tc>
        <w:tc>
          <w:tcPr>
            <w:tcW w:w="186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3,422.5</w:t>
            </w: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3,305.8</w:t>
            </w:r>
          </w:p>
        </w:tc>
        <w:tc>
          <w:tcPr>
            <w:tcW w:w="0" w:type="dxa"/>
            <w:vAlign w:val="bottom"/>
          </w:tcPr>
          <w:p>
            <w:pPr>
              <w:spacing w:after="0"/>
              <w:rPr>
                <w:sz w:val="1"/>
                <w:szCs w:val="1"/>
                <w:color w:val="auto"/>
              </w:rPr>
            </w:pPr>
          </w:p>
        </w:tc>
      </w:tr>
      <w:tr>
        <w:trPr>
          <w:trHeight w:val="210"/>
        </w:trPr>
        <w:tc>
          <w:tcPr>
            <w:tcW w:w="136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TOTAL LIABILITIES AND TOTAL EQUITY</w:t>
            </w:r>
          </w:p>
        </w:tc>
        <w:tc>
          <w:tcPr>
            <w:tcW w:w="3780" w:type="dxa"/>
            <w:vAlign w:val="bottom"/>
            <w:gridSpan w:val="2"/>
          </w:tcPr>
          <w:p>
            <w:pPr>
              <w:jc w:val="right"/>
              <w:ind w:right="17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9,676.7</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9,620.4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78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60"/>
        </w:trPr>
        <w:tc>
          <w:tcPr>
            <w:tcW w:w="1360" w:type="dxa"/>
            <w:vAlign w:val="bottom"/>
            <w:tcBorders>
              <w:top w:val="single" w:sz="8" w:color="0000FF"/>
            </w:tcBorders>
          </w:tcPr>
          <w:p>
            <w:pPr>
              <w:spacing w:after="0"/>
              <w:rPr>
                <w:sz w:val="24"/>
                <w:szCs w:val="24"/>
                <w:color w:val="auto"/>
              </w:rPr>
            </w:pPr>
          </w:p>
        </w:tc>
        <w:tc>
          <w:tcPr>
            <w:tcW w:w="6440" w:type="dxa"/>
            <w:vAlign w:val="bottom"/>
          </w:tcPr>
          <w:p>
            <w:pPr>
              <w:jc w:val="center"/>
              <w:ind w:left="1999"/>
              <w:spacing w:after="0"/>
              <w:rPr>
                <w:sz w:val="20"/>
                <w:szCs w:val="20"/>
                <w:color w:val="auto"/>
              </w:rPr>
            </w:pPr>
            <w:r>
              <w:rPr>
                <w:rFonts w:ascii="Arial" w:cs="Arial" w:eastAsia="Arial" w:hAnsi="Arial"/>
                <w:sz w:val="16"/>
                <w:szCs w:val="16"/>
                <w:b w:val="1"/>
                <w:bCs w:val="1"/>
                <w:color w:val="auto"/>
              </w:rPr>
              <w:t>BLACK HILLS CORPORATION</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6440" w:type="dxa"/>
            <w:vAlign w:val="bottom"/>
          </w:tcPr>
          <w:p>
            <w:pPr>
              <w:jc w:val="center"/>
              <w:ind w:left="1999"/>
              <w:spacing w:after="0"/>
              <w:rPr>
                <w:sz w:val="20"/>
                <w:szCs w:val="20"/>
                <w:color w:val="auto"/>
              </w:rPr>
            </w:pPr>
            <w:r>
              <w:rPr>
                <w:rFonts w:ascii="Arial" w:cs="Arial" w:eastAsia="Arial" w:hAnsi="Arial"/>
                <w:sz w:val="16"/>
                <w:szCs w:val="16"/>
                <w:b w:val="1"/>
                <w:bCs w:val="1"/>
                <w:color w:val="auto"/>
              </w:rPr>
              <w:t>CONSOLIDATED STATEMENTS OF CASH FLOWS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85"/>
        </w:trPr>
        <w:tc>
          <w:tcPr>
            <w:tcW w:w="780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280" w:type="dxa"/>
            <w:vAlign w:val="bottom"/>
          </w:tcPr>
          <w:p>
            <w:pPr>
              <w:spacing w:after="0"/>
              <w:rPr>
                <w:sz w:val="24"/>
                <w:szCs w:val="24"/>
                <w:color w:val="auto"/>
              </w:rPr>
            </w:pPr>
          </w:p>
        </w:tc>
        <w:tc>
          <w:tcPr>
            <w:tcW w:w="316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136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09"/>
        </w:trPr>
        <w:tc>
          <w:tcPr>
            <w:tcW w:w="7800" w:type="dxa"/>
            <w:vAlign w:val="bottom"/>
            <w:gridSpan w:val="2"/>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spacing w:after="0"/>
              <w:rPr>
                <w:sz w:val="18"/>
                <w:szCs w:val="18"/>
                <w:color w:val="auto"/>
              </w:rPr>
            </w:pPr>
          </w:p>
        </w:tc>
        <w:tc>
          <w:tcPr>
            <w:tcW w:w="1940" w:type="dxa"/>
            <w:vAlign w:val="bottom"/>
            <w:gridSpan w:val="2"/>
          </w:tcPr>
          <w:p>
            <w:pPr>
              <w:jc w:val="center"/>
              <w:ind w:left="759"/>
              <w:spacing w:after="0"/>
              <w:rPr>
                <w:sz w:val="20"/>
                <w:szCs w:val="20"/>
                <w:color w:val="auto"/>
              </w:rPr>
            </w:pPr>
            <w:r>
              <w:rPr>
                <w:rFonts w:ascii="Arial" w:cs="Arial" w:eastAsia="Arial" w:hAnsi="Arial"/>
                <w:sz w:val="16"/>
                <w:szCs w:val="16"/>
                <w:color w:val="auto"/>
              </w:rPr>
              <w:t>(in millions)</w:t>
            </w:r>
          </w:p>
        </w:tc>
        <w:tc>
          <w:tcPr>
            <w:tcW w:w="1220" w:type="dxa"/>
            <w:vAlign w:val="bottom"/>
          </w:tcPr>
          <w:p>
            <w:pPr>
              <w:spacing w:after="0"/>
              <w:rPr>
                <w:sz w:val="18"/>
                <w:szCs w:val="18"/>
                <w:color w:val="auto"/>
              </w:rPr>
            </w:pPr>
          </w:p>
        </w:tc>
      </w:tr>
      <w:tr>
        <w:trPr>
          <w:trHeight w:val="217"/>
        </w:trPr>
        <w:tc>
          <w:tcPr>
            <w:tcW w:w="78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131.6</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117.4</w:t>
            </w:r>
          </w:p>
        </w:tc>
      </w:tr>
      <w:tr>
        <w:trPr>
          <w:trHeight w:val="215"/>
        </w:trPr>
        <w:tc>
          <w:tcPr>
            <w:tcW w:w="7800" w:type="dxa"/>
            <w:vAlign w:val="bottom"/>
            <w:gridSpan w:val="2"/>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65.9</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61.6</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Deferred financing cost amortization</w:t>
            </w:r>
          </w:p>
        </w:tc>
        <w:tc>
          <w:tcPr>
            <w:tcW w:w="28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5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Stock compensation</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5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14.9</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Employee benefit plans</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Other adjustments, net</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(0.3 )</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7"/>
        </w:trPr>
        <w:tc>
          <w:tcPr>
            <w:tcW w:w="78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Changes in certain operating assets and liabilities:</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Materials, supplies and fuel</w:t>
            </w:r>
          </w:p>
        </w:tc>
        <w:tc>
          <w:tcPr>
            <w:tcW w:w="28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5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76.1</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Accounts receivable and other current assets</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(11.3 )</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28.7</w:t>
            </w:r>
          </w:p>
        </w:tc>
      </w:tr>
      <w:tr>
        <w:trPr>
          <w:trHeight w:val="215"/>
        </w:trPr>
        <w:tc>
          <w:tcPr>
            <w:tcW w:w="7800" w:type="dxa"/>
            <w:vAlign w:val="bottom"/>
            <w:gridSpan w:val="2"/>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(59.6 )</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(127.2 )</w:t>
            </w:r>
          </w:p>
        </w:tc>
      </w:tr>
      <w:tr>
        <w:trPr>
          <w:trHeight w:val="217"/>
        </w:trPr>
        <w:tc>
          <w:tcPr>
            <w:tcW w:w="78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Regulatory assets</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w:t>
            </w: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154.7</w:t>
            </w:r>
          </w:p>
        </w:tc>
      </w:tr>
      <w:tr>
        <w:trPr>
          <w:trHeight w:val="216"/>
        </w:trPr>
        <w:tc>
          <w:tcPr>
            <w:tcW w:w="7800" w:type="dxa"/>
            <w:vAlign w:val="bottom"/>
            <w:gridSpan w:val="2"/>
          </w:tcPr>
          <w:p>
            <w:pPr>
              <w:ind w:left="12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09"/>
        </w:trPr>
        <w:tc>
          <w:tcPr>
            <w:tcW w:w="78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233.4</w:t>
            </w: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328.7</w:t>
            </w:r>
          </w:p>
        </w:tc>
      </w:tr>
    </w:tbl>
    <w:p>
      <w:pPr>
        <w:spacing w:after="0" w:line="200" w:lineRule="exact"/>
        <w:rPr>
          <w:sz w:val="20"/>
          <w:szCs w:val="20"/>
          <w:color w:val="auto"/>
        </w:rPr>
      </w:pPr>
    </w:p>
    <w:p>
      <w:pPr>
        <w:sectPr>
          <w:pgSz w:w="11900" w:h="16838" w:orient="portrait"/>
          <w:cols w:equalWidth="0" w:num="1">
            <w:col w:w="11240"/>
          </w:cols>
          <w:pgMar w:left="320" w:top="766"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Property, plant and equipment additions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jc w:val="right"/>
              <w:ind w:right="519"/>
              <w:spacing w:after="0"/>
              <w:rPr>
                <w:sz w:val="20"/>
                <w:szCs w:val="20"/>
                <w:color w:val="auto"/>
              </w:rPr>
            </w:pPr>
            <w:r>
              <w:rPr>
                <w:rFonts w:ascii="Arial" w:cs="Arial" w:eastAsia="Arial" w:hAnsi="Arial"/>
                <w:sz w:val="16"/>
                <w:szCs w:val="16"/>
                <w:color w:val="auto"/>
              </w:rPr>
              <w:t>(176.2 )</w:t>
            </w:r>
          </w:p>
        </w:tc>
        <w:tc>
          <w:tcPr>
            <w:tcW w:w="1160" w:type="dxa"/>
            <w:vAlign w:val="bottom"/>
          </w:tcPr>
          <w:p>
            <w:pPr>
              <w:jc w:val="right"/>
              <w:spacing w:after="0"/>
              <w:rPr>
                <w:sz w:val="20"/>
                <w:szCs w:val="20"/>
                <w:color w:val="auto"/>
              </w:rPr>
            </w:pPr>
            <w:r>
              <w:rPr>
                <w:rFonts w:ascii="Arial" w:cs="Arial" w:eastAsia="Arial" w:hAnsi="Arial"/>
                <w:sz w:val="16"/>
                <w:szCs w:val="16"/>
                <w:color w:val="auto"/>
              </w:rPr>
              <w:t>(119.1 )</w:t>
            </w:r>
          </w:p>
        </w:tc>
      </w:tr>
      <w:tr>
        <w:trPr>
          <w:trHeight w:val="217"/>
        </w:trPr>
        <w:tc>
          <w:tcPr>
            <w:tcW w:w="2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(0.7 )</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w:t>
            </w:r>
          </w:p>
        </w:tc>
      </w:tr>
      <w:tr>
        <w:trPr>
          <w:trHeight w:val="210"/>
        </w:trPr>
        <w:tc>
          <w:tcPr>
            <w:tcW w:w="2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(176.9 )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-565150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-290830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80" w:space="720"/>
            <w:col w:w="3440"/>
          </w:cols>
          <w:pgMar w:left="320" w:top="76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8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Dividends paid on common stock</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(44.4 )</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(41.4 )</w:t>
            </w: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Common stock issued</w:t>
            </w:r>
          </w:p>
        </w:tc>
        <w:tc>
          <w:tcPr>
            <w:tcW w:w="6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27.4</w:t>
            </w: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(535.6 )</w:t>
            </w:r>
          </w:p>
        </w:tc>
      </w:tr>
      <w:tr>
        <w:trPr>
          <w:trHeight w:val="215"/>
        </w:trPr>
        <w:tc>
          <w:tcPr>
            <w:tcW w:w="7800" w:type="dxa"/>
            <w:vAlign w:val="bottom"/>
          </w:tcPr>
          <w:p>
            <w:pPr>
              <w:ind w:left="120"/>
              <w:spacing w:after="0"/>
              <w:rPr>
                <w:sz w:val="20"/>
                <w:szCs w:val="20"/>
                <w:color w:val="auto"/>
              </w:rPr>
            </w:pPr>
            <w:r>
              <w:rPr>
                <w:rFonts w:ascii="Arial" w:cs="Arial" w:eastAsia="Arial" w:hAnsi="Arial"/>
                <w:sz w:val="16"/>
                <w:szCs w:val="16"/>
                <w:color w:val="auto"/>
              </w:rPr>
              <w:t>Long-term debt - issuance</w:t>
            </w:r>
          </w:p>
        </w:tc>
        <w:tc>
          <w:tcPr>
            <w:tcW w:w="6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350.0</w:t>
            </w: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Distributions to non-controlling interests</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(5.6 )</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r>
      <w:tr>
        <w:trPr>
          <w:trHeight w:val="216"/>
        </w:trPr>
        <w:tc>
          <w:tcPr>
            <w:tcW w:w="7800" w:type="dxa"/>
            <w:vAlign w:val="bottom"/>
          </w:tcPr>
          <w:p>
            <w:pPr>
              <w:ind w:left="120"/>
              <w:spacing w:after="0"/>
              <w:rPr>
                <w:sz w:val="20"/>
                <w:szCs w:val="20"/>
                <w:color w:val="auto"/>
              </w:rPr>
            </w:pPr>
            <w:r>
              <w:rPr>
                <w:rFonts w:ascii="Arial" w:cs="Arial" w:eastAsia="Arial" w:hAnsi="Arial"/>
                <w:sz w:val="16"/>
                <w:szCs w:val="16"/>
                <w:color w:val="auto"/>
              </w:rPr>
              <w:t>Other financing activities</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r>
      <w:tr>
        <w:trPr>
          <w:trHeight w:val="210"/>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financing activities</w:t>
            </w:r>
          </w:p>
        </w:tc>
        <w:tc>
          <w:tcPr>
            <w:tcW w:w="6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(19.8 )</w:t>
            </w:r>
          </w:p>
        </w:tc>
        <w:tc>
          <w:tcPr>
            <w:tcW w:w="6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(209.1 )</w:t>
            </w:r>
          </w:p>
        </w:tc>
      </w:tr>
      <w:tr>
        <w:trPr>
          <w:trHeight w:val="210"/>
        </w:trPr>
        <w:tc>
          <w:tcPr>
            <w:tcW w:w="7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change in cash, restricted cash and cash equivalents</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36.7</w:t>
            </w: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w:t>
            </w:r>
          </w:p>
        </w:tc>
      </w:tr>
      <w:tr>
        <w:trPr>
          <w:trHeight w:val="216"/>
        </w:trPr>
        <w:tc>
          <w:tcPr>
            <w:tcW w:w="7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restricted cash and cash equivalents beginning of period</w:t>
            </w:r>
          </w:p>
        </w:tc>
        <w:tc>
          <w:tcPr>
            <w:tcW w:w="6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93.0</w:t>
            </w:r>
          </w:p>
        </w:tc>
        <w:tc>
          <w:tcPr>
            <w:tcW w:w="6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27.0</w:t>
            </w: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color w:val="auto"/>
              </w:rPr>
              <w:t>Cash, restricted cash and cash equivalents end of period</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129.7</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45.1</w:t>
            </w:r>
          </w:p>
        </w:tc>
      </w:tr>
      <w:tr>
        <w:trPr>
          <w:trHeight w:val="20"/>
        </w:trPr>
        <w:tc>
          <w:tcPr>
            <w:tcW w:w="7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78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(paid) refunded during the period:</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7800" w:type="dxa"/>
            <w:vAlign w:val="bottom"/>
          </w:tcPr>
          <w:p>
            <w:pPr>
              <w:ind w:left="200"/>
              <w:spacing w:after="0"/>
              <w:rPr>
                <w:sz w:val="20"/>
                <w:szCs w:val="20"/>
                <w:color w:val="auto"/>
              </w:rPr>
            </w:pPr>
            <w:r>
              <w:rPr>
                <w:rFonts w:ascii="Arial" w:cs="Arial" w:eastAsia="Arial" w:hAnsi="Arial"/>
                <w:sz w:val="16"/>
                <w:szCs w:val="16"/>
                <w:color w:val="auto"/>
              </w:rPr>
              <w:t>Interest (net of amounts capitalized)</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700" w:type="dxa"/>
            <w:vAlign w:val="bottom"/>
            <w:gridSpan w:val="2"/>
          </w:tcPr>
          <w:p>
            <w:pPr>
              <w:jc w:val="right"/>
              <w:ind w:right="439"/>
              <w:spacing w:after="0"/>
              <w:rPr>
                <w:sz w:val="20"/>
                <w:szCs w:val="20"/>
                <w:color w:val="auto"/>
              </w:rPr>
            </w:pPr>
            <w:r>
              <w:rPr>
                <w:rFonts w:ascii="Arial" w:cs="Arial" w:eastAsia="Arial" w:hAnsi="Arial"/>
                <w:sz w:val="16"/>
                <w:szCs w:val="16"/>
                <w:color w:val="auto"/>
              </w:rPr>
              <w:t>(33.6 ) $</w:t>
            </w:r>
          </w:p>
        </w:tc>
        <w:tc>
          <w:tcPr>
            <w:tcW w:w="1100" w:type="dxa"/>
            <w:vAlign w:val="bottom"/>
          </w:tcPr>
          <w:p>
            <w:pPr>
              <w:jc w:val="right"/>
              <w:spacing w:after="0"/>
              <w:rPr>
                <w:sz w:val="20"/>
                <w:szCs w:val="20"/>
                <w:color w:val="auto"/>
              </w:rPr>
            </w:pPr>
            <w:r>
              <w:rPr>
                <w:rFonts w:ascii="Arial" w:cs="Arial" w:eastAsia="Arial" w:hAnsi="Arial"/>
                <w:sz w:val="16"/>
                <w:szCs w:val="16"/>
                <w:color w:val="auto"/>
              </w:rPr>
              <w:t>(27.6 )</w:t>
            </w:r>
          </w:p>
        </w:tc>
      </w:tr>
      <w:tr>
        <w:trPr>
          <w:trHeight w:val="217"/>
        </w:trPr>
        <w:tc>
          <w:tcPr>
            <w:tcW w:w="7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6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7800" w:type="dxa"/>
            <w:vAlign w:val="bottom"/>
          </w:tcPr>
          <w:p>
            <w:pPr>
              <w:ind w:left="200"/>
              <w:spacing w:after="0"/>
              <w:rPr>
                <w:sz w:val="20"/>
                <w:szCs w:val="20"/>
                <w:color w:val="auto"/>
              </w:rPr>
            </w:pPr>
            <w:r>
              <w:rPr>
                <w:rFonts w:ascii="Arial" w:cs="Arial" w:eastAsia="Arial" w:hAnsi="Arial"/>
                <w:sz w:val="16"/>
                <w:szCs w:val="16"/>
                <w:color w:val="auto"/>
              </w:rPr>
              <w:t>Accrued property, plant and equipment purchases at March 31,</w:t>
            </w:r>
          </w:p>
        </w:tc>
        <w:tc>
          <w:tcPr>
            <w:tcW w:w="6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6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42.1</w:t>
            </w: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60"/>
        </w:trPr>
        <w:tc>
          <w:tcPr>
            <w:tcW w:w="29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80" w:type="dxa"/>
            <w:vAlign w:val="bottom"/>
            <w:gridSpan w:val="2"/>
          </w:tcPr>
          <w:p>
            <w:pPr>
              <w:jc w:val="center"/>
              <w:ind w:right="68"/>
              <w:spacing w:after="0" w:line="160"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center"/>
              <w:ind w:right="168"/>
              <w:spacing w:after="0" w:line="160"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88"/>
              <w:spacing w:after="0"/>
              <w:rPr>
                <w:sz w:val="20"/>
                <w:szCs w:val="20"/>
                <w:color w:val="auto"/>
              </w:rPr>
            </w:pPr>
            <w:r>
              <w:rPr>
                <w:rFonts w:ascii="Arial" w:cs="Arial" w:eastAsia="Arial" w:hAnsi="Arial"/>
                <w:sz w:val="14"/>
                <w:szCs w:val="14"/>
                <w:b w:val="1"/>
                <w:bCs w:val="1"/>
                <w:color w:val="auto"/>
              </w:rPr>
              <w:t>Paid in</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76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Capital</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AOCI</w:t>
            </w: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Interest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68,265,04</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85"/>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2023</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68.3</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68,073</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(4.1 ) $</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2,007.7</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1,158.2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(14.8 )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90.5</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3,305.8</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127.9</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131.6</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2.5</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(44.4 )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(44.4 )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104,181</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14,270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600,355</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31.5</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68,969,57</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2024</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69.0</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82,343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(4.7 ) $   2,040.2</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1,241.7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88.6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3,422.5</w:t>
            </w:r>
          </w:p>
        </w:tc>
      </w:tr>
      <w:tr>
        <w:trPr>
          <w:trHeight w:val="372"/>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9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Treasury Stock</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0"/>
        </w:trPr>
        <w:tc>
          <w:tcPr>
            <w:tcW w:w="29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80" w:type="dxa"/>
            <w:vAlign w:val="bottom"/>
            <w:gridSpan w:val="2"/>
          </w:tcPr>
          <w:p>
            <w:pPr>
              <w:jc w:val="center"/>
              <w:ind w:right="68"/>
              <w:spacing w:after="0" w:line="160"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center"/>
              <w:ind w:right="168"/>
              <w:spacing w:after="0" w:line="160"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88"/>
              <w:spacing w:after="0"/>
              <w:rPr>
                <w:sz w:val="20"/>
                <w:szCs w:val="20"/>
                <w:color w:val="auto"/>
              </w:rPr>
            </w:pPr>
            <w:r>
              <w:rPr>
                <w:rFonts w:ascii="Arial" w:cs="Arial" w:eastAsia="Arial" w:hAnsi="Arial"/>
                <w:sz w:val="14"/>
                <w:szCs w:val="14"/>
                <w:b w:val="1"/>
                <w:bCs w:val="1"/>
                <w:color w:val="auto"/>
              </w:rPr>
              <w:t>Paid in</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76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7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Capital</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AOCI</w:t>
            </w:r>
          </w:p>
        </w:tc>
        <w:tc>
          <w:tcPr>
            <w:tcW w:w="8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Interest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66,140,39</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185"/>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2022</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66.1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36,726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(2.4 ) $</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1,882.7</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1,064.1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(15.6 ) $</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3,089.9</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114.1</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117.4</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1.2</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r>
      <w:tr>
        <w:trPr>
          <w:trHeight w:val="166"/>
        </w:trPr>
        <w:tc>
          <w:tcPr>
            <w:tcW w:w="2920" w:type="dxa"/>
            <w:vAlign w:val="bottom"/>
          </w:tcPr>
          <w:p>
            <w:pPr>
              <w:ind w:left="20"/>
              <w:spacing w:after="0"/>
              <w:rPr>
                <w:sz w:val="20"/>
                <w:szCs w:val="20"/>
                <w:color w:val="auto"/>
              </w:rPr>
            </w:pPr>
            <w:r>
              <w:rPr>
                <w:rFonts w:ascii="Arial" w:cs="Arial" w:eastAsia="Arial" w:hAnsi="Arial"/>
                <w:sz w:val="14"/>
                <w:szCs w:val="14"/>
                <w:color w:val="auto"/>
              </w:rPr>
              <w:t>Dividends on common stock ($0.625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(41.4 )</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(41.4 )</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84,735</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4,388</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445,578</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2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27.7</w:t>
            </w:r>
          </w:p>
        </w:tc>
      </w:tr>
      <w:tr>
        <w:trPr>
          <w:trHeight w:val="189"/>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r>
      <w:tr>
        <w:trPr>
          <w:trHeight w:val="189"/>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r>
      <w:tr>
        <w:trPr>
          <w:trHeight w:val="160"/>
        </w:trPr>
        <w:tc>
          <w:tcPr>
            <w:tcW w:w="292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66,670,70</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r>
      <w:tr>
        <w:trPr>
          <w:trHeight w:val="225"/>
        </w:trPr>
        <w:tc>
          <w:tcPr>
            <w:tcW w:w="2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March 31, 2023</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66.7</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(2.7 ) $</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1,911.5</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1,136.8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(14.4 ) $</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93.8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3,191.7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Condensed 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included in the Company’s 2023 Annual Report on Form 10-K)</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2023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information furnished in the accompanying Consolidated Financial Statements reflects certain estimates required and all adjustments, including accruals, which are, in the opinion of management, necessary for a fair presentation of the March 31, 2024, December 31, 2023 and March 31, 2023 financial information. Certain lines of business in which we operate are highly seasonal, and our interim results of operations are not necessarily indicative of the results of operations to be expected for an entire year.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Reportable Segment Disclosures, ASU 2023-07</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Improvements to Reportable Segment Disclosures</w:t>
      </w:r>
      <w:r>
        <w:rPr>
          <w:rFonts w:ascii="Arial" w:cs="Arial" w:eastAsia="Arial" w:hAnsi="Arial"/>
          <w:sz w:val="16"/>
          <w:szCs w:val="16"/>
          <w:color w:val="auto"/>
        </w:rPr>
        <w:t>, which expands public entities’ segment disclosures by requiring disclosure of significant segment expenses that are regularly reviewed by the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GAAP, the disclosure of additional measures of segment profit or loss that are used by the CODM in assessing segment performance and deciding how to allocate resources. The ASU is effective for our Annual Report on Form 10-K for the fiscal year ended December 31, 2024, and subsequent interim periods, with early adoption permitted. We do not expect the ASU to have an impact on our financial position, results of operations and cash flows; however, are currently evaluating the impact on our consolidated financial statement disclosures.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Income Tax Disclosures, ASU 2023-09</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expands public entities’ annual disclosures by requiring disclosure of tax rate reconciliation amounts and percentages for specific categories, income taxes paid disaggregated by federal and state taxes, and income tax expense disaggregated by federal and state taxes jurisdiction. The ASU is effective for our Annual Report on Form 10-K for the fiscal year ended December 31, 2025, with early adoption permitted. We do not expect the ASU to have an impact on our financial position, results of operations and cash flows; however, are currently evaluating the impact on our consolidated financial statement disclosures.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574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1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70"/>
        </w:trPr>
        <w:tc>
          <w:tcPr>
            <w:tcW w:w="610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(in millions):</w:t>
            </w: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93"/>
        </w:trPr>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920" w:type="dxa"/>
            <w:vAlign w:val="bottom"/>
          </w:tcPr>
          <w:p>
            <w:pPr>
              <w:jc w:val="right"/>
              <w:ind w:right="399"/>
              <w:spacing w:after="0"/>
              <w:rPr>
                <w:sz w:val="20"/>
                <w:szCs w:val="20"/>
                <w:color w:val="auto"/>
              </w:rPr>
            </w:pPr>
            <w:r>
              <w:rPr>
                <w:rFonts w:ascii="Arial" w:cs="Arial" w:eastAsia="Arial" w:hAnsi="Arial"/>
                <w:sz w:val="16"/>
                <w:szCs w:val="16"/>
                <w:b w:val="1"/>
                <w:bCs w:val="1"/>
                <w:color w:val="auto"/>
              </w:rPr>
              <w:t>As of</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jc w:val="right"/>
              <w:ind w:right="1039"/>
              <w:spacing w:after="0"/>
              <w:rPr>
                <w:sz w:val="20"/>
                <w:szCs w:val="20"/>
                <w:color w:val="auto"/>
              </w:rPr>
            </w:pPr>
            <w:r>
              <w:rPr>
                <w:rFonts w:ascii="Arial" w:cs="Arial" w:eastAsia="Arial" w:hAnsi="Arial"/>
                <w:sz w:val="16"/>
                <w:szCs w:val="16"/>
                <w:b w:val="1"/>
                <w:bCs w:val="1"/>
                <w:color w:val="auto"/>
              </w:rPr>
              <w:t>As of</w:t>
            </w:r>
          </w:p>
        </w:tc>
      </w:tr>
      <w:tr>
        <w:trPr>
          <w:trHeight w:val="217"/>
        </w:trPr>
        <w:tc>
          <w:tcPr>
            <w:tcW w:w="3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2024</w:t>
            </w: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Winter Storm Uri</w:t>
            </w:r>
          </w:p>
        </w:tc>
        <w:tc>
          <w:tcPr>
            <w:tcW w:w="1920" w:type="dxa"/>
            <w:vAlign w:val="bottom"/>
          </w:tcPr>
          <w:p>
            <w:pPr>
              <w:jc w:val="right"/>
              <w:ind w:right="17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144.9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199.6</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Deferred energy and fuel cost adjustments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57.5</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55.1</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gas cost adjustments</w:t>
            </w:r>
          </w:p>
        </w:tc>
        <w:tc>
          <w:tcPr>
            <w:tcW w:w="19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4.1</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Gas price derivatives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taxes on AFUDC</w:t>
            </w:r>
          </w:p>
        </w:tc>
        <w:tc>
          <w:tcPr>
            <w:tcW w:w="19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7.1</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plans and related deferred taxes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88.2</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89.3</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Environmental</w:t>
            </w:r>
          </w:p>
        </w:tc>
        <w:tc>
          <w:tcPr>
            <w:tcW w:w="19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2.9</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Loss on reacquired debt</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17.0</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taxes on flow through accounting</w:t>
            </w:r>
          </w:p>
        </w:tc>
        <w:tc>
          <w:tcPr>
            <w:tcW w:w="19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74.7</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Decommissioning costs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Other regulatory assets</w:t>
            </w:r>
          </w:p>
        </w:tc>
        <w:tc>
          <w:tcPr>
            <w:tcW w:w="1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w:t>
            </w: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r>
      <w:tr>
        <w:trPr>
          <w:trHeight w:val="210"/>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assets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431.1</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480.1</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assets</w:t>
            </w:r>
          </w:p>
        </w:tc>
        <w:tc>
          <w:tcPr>
            <w:tcW w:w="1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(147.3 )</w:t>
            </w: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(175.7 )</w:t>
            </w:r>
          </w:p>
        </w:tc>
      </w:tr>
      <w:tr>
        <w:trPr>
          <w:trHeight w:val="249"/>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 non-current</w:t>
            </w:r>
          </w:p>
        </w:tc>
        <w:tc>
          <w:tcPr>
            <w:tcW w:w="1920" w:type="dxa"/>
            <w:vAlign w:val="bottom"/>
            <w:tcBorders>
              <w:bottom w:val="single" w:sz="8" w:color="auto"/>
            </w:tcBorders>
            <w:shd w:val="clear" w:color="auto" w:fill="CFF0FC"/>
          </w:tcPr>
          <w:p>
            <w:pPr>
              <w:jc w:val="right"/>
              <w:ind w:right="17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283.8</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304.4</w:t>
            </w:r>
          </w:p>
        </w:tc>
      </w:tr>
      <w:tr>
        <w:trPr>
          <w:trHeight w:val="197"/>
        </w:trPr>
        <w:tc>
          <w:tcPr>
            <w:tcW w:w="6100" w:type="dxa"/>
            <w:vAlign w:val="bottom"/>
            <w:gridSpan w:val="2"/>
          </w:tcPr>
          <w:p>
            <w:pPr>
              <w:spacing w:after="0"/>
              <w:rPr>
                <w:sz w:val="17"/>
                <w:szCs w:val="17"/>
                <w:color w:val="auto"/>
              </w:rPr>
            </w:pPr>
          </w:p>
        </w:tc>
        <w:tc>
          <w:tcPr>
            <w:tcW w:w="1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Deferred energy and gas costs</w:t>
            </w:r>
          </w:p>
        </w:tc>
        <w:tc>
          <w:tcPr>
            <w:tcW w:w="1920" w:type="dxa"/>
            <w:vAlign w:val="bottom"/>
          </w:tcPr>
          <w:p>
            <w:pPr>
              <w:jc w:val="right"/>
              <w:ind w:right="17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85.7</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88.9</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Employee benefit plan costs and related deferred taxes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35.7</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36.2</w:t>
            </w:r>
          </w:p>
        </w:tc>
      </w:tr>
      <w:tr>
        <w:trPr>
          <w:trHeight w:val="215"/>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Cost of removal</w:t>
            </w:r>
          </w:p>
        </w:tc>
        <w:tc>
          <w:tcPr>
            <w:tcW w:w="192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182.2</w:t>
            </w:r>
          </w:p>
        </w:tc>
        <w:tc>
          <w:tcPr>
            <w:tcW w:w="300" w:type="dxa"/>
            <w:vAlign w:val="bottom"/>
          </w:tcPr>
          <w:p>
            <w:pPr>
              <w:spacing w:after="0"/>
              <w:rPr>
                <w:sz w:val="18"/>
                <w:szCs w:val="18"/>
                <w:color w:val="auto"/>
              </w:rPr>
            </w:pPr>
          </w:p>
        </w:tc>
        <w:tc>
          <w:tcPr>
            <w:tcW w:w="2260" w:type="dxa"/>
            <w:vAlign w:val="bottom"/>
          </w:tcPr>
          <w:p>
            <w:pPr>
              <w:jc w:val="right"/>
              <w:ind w:right="39"/>
              <w:spacing w:after="0"/>
              <w:rPr>
                <w:sz w:val="20"/>
                <w:szCs w:val="20"/>
                <w:color w:val="auto"/>
              </w:rPr>
            </w:pPr>
            <w:r>
              <w:rPr>
                <w:rFonts w:ascii="Arial" w:cs="Arial" w:eastAsia="Arial" w:hAnsi="Arial"/>
                <w:sz w:val="16"/>
                <w:szCs w:val="16"/>
                <w:color w:val="auto"/>
              </w:rPr>
              <w:t>181.9</w:t>
            </w:r>
          </w:p>
        </w:tc>
      </w:tr>
      <w:tr>
        <w:trPr>
          <w:trHeight w:val="217"/>
        </w:trPr>
        <w:tc>
          <w:tcPr>
            <w:tcW w:w="61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Excess deferred income taxes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243.2</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247.1</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Other regulatory liabilities</w:t>
            </w:r>
          </w:p>
        </w:tc>
        <w:tc>
          <w:tcPr>
            <w:tcW w:w="1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w:t>
            </w:r>
          </w:p>
        </w:tc>
      </w:tr>
      <w:tr>
        <w:trPr>
          <w:trHeight w:val="210"/>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liabilities</w:t>
            </w:r>
          </w:p>
        </w:tc>
        <w:tc>
          <w:tcPr>
            <w:tcW w:w="19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553.4</w:t>
            </w:r>
          </w:p>
        </w:tc>
        <w:tc>
          <w:tcPr>
            <w:tcW w:w="300" w:type="dxa"/>
            <w:vAlign w:val="bottom"/>
            <w:shd w:val="clear" w:color="auto" w:fill="CFF0FC"/>
          </w:tcPr>
          <w:p>
            <w:pPr>
              <w:spacing w:after="0"/>
              <w:rPr>
                <w:sz w:val="18"/>
                <w:szCs w:val="18"/>
                <w:color w:val="auto"/>
              </w:rPr>
            </w:pPr>
          </w:p>
        </w:tc>
        <w:tc>
          <w:tcPr>
            <w:tcW w:w="2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566.6</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Less current regulatory liabilities</w:t>
            </w:r>
          </w:p>
        </w:tc>
        <w:tc>
          <w:tcPr>
            <w:tcW w:w="1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(89.9 )</w:t>
            </w: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(98.9 )</w:t>
            </w:r>
          </w:p>
        </w:tc>
      </w:tr>
      <w:tr>
        <w:trPr>
          <w:trHeight w:val="250"/>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 non-current</w:t>
            </w:r>
          </w:p>
        </w:tc>
        <w:tc>
          <w:tcPr>
            <w:tcW w:w="1920" w:type="dxa"/>
            <w:vAlign w:val="bottom"/>
            <w:tcBorders>
              <w:bottom w:val="single" w:sz="8" w:color="auto"/>
            </w:tcBorders>
            <w:shd w:val="clear" w:color="auto" w:fill="CFF0FC"/>
          </w:tcPr>
          <w:p>
            <w:pPr>
              <w:jc w:val="right"/>
              <w:ind w:right="17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463.5</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467.7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19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On December 4, 2023, Arkansas Gas filed a rate review with the APSC seeking recovery of significant infrastructure investments in its 7,200-mile natural gas pipeline system. The rate review requests $44.1 million in new annual revenue with a capital structure of 48% equity and 52% debt and a return on equity of 10.5%. The request seeks to finalize rates in the fourth quarter of 2024.</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On May 9, 2023, Colorado Gas filed a rate review with the CPUC seeking recovery of significant infrastructure investments in its 10,000-mile natural gas pipeline system. In March 2024, Colorado Gas received final approval for a settlement agreement for a general rate increase which </w:t>
      </w:r>
      <w:r>
        <w:rPr>
          <w:rFonts w:ascii="Arial" w:cs="Arial" w:eastAsia="Arial" w:hAnsi="Arial"/>
          <w:sz w:val="16"/>
          <w:szCs w:val="16"/>
          <w:color w:val="242424"/>
        </w:rPr>
        <w:t>is expected to generate</w:t>
      </w:r>
      <w:r>
        <w:rPr>
          <w:rFonts w:ascii="Arial" w:cs="Arial" w:eastAsia="Arial" w:hAnsi="Arial"/>
          <w:sz w:val="16"/>
          <w:szCs w:val="16"/>
          <w:color w:val="auto"/>
        </w:rPr>
        <w:t xml:space="preserve"> </w:t>
      </w:r>
      <w:r>
        <w:rPr>
          <w:rFonts w:ascii="Arial" w:cs="Arial" w:eastAsia="Arial" w:hAnsi="Arial"/>
          <w:sz w:val="16"/>
          <w:szCs w:val="16"/>
          <w:color w:val="242424"/>
        </w:rPr>
        <w:t xml:space="preserve">$20.2 million of new annual revenue with a capital structure of 51% equity and 49% debt and a return on equity of 9.3%. </w:t>
      </w:r>
      <w:r>
        <w:rPr>
          <w:rFonts w:ascii="Arial" w:cs="Arial" w:eastAsia="Arial" w:hAnsi="Arial"/>
          <w:sz w:val="16"/>
          <w:szCs w:val="16"/>
          <w:color w:val="000000"/>
        </w:rPr>
        <w:t>Final rates were enacted on May 1,</w:t>
      </w:r>
      <w:r>
        <w:rPr>
          <w:rFonts w:ascii="Arial" w:cs="Arial" w:eastAsia="Arial" w:hAnsi="Arial"/>
          <w:sz w:val="16"/>
          <w:szCs w:val="16"/>
          <w:color w:val="242424"/>
        </w:rPr>
        <w:t xml:space="preserve"> </w:t>
      </w:r>
      <w:r>
        <w:rPr>
          <w:rFonts w:ascii="Arial" w:cs="Arial" w:eastAsia="Arial" w:hAnsi="Arial"/>
          <w:sz w:val="16"/>
          <w:szCs w:val="16"/>
          <w:color w:val="000000"/>
        </w:rPr>
        <w:t>2024, and replaced interim rates effective February 13,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On May 1, 2024, Iowa Gas filed a rate review with the IUB seeking recovery of significant infrastructure investments in its 5,000-mile natural gas pipeline system. The rate review requests $ 20.7 million in new annual revenue with a </w:t>
      </w:r>
      <w:r>
        <w:rPr>
          <w:rFonts w:ascii="Arial" w:cs="Arial" w:eastAsia="Arial" w:hAnsi="Arial"/>
          <w:sz w:val="16"/>
          <w:szCs w:val="16"/>
          <w:color w:val="242424"/>
        </w:rPr>
        <w:t>capital structure of 51% equity and 49% debt and a return on equity of 10.5%.</w:t>
      </w:r>
      <w:r>
        <w:rPr>
          <w:rFonts w:ascii="Arial" w:cs="Arial" w:eastAsia="Arial" w:hAnsi="Arial"/>
          <w:sz w:val="16"/>
          <w:szCs w:val="16"/>
          <w:color w:val="auto"/>
        </w:rPr>
        <w:t xml:space="preserve"> </w:t>
      </w:r>
      <w:r>
        <w:rPr>
          <w:rFonts w:ascii="Arial" w:cs="Arial" w:eastAsia="Arial" w:hAnsi="Arial"/>
          <w:sz w:val="16"/>
          <w:szCs w:val="16"/>
          <w:color w:val="242424"/>
        </w:rPr>
        <w:t xml:space="preserve">Iowa </w:t>
      </w:r>
      <w:r>
        <w:rPr>
          <w:rFonts w:ascii="Arial" w:cs="Arial" w:eastAsia="Arial" w:hAnsi="Arial"/>
          <w:sz w:val="16"/>
          <w:szCs w:val="16"/>
          <w:color w:val="000000"/>
        </w:rPr>
        <w:t>statute allows implementation of interim rates 10 days after filing a rate review and Iowa Gas plans to implement interim rates, subject to adjustment or</w:t>
      </w:r>
      <w:r>
        <w:rPr>
          <w:rFonts w:ascii="Arial" w:cs="Arial" w:eastAsia="Arial" w:hAnsi="Arial"/>
          <w:sz w:val="16"/>
          <w:szCs w:val="16"/>
          <w:color w:val="242424"/>
        </w:rPr>
        <w:t xml:space="preserve"> </w:t>
      </w:r>
      <w:r>
        <w:rPr>
          <w:rFonts w:ascii="Arial" w:cs="Arial" w:eastAsia="Arial" w:hAnsi="Arial"/>
          <w:sz w:val="16"/>
          <w:szCs w:val="16"/>
          <w:color w:val="000000"/>
        </w:rPr>
        <w:t xml:space="preserve">refund, effective in May, 2024. </w:t>
      </w:r>
      <w:r>
        <w:rPr>
          <w:rFonts w:ascii="Arial" w:cs="Arial" w:eastAsia="Arial" w:hAnsi="Arial"/>
          <w:sz w:val="16"/>
          <w:szCs w:val="16"/>
          <w:color w:val="242424"/>
        </w:rPr>
        <w:t>The request seeks to finalize rates in the first quarter of 2025.</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Gas</w:t>
      </w:r>
    </w:p>
    <w:p>
      <w:pPr>
        <w:spacing w:after="0" w:line="19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On May 18, 2023, Wyoming Gas filed a rate review with the WPSC seeking recovery of significant infrastructure investments in its 6,400-mile natural gas pipeline system. On January 17, 2024, the WPSC approved a settlement agreement for a general rate increase which is expected to generate $13.9 million in new annual revenue with a capital structure of 51% equity and 49% debt and a return on equity of 9.9%. New rates were effective February 1, 2024. The agreement also included approval of a four-year extension of the Wyoming Integrity Rider.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19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2023 Annual Report on Form 10-K.</w:t>
      </w:r>
    </w:p>
    <w:p>
      <w:pPr>
        <w:spacing w:after="0" w:line="318"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9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months ended March 31, 2024 and 2023. Sales tax and other similar taxes are excluded from revenues.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Inter-segment</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41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 March 31, 2024</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Eliminations</w:t>
            </w: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89"/>
        </w:trPr>
        <w:tc>
          <w:tcPr>
            <w:tcW w:w="20" w:type="dxa"/>
            <w:vAlign w:val="bottom"/>
            <w:shd w:val="clear" w:color="auto" w:fill="CFF0FC"/>
          </w:tcPr>
          <w:p>
            <w:pPr>
              <w:spacing w:after="0"/>
              <w:rPr>
                <w:sz w:val="16"/>
                <w:szCs w:val="16"/>
                <w:color w:val="auto"/>
              </w:rPr>
            </w:pPr>
          </w:p>
        </w:tc>
        <w:tc>
          <w:tcPr>
            <w:tcW w:w="416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4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2"/>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188.3</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437.4</w:t>
            </w:r>
          </w:p>
        </w:tc>
        <w:tc>
          <w:tcPr>
            <w:tcW w:w="1400" w:type="dxa"/>
            <w:vAlign w:val="bottom"/>
            <w:tcBorders>
              <w:top w:val="single" w:sz="8" w:color="CFF0FC"/>
            </w:tcBorders>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625.7</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(0.1 )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51.6</w:t>
            </w:r>
          </w:p>
        </w:tc>
      </w:tr>
      <w:tr>
        <w:trPr>
          <w:trHeight w:val="215"/>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8.5</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8.5</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w:t>
            </w:r>
          </w:p>
        </w:tc>
      </w:tr>
      <w:tr>
        <w:trPr>
          <w:trHeight w:val="216"/>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(4.4 )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24.8</w:t>
            </w:r>
          </w:p>
        </w:tc>
      </w:tr>
      <w:tr>
        <w:trPr>
          <w:trHeight w:val="209"/>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221.4</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500.3</w:t>
            </w:r>
          </w:p>
        </w:tc>
        <w:tc>
          <w:tcPr>
            <w:tcW w:w="140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717.2</w:t>
            </w:r>
          </w:p>
        </w:tc>
      </w:tr>
      <w:tr>
        <w:trPr>
          <w:trHeight w:val="216"/>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w:t>
            </w:r>
          </w:p>
        </w:tc>
      </w:tr>
      <w:tr>
        <w:trPr>
          <w:trHeight w:val="250"/>
        </w:trPr>
        <w:tc>
          <w:tcPr>
            <w:tcW w:w="41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508.7</w:t>
            </w:r>
          </w:p>
        </w:tc>
        <w:tc>
          <w:tcPr>
            <w:tcW w:w="1400" w:type="dxa"/>
            <w:vAlign w:val="bottom"/>
            <w:tcBorders>
              <w:bottom w:val="single" w:sz="8" w:color="auto"/>
            </w:tcBorders>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726.4</w:t>
            </w:r>
          </w:p>
        </w:tc>
      </w:tr>
      <w:tr>
        <w:trPr>
          <w:trHeight w:val="19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2"/>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8.7</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3"/>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212.7</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500.3</w:t>
            </w:r>
          </w:p>
        </w:tc>
        <w:tc>
          <w:tcPr>
            <w:tcW w:w="14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0"/>
              </w:rPr>
              <w:t>(4.5 )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708.5</w:t>
            </w:r>
          </w:p>
        </w:tc>
      </w:tr>
      <w:tr>
        <w:trPr>
          <w:trHeight w:val="210"/>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500.3</w:t>
            </w:r>
          </w:p>
        </w:tc>
        <w:tc>
          <w:tcPr>
            <w:tcW w:w="140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w w:val="94"/>
              </w:rPr>
              <w:t>(4.5 )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717.2</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41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 March 31, 2023</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416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80" w:type="dxa"/>
            <w:vAlign w:val="bottom"/>
            <w:gridSpan w:val="3"/>
            <w:shd w:val="clear" w:color="auto" w:fill="CFF0FC"/>
          </w:tcPr>
          <w:p>
            <w:pPr>
              <w:jc w:val="right"/>
              <w:ind w:right="13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Retail</w:t>
            </w:r>
          </w:p>
        </w:tc>
        <w:tc>
          <w:tcPr>
            <w:tcW w:w="2980" w:type="dxa"/>
            <w:vAlign w:val="bottom"/>
            <w:tcBorders>
              <w:top w:val="single" w:sz="8" w:color="CFF0FC"/>
            </w:tcBorders>
            <w:gridSpan w:val="2"/>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174.9</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635.5</w:t>
            </w:r>
          </w:p>
        </w:tc>
        <w:tc>
          <w:tcPr>
            <w:tcW w:w="2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810.4</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52.7</w:t>
            </w:r>
          </w:p>
        </w:tc>
      </w:tr>
      <w:tr>
        <w:trPr>
          <w:trHeight w:val="215"/>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9.4</w:t>
            </w:r>
          </w:p>
        </w:tc>
      </w:tr>
      <w:tr>
        <w:trPr>
          <w:trHeight w:val="217"/>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w:t>
            </w:r>
          </w:p>
        </w:tc>
      </w:tr>
      <w:tr>
        <w:trPr>
          <w:trHeight w:val="216"/>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w:t>
            </w:r>
          </w:p>
        </w:tc>
      </w:tr>
      <w:tr>
        <w:trPr>
          <w:trHeight w:val="210"/>
        </w:trPr>
        <w:tc>
          <w:tcPr>
            <w:tcW w:w="20" w:type="dxa"/>
            <w:vAlign w:val="bottom"/>
            <w:shd w:val="clear" w:color="auto" w:fill="CFF0FC"/>
          </w:tcPr>
          <w:p>
            <w:pPr>
              <w:spacing w:after="0"/>
              <w:rPr>
                <w:sz w:val="18"/>
                <w:szCs w:val="18"/>
                <w:color w:val="auto"/>
              </w:rPr>
            </w:pPr>
          </w:p>
        </w:tc>
        <w:tc>
          <w:tcPr>
            <w:tcW w:w="41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(4.4 ) $</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912.1</w:t>
            </w:r>
          </w:p>
        </w:tc>
      </w:tr>
      <w:tr>
        <w:trPr>
          <w:trHeight w:val="216"/>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w:t>
            </w:r>
          </w:p>
        </w:tc>
      </w:tr>
      <w:tr>
        <w:trPr>
          <w:trHeight w:val="250"/>
        </w:trPr>
        <w:tc>
          <w:tcPr>
            <w:tcW w:w="41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218.7</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706.9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(4.4 ) $</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921.2</w:t>
            </w: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auto"/>
            </w:tcBorders>
            <w:gridSpan w:val="2"/>
            <w:shd w:val="clear" w:color="auto" w:fill="CFF0FC"/>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Services transferred at a point in time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8.7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8.7</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4160" w:type="dxa"/>
            <w:vAlign w:val="bottom"/>
            <w:tcBorders>
              <w:bottom w:val="single" w:sz="8" w:color="CFF0FC"/>
            </w:tcBorders>
            <w:gridSpan w:val="3"/>
            <w:shd w:val="clear" w:color="auto" w:fill="CFF0FC"/>
          </w:tcPr>
          <w:p>
            <w:pPr>
              <w:ind w:left="100"/>
              <w:spacing w:after="0"/>
              <w:rPr>
                <w:sz w:val="20"/>
                <w:szCs w:val="20"/>
                <w:color w:val="auto"/>
              </w:rPr>
            </w:pPr>
            <w:r>
              <w:rPr>
                <w:rFonts w:ascii="Arial" w:cs="Arial" w:eastAsia="Arial" w:hAnsi="Arial"/>
                <w:sz w:val="16"/>
                <w:szCs w:val="16"/>
                <w:color w:val="auto"/>
              </w:rPr>
              <w:t>Services transferred over time</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209.1</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698.7</w:t>
            </w: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(4.4 )</w:t>
            </w:r>
          </w:p>
        </w:tc>
        <w:tc>
          <w:tcPr>
            <w:tcW w:w="3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903.4</w:t>
            </w:r>
          </w:p>
        </w:tc>
      </w:tr>
      <w:tr>
        <w:trPr>
          <w:trHeight w:val="210"/>
        </w:trPr>
        <w:tc>
          <w:tcPr>
            <w:tcW w:w="20" w:type="dxa"/>
            <w:vAlign w:val="bottom"/>
          </w:tcPr>
          <w:p>
            <w:pPr>
              <w:spacing w:after="0"/>
              <w:rPr>
                <w:sz w:val="18"/>
                <w:szCs w:val="18"/>
                <w:color w:val="auto"/>
              </w:rPr>
            </w:pPr>
          </w:p>
        </w:tc>
        <w:tc>
          <w:tcPr>
            <w:tcW w:w="4160" w:type="dxa"/>
            <w:vAlign w:val="bottom"/>
            <w:gridSpan w:val="3"/>
          </w:tcPr>
          <w:p>
            <w:pPr>
              <w:ind w:left="10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(4.4 ) $</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912.1</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1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63" w:lineRule="exact"/>
        <w:rPr>
          <w:sz w:val="20"/>
          <w:szCs w:val="20"/>
          <w:color w:val="auto"/>
        </w:rPr>
      </w:pPr>
    </w:p>
    <w:p>
      <w:pPr>
        <w:jc w:val="both"/>
        <w:ind w:right="10000" w:firstLine="8"/>
        <w:spacing w:after="0" w:line="493" w:lineRule="auto"/>
        <w:tabs>
          <w:tab w:leader="none" w:pos="509"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(dollars in millions)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2024</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Amount outstanding</w:t>
            </w:r>
          </w:p>
        </w:tc>
        <w:tc>
          <w:tcPr>
            <w:tcW w:w="3680" w:type="dxa"/>
            <w:vAlign w:val="bottom"/>
            <w:shd w:val="clear" w:color="auto" w:fill="CFF0FC"/>
          </w:tcPr>
          <w:p>
            <w:pPr>
              <w:jc w:val="right"/>
              <w:ind w:right="16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3680" w:type="dxa"/>
            <w:vAlign w:val="bottom"/>
          </w:tcPr>
          <w:p>
            <w:pPr>
              <w:jc w:val="right"/>
              <w:ind w:right="16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216"/>
        </w:trPr>
        <w:tc>
          <w:tcPr>
            <w:tcW w:w="4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Available capacity</w:t>
            </w:r>
          </w:p>
        </w:tc>
        <w:tc>
          <w:tcPr>
            <w:tcW w:w="3680" w:type="dxa"/>
            <w:vAlign w:val="bottom"/>
            <w:shd w:val="clear" w:color="auto" w:fill="CFF0FC"/>
          </w:tcPr>
          <w:p>
            <w:pPr>
              <w:jc w:val="right"/>
              <w:ind w:right="16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746.3</w:t>
            </w:r>
          </w:p>
        </w:tc>
        <w:tc>
          <w:tcPr>
            <w:tcW w:w="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746.3</w:t>
            </w: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3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N/A</w:t>
            </w:r>
          </w:p>
        </w:tc>
        <w:tc>
          <w:tcPr>
            <w:tcW w:w="400" w:type="dxa"/>
            <w:vAlign w:val="bottom"/>
          </w:tcPr>
          <w:p>
            <w:pPr>
              <w:spacing w:after="0"/>
              <w:rPr>
                <w:sz w:val="18"/>
                <w:szCs w:val="18"/>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N/A</w:t>
            </w:r>
          </w:p>
        </w:tc>
      </w:tr>
    </w:tbl>
    <w:p>
      <w:pPr>
        <w:spacing w:after="0" w:line="136" w:lineRule="exact"/>
        <w:rPr>
          <w:sz w:val="20"/>
          <w:szCs w:val="20"/>
          <w:color w:val="auto"/>
        </w:rPr>
      </w:pPr>
    </w:p>
    <w:p>
      <w:pPr>
        <w:ind w:right="1920" w:firstLine="8"/>
        <w:spacing w:after="0" w:line="501" w:lineRule="auto"/>
        <w:tabs>
          <w:tab w:leader="none" w:pos="509" w:val="left"/>
        </w:tabs>
        <w:numPr>
          <w:ilvl w:val="0"/>
          <w:numId w:val="8"/>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Revolving Credit Facility and CP Program borrowing activity was as follows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10458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45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 March 31,</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59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480" w:type="dxa"/>
            <w:vAlign w:val="bottom"/>
            <w:shd w:val="clear" w:color="auto" w:fill="CFF0FC"/>
          </w:tcPr>
          <w:p>
            <w:pPr>
              <w:jc w:val="right"/>
              <w:ind w:right="12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1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548.7</w:t>
            </w:r>
          </w:p>
        </w:tc>
        <w:tc>
          <w:tcPr>
            <w:tcW w:w="40" w:type="dxa"/>
            <w:vAlign w:val="bottom"/>
          </w:tcPr>
          <w:p>
            <w:pPr>
              <w:spacing w:after="0"/>
              <w:rPr>
                <w:sz w:val="18"/>
                <w:szCs w:val="18"/>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48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331.3</w:t>
            </w:r>
          </w:p>
        </w:tc>
        <w:tc>
          <w:tcPr>
            <w:tcW w:w="40" w:type="dxa"/>
            <w:vAlign w:val="bottom"/>
          </w:tcPr>
          <w:p>
            <w:pPr>
              <w:spacing w:after="0"/>
              <w:rPr>
                <w:sz w:val="18"/>
                <w:szCs w:val="18"/>
                <w:color w:val="auto"/>
              </w:rPr>
            </w:pP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2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N/A</w:t>
            </w:r>
          </w:p>
        </w:tc>
        <w:tc>
          <w:tcPr>
            <w:tcW w:w="1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March 31, 2024.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March 31, 2024, our Consolidated Indebtedness to Capitalization Ratio was 0.57 to 1.00.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Wyoming Electric was in compliance with all covenants within its financing agreements as of March 31, 2024. Wyoming Electric is required to maintain a debt to capitalization ratio of no more than 0.60 to 1.00. As of March 31, 2024, Wyoming Electric's debt to capitalization ratio was 0.52 to 1.00.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80" w:type="dxa"/>
            <w:vAlign w:val="bottom"/>
            <w:gridSpan w:val="6"/>
          </w:tcPr>
          <w:p>
            <w:pPr>
              <w:spacing w:after="0"/>
              <w:rPr>
                <w:sz w:val="20"/>
                <w:szCs w:val="20"/>
                <w:color w:val="auto"/>
              </w:rPr>
            </w:pPr>
            <w:r>
              <w:rPr>
                <w:rFonts w:ascii="Arial" w:cs="Arial" w:eastAsia="Arial" w:hAnsi="Arial"/>
                <w:sz w:val="16"/>
                <w:szCs w:val="16"/>
                <w:b w:val="1"/>
                <w:bCs w:val="1"/>
                <w:color w:val="auto"/>
              </w:rPr>
              <w:t>Equity</w:t>
            </w:r>
          </w:p>
        </w:tc>
        <w:tc>
          <w:tcPr>
            <w:tcW w:w="1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31"/>
        </w:trPr>
        <w:tc>
          <w:tcPr>
            <w:tcW w:w="6580" w:type="dxa"/>
            <w:vAlign w:val="bottom"/>
            <w:gridSpan w:val="6"/>
          </w:tcPr>
          <w:p>
            <w:pPr>
              <w:spacing w:after="0"/>
              <w:rPr>
                <w:sz w:val="20"/>
                <w:szCs w:val="20"/>
                <w:color w:val="auto"/>
              </w:rPr>
            </w:pPr>
            <w:r>
              <w:rPr>
                <w:rFonts w:ascii="Arial" w:cs="Arial" w:eastAsia="Arial" w:hAnsi="Arial"/>
                <w:sz w:val="16"/>
                <w:szCs w:val="16"/>
                <w:color w:val="auto"/>
              </w:rPr>
              <w:t>At-the-Market Equity Offering Program</w:t>
            </w: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7"/>
        </w:trPr>
        <w:tc>
          <w:tcPr>
            <w:tcW w:w="6580" w:type="dxa"/>
            <w:vAlign w:val="bottom"/>
            <w:gridSpan w:val="6"/>
          </w:tcPr>
          <w:p>
            <w:pPr>
              <w:spacing w:after="0"/>
              <w:rPr>
                <w:sz w:val="20"/>
                <w:szCs w:val="20"/>
                <w:color w:val="auto"/>
              </w:rPr>
            </w:pPr>
            <w:r>
              <w:rPr>
                <w:rFonts w:ascii="Arial" w:cs="Arial" w:eastAsia="Arial" w:hAnsi="Arial"/>
                <w:sz w:val="16"/>
                <w:szCs w:val="16"/>
                <w:color w:val="auto"/>
              </w:rPr>
              <w:t>ATM activity was as follows (in millions, except Average price per share amounts):</w:t>
            </w: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3"/>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 March 31,</w:t>
            </w:r>
          </w:p>
        </w:tc>
        <w:tc>
          <w:tcPr>
            <w:tcW w:w="680" w:type="dxa"/>
            <w:vAlign w:val="bottom"/>
          </w:tcPr>
          <w:p>
            <w:pPr>
              <w:spacing w:after="0"/>
              <w:rPr>
                <w:sz w:val="24"/>
                <w:szCs w:val="24"/>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169"/>
        </w:trPr>
        <w:tc>
          <w:tcPr>
            <w:tcW w:w="6580" w:type="dxa"/>
            <w:vAlign w:val="bottom"/>
            <w:gridSpan w:val="6"/>
          </w:tcPr>
          <w:p>
            <w:pPr>
              <w:ind w:left="20"/>
              <w:spacing w:after="0" w:line="169" w:lineRule="exact"/>
              <w:rPr>
                <w:sz w:val="20"/>
                <w:szCs w:val="20"/>
                <w:color w:val="auto"/>
              </w:rPr>
            </w:pPr>
            <w:r>
              <w:rPr>
                <w:rFonts w:ascii="Arial" w:cs="Arial" w:eastAsia="Arial" w:hAnsi="Arial"/>
                <w:sz w:val="16"/>
                <w:szCs w:val="16"/>
                <w:i w:val="1"/>
                <w:iCs w:val="1"/>
                <w:color w:val="auto"/>
              </w:rPr>
              <w:t>August 4, 2020 ATM Program</w:t>
            </w:r>
          </w:p>
        </w:tc>
        <w:tc>
          <w:tcPr>
            <w:tcW w:w="1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6580" w:type="dxa"/>
            <w:vAlign w:val="bottom"/>
            <w:gridSpan w:val="6"/>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$0.0 and $(0.3), respectively)</w:t>
            </w:r>
          </w:p>
        </w:tc>
        <w:tc>
          <w:tcPr>
            <w:tcW w:w="198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27.4</w:t>
            </w:r>
          </w:p>
        </w:tc>
      </w:tr>
      <w:tr>
        <w:trPr>
          <w:trHeight w:val="215"/>
        </w:trPr>
        <w:tc>
          <w:tcPr>
            <w:tcW w:w="6580" w:type="dxa"/>
            <w:vAlign w:val="bottom"/>
            <w:gridSpan w:val="6"/>
          </w:tcPr>
          <w:p>
            <w:pPr>
              <w:ind w:left="20"/>
              <w:spacing w:after="0"/>
              <w:rPr>
                <w:sz w:val="20"/>
                <w:szCs w:val="20"/>
                <w:color w:val="auto"/>
              </w:rPr>
            </w:pPr>
            <w:r>
              <w:rPr>
                <w:rFonts w:ascii="Arial" w:cs="Arial" w:eastAsia="Arial" w:hAnsi="Arial"/>
                <w:sz w:val="16"/>
                <w:szCs w:val="16"/>
                <w:color w:val="auto"/>
              </w:rPr>
              <w:t>Number of shares issued</w:t>
            </w:r>
          </w:p>
        </w:tc>
        <w:tc>
          <w:tcPr>
            <w:tcW w:w="1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217"/>
        </w:trPr>
        <w:tc>
          <w:tcPr>
            <w:tcW w:w="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176"/>
        </w:trPr>
        <w:tc>
          <w:tcPr>
            <w:tcW w:w="6580" w:type="dxa"/>
            <w:vAlign w:val="bottom"/>
            <w:gridSpan w:val="6"/>
          </w:tcPr>
          <w:p>
            <w:pPr>
              <w:ind w:left="20"/>
              <w:spacing w:after="0" w:line="175" w:lineRule="exact"/>
              <w:rPr>
                <w:sz w:val="20"/>
                <w:szCs w:val="20"/>
                <w:color w:val="auto"/>
              </w:rPr>
            </w:pPr>
            <w:r>
              <w:rPr>
                <w:rFonts w:ascii="Arial" w:cs="Arial" w:eastAsia="Arial" w:hAnsi="Arial"/>
                <w:sz w:val="16"/>
                <w:szCs w:val="16"/>
                <w:i w:val="1"/>
                <w:iCs w:val="1"/>
                <w:color w:val="auto"/>
              </w:rPr>
              <w:t>June 16, 2023 ATM Program</w:t>
            </w:r>
          </w:p>
        </w:tc>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6580" w:type="dxa"/>
            <w:vAlign w:val="bottom"/>
            <w:gridSpan w:val="6"/>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$(0.3) and $0.0, respectively)</w:t>
            </w:r>
          </w:p>
        </w:tc>
        <w:tc>
          <w:tcPr>
            <w:tcW w:w="198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36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6580" w:type="dxa"/>
            <w:vAlign w:val="bottom"/>
            <w:gridSpan w:val="6"/>
          </w:tcPr>
          <w:p>
            <w:pPr>
              <w:ind w:left="20"/>
              <w:spacing w:after="0"/>
              <w:rPr>
                <w:sz w:val="20"/>
                <w:szCs w:val="20"/>
                <w:color w:val="auto"/>
              </w:rPr>
            </w:pPr>
            <w:r>
              <w:rPr>
                <w:rFonts w:ascii="Arial" w:cs="Arial" w:eastAsia="Arial" w:hAnsi="Arial"/>
                <w:sz w:val="16"/>
                <w:szCs w:val="16"/>
                <w:color w:val="auto"/>
              </w:rPr>
              <w:t>Number of shares issued</w:t>
            </w:r>
          </w:p>
        </w:tc>
        <w:tc>
          <w:tcPr>
            <w:tcW w:w="1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0.6</w:t>
            </w:r>
          </w:p>
        </w:tc>
        <w:tc>
          <w:tcPr>
            <w:tcW w:w="13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175"/>
        </w:trPr>
        <w:tc>
          <w:tcPr>
            <w:tcW w:w="6580" w:type="dxa"/>
            <w:vAlign w:val="bottom"/>
            <w:gridSpan w:val="6"/>
          </w:tcPr>
          <w:p>
            <w:pPr>
              <w:ind w:left="20"/>
              <w:spacing w:after="0" w:line="175" w:lineRule="exact"/>
              <w:rPr>
                <w:sz w:val="20"/>
                <w:szCs w:val="20"/>
                <w:color w:val="auto"/>
              </w:rPr>
            </w:pPr>
            <w:r>
              <w:rPr>
                <w:rFonts w:ascii="Arial" w:cs="Arial" w:eastAsia="Arial" w:hAnsi="Arial"/>
                <w:sz w:val="16"/>
                <w:szCs w:val="16"/>
                <w:i w:val="1"/>
                <w:iCs w:val="1"/>
                <w:color w:val="auto"/>
              </w:rPr>
              <w:t>Total activity under both ATM Programs</w:t>
            </w:r>
          </w:p>
        </w:tc>
        <w:tc>
          <w:tcPr>
            <w:tcW w:w="1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6580" w:type="dxa"/>
            <w:vAlign w:val="bottom"/>
            <w:gridSpan w:val="6"/>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$(0.3) and $(0.3), respectively)</w:t>
            </w:r>
          </w:p>
        </w:tc>
        <w:tc>
          <w:tcPr>
            <w:tcW w:w="198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36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27.4</w:t>
            </w:r>
          </w:p>
        </w:tc>
      </w:tr>
      <w:tr>
        <w:trPr>
          <w:trHeight w:val="215"/>
        </w:trPr>
        <w:tc>
          <w:tcPr>
            <w:tcW w:w="6580" w:type="dxa"/>
            <w:vAlign w:val="bottom"/>
            <w:gridSpan w:val="6"/>
          </w:tcPr>
          <w:p>
            <w:pPr>
              <w:ind w:left="20"/>
              <w:spacing w:after="0"/>
              <w:rPr>
                <w:sz w:val="20"/>
                <w:szCs w:val="20"/>
                <w:color w:val="auto"/>
              </w:rPr>
            </w:pPr>
            <w:r>
              <w:rPr>
                <w:rFonts w:ascii="Arial" w:cs="Arial" w:eastAsia="Arial" w:hAnsi="Arial"/>
                <w:sz w:val="16"/>
                <w:szCs w:val="16"/>
                <w:color w:val="auto"/>
              </w:rPr>
              <w:t>Number of shares issued</w:t>
            </w:r>
          </w:p>
        </w:tc>
        <w:tc>
          <w:tcPr>
            <w:tcW w:w="1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0.6</w:t>
            </w:r>
          </w:p>
        </w:tc>
        <w:tc>
          <w:tcPr>
            <w:tcW w:w="13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217"/>
        </w:trPr>
        <w:tc>
          <w:tcPr>
            <w:tcW w:w="6580" w:type="dxa"/>
            <w:vAlign w:val="bottom"/>
            <w:gridSpan w:val="6"/>
            <w:shd w:val="clear" w:color="auto" w:fill="CFF0FC"/>
          </w:tcPr>
          <w:p>
            <w:pPr>
              <w:ind w:left="20"/>
              <w:spacing w:after="0"/>
              <w:rPr>
                <w:sz w:val="20"/>
                <w:szCs w:val="20"/>
                <w:color w:val="auto"/>
              </w:rPr>
            </w:pPr>
            <w:r>
              <w:rPr>
                <w:rFonts w:ascii="Arial" w:cs="Arial" w:eastAsia="Arial" w:hAnsi="Arial"/>
                <w:sz w:val="16"/>
                <w:szCs w:val="16"/>
                <w:color w:val="auto"/>
              </w:rPr>
              <w:t>Average price per share</w:t>
            </w:r>
          </w:p>
        </w:tc>
        <w:tc>
          <w:tcPr>
            <w:tcW w:w="198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52.51</w:t>
            </w:r>
          </w:p>
        </w:tc>
        <w:tc>
          <w:tcPr>
            <w:tcW w:w="136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62.21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2024, there were 47,596 shares issued under the ATM Program, but not settled.</w:t>
      </w:r>
    </w:p>
    <w:p>
      <w:pPr>
        <w:sectPr>
          <w:pgSz w:w="11900" w:h="16838" w:orient="portrait"/>
          <w:cols w:equalWidth="0" w:num="1">
            <w:col w:w="11280"/>
          </w:cols>
          <w:pgMar w:left="320" w:top="773" w:right="299"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73" w:right="2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 reconciliation of share amounts used to compute earnings per share in the accompanying Consolidated Statements of Income was as follows (in millions, except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3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8"/>
                <w:szCs w:val="18"/>
                <w:color w:val="auto"/>
              </w:rPr>
            </w:pPr>
          </w:p>
        </w:tc>
      </w:tr>
      <w:tr>
        <w:trPr>
          <w:trHeight w:val="217"/>
        </w:trPr>
        <w:tc>
          <w:tcPr>
            <w:tcW w:w="7340" w:type="dxa"/>
            <w:vAlign w:val="bottom"/>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r>
      <w:tr>
        <w:trPr>
          <w:trHeight w:val="249"/>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w:t>
            </w: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127.9</w:t>
            </w:r>
          </w:p>
        </w:tc>
        <w:tc>
          <w:tcPr>
            <w:tcW w:w="1320" w:type="dxa"/>
            <w:vAlign w:val="bottom"/>
            <w:tcBorders>
              <w:bottom w:val="single" w:sz="8" w:color="auto"/>
            </w:tcBorders>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114.1</w:t>
            </w: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 basic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Dilutive effect of equity compensation</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jc w:val="right"/>
              <w:ind w:right="719"/>
              <w:spacing w:after="0"/>
              <w:rPr>
                <w:sz w:val="20"/>
                <w:szCs w:val="20"/>
                <w:color w:val="auto"/>
              </w:rPr>
            </w:pPr>
            <w:r>
              <w:rPr>
                <w:rFonts w:ascii="Arial" w:cs="Arial" w:eastAsia="Arial" w:hAnsi="Arial"/>
                <w:sz w:val="16"/>
                <w:szCs w:val="16"/>
                <w:color w:val="auto"/>
              </w:rPr>
              <w:t>68.2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66.0</w:t>
            </w:r>
          </w:p>
        </w:tc>
      </w:tr>
      <w:tr>
        <w:trPr>
          <w:trHeight w:val="217"/>
        </w:trPr>
        <w:tc>
          <w:tcPr>
            <w:tcW w:w="2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0.1</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r>
      <w:tr>
        <w:trPr>
          <w:trHeight w:val="210"/>
        </w:trPr>
        <w:tc>
          <w:tcPr>
            <w:tcW w:w="26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68.3</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66.1</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-445135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-162560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3900"/>
          </w:cols>
          <w:pgMar w:left="320" w:top="77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 per share - Diluted</w:t>
            </w:r>
          </w:p>
        </w:tc>
        <w:tc>
          <w:tcPr>
            <w:tcW w:w="136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34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w:t>
            </w:r>
          </w:p>
        </w:tc>
      </w:tr>
      <w:tr>
        <w:trPr>
          <w:trHeight w:val="389"/>
        </w:trPr>
        <w:tc>
          <w:tcPr>
            <w:tcW w:w="10620" w:type="dxa"/>
            <w:vAlign w:val="bottom"/>
            <w:gridSpan w:val="4"/>
          </w:tcPr>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millions of shares):</w:t>
            </w:r>
          </w:p>
        </w:tc>
        <w:tc>
          <w:tcPr>
            <w:tcW w:w="620" w:type="dxa"/>
            <w:vAlign w:val="bottom"/>
          </w:tcPr>
          <w:p>
            <w:pPr>
              <w:spacing w:after="0"/>
              <w:rPr>
                <w:sz w:val="24"/>
                <w:szCs w:val="24"/>
                <w:color w:val="auto"/>
              </w:rPr>
            </w:pPr>
          </w:p>
        </w:tc>
      </w:tr>
      <w:tr>
        <w:trPr>
          <w:trHeight w:val="393"/>
        </w:trPr>
        <w:tc>
          <w:tcPr>
            <w:tcW w:w="7320" w:type="dxa"/>
            <w:vAlign w:val="bottom"/>
          </w:tcPr>
          <w:p>
            <w:pPr>
              <w:spacing w:after="0"/>
              <w:rPr>
                <w:sz w:val="24"/>
                <w:szCs w:val="24"/>
                <w:color w:val="auto"/>
              </w:rPr>
            </w:pPr>
          </w:p>
        </w:tc>
        <w:tc>
          <w:tcPr>
            <w:tcW w:w="33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24"/>
                <w:szCs w:val="24"/>
                <w:color w:val="auto"/>
              </w:rPr>
            </w:pPr>
          </w:p>
        </w:tc>
      </w:tr>
      <w:tr>
        <w:trPr>
          <w:trHeight w:val="217"/>
        </w:trPr>
        <w:tc>
          <w:tcPr>
            <w:tcW w:w="7320" w:type="dxa"/>
            <w:vAlign w:val="bottom"/>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compensation</w:t>
            </w:r>
          </w:p>
        </w:tc>
        <w:tc>
          <w:tcPr>
            <w:tcW w:w="13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3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49"/>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Anti-dilutive shares excluded from computation of earnings per share</w:t>
            </w:r>
          </w:p>
        </w:tc>
        <w:tc>
          <w:tcPr>
            <w:tcW w:w="13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3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r>
    </w:tbl>
    <w:p>
      <w:pPr>
        <w:spacing w:after="0" w:line="364" w:lineRule="exact"/>
        <w:rPr>
          <w:sz w:val="20"/>
          <w:szCs w:val="20"/>
          <w:color w:val="auto"/>
        </w:rPr>
      </w:pPr>
    </w:p>
    <w:p>
      <w:pPr>
        <w:ind w:right="8100" w:firstLine="8"/>
        <w:spacing w:after="0" w:line="493" w:lineRule="auto"/>
        <w:tabs>
          <w:tab w:leader="none" w:pos="50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40"/>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900" w:right="160" w:hanging="518"/>
        <w:spacing w:after="0" w:line="259" w:lineRule="auto"/>
        <w:tabs>
          <w:tab w:leader="none" w:pos="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900" w:hanging="518"/>
        <w:spacing w:after="0"/>
        <w:tabs>
          <w:tab w:leader="none" w:pos="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4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12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enter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spacing w:after="0" w:line="34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To support our Choice Gas Program customers, 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April 2024 through December 2025.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5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and (short) positions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b w:val="1"/>
                <w:bCs w:val="1"/>
                <w:color w:val="auto"/>
              </w:rPr>
              <w:t>March 31, 2024</w:t>
            </w:r>
          </w:p>
        </w:tc>
        <w:tc>
          <w:tcPr>
            <w:tcW w:w="300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December 31, 2023</w:t>
            </w:r>
          </w:p>
        </w:tc>
      </w:tr>
      <w:tr>
        <w:trPr>
          <w:trHeight w:val="182"/>
        </w:trPr>
        <w:tc>
          <w:tcPr>
            <w:tcW w:w="50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20" w:type="dxa"/>
            <w:vAlign w:val="bottom"/>
          </w:tcPr>
          <w:p>
            <w:pPr>
              <w:jc w:val="center"/>
              <w:ind w:right="179"/>
              <w:spacing w:after="0" w:line="182" w:lineRule="exact"/>
              <w:rPr>
                <w:sz w:val="20"/>
                <w:szCs w:val="20"/>
                <w:color w:val="auto"/>
              </w:rPr>
            </w:pPr>
            <w:r>
              <w:rPr>
                <w:rFonts w:ascii="Arial" w:cs="Arial" w:eastAsia="Arial" w:hAnsi="Arial"/>
                <w:sz w:val="16"/>
                <w:szCs w:val="16"/>
                <w:b w:val="1"/>
                <w:bCs w:val="1"/>
                <w:color w:val="auto"/>
                <w:w w:val="99"/>
              </w:rPr>
              <w:t>Notional</w:t>
            </w:r>
          </w:p>
        </w:tc>
        <w:tc>
          <w:tcPr>
            <w:tcW w:w="1580" w:type="dxa"/>
            <w:vAlign w:val="bottom"/>
          </w:tcPr>
          <w:p>
            <w:pPr>
              <w:spacing w:after="0"/>
              <w:rPr>
                <w:sz w:val="15"/>
                <w:szCs w:val="15"/>
                <w:color w:val="auto"/>
              </w:rPr>
            </w:pPr>
          </w:p>
        </w:tc>
      </w:tr>
      <w:tr>
        <w:trPr>
          <w:trHeight w:val="163"/>
        </w:trPr>
        <w:tc>
          <w:tcPr>
            <w:tcW w:w="5020" w:type="dxa"/>
            <w:vAlign w:val="bottom"/>
          </w:tcPr>
          <w:p>
            <w:pPr>
              <w:spacing w:after="0"/>
              <w:rPr>
                <w:sz w:val="14"/>
                <w:szCs w:val="14"/>
                <w:color w:val="auto"/>
              </w:rPr>
            </w:pPr>
          </w:p>
        </w:tc>
        <w:tc>
          <w:tcPr>
            <w:tcW w:w="1600" w:type="dxa"/>
            <w:vAlign w:val="bottom"/>
          </w:tcPr>
          <w:p>
            <w:pPr>
              <w:jc w:val="right"/>
              <w:ind w:right="99"/>
              <w:spacing w:after="0" w:line="163" w:lineRule="exact"/>
              <w:rPr>
                <w:sz w:val="20"/>
                <w:szCs w:val="20"/>
                <w:color w:val="auto"/>
              </w:rPr>
            </w:pPr>
            <w:r>
              <w:rPr>
                <w:rFonts w:ascii="Arial" w:cs="Arial" w:eastAsia="Arial" w:hAnsi="Arial"/>
                <w:sz w:val="16"/>
                <w:szCs w:val="16"/>
                <w:b w:val="1"/>
                <w:bCs w:val="1"/>
                <w:color w:val="auto"/>
              </w:rPr>
              <w:t>Notional Amounts</w:t>
            </w:r>
          </w:p>
        </w:tc>
        <w:tc>
          <w:tcPr>
            <w:tcW w:w="1620" w:type="dxa"/>
            <w:vAlign w:val="bottom"/>
          </w:tcPr>
          <w:p>
            <w:pPr>
              <w:jc w:val="right"/>
              <w:ind w:right="279"/>
              <w:spacing w:after="0" w:line="163" w:lineRule="exact"/>
              <w:rPr>
                <w:sz w:val="20"/>
                <w:szCs w:val="20"/>
                <w:color w:val="auto"/>
              </w:rPr>
            </w:pPr>
            <w:r>
              <w:rPr>
                <w:rFonts w:ascii="Arial" w:cs="Arial" w:eastAsia="Arial" w:hAnsi="Arial"/>
                <w:sz w:val="16"/>
                <w:szCs w:val="16"/>
                <w:b w:val="1"/>
                <w:bCs w:val="1"/>
                <w:color w:val="auto"/>
              </w:rPr>
              <w:t>Maximum Term</w:t>
            </w:r>
          </w:p>
        </w:tc>
        <w:tc>
          <w:tcPr>
            <w:tcW w:w="1420" w:type="dxa"/>
            <w:vAlign w:val="bottom"/>
          </w:tcPr>
          <w:p>
            <w:pPr>
              <w:jc w:val="center"/>
              <w:ind w:right="159"/>
              <w:spacing w:after="0" w:line="163" w:lineRule="exact"/>
              <w:rPr>
                <w:sz w:val="20"/>
                <w:szCs w:val="20"/>
                <w:color w:val="auto"/>
              </w:rPr>
            </w:pPr>
            <w:r>
              <w:rPr>
                <w:rFonts w:ascii="Arial" w:cs="Arial" w:eastAsia="Arial" w:hAnsi="Arial"/>
                <w:sz w:val="16"/>
                <w:szCs w:val="16"/>
                <w:b w:val="1"/>
                <w:bCs w:val="1"/>
                <w:color w:val="auto"/>
              </w:rPr>
              <w:t>Amounts</w:t>
            </w:r>
          </w:p>
        </w:tc>
        <w:tc>
          <w:tcPr>
            <w:tcW w:w="1580" w:type="dxa"/>
            <w:vAlign w:val="bottom"/>
          </w:tcPr>
          <w:p>
            <w:pPr>
              <w:jc w:val="right"/>
              <w:ind w:right="199"/>
              <w:spacing w:after="0" w:line="163" w:lineRule="exact"/>
              <w:rPr>
                <w:sz w:val="20"/>
                <w:szCs w:val="20"/>
                <w:color w:val="auto"/>
              </w:rPr>
            </w:pPr>
            <w:r>
              <w:rPr>
                <w:rFonts w:ascii="Arial" w:cs="Arial" w:eastAsia="Arial" w:hAnsi="Arial"/>
                <w:sz w:val="16"/>
                <w:szCs w:val="16"/>
                <w:b w:val="1"/>
                <w:bCs w:val="1"/>
                <w:color w:val="auto"/>
              </w:rPr>
              <w:t>Maximum Term</w:t>
            </w:r>
          </w:p>
        </w:tc>
      </w:tr>
      <w:tr>
        <w:trPr>
          <w:trHeight w:val="243"/>
        </w:trPr>
        <w:tc>
          <w:tcPr>
            <w:tcW w:w="5020" w:type="dxa"/>
            <w:vAlign w:val="bottom"/>
          </w:tcPr>
          <w:p>
            <w:pPr>
              <w:spacing w:after="0"/>
              <w:rPr>
                <w:sz w:val="21"/>
                <w:szCs w:val="21"/>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(MMBtus)</w:t>
            </w: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(a)</w:t>
            </w: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(MMBtus)</w:t>
            </w: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(a)</w:t>
            </w:r>
          </w:p>
        </w:tc>
      </w:tr>
      <w:tr>
        <w:trPr>
          <w:trHeight w:val="210"/>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futures purchased</w:t>
            </w: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N/A</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650,000</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N/A</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2,850,000</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217"/>
        </w:trPr>
        <w:tc>
          <w:tcPr>
            <w:tcW w:w="5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basis swaps purchased</w:t>
            </w: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N/A</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1,050,000</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2,600,000</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20</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3,890,000</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w:t>
            </w:r>
          </w:p>
        </w:tc>
      </w:tr>
      <w:tr>
        <w:trPr>
          <w:trHeight w:val="216"/>
        </w:trPr>
        <w:tc>
          <w:tcPr>
            <w:tcW w:w="502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(444,110 )</w:t>
            </w:r>
          </w:p>
        </w:tc>
        <w:tc>
          <w:tcPr>
            <w:tcW w:w="16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7</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12,582,415</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March 31, 2024, 695,000 MMBtus of natural gas over-the-counter swaps purchases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171" w:lineRule="exact"/>
        <w:rPr>
          <w:sz w:val="20"/>
          <w:szCs w:val="20"/>
          <w:color w:val="auto"/>
        </w:rPr>
      </w:pPr>
    </w:p>
    <w:p>
      <w:pPr>
        <w:jc w:val="both"/>
        <w:ind w:right="62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March 31, 2024, the Company posted $0.1 million related to such provisions, which is included in Other current assets on the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millions)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6"/>
                <w:szCs w:val="16"/>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4120" w:type="dxa"/>
            <w:vAlign w:val="bottom"/>
          </w:tcPr>
          <w:p>
            <w:pPr>
              <w:spacing w:after="0"/>
              <w:rPr>
                <w:sz w:val="18"/>
                <w:szCs w:val="18"/>
                <w:color w:val="auto"/>
              </w:rPr>
            </w:pPr>
          </w:p>
        </w:tc>
        <w:tc>
          <w:tcPr>
            <w:tcW w:w="394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Balance Sheet Location</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r>
      <w:tr>
        <w:trPr>
          <w:trHeight w:val="209"/>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hedges:</w:t>
            </w:r>
          </w:p>
        </w:tc>
        <w:tc>
          <w:tcPr>
            <w:tcW w:w="39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412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116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(0.7 )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(2.7 )</w:t>
            </w:r>
          </w:p>
        </w:tc>
      </w:tr>
      <w:tr>
        <w:trPr>
          <w:trHeight w:val="216"/>
        </w:trPr>
        <w:tc>
          <w:tcPr>
            <w:tcW w:w="412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40" w:type="dxa"/>
            <w:vAlign w:val="bottom"/>
          </w:tcPr>
          <w:p>
            <w:pPr>
              <w:spacing w:after="0"/>
              <w:rPr>
                <w:sz w:val="20"/>
                <w:szCs w:val="20"/>
                <w:color w:val="auto"/>
              </w:rPr>
            </w:pPr>
            <w:r>
              <w:rPr>
                <w:rFonts w:ascii="Arial" w:cs="Arial" w:eastAsia="Arial" w:hAnsi="Arial"/>
                <w:sz w:val="16"/>
                <w:szCs w:val="16"/>
                <w:color w:val="auto"/>
              </w:rPr>
              <w:t>Other assets, non-current</w:t>
            </w: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249"/>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9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(0.8 ) $</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(2.9 )</w:t>
            </w:r>
          </w:p>
        </w:tc>
      </w:tr>
      <w:tr>
        <w:trPr>
          <w:trHeight w:val="197"/>
        </w:trPr>
        <w:tc>
          <w:tcPr>
            <w:tcW w:w="4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hedges:</w:t>
            </w:r>
          </w:p>
        </w:tc>
        <w:tc>
          <w:tcPr>
            <w:tcW w:w="39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412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3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4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116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(1.3 )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(3.8 )</w:t>
            </w:r>
          </w:p>
        </w:tc>
      </w:tr>
      <w:tr>
        <w:trPr>
          <w:trHeight w:val="216"/>
        </w:trPr>
        <w:tc>
          <w:tcPr>
            <w:tcW w:w="412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3940" w:type="dxa"/>
            <w:vAlign w:val="bottom"/>
          </w:tcPr>
          <w:p>
            <w:pPr>
              <w:spacing w:after="0"/>
              <w:rPr>
                <w:sz w:val="20"/>
                <w:szCs w:val="20"/>
                <w:color w:val="auto"/>
              </w:rPr>
            </w:pPr>
            <w:r>
              <w:rPr>
                <w:rFonts w:ascii="Arial" w:cs="Arial" w:eastAsia="Arial" w:hAnsi="Arial"/>
                <w:sz w:val="16"/>
                <w:szCs w:val="16"/>
                <w:color w:val="auto"/>
              </w:rPr>
              <w:t>Other deferred credits and other liabilities</w:t>
            </w: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50"/>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9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(1.3 ) $</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are presented below for the three months ended March 31, 2024 and 2023.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March 31,</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rPr>
              <w:t>March 31,</w:t>
            </w:r>
          </w:p>
        </w:tc>
      </w:tr>
      <w:tr>
        <w:trPr>
          <w:trHeight w:val="217"/>
        </w:trPr>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82"/>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center"/>
              <w:ind w:right="179"/>
              <w:spacing w:after="0" w:line="182"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58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200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Amount of Gain/(Loss)</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rPr>
              <w:t>Reclassified from AOCI</w:t>
            </w:r>
          </w:p>
        </w:tc>
      </w:tr>
      <w:tr>
        <w:trPr>
          <w:trHeight w:val="21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Recognized in OCI</w:t>
            </w:r>
          </w:p>
        </w:tc>
        <w:tc>
          <w:tcPr>
            <w:tcW w:w="34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Income Statement Location</w:t>
            </w: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b w:val="1"/>
                <w:bCs w:val="1"/>
                <w:color w:val="auto"/>
              </w:rPr>
              <w:t>into Income</w:t>
            </w:r>
          </w:p>
        </w:tc>
      </w:tr>
      <w:tr>
        <w:trPr>
          <w:trHeight w:val="209"/>
        </w:trPr>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color w:val="auto"/>
              </w:rPr>
              <w:t>(in millions)</w:t>
            </w:r>
          </w:p>
        </w:tc>
        <w:tc>
          <w:tcPr>
            <w:tcW w:w="3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(in millions)</w:t>
            </w:r>
          </w:p>
        </w:tc>
      </w:tr>
      <w:tr>
        <w:trPr>
          <w:trHeight w:val="210"/>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(0.7 ) $</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(0.7 )</w:t>
            </w:r>
          </w:p>
        </w:tc>
      </w:t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7"/>
        </w:trPr>
        <w:tc>
          <w:tcPr>
            <w:tcW w:w="358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3480" w:type="dxa"/>
            <w:vAlign w:val="bottom"/>
          </w:tcPr>
          <w:p>
            <w:pPr>
              <w:ind w:left="20"/>
              <w:spacing w:after="0"/>
              <w:rPr>
                <w:sz w:val="20"/>
                <w:szCs w:val="20"/>
                <w:color w:val="auto"/>
              </w:rPr>
            </w:pPr>
            <w:r>
              <w:rPr>
                <w:rFonts w:ascii="Arial" w:cs="Arial" w:eastAsia="Arial" w:hAnsi="Arial"/>
                <w:sz w:val="16"/>
                <w:szCs w:val="16"/>
                <w:color w:val="auto"/>
              </w:rPr>
              <w:t>sold</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(2.6 )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50"/>
        </w:trPr>
        <w:tc>
          <w:tcPr>
            <w:tcW w:w="35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34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6"/>
                <w:szCs w:val="16"/>
                <w:color w:val="auto"/>
              </w:rPr>
              <w:t>(3.3 ) $</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wp:posOffset>
            </wp:positionV>
            <wp:extent cx="2202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22028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5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of March 31, 2024, $3.6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three months ended March 31, 2024 and 2023.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44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center"/>
              <w:ind w:left="39"/>
              <w:spacing w:after="0" w:line="182" w:lineRule="exact"/>
              <w:rPr>
                <w:sz w:val="20"/>
                <w:szCs w:val="20"/>
                <w:color w:val="auto"/>
              </w:rPr>
            </w:pPr>
            <w:r>
              <w:rPr>
                <w:rFonts w:ascii="Arial" w:cs="Arial" w:eastAsia="Arial" w:hAnsi="Arial"/>
                <w:sz w:val="16"/>
                <w:szCs w:val="16"/>
                <w:b w:val="1"/>
                <w:bCs w:val="1"/>
                <w:color w:val="auto"/>
              </w:rPr>
              <w:t>Derivatives Not Designated as Hedging</w:t>
            </w:r>
          </w:p>
        </w:tc>
        <w:tc>
          <w:tcPr>
            <w:tcW w:w="3620" w:type="dxa"/>
            <w:vAlign w:val="bottom"/>
          </w:tcPr>
          <w:p>
            <w:pPr>
              <w:jc w:val="center"/>
              <w:ind w:left="59"/>
              <w:spacing w:after="0" w:line="182" w:lineRule="exact"/>
              <w:rPr>
                <w:sz w:val="20"/>
                <w:szCs w:val="20"/>
                <w:color w:val="auto"/>
              </w:rPr>
            </w:pPr>
            <w:r>
              <w:rPr>
                <w:rFonts w:ascii="Arial" w:cs="Arial" w:eastAsia="Arial" w:hAnsi="Arial"/>
                <w:sz w:val="16"/>
                <w:szCs w:val="16"/>
                <w:b w:val="1"/>
                <w:bCs w:val="1"/>
                <w:color w:val="auto"/>
              </w:rPr>
              <w:t>Location of Gain/(Loss) on Derivatives</w:t>
            </w:r>
          </w:p>
        </w:tc>
        <w:tc>
          <w:tcPr>
            <w:tcW w:w="4080" w:type="dxa"/>
            <w:vAlign w:val="bottom"/>
            <w:gridSpan w:val="4"/>
          </w:tcPr>
          <w:p>
            <w:pPr>
              <w:jc w:val="center"/>
              <w:ind w:right="59"/>
              <w:spacing w:after="0" w:line="182"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center"/>
              <w:ind w:right="759"/>
              <w:spacing w:after="0"/>
              <w:rPr>
                <w:sz w:val="20"/>
                <w:szCs w:val="20"/>
                <w:color w:val="auto"/>
              </w:rPr>
            </w:pPr>
            <w:r>
              <w:rPr>
                <w:rFonts w:ascii="Arial" w:cs="Arial" w:eastAsia="Arial" w:hAnsi="Arial"/>
                <w:sz w:val="16"/>
                <w:szCs w:val="16"/>
                <w:b w:val="1"/>
                <w:bCs w:val="1"/>
                <w:color w:val="auto"/>
              </w:rPr>
              <w:t>in Income</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gridSpan w:val="2"/>
          </w:tcPr>
          <w:p>
            <w:pPr>
              <w:jc w:val="center"/>
              <w:ind w:right="739"/>
              <w:spacing w:after="0"/>
              <w:rPr>
                <w:sz w:val="20"/>
                <w:szCs w:val="20"/>
                <w:color w:val="auto"/>
              </w:rPr>
            </w:pPr>
            <w:r>
              <w:rPr>
                <w:rFonts w:ascii="Arial" w:cs="Arial" w:eastAsia="Arial" w:hAnsi="Arial"/>
                <w:sz w:val="16"/>
                <w:szCs w:val="16"/>
                <w:color w:val="auto"/>
              </w:rPr>
              <w:t>(in millions)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FF0FC"/>
          </w:tcPr>
          <w:p>
            <w:pPr>
              <w:spacing w:after="0"/>
              <w:rPr>
                <w:sz w:val="16"/>
                <w:szCs w:val="16"/>
                <w:color w:val="auto"/>
              </w:rPr>
            </w:pPr>
          </w:p>
        </w:tc>
        <w:tc>
          <w:tcPr>
            <w:tcW w:w="36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440" w:type="dxa"/>
            <w:vAlign w:val="bottom"/>
            <w:vMerge w:val="restart"/>
            <w:shd w:val="clear" w:color="auto" w:fill="CFF0FC"/>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3"/>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derivatives</w:t>
            </w:r>
          </w:p>
        </w:tc>
        <w:tc>
          <w:tcPr>
            <w:tcW w:w="3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1440" w:type="dxa"/>
            <w:vAlign w:val="bottom"/>
            <w:tcBorders>
              <w:bottom w:val="single" w:sz="8" w:color="auto"/>
            </w:tcBorders>
            <w:vMerge w:val="continue"/>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4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We did not have any net unrealized losses included in our Regulatory asset accounts related to these financial instruments in our Gas Utilities as of March 31, 2024 and the amount was $5.1 million as of December 31, 2023.</w:t>
      </w:r>
    </w:p>
    <w:p>
      <w:pPr>
        <w:sectPr>
          <w:pgSz w:w="11900" w:h="16838" w:orient="portrait"/>
          <w:cols w:equalWidth="0" w:num="1">
            <w:col w:w="11240"/>
          </w:cols>
          <w:pgMar w:left="320" w:top="773"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2023 Annual Report on Form 10-K.</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3"/>
          </w:tcPr>
          <w:p>
            <w:pPr>
              <w:jc w:val="right"/>
              <w:ind w:right="1264"/>
              <w:spacing w:after="0"/>
              <w:rPr>
                <w:sz w:val="20"/>
                <w:szCs w:val="20"/>
                <w:color w:val="auto"/>
              </w:rPr>
            </w:pPr>
            <w:r>
              <w:rPr>
                <w:rFonts w:ascii="Arial" w:cs="Arial" w:eastAsia="Arial" w:hAnsi="Arial"/>
                <w:sz w:val="16"/>
                <w:szCs w:val="16"/>
                <w:b w:val="1"/>
                <w:bCs w:val="1"/>
                <w:color w:val="auto"/>
              </w:rPr>
              <w:t>As of March 31, 2024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Cash Collateral and</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tcPr>
          <w:p>
            <w:pPr>
              <w:jc w:val="center"/>
              <w:ind w:left="4"/>
              <w:spacing w:after="0" w:line="163" w:lineRule="exact"/>
              <w:rPr>
                <w:sz w:val="20"/>
                <w:szCs w:val="20"/>
                <w:color w:val="auto"/>
              </w:rPr>
            </w:pPr>
            <w:r>
              <w:rPr>
                <w:rFonts w:ascii="Arial" w:cs="Arial" w:eastAsia="Arial" w:hAnsi="Arial"/>
                <w:sz w:val="16"/>
                <w:szCs w:val="16"/>
                <w:b w:val="1"/>
                <w:bCs w:val="1"/>
                <w:color w:val="auto"/>
              </w:rPr>
              <w:t>Counterparty Netting</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020" w:type="dxa"/>
            <w:vAlign w:val="bottom"/>
            <w:vMerge w:val="restart"/>
          </w:tcPr>
          <w:p>
            <w:pPr>
              <w:jc w:val="right"/>
              <w:ind w:right="59"/>
              <w:spacing w:after="0" w:line="175" w:lineRule="exact"/>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0"/>
                <w:szCs w:val="10"/>
                <w:color w:val="auto"/>
              </w:rPr>
            </w:pPr>
          </w:p>
        </w:tc>
        <w:tc>
          <w:tcPr>
            <w:tcW w:w="980" w:type="dxa"/>
            <w:vAlign w:val="bottom"/>
            <w:vMerge w:val="restart"/>
          </w:tcPr>
          <w:p>
            <w:pPr>
              <w:jc w:val="right"/>
              <w:spacing w:after="0" w:line="175" w:lineRule="exact"/>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vMerge w:val="restart"/>
          </w:tcPr>
          <w:p>
            <w:pPr>
              <w:jc w:val="right"/>
              <w:ind w:right="339"/>
              <w:spacing w:after="0" w:line="175" w:lineRule="exact"/>
              <w:rPr>
                <w:sz w:val="20"/>
                <w:szCs w:val="20"/>
                <w:color w:val="auto"/>
              </w:rPr>
            </w:pPr>
            <w:r>
              <w:rPr>
                <w:rFonts w:ascii="Arial" w:cs="Arial" w:eastAsia="Arial" w:hAnsi="Arial"/>
                <w:sz w:val="16"/>
                <w:szCs w:val="16"/>
                <w:b w:val="1"/>
                <w:bCs w:val="1"/>
                <w:color w:val="auto"/>
              </w:rPr>
              <w:t>Level 3</w:t>
            </w:r>
          </w:p>
        </w:tc>
        <w:tc>
          <w:tcPr>
            <w:tcW w:w="1700" w:type="dxa"/>
            <w:vAlign w:val="bottom"/>
          </w:tcPr>
          <w:p>
            <w:pPr>
              <w:jc w:val="center"/>
              <w:ind w:left="44"/>
              <w:spacing w:after="0" w:line="122" w:lineRule="exact"/>
              <w:rPr>
                <w:sz w:val="20"/>
                <w:szCs w:val="20"/>
                <w:color w:val="auto"/>
              </w:rPr>
            </w:pPr>
            <w:r>
              <w:rPr>
                <w:rFonts w:ascii="Arial" w:cs="Arial" w:eastAsia="Arial" w:hAnsi="Arial"/>
                <w:sz w:val="11"/>
                <w:szCs w:val="11"/>
                <w:b w:val="1"/>
                <w:bCs w:val="1"/>
                <w:color w:val="auto"/>
              </w:rPr>
              <w:t>(a)</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439"/>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(in millions)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FF0FC"/>
          </w:tcPr>
          <w:p>
            <w:pPr>
              <w:jc w:val="right"/>
              <w:ind w:right="150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FF0FC"/>
          </w:tcPr>
          <w:p>
            <w:pPr>
              <w:jc w:val="right"/>
              <w:ind w:right="150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March 31, 2024, we had no commodity derivative assets or liabilities, or related gross collateral amounts, that were subject to master netting agreements.</w:t>
      </w:r>
    </w:p>
    <w:p>
      <w:pPr>
        <w:spacing w:after="0" w:line="1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gridSpan w:val="4"/>
          </w:tcPr>
          <w:p>
            <w:pPr>
              <w:jc w:val="right"/>
              <w:ind w:right="1563"/>
              <w:spacing w:after="0"/>
              <w:rPr>
                <w:sz w:val="20"/>
                <w:szCs w:val="20"/>
                <w:color w:val="auto"/>
              </w:rPr>
            </w:pPr>
            <w:r>
              <w:rPr>
                <w:rFonts w:ascii="Arial" w:cs="Arial" w:eastAsia="Arial" w:hAnsi="Arial"/>
                <w:sz w:val="16"/>
                <w:szCs w:val="16"/>
                <w:b w:val="1"/>
                <w:bCs w:val="1"/>
                <w:color w:val="auto"/>
              </w:rPr>
              <w:t>As of December 31, 2023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jc w:val="center"/>
              <w:ind w:right="443"/>
              <w:spacing w:after="0"/>
              <w:rPr>
                <w:sz w:val="20"/>
                <w:szCs w:val="20"/>
                <w:color w:val="auto"/>
              </w:rPr>
            </w:pPr>
            <w:r>
              <w:rPr>
                <w:rFonts w:ascii="Arial" w:cs="Arial" w:eastAsia="Arial" w:hAnsi="Arial"/>
                <w:sz w:val="16"/>
                <w:szCs w:val="16"/>
                <w:b w:val="1"/>
                <w:bCs w:val="1"/>
                <w:color w:val="auto"/>
              </w:rPr>
              <w:t>Cash Collateral and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60" w:type="dxa"/>
            <w:vAlign w:val="bottom"/>
            <w:gridSpan w:val="2"/>
          </w:tcPr>
          <w:p>
            <w:pPr>
              <w:jc w:val="center"/>
              <w:ind w:right="303"/>
              <w:spacing w:after="0" w:line="163" w:lineRule="exact"/>
              <w:rPr>
                <w:sz w:val="20"/>
                <w:szCs w:val="20"/>
                <w:color w:val="auto"/>
              </w:rPr>
            </w:pPr>
            <w:r>
              <w:rPr>
                <w:rFonts w:ascii="Arial" w:cs="Arial" w:eastAsia="Arial" w:hAnsi="Arial"/>
                <w:sz w:val="16"/>
                <w:szCs w:val="16"/>
                <w:b w:val="1"/>
                <w:bCs w:val="1"/>
                <w:color w:val="auto"/>
              </w:rPr>
              <w:t>Counterparty Netting</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1020" w:type="dxa"/>
            <w:vAlign w:val="bottom"/>
            <w:vMerge w:val="restart"/>
          </w:tcPr>
          <w:p>
            <w:pPr>
              <w:jc w:val="right"/>
              <w:ind w:right="59"/>
              <w:spacing w:after="0" w:line="175" w:lineRule="exact"/>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0"/>
                <w:szCs w:val="10"/>
                <w:color w:val="auto"/>
              </w:rPr>
            </w:pPr>
          </w:p>
        </w:tc>
        <w:tc>
          <w:tcPr>
            <w:tcW w:w="940" w:type="dxa"/>
            <w:vAlign w:val="bottom"/>
            <w:vMerge w:val="restart"/>
          </w:tcPr>
          <w:p>
            <w:pPr>
              <w:jc w:val="right"/>
              <w:spacing w:after="0" w:line="175" w:lineRule="exact"/>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vMerge w:val="restart"/>
          </w:tcPr>
          <w:p>
            <w:pPr>
              <w:jc w:val="right"/>
              <w:ind w:right="339"/>
              <w:spacing w:after="0" w:line="175"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0"/>
                <w:szCs w:val="10"/>
                <w:color w:val="auto"/>
              </w:rPr>
            </w:pPr>
          </w:p>
        </w:tc>
        <w:tc>
          <w:tcPr>
            <w:tcW w:w="2040" w:type="dxa"/>
            <w:vAlign w:val="bottom"/>
          </w:tcPr>
          <w:p>
            <w:pPr>
              <w:jc w:val="center"/>
              <w:ind w:right="383"/>
              <w:spacing w:after="0" w:line="122" w:lineRule="exact"/>
              <w:rPr>
                <w:sz w:val="20"/>
                <w:szCs w:val="20"/>
                <w:color w:val="auto"/>
              </w:rPr>
            </w:pPr>
            <w:r>
              <w:rPr>
                <w:rFonts w:ascii="Arial" w:cs="Arial" w:eastAsia="Arial" w:hAnsi="Arial"/>
                <w:sz w:val="11"/>
                <w:szCs w:val="11"/>
                <w:b w:val="1"/>
                <w:bCs w:val="1"/>
                <w:color w:val="auto"/>
              </w:rPr>
              <w:t>(a)</w:t>
            </w:r>
          </w:p>
        </w:tc>
        <w:tc>
          <w:tcPr>
            <w:tcW w:w="1060" w:type="dxa"/>
            <w:vAlign w:val="bottom"/>
            <w:vMerge w:val="restart"/>
          </w:tcPr>
          <w:p>
            <w:pPr>
              <w:jc w:val="right"/>
              <w:ind w:right="439"/>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(1.9 )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(1.9 )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6"/>
                <w:szCs w:val="16"/>
                <w:color w:val="auto"/>
              </w:rPr>
              <w:t>Commodity derivatives - Gas Utilities</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(3.3 )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10.1</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6"/>
                <w:szCs w:val="16"/>
                <w:color w:val="auto"/>
              </w:rPr>
              <w:t>(3.3 )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400" w:hanging="512"/>
        <w:spacing w:after="0" w:line="285"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2023, $1.9 million of our commodity derivative assets and $3.3 million of our commodity derivative liabilities, as well as related gross collateral amounts, were subject to master netting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2"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2023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(in millions)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March 31, 2024</w:t>
            </w: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December 31, 2023</w:t>
            </w:r>
          </w:p>
        </w:tc>
      </w:tr>
      <w:tr>
        <w:trPr>
          <w:trHeight w:val="182"/>
        </w:trPr>
        <w:tc>
          <w:tcPr>
            <w:tcW w:w="5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9"/>
              <w:spacing w:after="0" w:line="182" w:lineRule="exact"/>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7"/>
        </w:trPr>
        <w:tc>
          <w:tcPr>
            <w:tcW w:w="5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Fair Value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546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4,402.8</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4,155.6</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4,401.2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3" w:lineRule="exact"/>
        <w:rPr>
          <w:sz w:val="20"/>
          <w:szCs w:val="20"/>
          <w:color w:val="auto"/>
        </w:rPr>
      </w:pPr>
    </w:p>
    <w:p>
      <w:pPr>
        <w:ind w:left="520" w:right="220" w:hanging="512"/>
        <w:spacing w:after="0" w:line="285"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380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Location on the Consolidated Statements of</w:t>
            </w:r>
          </w:p>
        </w:tc>
        <w:tc>
          <w:tcPr>
            <w:tcW w:w="120" w:type="dxa"/>
            <w:vAlign w:val="bottom"/>
          </w:tcPr>
          <w:p>
            <w:pPr>
              <w:spacing w:after="0"/>
              <w:rPr>
                <w:sz w:val="19"/>
                <w:szCs w:val="19"/>
                <w:color w:val="auto"/>
              </w:rPr>
            </w:pPr>
          </w:p>
        </w:tc>
        <w:tc>
          <w:tcPr>
            <w:tcW w:w="2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Amount Reclassified from AOCI</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3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2"/>
            <w:vMerge w:val="restart"/>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3800" w:type="dxa"/>
            <w:vAlign w:val="bottom"/>
          </w:tcPr>
          <w:p>
            <w:pPr>
              <w:ind w:left="1680"/>
              <w:spacing w:after="0"/>
              <w:rPr>
                <w:sz w:val="20"/>
                <w:szCs w:val="20"/>
                <w:color w:val="auto"/>
              </w:rPr>
            </w:pPr>
            <w:r>
              <w:rPr>
                <w:rFonts w:ascii="Arial" w:cs="Arial" w:eastAsia="Arial" w:hAnsi="Arial"/>
                <w:sz w:val="16"/>
                <w:szCs w:val="16"/>
                <w:b w:val="1"/>
                <w:bCs w:val="1"/>
                <w:color w:val="auto"/>
              </w:rPr>
              <w:t>Income</w:t>
            </w:r>
          </w:p>
        </w:tc>
        <w:tc>
          <w:tcPr>
            <w:tcW w:w="1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Gains and (losses) on cash flow hedges:</w:t>
            </w:r>
          </w:p>
        </w:tc>
        <w:tc>
          <w:tcPr>
            <w:tcW w:w="3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8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(0.7 ) $</w:t>
            </w:r>
          </w:p>
        </w:tc>
        <w:tc>
          <w:tcPr>
            <w:tcW w:w="112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rPr>
                <w:sz w:val="16"/>
                <w:szCs w:val="16"/>
                <w:color w:val="auto"/>
              </w:rPr>
            </w:pPr>
          </w:p>
        </w:tc>
        <w:tc>
          <w:tcPr>
            <w:tcW w:w="38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Fuel, purchased power and cost of natural gas</w:t>
            </w:r>
          </w:p>
        </w:tc>
        <w:tc>
          <w:tcPr>
            <w:tcW w:w="120" w:type="dxa"/>
            <w:vAlign w:val="bottom"/>
            <w:shd w:val="clear" w:color="auto" w:fill="CFF0FC"/>
          </w:tcPr>
          <w:p>
            <w:pPr>
              <w:spacing w:after="0"/>
              <w:rPr>
                <w:sz w:val="16"/>
                <w:szCs w:val="16"/>
                <w:color w:val="auto"/>
              </w:rPr>
            </w:pPr>
          </w:p>
        </w:tc>
        <w:tc>
          <w:tcPr>
            <w:tcW w:w="1600" w:type="dxa"/>
            <w:vAlign w:val="bottom"/>
            <w:vMerge w:val="restart"/>
            <w:shd w:val="clear" w:color="auto" w:fill="CFF0FC"/>
          </w:tcPr>
          <w:p>
            <w:pPr>
              <w:jc w:val="right"/>
              <w:ind w:right="239"/>
              <w:spacing w:after="0"/>
              <w:rPr>
                <w:sz w:val="20"/>
                <w:szCs w:val="20"/>
                <w:color w:val="auto"/>
              </w:rPr>
            </w:pPr>
            <w:r>
              <w:rPr>
                <w:rFonts w:ascii="Arial" w:cs="Arial" w:eastAsia="Arial" w:hAnsi="Arial"/>
                <w:sz w:val="16"/>
                <w:szCs w:val="16"/>
                <w:color w:val="auto"/>
              </w:rPr>
              <w:t>(2.6 )</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Commodity contracts</w:t>
            </w:r>
          </w:p>
        </w:tc>
        <w:tc>
          <w:tcPr>
            <w:tcW w:w="3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sold</w:t>
            </w:r>
          </w:p>
        </w:tc>
        <w:tc>
          <w:tcPr>
            <w:tcW w:w="1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vMerge w:val="continue"/>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(3.3 ) $</w:t>
            </w:r>
          </w:p>
        </w:tc>
        <w:tc>
          <w:tcPr>
            <w:tcW w:w="112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7"/>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w:t>
            </w:r>
          </w:p>
        </w:tc>
        <w:tc>
          <w:tcPr>
            <w:tcW w:w="3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0.7</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2"/>
        </w:trPr>
        <w:tc>
          <w:tcPr>
            <w:tcW w:w="4600" w:type="dxa"/>
            <w:vAlign w:val="bottom"/>
          </w:tcPr>
          <w:p>
            <w:pPr>
              <w:ind w:left="20"/>
              <w:spacing w:after="0" w:line="182" w:lineRule="exact"/>
              <w:rPr>
                <w:sz w:val="20"/>
                <w:szCs w:val="20"/>
                <w:color w:val="auto"/>
              </w:rPr>
            </w:pPr>
            <w:r>
              <w:rPr>
                <w:rFonts w:ascii="Arial" w:cs="Arial" w:eastAsia="Arial" w:hAnsi="Arial"/>
                <w:sz w:val="16"/>
                <w:szCs w:val="16"/>
                <w:color w:val="auto"/>
              </w:rPr>
              <w:t>Total reclassification adjustments related to cash flow hedges,</w:t>
            </w:r>
          </w:p>
        </w:tc>
        <w:tc>
          <w:tcPr>
            <w:tcW w:w="38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vMerge w:val="restart"/>
          </w:tcPr>
          <w:p>
            <w:pPr>
              <w:jc w:val="right"/>
              <w:ind w:right="99"/>
              <w:spacing w:after="0"/>
              <w:rPr>
                <w:sz w:val="20"/>
                <w:szCs w:val="20"/>
                <w:color w:val="auto"/>
              </w:rPr>
            </w:pPr>
            <w:r>
              <w:rPr>
                <w:rFonts w:ascii="Arial" w:cs="Arial" w:eastAsia="Arial" w:hAnsi="Arial"/>
                <w:sz w:val="16"/>
                <w:szCs w:val="16"/>
                <w:color w:val="auto"/>
              </w:rPr>
              <w:t>(2.6 ) $</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8"/>
        </w:trPr>
        <w:tc>
          <w:tcPr>
            <w:tcW w:w="460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38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reclassifications</w:t>
            </w:r>
          </w:p>
        </w:tc>
        <w:tc>
          <w:tcPr>
            <w:tcW w:w="3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(2.6 ) $</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Derivatives Designated as Cash Flow Hedges</w:t>
            </w: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2"/>
        </w:trPr>
        <w:tc>
          <w:tcPr>
            <w:tcW w:w="3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479"/>
              <w:spacing w:after="0" w:line="182" w:lineRule="exact"/>
              <w:rPr>
                <w:sz w:val="20"/>
                <w:szCs w:val="20"/>
                <w:color w:val="auto"/>
              </w:rPr>
            </w:pPr>
            <w:r>
              <w:rPr>
                <w:rFonts w:ascii="Arial" w:cs="Arial" w:eastAsia="Arial" w:hAnsi="Arial"/>
                <w:sz w:val="16"/>
                <w:szCs w:val="16"/>
                <w:b w:val="1"/>
                <w:bCs w:val="1"/>
                <w:color w:val="auto"/>
              </w:rPr>
              <w:t>Commodity</w:t>
            </w:r>
          </w:p>
        </w:tc>
        <w:tc>
          <w:tcPr>
            <w:tcW w:w="140" w:type="dxa"/>
            <w:vAlign w:val="bottom"/>
          </w:tcPr>
          <w:p>
            <w:pPr>
              <w:spacing w:after="0"/>
              <w:rPr>
                <w:sz w:val="15"/>
                <w:szCs w:val="15"/>
                <w:color w:val="auto"/>
              </w:rPr>
            </w:pPr>
          </w:p>
        </w:tc>
        <w:tc>
          <w:tcPr>
            <w:tcW w:w="2220" w:type="dxa"/>
            <w:vAlign w:val="bottom"/>
          </w:tcPr>
          <w:p>
            <w:pPr>
              <w:jc w:val="right"/>
              <w:ind w:right="719"/>
              <w:spacing w:after="0" w:line="182" w:lineRule="exact"/>
              <w:rPr>
                <w:sz w:val="20"/>
                <w:szCs w:val="20"/>
                <w:color w:val="auto"/>
              </w:rPr>
            </w:pPr>
            <w:r>
              <w:rPr>
                <w:rFonts w:ascii="Arial" w:cs="Arial" w:eastAsia="Arial" w:hAnsi="Arial"/>
                <w:sz w:val="16"/>
                <w:szCs w:val="16"/>
                <w:b w:val="1"/>
                <w:bCs w:val="1"/>
                <w:color w:val="auto"/>
              </w:rPr>
              <w:t>Employee Benefit</w:t>
            </w:r>
          </w:p>
        </w:tc>
        <w:tc>
          <w:tcPr>
            <w:tcW w:w="1640" w:type="dxa"/>
            <w:vAlign w:val="bottom"/>
          </w:tcPr>
          <w:p>
            <w:pPr>
              <w:spacing w:after="0"/>
              <w:rPr>
                <w:sz w:val="15"/>
                <w:szCs w:val="15"/>
                <w:color w:val="auto"/>
              </w:rPr>
            </w:pPr>
          </w:p>
        </w:tc>
      </w:tr>
      <w:tr>
        <w:trPr>
          <w:trHeight w:val="217"/>
        </w:trPr>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Interest Rate Swaps</w:t>
            </w:r>
          </w:p>
        </w:tc>
        <w:tc>
          <w:tcPr>
            <w:tcW w:w="17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Derivatives</w:t>
            </w:r>
          </w:p>
        </w:tc>
        <w:tc>
          <w:tcPr>
            <w:tcW w:w="22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Plans</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Total</w:t>
            </w:r>
          </w:p>
        </w:tc>
      </w:tr>
      <w:tr>
        <w:trPr>
          <w:trHeight w:val="209"/>
        </w:trPr>
        <w:tc>
          <w:tcPr>
            <w:tcW w:w="3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2023</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(6.1 ) $</w:t>
            </w: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(2.5 ) $</w:t>
            </w:r>
          </w:p>
        </w:tc>
        <w:tc>
          <w:tcPr>
            <w:tcW w:w="22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(6.2 ) $</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(14.8 )</w:t>
            </w: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3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before reclassifications</w:t>
            </w:r>
          </w:p>
        </w:tc>
        <w:tc>
          <w:tcPr>
            <w:tcW w:w="16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14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r>
      <w:tr>
        <w:trPr>
          <w:trHeight w:val="216"/>
        </w:trPr>
        <w:tc>
          <w:tcPr>
            <w:tcW w:w="324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0.6</w:t>
            </w: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r>
      <w:tr>
        <w:trPr>
          <w:trHeight w:val="250"/>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 of March 31, 2024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(5.5 ) $</w:t>
            </w:r>
          </w:p>
        </w:tc>
        <w:tc>
          <w:tcPr>
            <w:tcW w:w="17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(0.6 ) $</w:t>
            </w:r>
          </w:p>
        </w:tc>
        <w:tc>
          <w:tcPr>
            <w:tcW w:w="222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(6.2 ) $</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(12.3 )</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Derivatives Designated as Cash Flow Hedges</w:t>
            </w: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2"/>
        </w:trPr>
        <w:tc>
          <w:tcPr>
            <w:tcW w:w="3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479"/>
              <w:spacing w:after="0" w:line="182" w:lineRule="exact"/>
              <w:rPr>
                <w:sz w:val="20"/>
                <w:szCs w:val="20"/>
                <w:color w:val="auto"/>
              </w:rPr>
            </w:pPr>
            <w:r>
              <w:rPr>
                <w:rFonts w:ascii="Arial" w:cs="Arial" w:eastAsia="Arial" w:hAnsi="Arial"/>
                <w:sz w:val="16"/>
                <w:szCs w:val="16"/>
                <w:b w:val="1"/>
                <w:bCs w:val="1"/>
                <w:color w:val="auto"/>
              </w:rPr>
              <w:t>Commodity</w:t>
            </w:r>
          </w:p>
        </w:tc>
        <w:tc>
          <w:tcPr>
            <w:tcW w:w="160" w:type="dxa"/>
            <w:vAlign w:val="bottom"/>
          </w:tcPr>
          <w:p>
            <w:pPr>
              <w:spacing w:after="0"/>
              <w:rPr>
                <w:sz w:val="15"/>
                <w:szCs w:val="15"/>
                <w:color w:val="auto"/>
              </w:rPr>
            </w:pPr>
          </w:p>
        </w:tc>
        <w:tc>
          <w:tcPr>
            <w:tcW w:w="2220" w:type="dxa"/>
            <w:vAlign w:val="bottom"/>
          </w:tcPr>
          <w:p>
            <w:pPr>
              <w:jc w:val="right"/>
              <w:ind w:right="739"/>
              <w:spacing w:after="0" w:line="182" w:lineRule="exact"/>
              <w:rPr>
                <w:sz w:val="20"/>
                <w:szCs w:val="20"/>
                <w:color w:val="auto"/>
              </w:rPr>
            </w:pPr>
            <w:r>
              <w:rPr>
                <w:rFonts w:ascii="Arial" w:cs="Arial" w:eastAsia="Arial" w:hAnsi="Arial"/>
                <w:sz w:val="16"/>
                <w:szCs w:val="16"/>
                <w:b w:val="1"/>
                <w:bCs w:val="1"/>
                <w:color w:val="auto"/>
              </w:rPr>
              <w:t>Employee Benefit</w:t>
            </w:r>
          </w:p>
        </w:tc>
        <w:tc>
          <w:tcPr>
            <w:tcW w:w="1640" w:type="dxa"/>
            <w:vAlign w:val="bottom"/>
          </w:tcPr>
          <w:p>
            <w:pPr>
              <w:spacing w:after="0"/>
              <w:rPr>
                <w:sz w:val="15"/>
                <w:szCs w:val="15"/>
                <w:color w:val="auto"/>
              </w:rPr>
            </w:pPr>
          </w:p>
        </w:tc>
      </w:tr>
      <w:tr>
        <w:trPr>
          <w:trHeight w:val="217"/>
        </w:trPr>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Interest Rate Swaps</w:t>
            </w:r>
          </w:p>
        </w:tc>
        <w:tc>
          <w:tcPr>
            <w:tcW w:w="188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6"/>
                <w:szCs w:val="16"/>
                <w:b w:val="1"/>
                <w:bCs w:val="1"/>
                <w:color w:val="auto"/>
              </w:rPr>
              <w:t>Derivatives</w:t>
            </w:r>
          </w:p>
        </w:tc>
        <w:tc>
          <w:tcPr>
            <w:tcW w:w="22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Plans</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Total</w:t>
            </w:r>
          </w:p>
        </w:tc>
      </w:tr>
      <w:tr>
        <w:trPr>
          <w:trHeight w:val="209"/>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(8.3 ) $</w:t>
            </w: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(1.2 ) $</w:t>
            </w:r>
          </w:p>
        </w:tc>
        <w:tc>
          <w:tcPr>
            <w:tcW w:w="22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(6.1 ) $</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(15.6 )</w:t>
            </w: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3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before reclassifications</w:t>
            </w:r>
          </w:p>
        </w:tc>
        <w:tc>
          <w:tcPr>
            <w:tcW w:w="140" w:type="dxa"/>
            <w:vAlign w:val="bottom"/>
            <w:shd w:val="clear" w:color="auto" w:fill="CFF0FC"/>
          </w:tcPr>
          <w:p>
            <w:pPr>
              <w:spacing w:after="0"/>
              <w:rPr>
                <w:sz w:val="18"/>
                <w:szCs w:val="18"/>
                <w:color w:val="auto"/>
              </w:rPr>
            </w:pPr>
          </w:p>
        </w:tc>
        <w:tc>
          <w:tcPr>
            <w:tcW w:w="20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(0.9 )</w:t>
            </w:r>
          </w:p>
        </w:tc>
        <w:tc>
          <w:tcPr>
            <w:tcW w:w="16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(0.9 )</w:t>
            </w:r>
          </w:p>
        </w:tc>
      </w:tr>
      <w:tr>
        <w:trPr>
          <w:trHeight w:val="216"/>
        </w:trPr>
        <w:tc>
          <w:tcPr>
            <w:tcW w:w="328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0.6</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r>
      <w:tr>
        <w:trPr>
          <w:trHeight w:val="250"/>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 of March 31, 2023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(7.7 ) $</w:t>
            </w:r>
          </w:p>
        </w:tc>
        <w:tc>
          <w:tcPr>
            <w:tcW w:w="18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(0.6 ) $</w:t>
            </w:r>
          </w:p>
        </w:tc>
        <w:tc>
          <w:tcPr>
            <w:tcW w:w="222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(6.1 ) $</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(14.4 )</w:t>
            </w:r>
          </w:p>
        </w:tc>
      </w:tr>
      <w:tr>
        <w:trPr>
          <w:trHeight w:val="586"/>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20" w:type="dxa"/>
            <w:vAlign w:val="bottom"/>
          </w:tcPr>
          <w:p>
            <w:pPr>
              <w:jc w:val="right"/>
              <w:ind w:right="1419"/>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751"/>
        </w:trPr>
        <w:tc>
          <w:tcPr>
            <w:tcW w:w="3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Non-pension Defined Benefit</w:t>
            </w:r>
          </w:p>
        </w:tc>
      </w:tr>
      <w:tr>
        <w:trPr>
          <w:trHeight w:val="189"/>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Supplemental Non-qualified</w:t>
            </w:r>
          </w:p>
        </w:tc>
        <w:tc>
          <w:tcPr>
            <w:tcW w:w="200" w:type="dxa"/>
            <w:vAlign w:val="bottom"/>
          </w:tcPr>
          <w:p>
            <w:pPr>
              <w:spacing w:after="0"/>
              <w:rPr>
                <w:sz w:val="16"/>
                <w:szCs w:val="16"/>
                <w:color w:val="auto"/>
              </w:rPr>
            </w:pPr>
          </w:p>
        </w:tc>
        <w:tc>
          <w:tcPr>
            <w:tcW w:w="238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Postretirement Healthcare</w:t>
            </w:r>
          </w:p>
        </w:tc>
      </w:tr>
      <w:tr>
        <w:trPr>
          <w:trHeight w:val="217"/>
        </w:trPr>
        <w:tc>
          <w:tcPr>
            <w:tcW w:w="3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Defined Benefit Pension Plan</w:t>
            </w: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Defined Benefit Plans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Plan</w:t>
            </w:r>
          </w:p>
        </w:tc>
        <w:tc>
          <w:tcPr>
            <w:tcW w:w="1000" w:type="dxa"/>
            <w:vAlign w:val="bottom"/>
            <w:tcBorders>
              <w:bottom w:val="single" w:sz="8" w:color="auto"/>
            </w:tcBorders>
          </w:tcPr>
          <w:p>
            <w:pPr>
              <w:spacing w:after="0"/>
              <w:rPr>
                <w:sz w:val="18"/>
                <w:szCs w:val="18"/>
                <w:color w:val="auto"/>
              </w:rPr>
            </w:pPr>
          </w:p>
        </w:tc>
      </w:tr>
      <w:tr>
        <w:trPr>
          <w:trHeight w:val="20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10"/>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0.6</w:t>
            </w:r>
          </w:p>
        </w:tc>
      </w:tr>
      <w:tr>
        <w:trPr>
          <w:trHeight w:val="217"/>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(4.7 )</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Recognized net actuarial loss (gain)</w:t>
            </w: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0.5</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0.5</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Net periodic expense (benefit)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primarily made in the form of benefit payments. Contributions made in the first three months of 2024 and anticipated contributions for 2024 and 2025 are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0" w:type="dxa"/>
            <w:vAlign w:val="bottom"/>
          </w:tcPr>
          <w:p>
            <w:pPr>
              <w:jc w:val="center"/>
              <w:ind w:left="239"/>
              <w:spacing w:after="0"/>
              <w:rPr>
                <w:sz w:val="20"/>
                <w:szCs w:val="20"/>
                <w:color w:val="auto"/>
              </w:rPr>
            </w:pPr>
            <w:r>
              <w:rPr>
                <w:rFonts w:ascii="Arial" w:cs="Arial" w:eastAsia="Arial" w:hAnsi="Arial"/>
                <w:sz w:val="16"/>
                <w:szCs w:val="16"/>
                <w:b w:val="1"/>
                <w:bCs w:val="1"/>
                <w:color w:val="auto"/>
              </w:rPr>
              <w:t>Additional</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Contributions Made</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Contributions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center"/>
              <w:ind w:right="239"/>
              <w:spacing w:after="0"/>
              <w:rPr>
                <w:sz w:val="20"/>
                <w:szCs w:val="20"/>
                <w:color w:val="auto"/>
              </w:rPr>
            </w:pPr>
            <w:r>
              <w:rPr>
                <w:rFonts w:ascii="Arial" w:cs="Arial" w:eastAsia="Arial" w:hAnsi="Arial"/>
                <w:sz w:val="16"/>
                <w:szCs w:val="16"/>
                <w:b w:val="1"/>
                <w:bCs w:val="1"/>
                <w:color w:val="auto"/>
              </w:rPr>
              <w:t>Contributions</w:t>
            </w:r>
          </w:p>
        </w:tc>
      </w:tr>
      <w:tr>
        <w:trPr>
          <w:trHeight w:val="189"/>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Three Months Ended</w:t>
            </w:r>
          </w:p>
        </w:tc>
        <w:tc>
          <w:tcPr>
            <w:tcW w:w="1600" w:type="dxa"/>
            <w:vAlign w:val="bottom"/>
          </w:tcPr>
          <w:p>
            <w:pPr>
              <w:jc w:val="center"/>
              <w:ind w:left="239"/>
              <w:spacing w:after="0"/>
              <w:rPr>
                <w:sz w:val="20"/>
                <w:szCs w:val="20"/>
                <w:color w:val="auto"/>
              </w:rPr>
            </w:pPr>
            <w:r>
              <w:rPr>
                <w:rFonts w:ascii="Arial" w:cs="Arial" w:eastAsia="Arial" w:hAnsi="Arial"/>
                <w:sz w:val="16"/>
                <w:szCs w:val="16"/>
                <w:b w:val="1"/>
                <w:bCs w:val="1"/>
                <w:color w:val="auto"/>
              </w:rPr>
              <w:t>Anticipated for</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center"/>
              <w:ind w:right="279"/>
              <w:spacing w:after="0"/>
              <w:rPr>
                <w:sz w:val="20"/>
                <w:szCs w:val="20"/>
                <w:color w:val="auto"/>
              </w:rPr>
            </w:pPr>
            <w:r>
              <w:rPr>
                <w:rFonts w:ascii="Arial" w:cs="Arial" w:eastAsia="Arial" w:hAnsi="Arial"/>
                <w:sz w:val="16"/>
                <w:szCs w:val="16"/>
                <w:b w:val="1"/>
                <w:bCs w:val="1"/>
                <w:color w:val="auto"/>
              </w:rPr>
              <w:t>Anticipated for</w:t>
            </w:r>
          </w:p>
        </w:tc>
      </w:tr>
      <w:tr>
        <w:trPr>
          <w:trHeight w:val="217"/>
        </w:trPr>
        <w:tc>
          <w:tcPr>
            <w:tcW w:w="5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2024</w:t>
            </w:r>
          </w:p>
        </w:tc>
        <w:tc>
          <w:tcPr>
            <w:tcW w:w="160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2025</w:t>
            </w:r>
          </w:p>
        </w:tc>
      </w:tr>
      <w:tr>
        <w:trPr>
          <w:trHeight w:val="210"/>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Defined Benefit Pension Plan</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35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1.2</w:t>
            </w:r>
          </w:p>
        </w:tc>
        <w:tc>
          <w:tcPr>
            <w:tcW w:w="1600" w:type="dxa"/>
            <w:vAlign w:val="bottom"/>
          </w:tcPr>
          <w:p>
            <w:pPr>
              <w:jc w:val="right"/>
              <w:ind w:right="135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4.4</w:t>
            </w:r>
          </w:p>
        </w:tc>
      </w:tr>
      <w:tr>
        <w:trPr>
          <w:trHeight w:val="189"/>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Non-qualified Defined Benefit and Defined Contribution</w:t>
            </w:r>
          </w:p>
        </w:tc>
        <w:tc>
          <w:tcPr>
            <w:tcW w:w="10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r>
      <w:tr>
        <w:trPr>
          <w:trHeight w:val="217"/>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Plans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600" w:type="dxa"/>
            <w:vAlign w:val="bottom"/>
            <w:shd w:val="clear" w:color="auto" w:fill="CFF0FC"/>
          </w:tcPr>
          <w:p>
            <w:pPr>
              <w:jc w:val="right"/>
              <w:ind w:right="135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r>
    </w:tbl>
    <w:p>
      <w:pPr>
        <w:spacing w:after="0" w:line="364"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color w:val="auto"/>
        </w:rPr>
        <w:t>(11)</w:t>
        <w:tab/>
        <w:t>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IRS Revenue Procedure 2023-15</w:t>
      </w:r>
    </w:p>
    <w:p>
      <w:pPr>
        <w:spacing w:after="0" w:line="19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On April 14, 2023, the IRS released Revenue Procedure 2023-15 “Amounts paid to improve tangible property.” The Revenue Procedure provides a safe harbor method of accounting that taxpayers may use to determine whether costs to repair, maintain, replace, or improve natural gas transmission and distribution property must be capitalized. The revenue procedure may be adopted in tax years ending after May 1, 2023. We are currently assessing the Revenue Procedure to determine its impact on our tax repairs deduction.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Benefit (Expense) and Effective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2024 Compared to the Three Months Ended March 31, 2023</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Income tax (expense) for the three months ended March 31, 2024 was $16.9 million compared to $14.7 million reported for the same period in 2023. For the three months ended March 31, 2024, the effective tax rate was 11.4% which was comparable to 11.1% for the same period in 2023.</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19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CODM assesses the performance of our operating segments based on operating income. Our CODM reviews capital expenditures by operating segment rather than any individual or total asset amount.</w:t>
      </w:r>
    </w:p>
    <w:p>
      <w:pPr>
        <w:spacing w:after="0" w:line="14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Corporate and Other also includes business development activities that are not part of our operating segments and inter-segment eliminations. Our operating segments are equivalent to our reportable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20"/>
                <w:szCs w:val="20"/>
                <w:color w:val="auto"/>
              </w:rPr>
            </w:pPr>
            <w:r>
              <w:rPr>
                <w:rFonts w:ascii="Arial" w:cs="Arial" w:eastAsia="Arial" w:hAnsi="Arial"/>
                <w:sz w:val="16"/>
                <w:szCs w:val="16"/>
                <w:color w:val="252525"/>
              </w:rPr>
              <w:t>Segment information was as follows (in millions):</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94"/>
        </w:trPr>
        <w:tc>
          <w:tcPr>
            <w:tcW w:w="3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Gas Utilities</w:t>
            </w:r>
          </w:p>
        </w:tc>
        <w:tc>
          <w:tcPr>
            <w:tcW w:w="18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209"/>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Three Months Ended March 31, 2024</w:t>
            </w: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External revenues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219.3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507.1</w:t>
            </w:r>
          </w:p>
        </w:tc>
        <w:tc>
          <w:tcPr>
            <w:tcW w:w="8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726.4</w:t>
            </w:r>
          </w:p>
        </w:tc>
      </w:tr>
      <w:tr>
        <w:trPr>
          <w:trHeight w:val="217"/>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Inter-segment revenues</w:t>
            </w: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64.6</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130.8</w:t>
            </w:r>
          </w:p>
        </w:tc>
        <w:tc>
          <w:tcPr>
            <w:tcW w:w="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(2.1 )</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193.3</w:t>
            </w:r>
          </w:p>
        </w:tc>
      </w:tr>
      <w:tr>
        <w:trPr>
          <w:trHeight w:val="217"/>
        </w:trPr>
        <w:tc>
          <w:tcPr>
            <w:tcW w:w="3800" w:type="dxa"/>
            <w:vAlign w:val="bottom"/>
            <w:tcBorders>
              <w:bottom w:val="single" w:sz="8" w:color="auto"/>
            </w:tcBorders>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4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86.9</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w:t>
            </w:r>
          </w:p>
        </w:tc>
        <w:tc>
          <w:tcPr>
            <w:tcW w:w="8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3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174.3</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 2023</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revenues</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705.3</w:t>
            </w:r>
          </w:p>
        </w:tc>
        <w:tc>
          <w:tcPr>
            <w:tcW w:w="80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921.2</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Inter-segment revenues</w:t>
            </w: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w:t>
            </w:r>
          </w:p>
        </w:tc>
        <w:tc>
          <w:tcPr>
            <w:tcW w:w="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(4.4 )</w:t>
            </w:r>
          </w:p>
        </w:tc>
        <w:tc>
          <w:tcPr>
            <w:tcW w:w="38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w:t>
            </w: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(0.8 )</w:t>
            </w:r>
          </w:p>
        </w:tc>
        <w:tc>
          <w:tcPr>
            <w:tcW w:w="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174.9</w:t>
            </w:r>
          </w:p>
        </w:tc>
      </w:tr>
      <w:tr>
        <w:trPr>
          <w:trHeight w:val="290"/>
        </w:trPr>
        <w:tc>
          <w:tcPr>
            <w:tcW w:w="3800" w:type="dxa"/>
            <w:vAlign w:val="bottom"/>
          </w:tcPr>
          <w:p>
            <w:pPr>
              <w:ind w:left="2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4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47.8</w:t>
            </w: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54.8</w:t>
            </w:r>
          </w:p>
        </w:tc>
        <w:tc>
          <w:tcPr>
            <w:tcW w:w="8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24"/>
                <w:szCs w:val="24"/>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045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6" w:lineRule="exact"/>
        <w:rPr>
          <w:sz w:val="20"/>
          <w:szCs w:val="20"/>
          <w:color w:val="auto"/>
        </w:rPr>
      </w:pPr>
    </w:p>
    <w:p>
      <w:pPr>
        <w:ind w:left="520" w:right="800" w:hanging="512"/>
        <w:spacing w:after="0" w:line="285"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-142240</wp:posOffset>
            </wp:positionV>
            <wp:extent cx="16249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29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Consolidated Balance Sheets (in millions)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18"/>
                <w:szCs w:val="18"/>
                <w:color w:val="auto"/>
              </w:rPr>
            </w:pPr>
          </w:p>
        </w:tc>
        <w:tc>
          <w:tcPr>
            <w:tcW w:w="2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2024</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Billed Accounts Receivable</w:t>
            </w:r>
          </w:p>
        </w:tc>
        <w:tc>
          <w:tcPr>
            <w:tcW w:w="2140" w:type="dxa"/>
            <w:vAlign w:val="bottom"/>
            <w:shd w:val="clear" w:color="auto" w:fill="CFF0FC"/>
          </w:tcPr>
          <w:p>
            <w:pPr>
              <w:jc w:val="right"/>
              <w:ind w:right="19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216.1</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2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198.5</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21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122.2</w:t>
            </w:r>
          </w:p>
        </w:tc>
        <w:tc>
          <w:tcPr>
            <w:tcW w:w="360" w:type="dxa"/>
            <w:vAlign w:val="bottom"/>
          </w:tcPr>
          <w:p>
            <w:pPr>
              <w:spacing w:after="0"/>
              <w:rPr>
                <w:sz w:val="18"/>
                <w:szCs w:val="18"/>
                <w:color w:val="auto"/>
              </w:rPr>
            </w:pP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154.0</w:t>
            </w:r>
          </w:p>
        </w:tc>
      </w:tr>
      <w:tr>
        <w:trPr>
          <w:trHeight w:val="21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2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(3.9 )</w:t>
            </w:r>
          </w:p>
        </w:tc>
        <w:tc>
          <w:tcPr>
            <w:tcW w:w="360" w:type="dxa"/>
            <w:vAlign w:val="bottom"/>
            <w:tcBorders>
              <w:bottom w:val="single" w:sz="8" w:color="auto"/>
            </w:tcBorders>
            <w:shd w:val="clear" w:color="auto" w:fill="CFF0FC"/>
          </w:tcPr>
          <w:p>
            <w:pPr>
              <w:spacing w:after="0"/>
              <w:rPr>
                <w:sz w:val="18"/>
                <w:szCs w:val="18"/>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(2.2 )</w:t>
            </w:r>
          </w:p>
        </w:tc>
      </w:tr>
      <w:tr>
        <w:trPr>
          <w:trHeight w:val="210"/>
        </w:trPr>
        <w:tc>
          <w:tcPr>
            <w:tcW w:w="5620" w:type="dxa"/>
            <w:vAlign w:val="bottom"/>
          </w:tcPr>
          <w:p>
            <w:pPr>
              <w:ind w:left="20"/>
              <w:spacing w:after="0"/>
              <w:rPr>
                <w:sz w:val="20"/>
                <w:szCs w:val="20"/>
                <w:color w:val="auto"/>
              </w:rPr>
            </w:pPr>
            <w:r>
              <w:rPr>
                <w:rFonts w:ascii="Arial" w:cs="Arial" w:eastAsia="Arial" w:hAnsi="Arial"/>
                <w:sz w:val="16"/>
                <w:szCs w:val="16"/>
                <w:color w:val="auto"/>
              </w:rPr>
              <w:t>Account Receivable, net</w:t>
            </w:r>
          </w:p>
        </w:tc>
        <w:tc>
          <w:tcPr>
            <w:tcW w:w="2140" w:type="dxa"/>
            <w:vAlign w:val="bottom"/>
            <w:tcBorders>
              <w:bottom w:val="single" w:sz="8" w:color="auto"/>
            </w:tcBorders>
          </w:tcPr>
          <w:p>
            <w:pPr>
              <w:jc w:val="right"/>
              <w:ind w:right="19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334.4</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350.3</w:t>
            </w:r>
          </w:p>
        </w:tc>
      </w:tr>
      <w:tr>
        <w:trPr>
          <w:trHeight w:val="20"/>
        </w:trPr>
        <w:tc>
          <w:tcPr>
            <w:tcW w:w="56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three months ended March 31, 2024 and 2023, respectively,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Beginning</w:t>
            </w: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auto"/>
              </w:rPr>
              <w:t>Additions Charged to</w:t>
            </w: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Recoveries and Other</w:t>
            </w:r>
          </w:p>
        </w:tc>
        <w:tc>
          <w:tcPr>
            <w:tcW w:w="266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Write-offs and Other</w:t>
            </w:r>
          </w:p>
        </w:tc>
        <w:tc>
          <w:tcPr>
            <w:tcW w:w="1040" w:type="dxa"/>
            <w:vAlign w:val="bottom"/>
          </w:tcPr>
          <w:p>
            <w:pPr>
              <w:spacing w:after="0"/>
              <w:rPr>
                <w:sz w:val="16"/>
                <w:szCs w:val="16"/>
                <w:color w:val="auto"/>
              </w:rPr>
            </w:pPr>
          </w:p>
        </w:tc>
      </w:tr>
      <w:tr>
        <w:trPr>
          <w:trHeight w:val="217"/>
        </w:trPr>
        <w:tc>
          <w:tcPr>
            <w:tcW w:w="2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of Year</w:t>
            </w:r>
          </w:p>
        </w:tc>
        <w:tc>
          <w:tcPr>
            <w:tcW w:w="18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Deductions</w:t>
            </w:r>
          </w:p>
        </w:tc>
        <w:tc>
          <w:tcPr>
            <w:tcW w:w="22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Balance at March 31,</w:t>
            </w:r>
          </w:p>
        </w:tc>
      </w:tr>
      <w:tr>
        <w:trPr>
          <w:trHeight w:val="209"/>
        </w:trPr>
        <w:tc>
          <w:tcPr>
            <w:tcW w:w="2040" w:type="dxa"/>
            <w:vAlign w:val="bottom"/>
            <w:shd w:val="clear" w:color="auto" w:fill="CFF0FC"/>
          </w:tcPr>
          <w:p>
            <w:pPr>
              <w:jc w:val="right"/>
              <w:ind w:right="1579"/>
              <w:spacing w:after="0"/>
              <w:rPr>
                <w:sz w:val="20"/>
                <w:szCs w:val="20"/>
                <w:color w:val="auto"/>
              </w:rPr>
            </w:pPr>
            <w:r>
              <w:rPr>
                <w:rFonts w:ascii="Arial" w:cs="Arial" w:eastAsia="Arial" w:hAnsi="Arial"/>
                <w:sz w:val="16"/>
                <w:szCs w:val="16"/>
                <w:color w:val="auto"/>
              </w:rPr>
              <w:t>2024</w:t>
            </w:r>
          </w:p>
        </w:tc>
        <w:tc>
          <w:tcPr>
            <w:tcW w:w="3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86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6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(1.4 ) $</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w:t>
            </w:r>
          </w:p>
        </w:tc>
      </w:tr>
      <w:tr>
        <w:trPr>
          <w:trHeight w:val="215"/>
        </w:trPr>
        <w:tc>
          <w:tcPr>
            <w:tcW w:w="2040" w:type="dxa"/>
            <w:vAlign w:val="bottom"/>
          </w:tcPr>
          <w:p>
            <w:pPr>
              <w:jc w:val="right"/>
              <w:ind w:right="1579"/>
              <w:spacing w:after="0"/>
              <w:rPr>
                <w:sz w:val="20"/>
                <w:szCs w:val="20"/>
                <w:color w:val="auto"/>
              </w:rPr>
            </w:pPr>
            <w:r>
              <w:rPr>
                <w:rFonts w:ascii="Arial" w:cs="Arial" w:eastAsia="Arial" w:hAnsi="Arial"/>
                <w:sz w:val="16"/>
                <w:szCs w:val="16"/>
                <w:color w:val="auto"/>
              </w:rPr>
              <w:t>2023</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w:t>
            </w:r>
          </w:p>
        </w:tc>
        <w:tc>
          <w:tcPr>
            <w:tcW w:w="860" w:type="dxa"/>
            <w:vAlign w:val="bottom"/>
          </w:tcPr>
          <w:p>
            <w:pPr>
              <w:ind w:lef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w:t>
            </w:r>
          </w:p>
        </w:tc>
        <w:tc>
          <w:tcPr>
            <w:tcW w:w="36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0.6</w:t>
            </w:r>
          </w:p>
        </w:tc>
        <w:tc>
          <w:tcPr>
            <w:tcW w:w="142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9"/>
              <w:spacing w:after="0"/>
              <w:rPr>
                <w:sz w:val="20"/>
                <w:szCs w:val="20"/>
                <w:color w:val="auto"/>
              </w:rPr>
            </w:pPr>
            <w:r>
              <w:rPr>
                <w:rFonts w:ascii="Arial" w:cs="Arial" w:eastAsia="Arial" w:hAnsi="Arial"/>
                <w:sz w:val="16"/>
                <w:szCs w:val="16"/>
                <w:color w:val="auto"/>
              </w:rPr>
              <w:t>(1.9 ) $</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(in millions) as of:</w:t>
      </w:r>
    </w:p>
    <w:p>
      <w:pPr>
        <w:spacing w:after="0" w:line="142" w:lineRule="exact"/>
        <w:rPr>
          <w:sz w:val="20"/>
          <w:szCs w:val="20"/>
          <w:color w:val="auto"/>
        </w:rPr>
      </w:pPr>
    </w:p>
    <w:p>
      <w:pPr>
        <w:ind w:left="6480"/>
        <w:spacing w:after="0"/>
        <w:tabs>
          <w:tab w:leader="none" w:pos="9060" w:val="left"/>
        </w:tabs>
        <w:rPr>
          <w:sz w:val="20"/>
          <w:szCs w:val="20"/>
          <w:color w:val="auto"/>
        </w:rPr>
      </w:pPr>
      <w:r>
        <w:rPr>
          <w:rFonts w:ascii="Arial" w:cs="Arial" w:eastAsia="Arial" w:hAnsi="Arial"/>
          <w:sz w:val="16"/>
          <w:szCs w:val="16"/>
          <w:b w:val="1"/>
          <w:bCs w:val="1"/>
          <w:color w:val="auto"/>
        </w:rPr>
        <w:t>March 31, 2024</w:t>
      </w:r>
      <w:r>
        <w:rPr>
          <w:sz w:val="20"/>
          <w:szCs w:val="20"/>
          <w:color w:val="auto"/>
        </w:rPr>
        <w:tab/>
      </w:r>
      <w:r>
        <w:rPr>
          <w:rFonts w:ascii="Arial" w:cs="Arial" w:eastAsia="Arial" w:hAnsi="Arial"/>
          <w:sz w:val="16"/>
          <w:szCs w:val="16"/>
          <w:b w:val="1"/>
          <w:bCs w:val="1"/>
          <w:color w:val="auto"/>
        </w:rPr>
        <w:t>December 31, 2023</w:t>
      </w:r>
    </w:p>
    <w:p>
      <w:pPr>
        <w:sectPr>
          <w:pgSz w:w="11900" w:h="16838" w:orient="portrait"/>
          <w:cols w:equalWidth="0" w:num="1">
            <w:col w:w="11240"/>
          </w:cols>
          <w:pgMar w:left="320" w:top="773"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Materials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Fuel -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Natural gas in storage</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materials, supplies and fuel</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107.4</w:t>
            </w:r>
          </w:p>
        </w:tc>
        <w:tc>
          <w:tcPr>
            <w:tcW w:w="1220" w:type="dxa"/>
            <w:vAlign w:val="bottom"/>
            <w:tcBorders>
              <w:top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105.9</w:t>
            </w:r>
          </w:p>
        </w:tc>
      </w:tr>
      <w:tr>
        <w:trPr>
          <w:trHeight w:val="215"/>
        </w:trPr>
        <w:tc>
          <w:tcPr>
            <w:tcW w:w="1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7.5</w:t>
            </w:r>
          </w:p>
        </w:tc>
        <w:tc>
          <w:tcPr>
            <w:tcW w:w="12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217"/>
        </w:trPr>
        <w:tc>
          <w:tcPr>
            <w:tcW w:w="1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47.3</w:t>
            </w:r>
          </w:p>
        </w:tc>
      </w:tr>
      <w:tr>
        <w:trPr>
          <w:trHeight w:val="210"/>
        </w:trPr>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w:t>
            </w:r>
          </w:p>
        </w:tc>
        <w:tc>
          <w:tcPr>
            <w:tcW w:w="122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160.9</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720" w:space="20"/>
            <w:col w:w="5500"/>
          </w:cols>
          <w:pgMar w:left="320" w:top="77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(in millions) as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spacing w:after="0"/>
              <w:rPr>
                <w:sz w:val="18"/>
                <w:szCs w:val="18"/>
                <w:color w:val="auto"/>
              </w:rPr>
            </w:pPr>
          </w:p>
        </w:tc>
        <w:tc>
          <w:tcPr>
            <w:tcW w:w="2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 2024</w:t>
            </w: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2140" w:type="dxa"/>
            <w:vAlign w:val="bottom"/>
            <w:shd w:val="clear" w:color="auto" w:fill="CFF0FC"/>
          </w:tcPr>
          <w:p>
            <w:pPr>
              <w:jc w:val="right"/>
              <w:ind w:right="19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3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74.8</w:t>
            </w: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2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55.8</w:t>
            </w:r>
          </w:p>
        </w:tc>
        <w:tc>
          <w:tcPr>
            <w:tcW w:w="380" w:type="dxa"/>
            <w:vAlign w:val="bottom"/>
          </w:tcPr>
          <w:p>
            <w:pPr>
              <w:spacing w:after="0"/>
              <w:rPr>
                <w:sz w:val="18"/>
                <w:szCs w:val="18"/>
                <w:color w:val="auto"/>
              </w:rPr>
            </w:pPr>
          </w:p>
        </w:tc>
        <w:tc>
          <w:tcPr>
            <w:tcW w:w="2320" w:type="dxa"/>
            <w:vAlign w:val="bottom"/>
          </w:tcPr>
          <w:p>
            <w:pPr>
              <w:jc w:val="right"/>
              <w:ind w:right="39"/>
              <w:spacing w:after="0"/>
              <w:rPr>
                <w:sz w:val="20"/>
                <w:szCs w:val="20"/>
                <w:color w:val="auto"/>
              </w:rPr>
            </w:pPr>
            <w:r>
              <w:rPr>
                <w:rFonts w:ascii="Arial" w:cs="Arial" w:eastAsia="Arial" w:hAnsi="Arial"/>
                <w:sz w:val="16"/>
                <w:szCs w:val="16"/>
                <w:color w:val="auto"/>
              </w:rPr>
              <w:t>52.7</w:t>
            </w:r>
          </w:p>
        </w:tc>
      </w:tr>
      <w:tr>
        <w:trPr>
          <w:trHeight w:val="217"/>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deposits and prepayments</w:t>
            </w:r>
          </w:p>
        </w:tc>
        <w:tc>
          <w:tcPr>
            <w:tcW w:w="2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380" w:type="dxa"/>
            <w:vAlign w:val="bottom"/>
            <w:shd w:val="clear" w:color="auto" w:fill="CFF0FC"/>
          </w:tcPr>
          <w:p>
            <w:pPr>
              <w:spacing w:after="0"/>
              <w:rPr>
                <w:sz w:val="18"/>
                <w:szCs w:val="18"/>
                <w:color w:val="auto"/>
              </w:rPr>
            </w:pPr>
          </w:p>
        </w:tc>
        <w:tc>
          <w:tcPr>
            <w:tcW w:w="2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76.0</w:t>
            </w:r>
          </w:p>
        </w:tc>
      </w:tr>
      <w:tr>
        <w:trPr>
          <w:trHeight w:val="215"/>
        </w:trPr>
        <w:tc>
          <w:tcPr>
            <w:tcW w:w="57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56.0</w:t>
            </w:r>
          </w:p>
        </w:tc>
        <w:tc>
          <w:tcPr>
            <w:tcW w:w="380" w:type="dxa"/>
            <w:vAlign w:val="bottom"/>
          </w:tcPr>
          <w:p>
            <w:pPr>
              <w:spacing w:after="0"/>
              <w:rPr>
                <w:sz w:val="18"/>
                <w:szCs w:val="18"/>
                <w:color w:val="auto"/>
              </w:rPr>
            </w:pPr>
          </w:p>
        </w:tc>
        <w:tc>
          <w:tcPr>
            <w:tcW w:w="2320" w:type="dxa"/>
            <w:vAlign w:val="bottom"/>
          </w:tcPr>
          <w:p>
            <w:pPr>
              <w:jc w:val="right"/>
              <w:ind w:right="39"/>
              <w:spacing w:after="0"/>
              <w:rPr>
                <w:sz w:val="20"/>
                <w:szCs w:val="20"/>
                <w:color w:val="auto"/>
              </w:rPr>
            </w:pPr>
            <w:r>
              <w:rPr>
                <w:rFonts w:ascii="Arial" w:cs="Arial" w:eastAsia="Arial" w:hAnsi="Arial"/>
                <w:sz w:val="16"/>
                <w:szCs w:val="16"/>
                <w:color w:val="auto"/>
              </w:rPr>
              <w:t>46.3</w:t>
            </w:r>
          </w:p>
        </w:tc>
      </w:tr>
      <w:tr>
        <w:trPr>
          <w:trHeight w:val="21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2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380" w:type="dxa"/>
            <w:vAlign w:val="bottom"/>
            <w:tcBorders>
              <w:bottom w:val="single" w:sz="8" w:color="auto"/>
            </w:tcBorders>
            <w:shd w:val="clear" w:color="auto" w:fill="CFF0FC"/>
          </w:tcPr>
          <w:p>
            <w:pPr>
              <w:spacing w:after="0"/>
              <w:rPr>
                <w:sz w:val="18"/>
                <w:szCs w:val="18"/>
                <w:color w:val="auto"/>
              </w:rPr>
            </w:pPr>
          </w:p>
        </w:tc>
        <w:tc>
          <w:tcPr>
            <w:tcW w:w="2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43.5</w:t>
            </w:r>
          </w:p>
        </w:tc>
      </w:tr>
      <w:tr>
        <w:trPr>
          <w:trHeight w:val="210"/>
        </w:trPr>
        <w:tc>
          <w:tcPr>
            <w:tcW w:w="5740" w:type="dxa"/>
            <w:vAlign w:val="bottom"/>
          </w:tcPr>
          <w:p>
            <w:pPr>
              <w:ind w:left="200"/>
              <w:spacing w:after="0"/>
              <w:rPr>
                <w:sz w:val="20"/>
                <w:szCs w:val="20"/>
                <w:color w:val="auto"/>
              </w:rPr>
            </w:pPr>
            <w:r>
              <w:rPr>
                <w:rFonts w:ascii="Arial" w:cs="Arial" w:eastAsia="Arial" w:hAnsi="Arial"/>
                <w:sz w:val="16"/>
                <w:szCs w:val="16"/>
                <w:color w:val="auto"/>
              </w:rPr>
              <w:t>Total accrued liabilities</w:t>
            </w:r>
          </w:p>
        </w:tc>
        <w:tc>
          <w:tcPr>
            <w:tcW w:w="2140" w:type="dxa"/>
            <w:vAlign w:val="bottom"/>
            <w:tcBorders>
              <w:bottom w:val="single" w:sz="8" w:color="auto"/>
            </w:tcBorders>
          </w:tcPr>
          <w:p>
            <w:pPr>
              <w:jc w:val="right"/>
              <w:ind w:right="19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293.3</w:t>
            </w:r>
          </w:p>
        </w:tc>
      </w:tr>
      <w:tr>
        <w:trPr>
          <w:trHeight w:val="20"/>
        </w:trPr>
        <w:tc>
          <w:tcPr>
            <w:tcW w:w="57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Except as described in Note 2, there have been no events subsequent to March 31, 2024, which would require recognition in the Consolidated Financial Statements or disclosures.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the 2023 Form 10-K.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Summary</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 million customers and 800+ communities we serve. Our aspiration is to be the trusted energy partner across our growing eight-state footprint, including Arkansas, Colorado, Iowa, Kansas, Montana, Nebraska, South Dakota and Wyoming. Our strategy is centered on four critical priorities: </w:t>
      </w:r>
      <w:r>
        <w:rPr>
          <w:rFonts w:ascii="Arial" w:cs="Arial" w:eastAsia="Arial" w:hAnsi="Arial"/>
          <w:sz w:val="16"/>
          <w:szCs w:val="16"/>
          <w:i w:val="1"/>
          <w:iCs w:val="1"/>
          <w:color w:val="auto"/>
        </w:rPr>
        <w:t>Growth</w:t>
      </w:r>
      <w:r>
        <w:rPr>
          <w:rFonts w:ascii="Arial" w:cs="Arial" w:eastAsia="Arial" w:hAnsi="Arial"/>
          <w:sz w:val="16"/>
          <w:szCs w:val="16"/>
          <w:color w:val="auto"/>
        </w:rPr>
        <w:t xml:space="preserve">—to grow strategically and achieve strong financial performance, </w:t>
      </w:r>
      <w:r>
        <w:rPr>
          <w:rFonts w:ascii="Arial" w:cs="Arial" w:eastAsia="Arial" w:hAnsi="Arial"/>
          <w:sz w:val="16"/>
          <w:szCs w:val="16"/>
          <w:i w:val="1"/>
          <w:iCs w:val="1"/>
          <w:color w:val="auto"/>
        </w:rPr>
        <w:t>Operational Excellence</w:t>
      </w:r>
      <w:r>
        <w:rPr>
          <w:rFonts w:ascii="Arial" w:cs="Arial" w:eastAsia="Arial" w:hAnsi="Arial"/>
          <w:sz w:val="16"/>
          <w:szCs w:val="16"/>
          <w:color w:val="auto"/>
        </w:rPr>
        <w:t xml:space="preserve">—delivering safe, reliable and cost-effective energy to meet our customers’ needs, </w:t>
      </w:r>
      <w:r>
        <w:rPr>
          <w:rFonts w:ascii="Arial" w:cs="Arial" w:eastAsia="Arial" w:hAnsi="Arial"/>
          <w:sz w:val="16"/>
          <w:szCs w:val="16"/>
          <w:i w:val="1"/>
          <w:iCs w:val="1"/>
          <w:color w:val="auto"/>
        </w:rPr>
        <w:t>Transformation</w:t>
      </w:r>
      <w:r>
        <w:rPr>
          <w:rFonts w:ascii="Arial" w:cs="Arial" w:eastAsia="Arial" w:hAnsi="Arial"/>
          <w:sz w:val="16"/>
          <w:szCs w:val="16"/>
          <w:color w:val="auto"/>
        </w:rPr>
        <w:t xml:space="preserve">—be a simple and connected company positioned for growth, and </w:t>
      </w:r>
      <w:r>
        <w:rPr>
          <w:rFonts w:ascii="Arial" w:cs="Arial" w:eastAsia="Arial" w:hAnsi="Arial"/>
          <w:sz w:val="16"/>
          <w:szCs w:val="16"/>
          <w:i w:val="1"/>
          <w:iCs w:val="1"/>
          <w:color w:val="auto"/>
        </w:rPr>
        <w:t>People &amp; Culture</w:t>
      </w:r>
      <w:r>
        <w:rPr>
          <w:rFonts w:ascii="Arial" w:cs="Arial" w:eastAsia="Arial" w:hAnsi="Arial"/>
          <w:sz w:val="16"/>
          <w:szCs w:val="16"/>
          <w:color w:val="auto"/>
        </w:rPr>
        <w:t>—retain and attract a talented, engaged and thriving team.</w:t>
      </w:r>
    </w:p>
    <w:p>
      <w:pPr>
        <w:spacing w:after="0" w:line="15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spacing w:after="0" w:line="14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have provided energy and served customers for 140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4"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 - Power Plant Greenhouse Gas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 April 2024, the EPA published final rules addressing control of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emissions from the power sector. The rules regulate new natural gas generating units</w:t>
      </w:r>
    </w:p>
    <w:p>
      <w:pPr>
        <w:spacing w:after="0" w:line="43" w:lineRule="exact"/>
        <w:rPr>
          <w:sz w:val="20"/>
          <w:szCs w:val="20"/>
          <w:color w:val="auto"/>
        </w:rPr>
      </w:pPr>
    </w:p>
    <w:p>
      <w:pPr>
        <w:ind w:right="40"/>
        <w:spacing w:after="0" w:line="228" w:lineRule="auto"/>
        <w:rPr>
          <w:sz w:val="20"/>
          <w:szCs w:val="20"/>
          <w:color w:val="auto"/>
        </w:rPr>
      </w:pPr>
      <w:r>
        <w:rPr>
          <w:rFonts w:ascii="Arial" w:cs="Arial" w:eastAsia="Arial" w:hAnsi="Arial"/>
          <w:sz w:val="16"/>
          <w:szCs w:val="16"/>
          <w:color w:val="auto"/>
        </w:rPr>
        <w:t>and emission guidelines for existing coal and certain natural gas generation. The rules create subcategories of coal units based on planned retirement date and subcategories of natural gas combustion turbines and combined cycle units based on utilization. The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control requirements vary by subcategory. We</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are currently evaluating the impact of these rules and believe that most costs incurred as a result of the new rules will be recoverable through our regulatory mechanisms.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hanging="503"/>
        <w:spacing w:after="0" w:line="254"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On April 17, 2024, Colorado Electric filed its 120-Day report with the CPUC, recommending 400 MW of renewable energy resources to advance its Clean Energy Plan. Colorado Electric is proposing a preferred portfolio of resources that will add a 200 MW utility-scale solar build-transfer project, 150 MW of wind energy through a power purchase agreement, and a 50 MW battery storage build-transfer project. The energy resources are expected to be in service between 2026 and 2027 and achieve greenhouse gas emission reductions of an estimated 89% by 2030 off a 2005 base. The final composition of resources and timing is subject to review and approval by the CPUC, which is expected in the third quarter of 2024.</w:t>
      </w:r>
    </w:p>
    <w:p>
      <w:pPr>
        <w:spacing w:after="0" w:line="153" w:lineRule="exact"/>
        <w:rPr>
          <w:rFonts w:ascii="Times New Roman" w:cs="Times New Roman" w:eastAsia="Times New Roman" w:hAnsi="Times New Roman"/>
          <w:sz w:val="16"/>
          <w:szCs w:val="16"/>
          <w:color w:val="auto"/>
        </w:rPr>
      </w:pPr>
    </w:p>
    <w:p>
      <w:pPr>
        <w:ind w:left="1020" w:right="26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11, 2024 Wyoming Electric set a new all-time and winter peak load of 314 MW, surpassing the previous winter peak of 301 MW set on December 26, 2023 and all-time peak of 312 MW set on July 24, 2023.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34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Arkansas Gas, Colorado Gas, Iowa Gas and Wyoming Gas.</w:t>
      </w:r>
    </w:p>
    <w:p>
      <w:pPr>
        <w:spacing w:after="0" w:line="129" w:lineRule="exact"/>
        <w:rPr>
          <w:rFonts w:ascii="Times New Roman" w:cs="Times New Roman" w:eastAsia="Times New Roman" w:hAnsi="Times New Roman"/>
          <w:sz w:val="16"/>
          <w:szCs w:val="16"/>
          <w:color w:val="auto"/>
        </w:rPr>
      </w:pPr>
    </w:p>
    <w:p>
      <w:pPr>
        <w:ind w:left="1020" w:right="100" w:hanging="503"/>
        <w:spacing w:after="0" w:line="254"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2024, Black Hills Energy Renewable Resources acquired a RNG production facility at a landfill in Dubuque, Iowa. The facility currently injects RNG into the natural gas distribution system serving Dubuque, which is owned and operated by Iowa Gas. This acquisition represents our entry into the production of RNG as a nonregulated business while leveraging our expertise in owning and operating regulated natural gas pipeline systems, including RNG interconnections. The RNG produced from the landfill facility captures methane that would otherwise vent into the atmosphere. It is delivered under long-term contracts to a third party that purchases the RNG and its related environmental attributes, in conformity with the EPA's Renewable Fuel Standard Program.</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months ended March 31, 2024 and 2023, and our financial condition as of March 31, 2024 and December 31, 2023, are not necessarily indicative of the results of operations and financial condition to be expected as of or for any other period or for the entire year.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85"/>
        </w:trPr>
        <w:tc>
          <w:tcPr>
            <w:tcW w:w="5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0" w:type="dxa"/>
            <w:vAlign w:val="bottom"/>
            <w:gridSpan w:val="5"/>
          </w:tcPr>
          <w:p>
            <w:pPr>
              <w:jc w:val="right"/>
              <w:ind w:right="167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5440" w:type="dxa"/>
            <w:vAlign w:val="bottom"/>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 vs 2023 Variance</w:t>
            </w:r>
          </w:p>
        </w:tc>
      </w:tr>
      <w:tr>
        <w:trPr>
          <w:trHeight w:val="209"/>
        </w:trPr>
        <w:tc>
          <w:tcPr>
            <w:tcW w:w="54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gridSpan w:val="5"/>
          </w:tcPr>
          <w:p>
            <w:pPr>
              <w:jc w:val="right"/>
              <w:ind w:right="1479"/>
              <w:spacing w:after="0"/>
              <w:rPr>
                <w:sz w:val="20"/>
                <w:szCs w:val="20"/>
                <w:color w:val="auto"/>
              </w:rPr>
            </w:pPr>
            <w:r>
              <w:rPr>
                <w:rFonts w:ascii="Arial" w:cs="Arial" w:eastAsia="Arial" w:hAnsi="Arial"/>
                <w:sz w:val="16"/>
                <w:szCs w:val="16"/>
                <w:color w:val="auto"/>
              </w:rPr>
              <w:t>(in millions, except per share amounts)</w:t>
            </w:r>
          </w:p>
        </w:tc>
      </w:tr>
      <w:tr>
        <w:trPr>
          <w:trHeight w:val="210"/>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r>
      <w:tr>
        <w:trPr>
          <w:trHeight w:val="215"/>
        </w:trPr>
        <w:tc>
          <w:tcPr>
            <w:tcW w:w="5440" w:type="dxa"/>
            <w:vAlign w:val="bottom"/>
          </w:tcPr>
          <w:p>
            <w:pPr>
              <w:ind w:left="120"/>
              <w:spacing w:after="0"/>
              <w:rPr>
                <w:sz w:val="20"/>
                <w:szCs w:val="20"/>
                <w:color w:val="auto"/>
              </w:rPr>
            </w:pPr>
            <w:r>
              <w:rPr>
                <w:rFonts w:ascii="Arial" w:cs="Arial" w:eastAsia="Arial" w:hAnsi="Arial"/>
                <w:sz w:val="16"/>
                <w:szCs w:val="16"/>
                <w:color w:val="auto"/>
              </w:rPr>
              <w:t>Electric Utilities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64.6</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3.5</w:t>
            </w:r>
          </w:p>
        </w:tc>
      </w:tr>
      <w:tr>
        <w:trPr>
          <w:trHeight w:val="217"/>
        </w:trPr>
        <w:tc>
          <w:tcPr>
            <w:tcW w:w="54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Gas Utilities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130.8</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114.6</w:t>
            </w:r>
          </w:p>
        </w:tc>
        <w:tc>
          <w:tcPr>
            <w:tcW w:w="14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16.2</w:t>
            </w:r>
          </w:p>
        </w:tc>
      </w:tr>
      <w:tr>
        <w:trPr>
          <w:trHeight w:val="216"/>
        </w:trPr>
        <w:tc>
          <w:tcPr>
            <w:tcW w:w="54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r>
      <w:tr>
        <w:trPr>
          <w:trHeight w:val="210"/>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193.3</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174.9</w:t>
            </w:r>
          </w:p>
        </w:tc>
        <w:tc>
          <w:tcPr>
            <w:tcW w:w="14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18.4</w:t>
            </w:r>
          </w:p>
        </w:tc>
      </w:tr>
      <w:tr>
        <w:trPr>
          <w:trHeight w:val="209"/>
        </w:trPr>
        <w:tc>
          <w:tcPr>
            <w:tcW w:w="5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(44.0 )</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(43.5 )</w:t>
            </w:r>
          </w:p>
        </w:tc>
        <w:tc>
          <w:tcPr>
            <w:tcW w:w="14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(0.5 )</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(0.8 )</w:t>
            </w:r>
          </w:p>
        </w:tc>
        <w:tc>
          <w:tcPr>
            <w:tcW w:w="4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7"/>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(16.9 )</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(14.7 )</w:t>
            </w:r>
          </w:p>
        </w:tc>
        <w:tc>
          <w:tcPr>
            <w:tcW w:w="14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(2.2 )</w:t>
            </w: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131.6</w:t>
            </w:r>
          </w:p>
        </w:tc>
        <w:tc>
          <w:tcPr>
            <w:tcW w:w="4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117.4</w:t>
            </w:r>
          </w:p>
        </w:tc>
        <w:tc>
          <w:tcPr>
            <w:tcW w:w="140" w:type="dxa"/>
            <w:vAlign w:val="bottom"/>
          </w:tcPr>
          <w:p>
            <w:pPr>
              <w:spacing w:after="0"/>
              <w:rPr>
                <w:sz w:val="18"/>
                <w:szCs w:val="18"/>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14.2</w:t>
            </w:r>
          </w:p>
        </w:tc>
      </w:tr>
      <w:tr>
        <w:trPr>
          <w:trHeight w:val="217"/>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(3.7 )</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(3.3 )</w:t>
            </w:r>
          </w:p>
        </w:tc>
        <w:tc>
          <w:tcPr>
            <w:tcW w:w="14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544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127.9</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r>
      <w:tr>
        <w:trPr>
          <w:trHeight w:val="20"/>
        </w:trPr>
        <w:tc>
          <w:tcPr>
            <w:tcW w:w="5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97"/>
        </w:trPr>
        <w:tc>
          <w:tcPr>
            <w:tcW w:w="54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0.14</w:t>
            </w:r>
          </w:p>
        </w:tc>
      </w:tr>
      <w:tr>
        <w:trPr>
          <w:trHeight w:val="20"/>
        </w:trPr>
        <w:tc>
          <w:tcPr>
            <w:tcW w:w="5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2024 Compared to the Three Months Ended March 31,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340" w:hanging="503"/>
        <w:spacing w:after="0" w:line="285"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increased $3.5 million primarily due to new rates and rider recovery driven by the Wyoming Electric rate review and lower operating expenses partially offset by a prior year one-time gain on the sale of Northern Iowa Windpower;</w:t>
      </w:r>
    </w:p>
    <w:p>
      <w:pPr>
        <w:spacing w:after="0" w:line="129" w:lineRule="exact"/>
        <w:rPr>
          <w:rFonts w:ascii="Times New Roman" w:cs="Times New Roman" w:eastAsia="Times New Roman" w:hAnsi="Times New Roman"/>
          <w:sz w:val="16"/>
          <w:szCs w:val="16"/>
          <w:color w:val="auto"/>
        </w:rPr>
      </w:pPr>
    </w:p>
    <w:p>
      <w:pPr>
        <w:ind w:left="1020" w:right="20" w:hanging="503"/>
        <w:spacing w:after="0" w:line="266"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$16.2 million primarily due to new rates and rider recovery driven by the Colorado Gas and Wyoming Gas rate reviews, favorable mark-to-market adjustments on wholesale commodity contracts and lower operating expenses partially offset by unfavorable weather;</w:t>
      </w:r>
    </w:p>
    <w:p>
      <w:pPr>
        <w:spacing w:after="0" w:line="14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increased $2.2 million primarily driven by higher pre-tax income.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A discussion of operating results from our business segments follows. Unless otherwise indicated, segment information does not include inter-company eliminations and amounts are presented on a pre-tax basis.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15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Electric Utilities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000" w:type="dxa"/>
            <w:vAlign w:val="bottom"/>
            <w:gridSpan w:val="2"/>
          </w:tcPr>
          <w:p>
            <w:pPr>
              <w:spacing w:after="0"/>
              <w:rPr>
                <w:sz w:val="20"/>
                <w:szCs w:val="20"/>
                <w:color w:val="auto"/>
              </w:rPr>
            </w:pPr>
            <w:r>
              <w:rPr>
                <w:rFonts w:ascii="Arial" w:cs="Arial" w:eastAsia="Arial" w:hAnsi="Arial"/>
                <w:sz w:val="16"/>
                <w:szCs w:val="16"/>
                <w:color w:val="auto"/>
              </w:rPr>
              <w:t>Operating results for the Electric Utilities were as follows:</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5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gridSpan w:val="4"/>
          </w:tcPr>
          <w:p>
            <w:pPr>
              <w:jc w:val="center"/>
              <w:ind w:left="13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2024 vs 2023</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rPr>
              <w:t>(in millions)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gridSpan w:val="2"/>
          </w:tcPr>
          <w:p>
            <w:pPr>
              <w:ind w:left="120"/>
              <w:spacing w:after="0"/>
              <w:rPr>
                <w:sz w:val="20"/>
                <w:szCs w:val="20"/>
                <w:color w:val="auto"/>
              </w:rPr>
            </w:pPr>
            <w:r>
              <w:rPr>
                <w:rFonts w:ascii="Arial" w:cs="Arial" w:eastAsia="Arial" w:hAnsi="Arial"/>
                <w:sz w:val="16"/>
                <w:szCs w:val="16"/>
                <w:color w:val="auto"/>
              </w:rPr>
              <w:t>Electric - regulated</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210.8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206.7</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60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3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0"/>
        </w:trPr>
        <w:tc>
          <w:tcPr>
            <w:tcW w:w="6000" w:type="dxa"/>
            <w:vAlign w:val="bottom"/>
            <w:gridSpan w:val="2"/>
          </w:tcPr>
          <w:p>
            <w:pPr>
              <w:ind w:left="200"/>
              <w:spacing w:after="0"/>
              <w:rPr>
                <w:sz w:val="20"/>
                <w:szCs w:val="20"/>
                <w:color w:val="auto"/>
              </w:rPr>
            </w:pPr>
            <w:r>
              <w:rPr>
                <w:rFonts w:ascii="Arial" w:cs="Arial" w:eastAsia="Arial" w:hAnsi="Arial"/>
                <w:sz w:val="16"/>
                <w:szCs w:val="16"/>
                <w:color w:val="auto"/>
              </w:rPr>
              <w:t>Total revenue</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1520" w:type="dxa"/>
            <w:vAlign w:val="bottom"/>
            <w:shd w:val="clear" w:color="auto" w:fill="CFF0FC"/>
          </w:tcPr>
          <w:p>
            <w:pPr>
              <w:spacing w:after="0"/>
              <w:rPr>
                <w:sz w:val="18"/>
                <w:szCs w:val="18"/>
                <w:color w:val="auto"/>
              </w:rPr>
            </w:pPr>
          </w:p>
        </w:tc>
        <w:tc>
          <w:tcPr>
            <w:tcW w:w="44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Cost of fuel and purchased power:</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Electric - regulated</w:t>
            </w: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6"/>
        </w:trPr>
        <w:tc>
          <w:tcPr>
            <w:tcW w:w="6000" w:type="dxa"/>
            <w:vAlign w:val="bottom"/>
            <w:gridSpan w:val="2"/>
          </w:tcPr>
          <w:p>
            <w:pPr>
              <w:ind w:left="120"/>
              <w:spacing w:after="0"/>
              <w:rPr>
                <w:sz w:val="20"/>
                <w:szCs w:val="20"/>
                <w:color w:val="auto"/>
              </w:rPr>
            </w:pPr>
            <w:r>
              <w:rPr>
                <w:rFonts w:ascii="Arial" w:cs="Arial" w:eastAsia="Arial" w:hAnsi="Arial"/>
                <w:sz w:val="16"/>
                <w:szCs w:val="16"/>
                <w:color w:val="auto"/>
              </w:rPr>
              <w:t>Other - non-regulated</w:t>
            </w: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 cost of fuel and purchased power</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3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Electric Utility margin (non-GAAP)</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167.4</w:t>
            </w:r>
          </w:p>
        </w:tc>
        <w:tc>
          <w:tcPr>
            <w:tcW w:w="3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163.3</w:t>
            </w: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35.3</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35.1</w:t>
            </w:r>
          </w:p>
        </w:tc>
        <w:tc>
          <w:tcPr>
            <w:tcW w:w="32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60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3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0"/>
        </w:trPr>
        <w:tc>
          <w:tcPr>
            <w:tcW w:w="1520" w:type="dxa"/>
            <w:vAlign w:val="bottom"/>
            <w:tcBorders>
              <w:bottom w:val="single" w:sz="8" w:color="CFF0FC"/>
            </w:tcBorders>
            <w:shd w:val="clear" w:color="auto" w:fill="CFF0FC"/>
          </w:tcPr>
          <w:p>
            <w:pPr>
              <w:spacing w:after="0"/>
              <w:rPr>
                <w:sz w:val="18"/>
                <w:szCs w:val="18"/>
                <w:color w:val="auto"/>
              </w:rPr>
            </w:pPr>
          </w:p>
        </w:tc>
        <w:tc>
          <w:tcPr>
            <w:tcW w:w="44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120" w:type="dxa"/>
            <w:vAlign w:val="bottom"/>
            <w:gridSpan w:val="4"/>
          </w:tcPr>
          <w:p>
            <w:pPr>
              <w:spacing w:after="0"/>
              <w:rPr>
                <w:sz w:val="20"/>
                <w:szCs w:val="20"/>
                <w:color w:val="auto"/>
              </w:rPr>
            </w:pPr>
            <w:r>
              <w:rPr>
                <w:rFonts w:ascii="Arial" w:cs="Arial" w:eastAsia="Arial" w:hAnsi="Arial"/>
                <w:sz w:val="16"/>
                <w:szCs w:val="16"/>
                <w:color w:val="auto"/>
              </w:rPr>
              <w:t>Three Months Ended March 31, 2024, Compared to the Three Months Ended March 31, 2023:</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0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2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11"/>
        </w:trPr>
        <w:tc>
          <w:tcPr>
            <w:tcW w:w="60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5"/>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Off-system excess energy sales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7"/>
        </w:trPr>
        <w:tc>
          <w:tcPr>
            <w:tcW w:w="60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Weather</w:t>
            </w: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6"/>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49"/>
        </w:trPr>
        <w:tc>
          <w:tcPr>
            <w:tcW w:w="1520" w:type="dxa"/>
            <w:vAlign w:val="bottom"/>
            <w:tcBorders>
              <w:bottom w:val="single" w:sz="8" w:color="CFF0FC"/>
            </w:tcBorders>
            <w:shd w:val="clear" w:color="auto" w:fill="CFF0FC"/>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was comparable to the same period in the prior year primarily due to $4.5 million of lower outside services expenses, $2.0 million of lower employee-related expenses and $1.3 million of lower generation expenses driven by the timing of planned outages offset by a prior year one-time $7.7 million gain on the sale of Northern Iowa Windpower assets.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 property and production</w:t>
      </w:r>
      <w:r>
        <w:rPr>
          <w:rFonts w:ascii="Arial" w:cs="Arial" w:eastAsia="Arial" w:hAnsi="Arial"/>
          <w:sz w:val="16"/>
          <w:szCs w:val="16"/>
          <w:color w:val="auto"/>
        </w:rPr>
        <w:t xml:space="preserve"> was comparable to the same period in the prior year.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94"/>
        </w:trPr>
        <w:tc>
          <w:tcPr>
            <w:tcW w:w="4960" w:type="dxa"/>
            <w:vAlign w:val="bottom"/>
          </w:tcPr>
          <w:p>
            <w:pPr>
              <w:spacing w:after="0"/>
              <w:rPr>
                <w:sz w:val="24"/>
                <w:szCs w:val="24"/>
                <w:color w:val="auto"/>
              </w:rPr>
            </w:pPr>
          </w:p>
        </w:tc>
        <w:tc>
          <w:tcPr>
            <w:tcW w:w="25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Revenue (in millions)</w:t>
            </w:r>
          </w:p>
        </w:tc>
        <w:tc>
          <w:tcPr>
            <w:tcW w:w="6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Quantities Sold (GWh)</w:t>
            </w:r>
          </w:p>
        </w:tc>
      </w:tr>
      <w:tr>
        <w:trPr>
          <w:trHeight w:val="209"/>
        </w:trPr>
        <w:tc>
          <w:tcPr>
            <w:tcW w:w="4960" w:type="dxa"/>
            <w:vAlign w:val="bottom"/>
          </w:tcPr>
          <w:p>
            <w:pPr>
              <w:spacing w:after="0"/>
              <w:rPr>
                <w:sz w:val="18"/>
                <w:szCs w:val="18"/>
                <w:color w:val="auto"/>
              </w:rPr>
            </w:pPr>
          </w:p>
        </w:tc>
        <w:tc>
          <w:tcPr>
            <w:tcW w:w="31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312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4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2024</w:t>
            </w: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r>
      <w:tr>
        <w:trPr>
          <w:trHeight w:val="210"/>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1020" w:type="dxa"/>
            <w:vAlign w:val="bottom"/>
            <w:shd w:val="clear" w:color="auto" w:fill="CFF0FC"/>
          </w:tcPr>
          <w:p>
            <w:pPr>
              <w:jc w:val="right"/>
              <w:ind w:right="7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59.8</w:t>
            </w:r>
          </w:p>
        </w:tc>
        <w:tc>
          <w:tcPr>
            <w:tcW w:w="17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388.8</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393.9</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66.7</w:t>
            </w:r>
          </w:p>
        </w:tc>
        <w:tc>
          <w:tcPr>
            <w:tcW w:w="10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511.8</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510.8</w:t>
            </w:r>
          </w:p>
        </w:tc>
      </w:tr>
      <w:tr>
        <w:trPr>
          <w:trHeight w:val="217"/>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38.9</w:t>
            </w:r>
          </w:p>
        </w:tc>
        <w:tc>
          <w:tcPr>
            <w:tcW w:w="17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553.6</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455.9</w:t>
            </w: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color w:val="auto"/>
              </w:rPr>
              <w:t>Municipal</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34.2</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w:t>
            </w:r>
          </w:p>
        </w:tc>
      </w:tr>
      <w:tr>
        <w:trPr>
          <w:trHeight w:val="210"/>
        </w:trPr>
        <w:tc>
          <w:tcPr>
            <w:tcW w:w="4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Subtotal Retail Revenue - Electric</w:t>
            </w: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177.6</w:t>
            </w: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165.1</w:t>
            </w:r>
          </w:p>
        </w:tc>
        <w:tc>
          <w:tcPr>
            <w:tcW w:w="176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1,488.4</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1,396.4</w:t>
            </w:r>
          </w:p>
        </w:tc>
      </w:tr>
      <w:tr>
        <w:trPr>
          <w:trHeight w:val="209"/>
        </w:trPr>
        <w:tc>
          <w:tcPr>
            <w:tcW w:w="4960" w:type="dxa"/>
            <w:vAlign w:val="bottom"/>
          </w:tcPr>
          <w:p>
            <w:pPr>
              <w:ind w:left="20"/>
              <w:spacing w:after="0"/>
              <w:rPr>
                <w:sz w:val="20"/>
                <w:szCs w:val="20"/>
                <w:color w:val="auto"/>
              </w:rPr>
            </w:pPr>
            <w:r>
              <w:rPr>
                <w:rFonts w:ascii="Arial" w:cs="Arial" w:eastAsia="Arial" w:hAnsi="Arial"/>
                <w:sz w:val="16"/>
                <w:szCs w:val="16"/>
                <w:color w:val="auto"/>
              </w:rPr>
              <w:t>Contract Wholesale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w:t>
            </w:r>
          </w:p>
        </w:tc>
        <w:tc>
          <w:tcPr>
            <w:tcW w:w="10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148.0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144.7</w:t>
            </w:r>
          </w:p>
        </w:tc>
      </w:tr>
      <w:tr>
        <w:trPr>
          <w:trHeight w:val="217"/>
        </w:trPr>
        <w:tc>
          <w:tcPr>
            <w:tcW w:w="496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Off-system/Power Marketing Wholesale </w:t>
            </w:r>
            <w:r>
              <w:rPr>
                <w:rFonts w:ascii="Arial" w:cs="Arial" w:eastAsia="Arial" w:hAnsi="Arial"/>
                <w:sz w:val="21"/>
                <w:szCs w:val="21"/>
                <w:color w:val="auto"/>
                <w:vertAlign w:val="superscript"/>
              </w:rPr>
              <w:t>(a)</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16.1</w:t>
            </w:r>
          </w:p>
        </w:tc>
        <w:tc>
          <w:tcPr>
            <w:tcW w:w="17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115.6</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256.9</w:t>
            </w: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w:t>
            </w: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Regulated</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206.7</w:t>
            </w:r>
          </w:p>
        </w:tc>
        <w:tc>
          <w:tcPr>
            <w:tcW w:w="17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1,752.0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1,798.0</w:t>
            </w: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Non-Regulated </w:t>
            </w:r>
            <w:r>
              <w:rPr>
                <w:rFonts w:ascii="Arial" w:cs="Arial" w:eastAsia="Arial" w:hAnsi="Arial"/>
                <w:sz w:val="21"/>
                <w:szCs w:val="21"/>
                <w:color w:val="auto"/>
                <w:vertAlign w:val="superscript"/>
              </w:rPr>
              <w:t>(c)</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28.0</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w:t>
            </w:r>
          </w:p>
        </w:tc>
      </w:tr>
      <w:tr>
        <w:trPr>
          <w:trHeight w:val="249"/>
        </w:trPr>
        <w:tc>
          <w:tcPr>
            <w:tcW w:w="49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Revenue and Quantities Sold</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w:t>
            </w:r>
          </w:p>
        </w:tc>
        <w:tc>
          <w:tcPr>
            <w:tcW w:w="102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218.7</w:t>
            </w:r>
          </w:p>
        </w:tc>
        <w:tc>
          <w:tcPr>
            <w:tcW w:w="176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1,780.0</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1,852.4</w:t>
            </w:r>
          </w:p>
        </w:tc>
      </w:tr>
      <w:tr>
        <w:trPr>
          <w:trHeight w:val="197"/>
        </w:trPr>
        <w:tc>
          <w:tcPr>
            <w:tcW w:w="4960" w:type="dxa"/>
            <w:vAlign w:val="bottom"/>
          </w:tcPr>
          <w:p>
            <w:pPr>
              <w:ind w:left="20"/>
              <w:spacing w:after="0" w:line="197" w:lineRule="exact"/>
              <w:rPr>
                <w:sz w:val="20"/>
                <w:szCs w:val="20"/>
                <w:color w:val="auto"/>
              </w:rPr>
            </w:pPr>
            <w:r>
              <w:rPr>
                <w:rFonts w:ascii="Arial" w:cs="Arial" w:eastAsia="Arial" w:hAnsi="Arial"/>
                <w:sz w:val="16"/>
                <w:szCs w:val="16"/>
                <w:color w:val="auto"/>
              </w:rPr>
              <w:t xml:space="preserve">Other Uses, Losses or Generation, net </w:t>
            </w:r>
            <w:r>
              <w:rPr>
                <w:rFonts w:ascii="Arial" w:cs="Arial" w:eastAsia="Arial" w:hAnsi="Arial"/>
                <w:sz w:val="21"/>
                <w:szCs w:val="21"/>
                <w:color w:val="auto"/>
                <w:vertAlign w:val="superscript"/>
              </w:rPr>
              <w:t>(d)</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101.8</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138.3</w:t>
            </w:r>
          </w:p>
        </w:tc>
      </w:tr>
      <w:tr>
        <w:trPr>
          <w:trHeight w:val="250"/>
        </w:trPr>
        <w:tc>
          <w:tcPr>
            <w:tcW w:w="4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Energy</w:t>
            </w:r>
          </w:p>
        </w:tc>
        <w:tc>
          <w:tcPr>
            <w:tcW w:w="9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1,881.8</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0" w:lineRule="exact"/>
        <w:rPr>
          <w:sz w:val="20"/>
          <w:szCs w:val="20"/>
          <w:color w:val="auto"/>
        </w:rPr>
      </w:pPr>
    </w:p>
    <w:p>
      <w:pPr>
        <w:ind w:left="520" w:right="80" w:hanging="512"/>
        <w:spacing w:after="0" w:line="27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Off-system/Power Marketing Wholesale revenues decreased for the three months ended March 31, 2024 compared to the same period in the prior year primarily due to lower excess capacity, lower commodity prices and warmer winter weather.</w:t>
      </w:r>
    </w:p>
    <w:p>
      <w:pPr>
        <w:ind w:left="520" w:hanging="512"/>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Revenue (in millions)</w:t>
            </w:r>
          </w:p>
        </w:tc>
        <w:tc>
          <w:tcPr>
            <w:tcW w:w="6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Quantities Sold (GWh)</w:t>
            </w:r>
          </w:p>
        </w:tc>
      </w:tr>
      <w:tr>
        <w:trPr>
          <w:trHeight w:val="209"/>
        </w:trPr>
        <w:tc>
          <w:tcPr>
            <w:tcW w:w="4940" w:type="dxa"/>
            <w:vAlign w:val="bottom"/>
          </w:tcPr>
          <w:p>
            <w:pPr>
              <w:spacing w:after="0"/>
              <w:rPr>
                <w:sz w:val="18"/>
                <w:szCs w:val="18"/>
                <w:color w:val="auto"/>
              </w:rPr>
            </w:pPr>
          </w:p>
        </w:tc>
        <w:tc>
          <w:tcPr>
            <w:tcW w:w="33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c>
          <w:tcPr>
            <w:tcW w:w="29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49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0"/>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100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110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73.8</w:t>
            </w:r>
          </w:p>
        </w:tc>
        <w:tc>
          <w:tcPr>
            <w:tcW w:w="16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555.7</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604.5</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80.6</w:t>
            </w:r>
          </w:p>
        </w:tc>
        <w:tc>
          <w:tcPr>
            <w:tcW w:w="110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86.6</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621.1</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708.8</w:t>
            </w:r>
          </w:p>
        </w:tc>
      </w:tr>
      <w:tr>
        <w:trPr>
          <w:trHeight w:val="217"/>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1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46.7</w:t>
            </w:r>
          </w:p>
        </w:tc>
        <w:tc>
          <w:tcPr>
            <w:tcW w:w="16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575.2</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484.7</w:t>
            </w: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Integrated Generation</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11.6</w:t>
            </w: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28.0</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w:t>
            </w:r>
          </w:p>
        </w:tc>
      </w:tr>
      <w:tr>
        <w:trPr>
          <w:trHeight w:val="250"/>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 and Quantities Sold</w:t>
            </w:r>
          </w:p>
        </w:tc>
        <w:tc>
          <w:tcPr>
            <w:tcW w:w="100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w:t>
            </w:r>
          </w:p>
        </w:tc>
        <w:tc>
          <w:tcPr>
            <w:tcW w:w="110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218.7</w:t>
            </w:r>
          </w:p>
        </w:tc>
        <w:tc>
          <w:tcPr>
            <w:tcW w:w="16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1,780.0</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1,852.4</w:t>
            </w: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4500" w:type="dxa"/>
            <w:vAlign w:val="bottom"/>
            <w:gridSpan w:val="2"/>
          </w:tcPr>
          <w:p>
            <w:pPr>
              <w:jc w:val="right"/>
              <w:ind w:right="103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Quantities Generated and Purchased by Fuel Type (GWh)</w:t>
            </w:r>
          </w:p>
        </w:tc>
        <w:tc>
          <w:tcPr>
            <w:tcW w:w="2620" w:type="dxa"/>
            <w:vAlign w:val="bottom"/>
            <w:tcBorders>
              <w:bottom w:val="single" w:sz="8" w:color="auto"/>
            </w:tcBorders>
          </w:tcPr>
          <w:p>
            <w:pPr>
              <w:jc w:val="right"/>
              <w:ind w:right="1299"/>
              <w:spacing w:after="0"/>
              <w:rPr>
                <w:sz w:val="20"/>
                <w:szCs w:val="20"/>
                <w:color w:val="auto"/>
              </w:rPr>
            </w:pPr>
            <w:r>
              <w:rPr>
                <w:rFonts w:ascii="Arial" w:cs="Arial" w:eastAsia="Arial" w:hAnsi="Arial"/>
                <w:sz w:val="16"/>
                <w:szCs w:val="16"/>
                <w:b w:val="1"/>
                <w:bCs w:val="1"/>
                <w:color w:val="auto"/>
              </w:rPr>
              <w:t>2024</w:t>
            </w:r>
          </w:p>
        </w:tc>
        <w:tc>
          <w:tcPr>
            <w:tcW w:w="18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2023</w:t>
            </w:r>
          </w:p>
        </w:tc>
      </w:tr>
      <w:tr>
        <w:trPr>
          <w:trHeight w:val="209"/>
        </w:trPr>
        <w:tc>
          <w:tcPr>
            <w:tcW w:w="6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26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15"/>
        </w:trPr>
        <w:tc>
          <w:tcPr>
            <w:tcW w:w="6740" w:type="dxa"/>
            <w:vAlign w:val="bottom"/>
          </w:tcPr>
          <w:p>
            <w:pPr>
              <w:ind w:left="120"/>
              <w:spacing w:after="0"/>
              <w:rPr>
                <w:sz w:val="20"/>
                <w:szCs w:val="20"/>
                <w:color w:val="auto"/>
              </w:rPr>
            </w:pPr>
            <w:r>
              <w:rPr>
                <w:rFonts w:ascii="Arial" w:cs="Arial" w:eastAsia="Arial" w:hAnsi="Arial"/>
                <w:sz w:val="16"/>
                <w:szCs w:val="16"/>
                <w:color w:val="auto"/>
              </w:rPr>
              <w:t>Coal</w:t>
            </w:r>
          </w:p>
        </w:tc>
        <w:tc>
          <w:tcPr>
            <w:tcW w:w="2620" w:type="dxa"/>
            <w:vAlign w:val="bottom"/>
          </w:tcPr>
          <w:p>
            <w:pPr>
              <w:jc w:val="right"/>
              <w:ind w:right="419"/>
              <w:spacing w:after="0"/>
              <w:rPr>
                <w:sz w:val="20"/>
                <w:szCs w:val="20"/>
                <w:color w:val="auto"/>
              </w:rPr>
            </w:pPr>
            <w:r>
              <w:rPr>
                <w:rFonts w:ascii="Arial" w:cs="Arial" w:eastAsia="Arial" w:hAnsi="Arial"/>
                <w:sz w:val="16"/>
                <w:szCs w:val="16"/>
                <w:color w:val="auto"/>
              </w:rPr>
              <w:t>680.7</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675.0</w:t>
            </w:r>
          </w:p>
        </w:tc>
      </w:tr>
      <w:tr>
        <w:trPr>
          <w:trHeight w:val="217"/>
        </w:trPr>
        <w:tc>
          <w:tcPr>
            <w:tcW w:w="6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Natural Gas and Oil</w:t>
            </w:r>
          </w:p>
        </w:tc>
        <w:tc>
          <w:tcPr>
            <w:tcW w:w="262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523.4</w:t>
            </w: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501.1</w:t>
            </w:r>
          </w:p>
        </w:tc>
      </w:tr>
      <w:tr>
        <w:trPr>
          <w:trHeight w:val="216"/>
        </w:trPr>
        <w:tc>
          <w:tcPr>
            <w:tcW w:w="67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Wind </w:t>
            </w:r>
            <w:r>
              <w:rPr>
                <w:rFonts w:ascii="Arial" w:cs="Arial" w:eastAsia="Arial" w:hAnsi="Arial"/>
                <w:sz w:val="21"/>
                <w:szCs w:val="21"/>
                <w:color w:val="auto"/>
                <w:vertAlign w:val="superscript"/>
              </w:rPr>
              <w:t>(a)</w:t>
            </w:r>
          </w:p>
        </w:tc>
        <w:tc>
          <w:tcPr>
            <w:tcW w:w="2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174.0</w:t>
            </w: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230.7</w:t>
            </w:r>
          </w:p>
        </w:tc>
      </w:tr>
      <w:tr>
        <w:trPr>
          <w:trHeight w:val="210"/>
        </w:trPr>
        <w:tc>
          <w:tcPr>
            <w:tcW w:w="6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Generated</w:t>
            </w:r>
          </w:p>
        </w:tc>
        <w:tc>
          <w:tcPr>
            <w:tcW w:w="262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color w:val="auto"/>
              </w:rPr>
              <w:t>1,378.1</w:t>
            </w:r>
          </w:p>
        </w:tc>
        <w:tc>
          <w:tcPr>
            <w:tcW w:w="1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1,406.8</w:t>
            </w:r>
          </w:p>
        </w:tc>
      </w:tr>
      <w:tr>
        <w:trPr>
          <w:trHeight w:val="209"/>
        </w:trPr>
        <w:tc>
          <w:tcPr>
            <w:tcW w:w="6740" w:type="dxa"/>
            <w:vAlign w:val="bottom"/>
          </w:tcPr>
          <w:p>
            <w:pPr>
              <w:ind w:left="20"/>
              <w:spacing w:after="0"/>
              <w:rPr>
                <w:sz w:val="20"/>
                <w:szCs w:val="20"/>
                <w:color w:val="auto"/>
              </w:rPr>
            </w:pPr>
            <w:r>
              <w:rPr>
                <w:rFonts w:ascii="Arial" w:cs="Arial" w:eastAsia="Arial" w:hAnsi="Arial"/>
                <w:sz w:val="16"/>
                <w:szCs w:val="16"/>
                <w:color w:val="auto"/>
              </w:rPr>
              <w:t>Purchased:</w:t>
            </w:r>
          </w:p>
        </w:tc>
        <w:tc>
          <w:tcPr>
            <w:tcW w:w="26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7"/>
        </w:trPr>
        <w:tc>
          <w:tcPr>
            <w:tcW w:w="6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Coal, Natural Gas, Oil and Other Market Purchases</w:t>
            </w:r>
          </w:p>
        </w:tc>
        <w:tc>
          <w:tcPr>
            <w:tcW w:w="262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288.9</w:t>
            </w: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489.8</w:t>
            </w:r>
          </w:p>
        </w:tc>
      </w:tr>
      <w:tr>
        <w:trPr>
          <w:trHeight w:val="216"/>
        </w:trPr>
        <w:tc>
          <w:tcPr>
            <w:tcW w:w="674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Wind and Solar </w:t>
            </w:r>
            <w:r>
              <w:rPr>
                <w:rFonts w:ascii="Arial" w:cs="Arial" w:eastAsia="Arial" w:hAnsi="Arial"/>
                <w:sz w:val="21"/>
                <w:szCs w:val="21"/>
                <w:color w:val="auto"/>
                <w:vertAlign w:val="superscript"/>
              </w:rPr>
              <w:t>(b)</w:t>
            </w:r>
          </w:p>
        </w:tc>
        <w:tc>
          <w:tcPr>
            <w:tcW w:w="2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214.8</w:t>
            </w: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94.1</w:t>
            </w:r>
          </w:p>
        </w:tc>
      </w:tr>
      <w:tr>
        <w:trPr>
          <w:trHeight w:val="210"/>
        </w:trPr>
        <w:tc>
          <w:tcPr>
            <w:tcW w:w="6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Purchased</w:t>
            </w:r>
          </w:p>
        </w:tc>
        <w:tc>
          <w:tcPr>
            <w:tcW w:w="262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color w:val="auto"/>
              </w:rPr>
              <w:t>503.7</w:t>
            </w:r>
          </w:p>
        </w:tc>
        <w:tc>
          <w:tcPr>
            <w:tcW w:w="1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583.9</w:t>
            </w:r>
          </w:p>
        </w:tc>
      </w:tr>
      <w:tr>
        <w:trPr>
          <w:trHeight w:val="209"/>
        </w:trPr>
        <w:tc>
          <w:tcPr>
            <w:tcW w:w="67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56"/>
        </w:trPr>
        <w:tc>
          <w:tcPr>
            <w:tcW w:w="6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Generated and Purchased</w:t>
            </w:r>
          </w:p>
        </w:tc>
        <w:tc>
          <w:tcPr>
            <w:tcW w:w="262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color w:val="auto"/>
              </w:rPr>
              <w:t>1,881.8</w:t>
            </w:r>
          </w:p>
        </w:tc>
        <w:tc>
          <w:tcPr>
            <w:tcW w:w="1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0" w:lineRule="exact"/>
        <w:rPr>
          <w:sz w:val="20"/>
          <w:szCs w:val="20"/>
          <w:color w:val="auto"/>
        </w:rPr>
      </w:pPr>
    </w:p>
    <w:p>
      <w:pPr>
        <w:ind w:left="520" w:right="540" w:hanging="512"/>
        <w:spacing w:after="0" w:line="249"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Wind generation decreased for the three months ended March 31, 2024 compared to the same period in the prior year primarily due to the sale of Northern Iowa Windpower assets in March 2023.</w:t>
      </w:r>
    </w:p>
    <w:p>
      <w:pPr>
        <w:sectPr>
          <w:pgSz w:w="11900" w:h="16838" w:orient="portrait"/>
          <w:cols w:equalWidth="0" w:num="1">
            <w:col w:w="11240"/>
          </w:cols>
          <w:pgMar w:left="320" w:top="773" w:right="33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20" w:right="100" w:hanging="512"/>
        <w:spacing w:after="0" w:line="250"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Renewable energy purchases increased for the three months ended March 31, 2024, compared to the same period in the prior year primarily due to a new wind energy PPA. In 2022, Wyoming Electric entered into a new PPA with a third party to purchase up to 106 MW of wind energy upon construction of a new renewable generation facility (owned by third party). The new wind generation facility was placed in service in December 2023. The renewable energy from this PPA is used to serve our expanding partnerships with data centers.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gridSpan w:val="4"/>
          </w:tcPr>
          <w:p>
            <w:pPr>
              <w:jc w:val="right"/>
              <w:ind w:right="11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Quantities Generated and Purchased (GWh)</w:t>
            </w:r>
          </w:p>
        </w:tc>
        <w:tc>
          <w:tcPr>
            <w:tcW w:w="13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1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9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161.6</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217"/>
        </w:trPr>
        <w:tc>
          <w:tcPr>
            <w:tcW w:w="4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534.6</w:t>
            </w:r>
          </w:p>
        </w:tc>
        <w:tc>
          <w:tcPr>
            <w:tcW w:w="20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564.0</w:t>
            </w: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215.2</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color w:val="auto"/>
              </w:rPr>
              <w:t>230.6</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1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466.7</w:t>
            </w:r>
          </w:p>
        </w:tc>
        <w:tc>
          <w:tcPr>
            <w:tcW w:w="206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452.0</w:t>
            </w:r>
          </w:p>
        </w:tc>
        <w:tc>
          <w:tcPr>
            <w:tcW w:w="0" w:type="dxa"/>
            <w:vAlign w:val="bottom"/>
          </w:tcPr>
          <w:p>
            <w:pPr>
              <w:spacing w:after="0"/>
              <w:rPr>
                <w:sz w:val="1"/>
                <w:szCs w:val="1"/>
                <w:color w:val="auto"/>
              </w:rPr>
            </w:pPr>
          </w:p>
        </w:tc>
      </w:tr>
      <w:tr>
        <w:trPr>
          <w:trHeight w:val="210"/>
        </w:trPr>
        <w:tc>
          <w:tcPr>
            <w:tcW w:w="4400" w:type="dxa"/>
            <w:vAlign w:val="bottom"/>
          </w:tcPr>
          <w:p>
            <w:pPr>
              <w:ind w:left="200"/>
              <w:spacing w:after="0"/>
              <w:rPr>
                <w:sz w:val="20"/>
                <w:szCs w:val="20"/>
                <w:color w:val="auto"/>
              </w:rPr>
            </w:pPr>
            <w:r>
              <w:rPr>
                <w:rFonts w:ascii="Arial" w:cs="Arial" w:eastAsia="Arial" w:hAnsi="Arial"/>
                <w:sz w:val="16"/>
                <w:szCs w:val="16"/>
                <w:color w:val="auto"/>
              </w:rPr>
              <w:t>Total Generated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1,378.1</w:t>
            </w:r>
          </w:p>
        </w:tc>
        <w:tc>
          <w:tcPr>
            <w:tcW w:w="20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1,406.8</w:t>
            </w: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Purchased:</w:t>
            </w: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90.2</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7"/>
        </w:trPr>
        <w:tc>
          <w:tcPr>
            <w:tcW w:w="4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100.6</w:t>
            </w:r>
          </w:p>
        </w:tc>
        <w:tc>
          <w:tcPr>
            <w:tcW w:w="20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295.7</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color w:val="auto"/>
              </w:rPr>
              <w:t>209.8</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1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17.2</w:t>
            </w:r>
          </w:p>
        </w:tc>
        <w:tc>
          <w:tcPr>
            <w:tcW w:w="206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9"/>
        </w:trPr>
        <w:tc>
          <w:tcPr>
            <w:tcW w:w="4400" w:type="dxa"/>
            <w:vAlign w:val="bottom"/>
          </w:tcPr>
          <w:p>
            <w:pPr>
              <w:ind w:left="200"/>
              <w:spacing w:after="0"/>
              <w:rPr>
                <w:sz w:val="20"/>
                <w:szCs w:val="20"/>
                <w:color w:val="auto"/>
              </w:rPr>
            </w:pPr>
            <w:r>
              <w:rPr>
                <w:rFonts w:ascii="Arial" w:cs="Arial" w:eastAsia="Arial" w:hAnsi="Arial"/>
                <w:sz w:val="16"/>
                <w:szCs w:val="16"/>
                <w:color w:val="auto"/>
              </w:rPr>
              <w:t>Total Purchased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503.7</w:t>
            </w:r>
          </w:p>
        </w:tc>
        <w:tc>
          <w:tcPr>
            <w:tcW w:w="20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583.9</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6"/>
                <w:szCs w:val="16"/>
                <w:color w:val="auto"/>
              </w:rPr>
              <w:t>Total Generated and Purchased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1,881.8</w:t>
            </w:r>
          </w:p>
        </w:tc>
        <w:tc>
          <w:tcPr>
            <w:tcW w:w="20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1,990.7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gridSpan w:val="2"/>
            <w:vMerge w:val="restart"/>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26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Three Months Ended March 31,</w:t>
            </w:r>
          </w:p>
        </w:tc>
        <w:tc>
          <w:tcPr>
            <w:tcW w:w="2060" w:type="dxa"/>
            <w:vAlign w:val="bottom"/>
            <w:gridSpan w:val="2"/>
            <w:vMerge w:val="restart"/>
          </w:tcPr>
          <w:p>
            <w:pPr>
              <w:jc w:val="right"/>
              <w:ind w:right="1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right"/>
              <w:ind w:right="259"/>
              <w:spacing w:after="0" w:line="182" w:lineRule="exact"/>
              <w:rPr>
                <w:sz w:val="20"/>
                <w:szCs w:val="20"/>
                <w:color w:val="auto"/>
              </w:rPr>
            </w:pPr>
            <w:r>
              <w:rPr>
                <w:rFonts w:ascii="Arial" w:cs="Arial" w:eastAsia="Arial" w:hAnsi="Arial"/>
                <w:sz w:val="16"/>
                <w:szCs w:val="16"/>
                <w:b w:val="1"/>
                <w:bCs w:val="1"/>
                <w:color w:val="auto"/>
              </w:rPr>
              <w:t>Variance from</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auto"/>
            </w:tcBorders>
          </w:tcPr>
          <w:p>
            <w:pPr>
              <w:ind w:left="1720"/>
              <w:spacing w:after="0"/>
              <w:rPr>
                <w:sz w:val="20"/>
                <w:szCs w:val="20"/>
                <w:color w:val="auto"/>
              </w:rPr>
            </w:pPr>
            <w:r>
              <w:rPr>
                <w:rFonts w:ascii="Arial" w:cs="Arial" w:eastAsia="Arial" w:hAnsi="Arial"/>
                <w:sz w:val="16"/>
                <w:szCs w:val="16"/>
                <w:b w:val="1"/>
                <w:bCs w:val="1"/>
                <w:color w:val="auto"/>
              </w:rPr>
              <w:t>Degree Days</w:t>
            </w:r>
          </w:p>
        </w:tc>
        <w:tc>
          <w:tcPr>
            <w:tcW w:w="13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Actual</w:t>
            </w: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Variance from Normal</w:t>
            </w: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Actual</w:t>
            </w: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Normal</w:t>
            </w: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Heating Degree Days:</w:t>
            </w: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1320" w:type="dxa"/>
            <w:vAlign w:val="bottom"/>
          </w:tcPr>
          <w:p>
            <w:pPr>
              <w:jc w:val="center"/>
              <w:ind w:left="319"/>
              <w:spacing w:after="0"/>
              <w:rPr>
                <w:sz w:val="20"/>
                <w:szCs w:val="20"/>
                <w:color w:val="auto"/>
              </w:rPr>
            </w:pPr>
            <w:r>
              <w:rPr>
                <w:rFonts w:ascii="Arial" w:cs="Arial" w:eastAsia="Arial" w:hAnsi="Arial"/>
                <w:sz w:val="16"/>
                <w:szCs w:val="16"/>
                <w:color w:val="auto"/>
                <w:w w:val="99"/>
              </w:rPr>
              <w:t>2,507</w:t>
            </w:r>
          </w:p>
        </w:tc>
        <w:tc>
          <w:tcPr>
            <w:tcW w:w="2100" w:type="dxa"/>
            <w:vAlign w:val="bottom"/>
            <w:gridSpan w:val="3"/>
          </w:tcPr>
          <w:p>
            <w:pPr>
              <w:jc w:val="center"/>
              <w:ind w:left="319"/>
              <w:spacing w:after="0"/>
              <w:rPr>
                <w:sz w:val="20"/>
                <w:szCs w:val="20"/>
                <w:color w:val="auto"/>
              </w:rPr>
            </w:pPr>
            <w:r>
              <w:rPr>
                <w:rFonts w:ascii="Arial" w:cs="Arial" w:eastAsia="Arial" w:hAnsi="Arial"/>
                <w:sz w:val="16"/>
                <w:szCs w:val="16"/>
                <w:color w:val="auto"/>
              </w:rPr>
              <w:t>(6)%</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2,751</w:t>
            </w:r>
          </w:p>
        </w:tc>
        <w:tc>
          <w:tcPr>
            <w:tcW w:w="2060" w:type="dxa"/>
            <w:vAlign w:val="bottom"/>
            <w:gridSpan w:val="2"/>
          </w:tcPr>
          <w:p>
            <w:pPr>
              <w:jc w:val="center"/>
              <w:ind w:left="279"/>
              <w:spacing w:after="0"/>
              <w:rPr>
                <w:sz w:val="20"/>
                <w:szCs w:val="20"/>
                <w:color w:val="auto"/>
              </w:rPr>
            </w:pPr>
            <w:r>
              <w:rPr>
                <w:rFonts w:ascii="Arial" w:cs="Arial" w:eastAsia="Arial" w:hAnsi="Arial"/>
                <w:sz w:val="16"/>
                <w:szCs w:val="16"/>
                <w:color w:val="auto"/>
                <w:w w:val="94"/>
              </w:rPr>
              <w:t>8%</w:t>
            </w:r>
          </w:p>
        </w:tc>
        <w:tc>
          <w:tcPr>
            <w:tcW w:w="0" w:type="dxa"/>
            <w:vAlign w:val="bottom"/>
          </w:tcPr>
          <w:p>
            <w:pPr>
              <w:spacing w:after="0"/>
              <w:rPr>
                <w:sz w:val="1"/>
                <w:szCs w:val="1"/>
                <w:color w:val="auto"/>
              </w:rPr>
            </w:pPr>
          </w:p>
        </w:tc>
      </w:tr>
      <w:tr>
        <w:trPr>
          <w:trHeight w:val="217"/>
        </w:trPr>
        <w:tc>
          <w:tcPr>
            <w:tcW w:w="4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1320" w:type="dxa"/>
            <w:vAlign w:val="bottom"/>
            <w:shd w:val="clear" w:color="auto" w:fill="CCF0FC"/>
          </w:tcPr>
          <w:p>
            <w:pPr>
              <w:jc w:val="center"/>
              <w:ind w:left="319"/>
              <w:spacing w:after="0"/>
              <w:rPr>
                <w:sz w:val="20"/>
                <w:szCs w:val="20"/>
                <w:color w:val="auto"/>
              </w:rPr>
            </w:pPr>
            <w:r>
              <w:rPr>
                <w:rFonts w:ascii="Arial" w:cs="Arial" w:eastAsia="Arial" w:hAnsi="Arial"/>
                <w:sz w:val="16"/>
                <w:szCs w:val="16"/>
                <w:color w:val="auto"/>
                <w:w w:val="99"/>
              </w:rPr>
              <w:t>3,134</w:t>
            </w:r>
          </w:p>
        </w:tc>
        <w:tc>
          <w:tcPr>
            <w:tcW w:w="380" w:type="dxa"/>
            <w:vAlign w:val="bottom"/>
            <w:shd w:val="clear" w:color="auto" w:fill="CCF0FC"/>
          </w:tcPr>
          <w:p>
            <w:pPr>
              <w:spacing w:after="0"/>
              <w:rPr>
                <w:sz w:val="18"/>
                <w:szCs w:val="18"/>
                <w:color w:val="auto"/>
              </w:rPr>
            </w:pPr>
          </w:p>
        </w:tc>
        <w:tc>
          <w:tcPr>
            <w:tcW w:w="17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360" w:type="dxa"/>
            <w:vAlign w:val="bottom"/>
            <w:shd w:val="clear" w:color="auto" w:fill="CCF0FC"/>
          </w:tcPr>
          <w:p>
            <w:pPr>
              <w:jc w:val="right"/>
              <w:ind w:right="219"/>
              <w:spacing w:after="0"/>
              <w:rPr>
                <w:sz w:val="20"/>
                <w:szCs w:val="20"/>
                <w:color w:val="auto"/>
              </w:rPr>
            </w:pPr>
            <w:r>
              <w:rPr>
                <w:rFonts w:ascii="Arial" w:cs="Arial" w:eastAsia="Arial" w:hAnsi="Arial"/>
                <w:sz w:val="16"/>
                <w:szCs w:val="16"/>
                <w:color w:val="auto"/>
              </w:rPr>
              <w:t>3,446</w:t>
            </w:r>
          </w:p>
        </w:tc>
        <w:tc>
          <w:tcPr>
            <w:tcW w:w="360" w:type="dxa"/>
            <w:vAlign w:val="bottom"/>
            <w:shd w:val="clear" w:color="auto" w:fill="CC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15"/>
        </w:trPr>
        <w:tc>
          <w:tcPr>
            <w:tcW w:w="440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1320" w:type="dxa"/>
            <w:vAlign w:val="bottom"/>
          </w:tcPr>
          <w:p>
            <w:pPr>
              <w:jc w:val="center"/>
              <w:ind w:left="319"/>
              <w:spacing w:after="0"/>
              <w:rPr>
                <w:sz w:val="20"/>
                <w:szCs w:val="20"/>
                <w:color w:val="auto"/>
              </w:rPr>
            </w:pPr>
            <w:r>
              <w:rPr>
                <w:rFonts w:ascii="Arial" w:cs="Arial" w:eastAsia="Arial" w:hAnsi="Arial"/>
                <w:sz w:val="16"/>
                <w:szCs w:val="16"/>
                <w:color w:val="auto"/>
                <w:w w:val="99"/>
              </w:rPr>
              <w:t>2,986</w:t>
            </w:r>
          </w:p>
        </w:tc>
        <w:tc>
          <w:tcPr>
            <w:tcW w:w="38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color w:val="auto"/>
              </w:rPr>
              <w:t>(5)%</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3,301</w:t>
            </w:r>
          </w:p>
        </w:tc>
        <w:tc>
          <w:tcPr>
            <w:tcW w:w="3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400" w:type="dxa"/>
            <w:vAlign w:val="bottom"/>
            <w:shd w:val="clear" w:color="auto" w:fill="CFF0FC"/>
          </w:tcPr>
          <w:p>
            <w:pPr>
              <w:ind w:left="20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320" w:type="dxa"/>
            <w:vAlign w:val="bottom"/>
            <w:shd w:val="clear" w:color="auto" w:fill="CCF0FC"/>
          </w:tcPr>
          <w:p>
            <w:pPr>
              <w:jc w:val="center"/>
              <w:ind w:left="319"/>
              <w:spacing w:after="0"/>
              <w:rPr>
                <w:sz w:val="20"/>
                <w:szCs w:val="20"/>
                <w:color w:val="auto"/>
              </w:rPr>
            </w:pPr>
            <w:r>
              <w:rPr>
                <w:rFonts w:ascii="Arial" w:cs="Arial" w:eastAsia="Arial" w:hAnsi="Arial"/>
                <w:sz w:val="16"/>
                <w:szCs w:val="16"/>
                <w:color w:val="auto"/>
                <w:w w:val="99"/>
              </w:rPr>
              <w:t>2,820</w:t>
            </w:r>
          </w:p>
        </w:tc>
        <w:tc>
          <w:tcPr>
            <w:tcW w:w="380" w:type="dxa"/>
            <w:vAlign w:val="bottom"/>
            <w:shd w:val="clear" w:color="auto" w:fill="CCF0FC"/>
          </w:tcPr>
          <w:p>
            <w:pPr>
              <w:spacing w:after="0"/>
              <w:rPr>
                <w:sz w:val="18"/>
                <w:szCs w:val="18"/>
                <w:color w:val="auto"/>
              </w:rPr>
            </w:pPr>
          </w:p>
        </w:tc>
        <w:tc>
          <w:tcPr>
            <w:tcW w:w="17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(7)%</w:t>
            </w:r>
          </w:p>
        </w:tc>
        <w:tc>
          <w:tcPr>
            <w:tcW w:w="1360" w:type="dxa"/>
            <w:vAlign w:val="bottom"/>
            <w:shd w:val="clear" w:color="auto" w:fill="CCF0FC"/>
          </w:tcPr>
          <w:p>
            <w:pPr>
              <w:jc w:val="right"/>
              <w:ind w:right="219"/>
              <w:spacing w:after="0"/>
              <w:rPr>
                <w:sz w:val="20"/>
                <w:szCs w:val="20"/>
                <w:color w:val="auto"/>
              </w:rPr>
            </w:pPr>
            <w:r>
              <w:rPr>
                <w:rFonts w:ascii="Arial" w:cs="Arial" w:eastAsia="Arial" w:hAnsi="Arial"/>
                <w:sz w:val="16"/>
                <w:szCs w:val="16"/>
                <w:color w:val="auto"/>
              </w:rPr>
              <w:t>3,099</w:t>
            </w:r>
          </w:p>
        </w:tc>
        <w:tc>
          <w:tcPr>
            <w:tcW w:w="360" w:type="dxa"/>
            <w:vAlign w:val="bottom"/>
            <w:shd w:val="clear" w:color="auto" w:fill="CC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Contracted generating facilities Availability</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by fuel type</w:t>
            </w:r>
          </w:p>
        </w:tc>
        <w:tc>
          <w:tcPr>
            <w:tcW w:w="4800" w:type="dxa"/>
            <w:vAlign w:val="bottom"/>
            <w:gridSpan w:val="2"/>
          </w:tcPr>
          <w:p>
            <w:pPr>
              <w:ind w:left="200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7"/>
        </w:trPr>
        <w:tc>
          <w:tcPr>
            <w:tcW w:w="6440" w:type="dxa"/>
            <w:vAlign w:val="bottom"/>
            <w:tcBorders>
              <w:bottom w:val="single" w:sz="8" w:color="auto"/>
            </w:tcBorders>
            <w:vMerge w:val="continue"/>
          </w:tcPr>
          <w:p>
            <w:pPr>
              <w:spacing w:after="0"/>
              <w:rPr>
                <w:sz w:val="18"/>
                <w:szCs w:val="18"/>
                <w:color w:val="auto"/>
              </w:rPr>
            </w:pPr>
          </w:p>
        </w:tc>
        <w:tc>
          <w:tcPr>
            <w:tcW w:w="3200" w:type="dxa"/>
            <w:vAlign w:val="bottom"/>
            <w:tcBorders>
              <w:bottom w:val="single" w:sz="8" w:color="auto"/>
            </w:tcBorders>
          </w:tcPr>
          <w:p>
            <w:pPr>
              <w:jc w:val="center"/>
              <w:ind w:left="1559"/>
              <w:spacing w:after="0"/>
              <w:rPr>
                <w:sz w:val="20"/>
                <w:szCs w:val="20"/>
                <w:color w:val="auto"/>
              </w:rPr>
            </w:pPr>
            <w:r>
              <w:rPr>
                <w:rFonts w:ascii="Arial" w:cs="Arial" w:eastAsia="Arial" w:hAnsi="Arial"/>
                <w:sz w:val="16"/>
                <w:szCs w:val="16"/>
                <w:b w:val="1"/>
                <w:bCs w:val="1"/>
                <w:color w:val="auto"/>
              </w:rPr>
              <w:t>2024</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Coal</w:t>
            </w:r>
          </w:p>
        </w:tc>
        <w:tc>
          <w:tcPr>
            <w:tcW w:w="3200" w:type="dxa"/>
            <w:vAlign w:val="bottom"/>
            <w:shd w:val="clear" w:color="auto" w:fill="CFF0FC"/>
          </w:tcPr>
          <w:p>
            <w:pPr>
              <w:jc w:val="center"/>
              <w:ind w:left="1539"/>
              <w:spacing w:after="0"/>
              <w:rPr>
                <w:sz w:val="20"/>
                <w:szCs w:val="20"/>
                <w:color w:val="auto"/>
              </w:rPr>
            </w:pPr>
            <w:r>
              <w:rPr>
                <w:rFonts w:ascii="Arial" w:cs="Arial" w:eastAsia="Arial" w:hAnsi="Arial"/>
                <w:sz w:val="16"/>
                <w:szCs w:val="16"/>
                <w:color w:val="auto"/>
              </w:rPr>
              <w:t>95.6%</w:t>
            </w:r>
          </w:p>
        </w:tc>
        <w:tc>
          <w:tcPr>
            <w:tcW w:w="16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Natural gas and diesel oil</w:t>
            </w:r>
          </w:p>
        </w:tc>
        <w:tc>
          <w:tcPr>
            <w:tcW w:w="3200" w:type="dxa"/>
            <w:vAlign w:val="bottom"/>
          </w:tcPr>
          <w:p>
            <w:pPr>
              <w:jc w:val="center"/>
              <w:ind w:left="1539"/>
              <w:spacing w:after="0"/>
              <w:rPr>
                <w:sz w:val="20"/>
                <w:szCs w:val="20"/>
                <w:color w:val="auto"/>
              </w:rPr>
            </w:pPr>
            <w:r>
              <w:rPr>
                <w:rFonts w:ascii="Arial" w:cs="Arial" w:eastAsia="Arial" w:hAnsi="Arial"/>
                <w:sz w:val="16"/>
                <w:szCs w:val="16"/>
                <w:color w:val="auto"/>
              </w:rPr>
              <w:t>96.7%</w:t>
            </w:r>
          </w:p>
        </w:tc>
        <w:tc>
          <w:tcPr>
            <w:tcW w:w="1600" w:type="dxa"/>
            <w:vAlign w:val="bottom"/>
          </w:tcPr>
          <w:p>
            <w:pPr>
              <w:jc w:val="center"/>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17"/>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Wind</w:t>
            </w:r>
          </w:p>
        </w:tc>
        <w:tc>
          <w:tcPr>
            <w:tcW w:w="3200" w:type="dxa"/>
            <w:vAlign w:val="bottom"/>
            <w:shd w:val="clear" w:color="auto" w:fill="CFF0FC"/>
          </w:tcPr>
          <w:p>
            <w:pPr>
              <w:jc w:val="center"/>
              <w:ind w:left="1539"/>
              <w:spacing w:after="0"/>
              <w:rPr>
                <w:sz w:val="20"/>
                <w:szCs w:val="20"/>
                <w:color w:val="auto"/>
              </w:rPr>
            </w:pPr>
            <w:r>
              <w:rPr>
                <w:rFonts w:ascii="Arial" w:cs="Arial" w:eastAsia="Arial" w:hAnsi="Arial"/>
                <w:sz w:val="16"/>
                <w:szCs w:val="16"/>
                <w:color w:val="auto"/>
              </w:rPr>
              <w:t>90.3%</w:t>
            </w:r>
          </w:p>
        </w:tc>
        <w:tc>
          <w:tcPr>
            <w:tcW w:w="16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3200" w:type="dxa"/>
            <w:vAlign w:val="bottom"/>
          </w:tcPr>
          <w:p>
            <w:pPr>
              <w:jc w:val="center"/>
              <w:ind w:left="1539"/>
              <w:spacing w:after="0"/>
              <w:rPr>
                <w:sz w:val="20"/>
                <w:szCs w:val="20"/>
                <w:color w:val="auto"/>
              </w:rPr>
            </w:pPr>
            <w:r>
              <w:rPr>
                <w:rFonts w:ascii="Arial" w:cs="Arial" w:eastAsia="Arial" w:hAnsi="Arial"/>
                <w:sz w:val="16"/>
                <w:szCs w:val="16"/>
                <w:color w:val="auto"/>
              </w:rPr>
              <w:t>95.5%</w:t>
            </w:r>
          </w:p>
        </w:tc>
        <w:tc>
          <w:tcPr>
            <w:tcW w:w="1600" w:type="dxa"/>
            <w:vAlign w:val="bottom"/>
          </w:tcPr>
          <w:p>
            <w:pPr>
              <w:jc w:val="center"/>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17"/>
        </w:trPr>
        <w:tc>
          <w:tcPr>
            <w:tcW w:w="644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440" w:type="dxa"/>
            <w:vAlign w:val="bottom"/>
          </w:tcPr>
          <w:p>
            <w:pPr>
              <w:ind w:left="20"/>
              <w:spacing w:after="0"/>
              <w:rPr>
                <w:sz w:val="20"/>
                <w:szCs w:val="20"/>
                <w:color w:val="auto"/>
              </w:rPr>
            </w:pPr>
            <w:r>
              <w:rPr>
                <w:rFonts w:ascii="Arial" w:cs="Arial" w:eastAsia="Arial" w:hAnsi="Arial"/>
                <w:sz w:val="16"/>
                <w:szCs w:val="16"/>
                <w:color w:val="auto"/>
              </w:rPr>
              <w:t xml:space="preserve">Wind Capacity Factor </w:t>
            </w:r>
            <w:r>
              <w:rPr>
                <w:rFonts w:ascii="Arial" w:cs="Arial" w:eastAsia="Arial" w:hAnsi="Arial"/>
                <w:sz w:val="21"/>
                <w:szCs w:val="21"/>
                <w:color w:val="auto"/>
                <w:vertAlign w:val="superscript"/>
              </w:rPr>
              <w:t>(a)</w:t>
            </w:r>
          </w:p>
        </w:tc>
        <w:tc>
          <w:tcPr>
            <w:tcW w:w="3200" w:type="dxa"/>
            <w:vAlign w:val="bottom"/>
          </w:tcPr>
          <w:p>
            <w:pPr>
              <w:jc w:val="center"/>
              <w:ind w:left="1539"/>
              <w:spacing w:after="0"/>
              <w:rPr>
                <w:sz w:val="20"/>
                <w:szCs w:val="20"/>
                <w:color w:val="auto"/>
              </w:rPr>
            </w:pPr>
            <w:r>
              <w:rPr>
                <w:rFonts w:ascii="Arial" w:cs="Arial" w:eastAsia="Arial" w:hAnsi="Arial"/>
                <w:sz w:val="16"/>
                <w:szCs w:val="16"/>
                <w:color w:val="auto"/>
              </w:rPr>
              <w:t>39.8%</w:t>
            </w:r>
          </w:p>
        </w:tc>
        <w:tc>
          <w:tcPr>
            <w:tcW w:w="1600" w:type="dxa"/>
            <w:vAlign w:val="bottom"/>
          </w:tcPr>
          <w:p>
            <w:pPr>
              <w:jc w:val="center"/>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0458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86"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200" w:lineRule="exact"/>
        <w:rPr>
          <w:rFonts w:ascii="Arial" w:cs="Arial" w:eastAsia="Arial" w:hAnsi="Arial"/>
          <w:sz w:val="14"/>
          <w:szCs w:val="14"/>
          <w:color w:val="auto"/>
        </w:rPr>
      </w:pPr>
    </w:p>
    <w:p>
      <w:pPr>
        <w:spacing w:after="0" w:line="390"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544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593"/>
        </w:trPr>
        <w:tc>
          <w:tcPr>
            <w:tcW w:w="136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color w:val="auto"/>
              </w:rPr>
              <w:t>Gas Utilities</w:t>
            </w: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0"/>
        </w:trPr>
        <w:tc>
          <w:tcPr>
            <w:tcW w:w="5440" w:type="dxa"/>
            <w:vAlign w:val="bottom"/>
            <w:gridSpan w:val="3"/>
          </w:tcPr>
          <w:p>
            <w:pPr>
              <w:spacing w:after="0"/>
              <w:rPr>
                <w:sz w:val="20"/>
                <w:szCs w:val="20"/>
                <w:color w:val="auto"/>
              </w:rPr>
            </w:pPr>
            <w:r>
              <w:rPr>
                <w:rFonts w:ascii="Arial" w:cs="Arial" w:eastAsia="Arial" w:hAnsi="Arial"/>
                <w:sz w:val="16"/>
                <w:szCs w:val="16"/>
                <w:color w:val="auto"/>
              </w:rPr>
              <w:t>Operating results for the Gas Utilities were as follows: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93"/>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Borders>
              <w:bottom w:val="single" w:sz="8" w:color="auto"/>
            </w:tcBorders>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22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2024 vs 2023 Variance</w:t>
            </w:r>
          </w:p>
        </w:tc>
      </w:tr>
      <w:tr>
        <w:trPr>
          <w:trHeight w:val="209"/>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10"/>
        </w:trPr>
        <w:tc>
          <w:tcPr>
            <w:tcW w:w="54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5"/>
        </w:trPr>
        <w:tc>
          <w:tcPr>
            <w:tcW w:w="5440" w:type="dxa"/>
            <w:vAlign w:val="bottom"/>
            <w:gridSpan w:val="3"/>
          </w:tcPr>
          <w:p>
            <w:pPr>
              <w:ind w:left="120"/>
              <w:spacing w:after="0"/>
              <w:rPr>
                <w:sz w:val="20"/>
                <w:szCs w:val="20"/>
                <w:color w:val="auto"/>
              </w:rPr>
            </w:pPr>
            <w:r>
              <w:rPr>
                <w:rFonts w:ascii="Arial" w:cs="Arial" w:eastAsia="Arial" w:hAnsi="Arial"/>
                <w:sz w:val="16"/>
                <w:szCs w:val="16"/>
                <w:color w:val="auto"/>
              </w:rPr>
              <w:t>Natural gas - regulated</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481.7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674.8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(193.1 )</w:t>
            </w:r>
          </w:p>
        </w:tc>
      </w:tr>
      <w:tr>
        <w:trPr>
          <w:trHeight w:val="217"/>
        </w:trPr>
        <w:tc>
          <w:tcPr>
            <w:tcW w:w="544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Other - non-regulated</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w:t>
            </w:r>
          </w:p>
        </w:tc>
        <w:tc>
          <w:tcPr>
            <w:tcW w:w="4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(5.1 )</w:t>
            </w:r>
          </w:p>
        </w:tc>
      </w:tr>
      <w:tr>
        <w:trPr>
          <w:trHeight w:val="209"/>
        </w:trPr>
        <w:tc>
          <w:tcPr>
            <w:tcW w:w="5440" w:type="dxa"/>
            <w:vAlign w:val="bottom"/>
            <w:gridSpan w:val="3"/>
          </w:tcPr>
          <w:p>
            <w:pPr>
              <w:ind w:left="20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508.7</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706.9</w:t>
            </w: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(198.2 )</w:t>
            </w:r>
          </w:p>
        </w:tc>
      </w:tr>
      <w:tr>
        <w:trPr>
          <w:trHeight w:val="209"/>
        </w:trPr>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5"/>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Cost of natural gas sold:</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7"/>
        </w:trPr>
        <w:tc>
          <w:tcPr>
            <w:tcW w:w="544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Natural gas - regulated</w:t>
            </w: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259.9</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454.1</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(194.2 )</w:t>
            </w:r>
          </w:p>
        </w:tc>
      </w:tr>
      <w:tr>
        <w:trPr>
          <w:trHeight w:val="216"/>
        </w:trPr>
        <w:tc>
          <w:tcPr>
            <w:tcW w:w="5440" w:type="dxa"/>
            <w:vAlign w:val="bottom"/>
            <w:gridSpan w:val="3"/>
          </w:tcPr>
          <w:p>
            <w:pPr>
              <w:ind w:left="120"/>
              <w:spacing w:after="0"/>
              <w:rPr>
                <w:sz w:val="20"/>
                <w:szCs w:val="20"/>
                <w:color w:val="auto"/>
              </w:rPr>
            </w:pPr>
            <w:r>
              <w:rPr>
                <w:rFonts w:ascii="Arial" w:cs="Arial" w:eastAsia="Arial" w:hAnsi="Arial"/>
                <w:sz w:val="16"/>
                <w:szCs w:val="16"/>
                <w:color w:val="auto"/>
              </w:rPr>
              <w:t>Other - non-regulated</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(14.9 )</w:t>
            </w:r>
          </w:p>
        </w:tc>
      </w:tr>
      <w:tr>
        <w:trPr>
          <w:trHeight w:val="209"/>
        </w:trPr>
        <w:tc>
          <w:tcPr>
            <w:tcW w:w="544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color w:val="auto"/>
              </w:rPr>
              <w:t>Total cost of natural gas sold</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261.9</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471.0</w:t>
            </w:r>
          </w:p>
        </w:tc>
        <w:tc>
          <w:tcPr>
            <w:tcW w:w="4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(209.1 )</w:t>
            </w:r>
          </w:p>
        </w:tc>
      </w:tr>
      <w:tr>
        <w:trPr>
          <w:trHeight w:val="210"/>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209"/>
        </w:trPr>
        <w:tc>
          <w:tcPr>
            <w:tcW w:w="54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Gas Utility margin (non-GAAP)</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246.8</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235.9</w:t>
            </w:r>
          </w:p>
        </w:tc>
        <w:tc>
          <w:tcPr>
            <w:tcW w:w="4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w:t>
            </w:r>
          </w:p>
        </w:tc>
      </w:tr>
      <w:tr>
        <w:trPr>
          <w:trHeight w:val="210"/>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54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78.6</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(8.5 )</w:t>
            </w:r>
          </w:p>
        </w:tc>
      </w:tr>
      <w:tr>
        <w:trPr>
          <w:trHeight w:val="215"/>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30.4</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3.9</w:t>
            </w:r>
          </w:p>
        </w:tc>
      </w:tr>
      <w:tr>
        <w:trPr>
          <w:trHeight w:val="217"/>
        </w:trPr>
        <w:tc>
          <w:tcPr>
            <w:tcW w:w="54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4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(0.7 )</w:t>
            </w:r>
          </w:p>
        </w:tc>
      </w:tr>
      <w:tr>
        <w:trPr>
          <w:trHeight w:val="209"/>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116.0</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(5.3 )</w:t>
            </w:r>
          </w:p>
        </w:tc>
      </w:tr>
      <w:tr>
        <w:trPr>
          <w:trHeight w:val="210"/>
        </w:trPr>
        <w:tc>
          <w:tcPr>
            <w:tcW w:w="1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r>
      <w:tr>
        <w:trPr>
          <w:trHeight w:val="209"/>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130.8</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w:t>
            </w: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32"/>
        </w:trPr>
        <w:tc>
          <w:tcPr>
            <w:tcW w:w="7220" w:type="dxa"/>
            <w:vAlign w:val="bottom"/>
            <w:gridSpan w:val="6"/>
          </w:tcPr>
          <w:p>
            <w:pPr>
              <w:spacing w:after="0"/>
              <w:rPr>
                <w:sz w:val="20"/>
                <w:szCs w:val="20"/>
                <w:color w:val="auto"/>
              </w:rPr>
            </w:pPr>
            <w:r>
              <w:rPr>
                <w:rFonts w:ascii="Arial" w:cs="Arial" w:eastAsia="Arial" w:hAnsi="Arial"/>
                <w:sz w:val="16"/>
                <w:szCs w:val="16"/>
                <w:color w:val="auto"/>
              </w:rPr>
              <w:t>Three Months Ended March 31, 2024, Compared to the Three Months Ended March 31, 2023:</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544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Gas Utility margin increased as a result of the following:</w:t>
            </w: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1"/>
        </w:trPr>
        <w:tc>
          <w:tcPr>
            <w:tcW w:w="1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r>
      <w:tr>
        <w:trPr>
          <w:trHeight w:val="210"/>
        </w:trPr>
        <w:tc>
          <w:tcPr>
            <w:tcW w:w="54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w:t>
            </w:r>
          </w:p>
        </w:tc>
      </w:tr>
      <w:tr>
        <w:trPr>
          <w:trHeight w:val="215"/>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217"/>
        </w:trPr>
        <w:tc>
          <w:tcPr>
            <w:tcW w:w="54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Retail customer growth and usage</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215"/>
        </w:trPr>
        <w:tc>
          <w:tcPr>
            <w:tcW w:w="5440" w:type="dxa"/>
            <w:vAlign w:val="bottom"/>
            <w:gridSpan w:val="3"/>
          </w:tcPr>
          <w:p>
            <w:pPr>
              <w:ind w:left="20"/>
              <w:spacing w:after="0"/>
              <w:rPr>
                <w:sz w:val="20"/>
                <w:szCs w:val="20"/>
                <w:color w:val="auto"/>
              </w:rPr>
            </w:pPr>
            <w:r>
              <w:rPr>
                <w:rFonts w:ascii="Arial" w:cs="Arial" w:eastAsia="Arial" w:hAnsi="Arial"/>
                <w:sz w:val="16"/>
                <w:szCs w:val="16"/>
                <w:color w:val="auto"/>
              </w:rPr>
              <w:t>Weather</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217"/>
        </w:trPr>
        <w:tc>
          <w:tcPr>
            <w:tcW w:w="54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r>
      <w:tr>
        <w:trPr>
          <w:trHeight w:val="209"/>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10.9</w:t>
            </w: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$5.3 million of lower employee-related expenses, $1.6 million of lower bad debt expense attributable to lower customer billings and $1.2 million of lower travel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 property and production</w:t>
      </w:r>
      <w:r>
        <w:rPr>
          <w:rFonts w:ascii="Arial" w:cs="Arial" w:eastAsia="Arial" w:hAnsi="Arial"/>
          <w:sz w:val="16"/>
          <w:szCs w:val="16"/>
          <w:color w:val="auto"/>
        </w:rPr>
        <w:t xml:space="preserve"> was comparable to the same period in the prior year.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43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85"/>
        </w:trPr>
        <w:tc>
          <w:tcPr>
            <w:tcW w:w="4340" w:type="dxa"/>
            <w:vAlign w:val="bottom"/>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6"/>
        </w:trPr>
        <w:tc>
          <w:tcPr>
            <w:tcW w:w="1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Revenue</w:t>
            </w:r>
          </w:p>
        </w:tc>
        <w:tc>
          <w:tcPr>
            <w:tcW w:w="1300" w:type="dxa"/>
            <w:vAlign w:val="bottom"/>
          </w:tcPr>
          <w:p>
            <w:pPr>
              <w:spacing w:after="0"/>
              <w:rPr>
                <w:sz w:val="24"/>
                <w:szCs w:val="24"/>
                <w:color w:val="auto"/>
              </w:rPr>
            </w:pPr>
          </w:p>
        </w:tc>
        <w:tc>
          <w:tcPr>
            <w:tcW w:w="354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rPr>
              <w:t>Quantities Sold and Transported</w:t>
            </w:r>
          </w:p>
        </w:tc>
      </w:tr>
      <w:tr>
        <w:trPr>
          <w:trHeight w:val="217"/>
        </w:trPr>
        <w:tc>
          <w:tcPr>
            <w:tcW w:w="1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 millions)</w:t>
            </w:r>
          </w:p>
        </w:tc>
        <w:tc>
          <w:tcPr>
            <w:tcW w:w="13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b w:val="1"/>
                <w:bCs w:val="1"/>
                <w:color w:val="auto"/>
              </w:rPr>
              <w:t>(Dth in millions)</w:t>
            </w:r>
          </w:p>
        </w:tc>
        <w:tc>
          <w:tcPr>
            <w:tcW w:w="1300" w:type="dxa"/>
            <w:vAlign w:val="bottom"/>
            <w:tcBorders>
              <w:bottom w:val="single" w:sz="8" w:color="auto"/>
            </w:tcBorders>
          </w:tcPr>
          <w:p>
            <w:pPr>
              <w:spacing w:after="0"/>
              <w:rPr>
                <w:sz w:val="18"/>
                <w:szCs w:val="18"/>
                <w:color w:val="auto"/>
              </w:rPr>
            </w:pPr>
          </w:p>
        </w:tc>
      </w:tr>
      <w:tr>
        <w:trPr>
          <w:trHeight w:val="209"/>
        </w:trPr>
        <w:tc>
          <w:tcPr>
            <w:tcW w:w="1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36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Three Months Ended March 31,</w:t>
            </w:r>
          </w:p>
        </w:tc>
        <w:tc>
          <w:tcPr>
            <w:tcW w:w="354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13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c>
          <w:tcPr>
            <w:tcW w:w="224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2024</w:t>
            </w:r>
          </w:p>
        </w:tc>
        <w:tc>
          <w:tcPr>
            <w:tcW w:w="13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2023</w:t>
            </w:r>
          </w:p>
        </w:tc>
      </w:tr>
      <w:tr>
        <w:trPr>
          <w:trHeight w:val="209"/>
        </w:trPr>
        <w:tc>
          <w:tcPr>
            <w:tcW w:w="43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302.0</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428.6</w:t>
            </w:r>
          </w:p>
        </w:tc>
        <w:tc>
          <w:tcPr>
            <w:tcW w:w="224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rPr>
              <w:t>27.8</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29.9</w:t>
            </w:r>
          </w:p>
        </w:tc>
      </w:tr>
      <w:tr>
        <w:trPr>
          <w:trHeight w:val="215"/>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119.8</w:t>
            </w:r>
          </w:p>
        </w:tc>
        <w:tc>
          <w:tcPr>
            <w:tcW w:w="500" w:type="dxa"/>
            <w:vAlign w:val="bottom"/>
          </w:tcPr>
          <w:p>
            <w:pPr>
              <w:spacing w:after="0"/>
              <w:rPr>
                <w:sz w:val="18"/>
                <w:szCs w:val="18"/>
                <w:color w:val="auto"/>
              </w:rPr>
            </w:pP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182.5</w:t>
            </w:r>
          </w:p>
        </w:tc>
        <w:tc>
          <w:tcPr>
            <w:tcW w:w="2240" w:type="dxa"/>
            <w:vAlign w:val="bottom"/>
          </w:tcPr>
          <w:p>
            <w:pPr>
              <w:jc w:val="right"/>
              <w:ind w:right="799"/>
              <w:spacing w:after="0"/>
              <w:rPr>
                <w:sz w:val="20"/>
                <w:szCs w:val="20"/>
                <w:color w:val="auto"/>
              </w:rPr>
            </w:pPr>
            <w:r>
              <w:rPr>
                <w:rFonts w:ascii="Arial" w:cs="Arial" w:eastAsia="Arial" w:hAnsi="Arial"/>
                <w:sz w:val="16"/>
                <w:szCs w:val="16"/>
                <w:color w:val="auto"/>
              </w:rPr>
              <w:t>13.0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14.0</w:t>
            </w:r>
          </w:p>
        </w:tc>
      </w:tr>
      <w:tr>
        <w:trPr>
          <w:trHeight w:val="217"/>
        </w:trPr>
        <w:tc>
          <w:tcPr>
            <w:tcW w:w="43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9.2</w:t>
            </w:r>
          </w:p>
        </w:tc>
        <w:tc>
          <w:tcPr>
            <w:tcW w:w="224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rPr>
              <w:t>0.9</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216"/>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w:t>
            </w:r>
          </w:p>
        </w:tc>
        <w:tc>
          <w:tcPr>
            <w:tcW w:w="22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4340" w:type="dxa"/>
            <w:vAlign w:val="bottom"/>
            <w:gridSpan w:val="2"/>
            <w:shd w:val="clear" w:color="auto" w:fill="CFF0FC"/>
          </w:tcPr>
          <w:p>
            <w:pPr>
              <w:ind w:left="120"/>
              <w:spacing w:after="0" w:line="210" w:lineRule="exact"/>
              <w:rPr>
                <w:sz w:val="20"/>
                <w:szCs w:val="20"/>
                <w:color w:val="auto"/>
              </w:rPr>
            </w:pPr>
            <w:r>
              <w:rPr>
                <w:rFonts w:ascii="Arial" w:cs="Arial" w:eastAsia="Arial" w:hAnsi="Arial"/>
                <w:sz w:val="16"/>
                <w:szCs w:val="16"/>
                <w:color w:val="auto"/>
              </w:rPr>
              <w:t xml:space="preserve">Total Distribution </w:t>
            </w:r>
            <w:r>
              <w:rPr>
                <w:rFonts w:ascii="Arial" w:cs="Arial" w:eastAsia="Arial" w:hAnsi="Arial"/>
                <w:sz w:val="21"/>
                <w:szCs w:val="21"/>
                <w:color w:val="auto"/>
                <w:vertAlign w:val="superscript"/>
              </w:rPr>
              <w:t>(a)</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429.7</w:t>
            </w: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621.7</w:t>
            </w:r>
          </w:p>
        </w:tc>
        <w:tc>
          <w:tcPr>
            <w:tcW w:w="224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rPr>
              <w:t>41.7</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45.0</w:t>
            </w:r>
          </w:p>
        </w:tc>
      </w:tr>
      <w:tr>
        <w:trPr>
          <w:trHeight w:val="216"/>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Transportation and Transmission</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53.1</w:t>
            </w:r>
          </w:p>
        </w:tc>
        <w:tc>
          <w:tcPr>
            <w:tcW w:w="22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46.7</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47.2</w:t>
            </w:r>
          </w:p>
        </w:tc>
      </w:tr>
      <w:tr>
        <w:trPr>
          <w:trHeight w:val="209"/>
        </w:trPr>
        <w:tc>
          <w:tcPr>
            <w:tcW w:w="43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Total Regulated</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481.7</w:t>
            </w: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674.8</w:t>
            </w:r>
          </w:p>
        </w:tc>
        <w:tc>
          <w:tcPr>
            <w:tcW w:w="224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rPr>
              <w:t>88.4</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92.2</w:t>
            </w:r>
          </w:p>
        </w:tc>
      </w:tr>
      <w:tr>
        <w:trPr>
          <w:trHeight w:val="216"/>
        </w:trPr>
        <w:tc>
          <w:tcPr>
            <w:tcW w:w="43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Non-regulated Services </w:t>
            </w:r>
            <w:r>
              <w:rPr>
                <w:rFonts w:ascii="Arial" w:cs="Arial" w:eastAsia="Arial" w:hAnsi="Arial"/>
                <w:sz w:val="21"/>
                <w:szCs w:val="21"/>
                <w:color w:val="auto"/>
                <w:vertAlign w:val="superscript"/>
              </w:rPr>
              <w:t>(b)</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32.1</w:t>
            </w:r>
          </w:p>
        </w:tc>
        <w:tc>
          <w:tcPr>
            <w:tcW w:w="22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49"/>
        </w:trPr>
        <w:tc>
          <w:tcPr>
            <w:tcW w:w="43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Total Revenue and Quantities Sold</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508.7</w:t>
            </w:r>
          </w:p>
        </w:tc>
        <w:tc>
          <w:tcPr>
            <w:tcW w:w="50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706.9</w:t>
            </w:r>
          </w:p>
        </w:tc>
        <w:tc>
          <w:tcPr>
            <w:tcW w:w="224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6"/>
                <w:szCs w:val="16"/>
                <w:color w:val="auto"/>
              </w:rPr>
              <w:t>88.4</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0" w:lineRule="exact"/>
        <w:rPr>
          <w:sz w:val="20"/>
          <w:szCs w:val="20"/>
          <w:color w:val="auto"/>
        </w:rPr>
      </w:pPr>
    </w:p>
    <w:p>
      <w:pPr>
        <w:ind w:left="520" w:right="60" w:hanging="512"/>
        <w:spacing w:after="0" w:line="261"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Gas distribution revenues decreased for the three months ended March 31, 2024, compared to the same period in the prior year primarily due to lower commodity prices. Our Utilities have regulatory mechanisms that allow them to pass prudently incurred costs of energy through to the customer. Customer billing rates are adjusted periodically to reflect changes in our cost of energy.</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Black Hills Energy Services and non-regulated services under the Service Guard Comfort Plan, Tech Services and HomeServe.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Revenue</w:t>
            </w:r>
          </w:p>
        </w:tc>
        <w:tc>
          <w:tcPr>
            <w:tcW w:w="1380" w:type="dxa"/>
            <w:vAlign w:val="bottom"/>
          </w:tcPr>
          <w:p>
            <w:pPr>
              <w:spacing w:after="0"/>
              <w:rPr>
                <w:sz w:val="16"/>
                <w:szCs w:val="16"/>
                <w:color w:val="auto"/>
              </w:rPr>
            </w:pPr>
          </w:p>
        </w:tc>
        <w:tc>
          <w:tcPr>
            <w:tcW w:w="330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rPr>
              <w:t>Quantities Sold and Transported</w:t>
            </w:r>
          </w:p>
        </w:tc>
      </w:tr>
      <w:tr>
        <w:trPr>
          <w:trHeight w:val="217"/>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13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2"/>
          </w:tcPr>
          <w:p>
            <w:pPr>
              <w:jc w:val="center"/>
              <w:ind w:right="159"/>
              <w:spacing w:after="0"/>
              <w:rPr>
                <w:sz w:val="20"/>
                <w:szCs w:val="20"/>
                <w:color w:val="auto"/>
              </w:rPr>
            </w:pPr>
            <w:r>
              <w:rPr>
                <w:rFonts w:ascii="Arial" w:cs="Arial" w:eastAsia="Arial" w:hAnsi="Arial"/>
                <w:sz w:val="16"/>
                <w:szCs w:val="16"/>
                <w:b w:val="1"/>
                <w:bCs w:val="1"/>
                <w:color w:val="auto"/>
              </w:rPr>
              <w:t>(Dth in millions)</w:t>
            </w:r>
          </w:p>
        </w:tc>
      </w:tr>
      <w:tr>
        <w:trPr>
          <w:trHeight w:val="209"/>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4"/>
          </w:tcPr>
          <w:p>
            <w:pPr>
              <w:ind w:left="440"/>
              <w:spacing w:after="0"/>
              <w:rPr>
                <w:sz w:val="20"/>
                <w:szCs w:val="20"/>
                <w:color w:val="auto"/>
              </w:rPr>
            </w:pPr>
            <w:r>
              <w:rPr>
                <w:rFonts w:ascii="Arial" w:cs="Arial" w:eastAsia="Arial" w:hAnsi="Arial"/>
                <w:sz w:val="16"/>
                <w:szCs w:val="16"/>
                <w:b w:val="1"/>
                <w:bCs w:val="1"/>
                <w:color w:val="auto"/>
              </w:rPr>
              <w:t>Three Months Ended March 31,</w:t>
            </w:r>
          </w:p>
        </w:tc>
        <w:tc>
          <w:tcPr>
            <w:tcW w:w="330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rPr>
              <w:t>Three Months Ended March 31,</w:t>
            </w:r>
          </w:p>
        </w:tc>
      </w:tr>
      <w:tr>
        <w:trPr>
          <w:trHeight w:val="217"/>
        </w:trPr>
        <w:tc>
          <w:tcPr>
            <w:tcW w:w="4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10"/>
        </w:trPr>
        <w:tc>
          <w:tcPr>
            <w:tcW w:w="4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1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4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126.6</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w:t>
            </w: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117.7</w:t>
            </w:r>
          </w:p>
        </w:tc>
        <w:tc>
          <w:tcPr>
            <w:tcW w:w="440" w:type="dxa"/>
            <w:vAlign w:val="bottom"/>
          </w:tcPr>
          <w:p>
            <w:pPr>
              <w:spacing w:after="0"/>
              <w:rPr>
                <w:sz w:val="18"/>
                <w:szCs w:val="18"/>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144.9</w:t>
            </w:r>
          </w:p>
        </w:tc>
        <w:tc>
          <w:tcPr>
            <w:tcW w:w="1460" w:type="dxa"/>
            <w:vAlign w:val="bottom"/>
          </w:tcPr>
          <w:p>
            <w:pPr>
              <w:jc w:val="right"/>
              <w:spacing w:after="0"/>
              <w:rPr>
                <w:sz w:val="20"/>
                <w:szCs w:val="20"/>
                <w:color w:val="auto"/>
              </w:rPr>
            </w:pPr>
            <w:r>
              <w:rPr>
                <w:rFonts w:ascii="Arial" w:cs="Arial" w:eastAsia="Arial" w:hAnsi="Arial"/>
                <w:sz w:val="16"/>
                <w:szCs w:val="16"/>
                <w:color w:val="auto"/>
              </w:rPr>
              <w:t>12.9</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14.1</w:t>
            </w:r>
          </w:p>
        </w:tc>
      </w:tr>
      <w:tr>
        <w:trPr>
          <w:trHeight w:val="217"/>
        </w:trPr>
        <w:tc>
          <w:tcPr>
            <w:tcW w:w="4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125.5</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w:t>
            </w: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Kansas Gas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50.3</w:t>
            </w:r>
          </w:p>
        </w:tc>
        <w:tc>
          <w:tcPr>
            <w:tcW w:w="440" w:type="dxa"/>
            <w:vAlign w:val="bottom"/>
          </w:tcPr>
          <w:p>
            <w:pPr>
              <w:spacing w:after="0"/>
              <w:rPr>
                <w:sz w:val="18"/>
                <w:szCs w:val="18"/>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72.2</w:t>
            </w:r>
          </w:p>
        </w:tc>
        <w:tc>
          <w:tcPr>
            <w:tcW w:w="1460" w:type="dxa"/>
            <w:vAlign w:val="bottom"/>
          </w:tcPr>
          <w:p>
            <w:pPr>
              <w:jc w:val="right"/>
              <w:spacing w:after="0"/>
              <w:rPr>
                <w:sz w:val="20"/>
                <w:szCs w:val="20"/>
                <w:color w:val="auto"/>
              </w:rPr>
            </w:pPr>
            <w:r>
              <w:rPr>
                <w:rFonts w:ascii="Arial" w:cs="Arial" w:eastAsia="Arial" w:hAnsi="Arial"/>
                <w:sz w:val="16"/>
                <w:szCs w:val="16"/>
                <w:color w:val="auto"/>
              </w:rPr>
              <w:t>9.7</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11.2</w:t>
            </w:r>
          </w:p>
        </w:tc>
      </w:tr>
      <w:tr>
        <w:trPr>
          <w:trHeight w:val="217"/>
        </w:trPr>
        <w:tc>
          <w:tcPr>
            <w:tcW w:w="4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164.9</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1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27.1</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Wyoming Gas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72.8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w:t>
            </w:r>
          </w:p>
        </w:tc>
      </w:tr>
      <w:tr>
        <w:trPr>
          <w:trHeight w:val="250"/>
        </w:trPr>
        <w:tc>
          <w:tcPr>
            <w:tcW w:w="44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Total Revenue and Quantities Sold</w:t>
            </w:r>
          </w:p>
        </w:tc>
        <w:tc>
          <w:tcPr>
            <w:tcW w:w="10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508.7</w:t>
            </w:r>
          </w:p>
        </w:tc>
        <w:tc>
          <w:tcPr>
            <w:tcW w:w="44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706.9</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w:t>
            </w:r>
          </w:p>
        </w:tc>
        <w:tc>
          <w:tcPr>
            <w:tcW w:w="1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92.2</w:t>
            </w:r>
          </w:p>
        </w:tc>
      </w:tr>
      <w:tr>
        <w:trPr>
          <w:trHeight w:val="385"/>
        </w:trPr>
        <w:tc>
          <w:tcPr>
            <w:tcW w:w="4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Three Months Ended March 31,</w:t>
            </w:r>
          </w:p>
        </w:tc>
        <w:tc>
          <w:tcPr>
            <w:tcW w:w="1840" w:type="dxa"/>
            <w:vAlign w:val="bottom"/>
          </w:tcPr>
          <w:p>
            <w:pPr>
              <w:spacing w:after="0"/>
              <w:rPr>
                <w:sz w:val="24"/>
                <w:szCs w:val="24"/>
                <w:color w:val="auto"/>
              </w:rPr>
            </w:pPr>
          </w:p>
        </w:tc>
      </w:tr>
      <w:tr>
        <w:trPr>
          <w:trHeight w:val="217"/>
        </w:trPr>
        <w:tc>
          <w:tcPr>
            <w:tcW w:w="4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3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2"/>
          </w:tcPr>
          <w:p>
            <w:pPr>
              <w:jc w:val="right"/>
              <w:ind w:right="1459"/>
              <w:spacing w:after="0"/>
              <w:rPr>
                <w:sz w:val="20"/>
                <w:szCs w:val="20"/>
                <w:color w:val="auto"/>
              </w:rPr>
            </w:pPr>
            <w:r>
              <w:rPr>
                <w:rFonts w:ascii="Arial" w:cs="Arial" w:eastAsia="Arial" w:hAnsi="Arial"/>
                <w:sz w:val="16"/>
                <w:szCs w:val="16"/>
                <w:b w:val="1"/>
                <w:bCs w:val="1"/>
                <w:color w:val="auto"/>
              </w:rPr>
              <w:t>2023</w:t>
            </w:r>
          </w:p>
        </w:tc>
      </w:tr>
      <w:tr>
        <w:trPr>
          <w:trHeight w:val="21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Actual</w:t>
            </w:r>
          </w:p>
        </w:tc>
        <w:tc>
          <w:tcPr>
            <w:tcW w:w="24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Variance from Normal</w:t>
            </w:r>
          </w:p>
        </w:tc>
        <w:tc>
          <w:tcPr>
            <w:tcW w:w="14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Actual</w:t>
            </w:r>
          </w:p>
        </w:tc>
        <w:tc>
          <w:tcPr>
            <w:tcW w:w="1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Variance from Normal</w:t>
            </w:r>
          </w:p>
        </w:tc>
      </w:tr>
      <w:tr>
        <w:trPr>
          <w:trHeight w:val="210"/>
        </w:trPr>
        <w:tc>
          <w:tcPr>
            <w:tcW w:w="4440" w:type="dxa"/>
            <w:vAlign w:val="bottom"/>
            <w:gridSpan w:val="2"/>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080" w:type="dxa"/>
            <w:vAlign w:val="bottom"/>
            <w:shd w:val="clear" w:color="auto" w:fill="CFF0FC"/>
          </w:tcPr>
          <w:p>
            <w:pPr>
              <w:ind w:left="460"/>
              <w:spacing w:after="0"/>
              <w:rPr>
                <w:sz w:val="20"/>
                <w:szCs w:val="20"/>
                <w:color w:val="auto"/>
              </w:rPr>
            </w:pPr>
            <w:r>
              <w:rPr>
                <w:rFonts w:ascii="Arial" w:cs="Arial" w:eastAsia="Arial" w:hAnsi="Arial"/>
                <w:sz w:val="16"/>
                <w:szCs w:val="16"/>
                <w:color w:val="auto"/>
              </w:rPr>
              <w:t>1,772</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ind w:right="779"/>
              <w:spacing w:after="0"/>
              <w:rPr>
                <w:sz w:val="20"/>
                <w:szCs w:val="20"/>
                <w:color w:val="auto"/>
              </w:rPr>
            </w:pPr>
            <w:r>
              <w:rPr>
                <w:rFonts w:ascii="Arial" w:cs="Arial" w:eastAsia="Arial" w:hAnsi="Arial"/>
                <w:sz w:val="16"/>
                <w:szCs w:val="16"/>
                <w:color w:val="auto"/>
              </w:rPr>
              <w:t>(12)%</w:t>
            </w:r>
          </w:p>
        </w:tc>
        <w:tc>
          <w:tcPr>
            <w:tcW w:w="14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1,666</w:t>
            </w:r>
          </w:p>
        </w:tc>
        <w:tc>
          <w:tcPr>
            <w:tcW w:w="1840" w:type="dxa"/>
            <w:vAlign w:val="bottom"/>
            <w:shd w:val="clear" w:color="auto" w:fill="CFF0FC"/>
          </w:tcPr>
          <w:p>
            <w:pPr>
              <w:jc w:val="center"/>
              <w:ind w:right="39"/>
              <w:spacing w:after="0"/>
              <w:rPr>
                <w:sz w:val="20"/>
                <w:szCs w:val="20"/>
                <w:color w:val="auto"/>
              </w:rPr>
            </w:pPr>
            <w:r>
              <w:rPr>
                <w:rFonts w:ascii="Arial" w:cs="Arial" w:eastAsia="Arial" w:hAnsi="Arial"/>
                <w:sz w:val="16"/>
                <w:szCs w:val="16"/>
                <w:color w:val="auto"/>
              </w:rPr>
              <w:t>(18)%</w:t>
            </w: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1080" w:type="dxa"/>
            <w:vAlign w:val="bottom"/>
          </w:tcPr>
          <w:p>
            <w:pPr>
              <w:ind w:left="460"/>
              <w:spacing w:after="0"/>
              <w:rPr>
                <w:sz w:val="20"/>
                <w:szCs w:val="20"/>
                <w:color w:val="auto"/>
              </w:rPr>
            </w:pPr>
            <w:r>
              <w:rPr>
                <w:rFonts w:ascii="Arial" w:cs="Arial" w:eastAsia="Arial" w:hAnsi="Arial"/>
                <w:sz w:val="16"/>
                <w:szCs w:val="16"/>
                <w:color w:val="auto"/>
              </w:rPr>
              <w:t>2,743</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center"/>
              <w:ind w:right="799"/>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579"/>
              <w:spacing w:after="0"/>
              <w:rPr>
                <w:sz w:val="20"/>
                <w:szCs w:val="20"/>
                <w:color w:val="auto"/>
              </w:rPr>
            </w:pPr>
            <w:r>
              <w:rPr>
                <w:rFonts w:ascii="Arial" w:cs="Arial" w:eastAsia="Arial" w:hAnsi="Arial"/>
                <w:sz w:val="16"/>
                <w:szCs w:val="16"/>
                <w:color w:val="auto"/>
              </w:rPr>
              <w:t>3,087</w:t>
            </w:r>
          </w:p>
        </w:tc>
        <w:tc>
          <w:tcPr>
            <w:tcW w:w="1840" w:type="dxa"/>
            <w:vAlign w:val="bottom"/>
          </w:tcPr>
          <w:p>
            <w:pPr>
              <w:jc w:val="center"/>
              <w:ind w:right="39"/>
              <w:spacing w:after="0"/>
              <w:rPr>
                <w:sz w:val="20"/>
                <w:szCs w:val="20"/>
                <w:color w:val="auto"/>
              </w:rPr>
            </w:pPr>
            <w:r>
              <w:rPr>
                <w:rFonts w:ascii="Arial" w:cs="Arial" w:eastAsia="Arial" w:hAnsi="Arial"/>
                <w:sz w:val="16"/>
                <w:szCs w:val="16"/>
                <w:color w:val="auto"/>
                <w:w w:val="99"/>
              </w:rPr>
              <w:t>10%</w:t>
            </w:r>
          </w:p>
        </w:tc>
      </w:tr>
      <w:tr>
        <w:trPr>
          <w:trHeight w:val="217"/>
        </w:trPr>
        <w:tc>
          <w:tcPr>
            <w:tcW w:w="4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080" w:type="dxa"/>
            <w:vAlign w:val="bottom"/>
            <w:shd w:val="clear" w:color="auto" w:fill="CFF0FC"/>
          </w:tcPr>
          <w:p>
            <w:pPr>
              <w:ind w:left="460"/>
              <w:spacing w:after="0"/>
              <w:rPr>
                <w:sz w:val="20"/>
                <w:szCs w:val="20"/>
                <w:color w:val="auto"/>
              </w:rPr>
            </w:pPr>
            <w:r>
              <w:rPr>
                <w:rFonts w:ascii="Arial" w:cs="Arial" w:eastAsia="Arial" w:hAnsi="Arial"/>
                <w:sz w:val="16"/>
                <w:szCs w:val="16"/>
                <w:color w:val="auto"/>
              </w:rPr>
              <w:t>2,898</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ind w:right="779"/>
              <w:spacing w:after="0"/>
              <w:rPr>
                <w:sz w:val="20"/>
                <w:szCs w:val="20"/>
                <w:color w:val="auto"/>
              </w:rPr>
            </w:pPr>
            <w:r>
              <w:rPr>
                <w:rFonts w:ascii="Arial" w:cs="Arial" w:eastAsia="Arial" w:hAnsi="Arial"/>
                <w:sz w:val="16"/>
                <w:szCs w:val="16"/>
                <w:color w:val="auto"/>
              </w:rPr>
              <w:t>(16)%</w:t>
            </w:r>
          </w:p>
        </w:tc>
        <w:tc>
          <w:tcPr>
            <w:tcW w:w="14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3,247</w:t>
            </w:r>
          </w:p>
        </w:tc>
        <w:tc>
          <w:tcPr>
            <w:tcW w:w="1840" w:type="dxa"/>
            <w:vAlign w:val="bottom"/>
            <w:shd w:val="clear" w:color="auto" w:fill="CFF0FC"/>
          </w:tcPr>
          <w:p>
            <w:pPr>
              <w:jc w:val="center"/>
              <w:ind w:right="59"/>
              <w:spacing w:after="0"/>
              <w:rPr>
                <w:sz w:val="20"/>
                <w:szCs w:val="20"/>
                <w:color w:val="auto"/>
              </w:rPr>
            </w:pPr>
            <w:r>
              <w:rPr>
                <w:rFonts w:ascii="Arial" w:cs="Arial" w:eastAsia="Arial" w:hAnsi="Arial"/>
                <w:sz w:val="16"/>
                <w:szCs w:val="16"/>
                <w:color w:val="auto"/>
              </w:rPr>
              <w:t>(6)%</w:t>
            </w:r>
          </w:p>
        </w:tc>
      </w:tr>
      <w:tr>
        <w:trPr>
          <w:trHeight w:val="216"/>
        </w:trPr>
        <w:tc>
          <w:tcPr>
            <w:tcW w:w="44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080" w:type="dxa"/>
            <w:vAlign w:val="bottom"/>
          </w:tcPr>
          <w:p>
            <w:pPr>
              <w:ind w:left="460"/>
              <w:spacing w:after="0"/>
              <w:rPr>
                <w:sz w:val="20"/>
                <w:szCs w:val="20"/>
                <w:color w:val="auto"/>
              </w:rPr>
            </w:pPr>
            <w:r>
              <w:rPr>
                <w:rFonts w:ascii="Arial" w:cs="Arial" w:eastAsia="Arial" w:hAnsi="Arial"/>
                <w:sz w:val="16"/>
                <w:szCs w:val="16"/>
                <w:color w:val="auto"/>
              </w:rPr>
              <w:t>2,291</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center"/>
              <w:ind w:right="799"/>
              <w:spacing w:after="0"/>
              <w:rPr>
                <w:sz w:val="20"/>
                <w:szCs w:val="20"/>
                <w:color w:val="auto"/>
              </w:rPr>
            </w:pPr>
            <w:r>
              <w:rPr>
                <w:rFonts w:ascii="Arial" w:cs="Arial" w:eastAsia="Arial" w:hAnsi="Arial"/>
                <w:sz w:val="16"/>
                <w:szCs w:val="16"/>
                <w:color w:val="auto"/>
              </w:rPr>
              <w:t>(7)%</w:t>
            </w:r>
          </w:p>
        </w:tc>
        <w:tc>
          <w:tcPr>
            <w:tcW w:w="1460" w:type="dxa"/>
            <w:vAlign w:val="bottom"/>
          </w:tcPr>
          <w:p>
            <w:pPr>
              <w:jc w:val="right"/>
              <w:ind w:right="579"/>
              <w:spacing w:after="0"/>
              <w:rPr>
                <w:sz w:val="20"/>
                <w:szCs w:val="20"/>
                <w:color w:val="auto"/>
              </w:rPr>
            </w:pPr>
            <w:r>
              <w:rPr>
                <w:rFonts w:ascii="Arial" w:cs="Arial" w:eastAsia="Arial" w:hAnsi="Arial"/>
                <w:sz w:val="16"/>
                <w:szCs w:val="16"/>
                <w:color w:val="auto"/>
              </w:rPr>
              <w:t>2,373</w:t>
            </w:r>
          </w:p>
        </w:tc>
        <w:tc>
          <w:tcPr>
            <w:tcW w:w="1840" w:type="dxa"/>
            <w:vAlign w:val="bottom"/>
          </w:tcPr>
          <w:p>
            <w:pPr>
              <w:jc w:val="center"/>
              <w:ind w:right="59"/>
              <w:spacing w:after="0"/>
              <w:rPr>
                <w:sz w:val="20"/>
                <w:szCs w:val="20"/>
                <w:color w:val="auto"/>
              </w:rPr>
            </w:pPr>
            <w:r>
              <w:rPr>
                <w:rFonts w:ascii="Arial" w:cs="Arial" w:eastAsia="Arial" w:hAnsi="Arial"/>
                <w:sz w:val="16"/>
                <w:szCs w:val="16"/>
                <w:color w:val="auto"/>
              </w:rPr>
              <w:t>(4)%</w:t>
            </w:r>
          </w:p>
        </w:tc>
      </w:tr>
      <w:tr>
        <w:trPr>
          <w:trHeight w:val="216"/>
        </w:trPr>
        <w:tc>
          <w:tcPr>
            <w:tcW w:w="4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080" w:type="dxa"/>
            <w:vAlign w:val="bottom"/>
            <w:shd w:val="clear" w:color="auto" w:fill="CFF0FC"/>
          </w:tcPr>
          <w:p>
            <w:pPr>
              <w:ind w:left="460"/>
              <w:spacing w:after="0"/>
              <w:rPr>
                <w:sz w:val="20"/>
                <w:szCs w:val="20"/>
                <w:color w:val="auto"/>
              </w:rPr>
            </w:pPr>
            <w:r>
              <w:rPr>
                <w:rFonts w:ascii="Arial" w:cs="Arial" w:eastAsia="Arial" w:hAnsi="Arial"/>
                <w:sz w:val="16"/>
                <w:szCs w:val="16"/>
                <w:color w:val="auto"/>
              </w:rPr>
              <w:t>2,802</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ind w:right="799"/>
              <w:spacing w:after="0"/>
              <w:rPr>
                <w:sz w:val="20"/>
                <w:szCs w:val="20"/>
                <w:color w:val="auto"/>
              </w:rPr>
            </w:pPr>
            <w:r>
              <w:rPr>
                <w:rFonts w:ascii="Arial" w:cs="Arial" w:eastAsia="Arial" w:hAnsi="Arial"/>
                <w:sz w:val="16"/>
                <w:szCs w:val="16"/>
                <w:color w:val="auto"/>
              </w:rPr>
              <w:t>(9)%</w:t>
            </w:r>
          </w:p>
        </w:tc>
        <w:tc>
          <w:tcPr>
            <w:tcW w:w="14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3,054</w:t>
            </w:r>
          </w:p>
        </w:tc>
        <w:tc>
          <w:tcPr>
            <w:tcW w:w="1840" w:type="dxa"/>
            <w:vAlign w:val="bottom"/>
            <w:shd w:val="clear" w:color="auto" w:fill="CFF0FC"/>
          </w:tcPr>
          <w:p>
            <w:pPr>
              <w:jc w:val="center"/>
              <w:ind w:right="59"/>
              <w:spacing w:after="0"/>
              <w:rPr>
                <w:sz w:val="20"/>
                <w:szCs w:val="20"/>
                <w:color w:val="auto"/>
              </w:rPr>
            </w:pPr>
            <w:r>
              <w:rPr>
                <w:rFonts w:ascii="Arial" w:cs="Arial" w:eastAsia="Arial" w:hAnsi="Arial"/>
                <w:sz w:val="16"/>
                <w:szCs w:val="16"/>
                <w:color w:val="auto"/>
              </w:rPr>
              <w:t>--%</w:t>
            </w:r>
          </w:p>
        </w:tc>
      </w:tr>
      <w:tr>
        <w:trPr>
          <w:trHeight w:val="215"/>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Wyoming Gas</w:t>
            </w:r>
          </w:p>
        </w:tc>
        <w:tc>
          <w:tcPr>
            <w:tcW w:w="1080" w:type="dxa"/>
            <w:vAlign w:val="bottom"/>
          </w:tcPr>
          <w:p>
            <w:pPr>
              <w:ind w:left="460"/>
              <w:spacing w:after="0"/>
              <w:rPr>
                <w:sz w:val="20"/>
                <w:szCs w:val="20"/>
                <w:color w:val="auto"/>
              </w:rPr>
            </w:pPr>
            <w:r>
              <w:rPr>
                <w:rFonts w:ascii="Arial" w:cs="Arial" w:eastAsia="Arial" w:hAnsi="Arial"/>
                <w:sz w:val="16"/>
                <w:szCs w:val="16"/>
                <w:color w:val="auto"/>
              </w:rPr>
              <w:t>3,156</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center"/>
              <w:ind w:right="799"/>
              <w:spacing w:after="0"/>
              <w:rPr>
                <w:sz w:val="20"/>
                <w:szCs w:val="20"/>
                <w:color w:val="auto"/>
              </w:rPr>
            </w:pPr>
            <w:r>
              <w:rPr>
                <w:rFonts w:ascii="Arial" w:cs="Arial" w:eastAsia="Arial" w:hAnsi="Arial"/>
                <w:sz w:val="16"/>
                <w:szCs w:val="16"/>
                <w:color w:val="auto"/>
              </w:rPr>
              <w:t>(3)%</w:t>
            </w:r>
          </w:p>
        </w:tc>
        <w:tc>
          <w:tcPr>
            <w:tcW w:w="1460" w:type="dxa"/>
            <w:vAlign w:val="bottom"/>
          </w:tcPr>
          <w:p>
            <w:pPr>
              <w:jc w:val="right"/>
              <w:ind w:right="579"/>
              <w:spacing w:after="0"/>
              <w:rPr>
                <w:sz w:val="20"/>
                <w:szCs w:val="20"/>
                <w:color w:val="auto"/>
              </w:rPr>
            </w:pPr>
            <w:r>
              <w:rPr>
                <w:rFonts w:ascii="Arial" w:cs="Arial" w:eastAsia="Arial" w:hAnsi="Arial"/>
                <w:sz w:val="16"/>
                <w:szCs w:val="16"/>
                <w:color w:val="auto"/>
              </w:rPr>
              <w:t>3,624</w:t>
            </w:r>
          </w:p>
        </w:tc>
        <w:tc>
          <w:tcPr>
            <w:tcW w:w="1840" w:type="dxa"/>
            <w:vAlign w:val="bottom"/>
          </w:tcPr>
          <w:p>
            <w:pPr>
              <w:jc w:val="center"/>
              <w:ind w:right="39"/>
              <w:spacing w:after="0"/>
              <w:rPr>
                <w:sz w:val="20"/>
                <w:szCs w:val="20"/>
                <w:color w:val="auto"/>
              </w:rPr>
            </w:pPr>
            <w:r>
              <w:rPr>
                <w:rFonts w:ascii="Arial" w:cs="Arial" w:eastAsia="Arial" w:hAnsi="Arial"/>
                <w:sz w:val="16"/>
                <w:szCs w:val="16"/>
                <w:color w:val="auto"/>
                <w:w w:val="99"/>
              </w:rPr>
              <w:t>21%</w:t>
            </w:r>
          </w:p>
        </w:tc>
      </w:tr>
      <w:tr>
        <w:trPr>
          <w:trHeight w:val="217"/>
        </w:trPr>
        <w:tc>
          <w:tcPr>
            <w:tcW w:w="4440" w:type="dxa"/>
            <w:vAlign w:val="bottom"/>
            <w:gridSpan w:val="2"/>
            <w:shd w:val="clear" w:color="auto" w:fill="CFF0FC"/>
          </w:tcPr>
          <w:p>
            <w:pPr>
              <w:ind w:left="12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080" w:type="dxa"/>
            <w:vAlign w:val="bottom"/>
            <w:shd w:val="clear" w:color="auto" w:fill="CFF0FC"/>
          </w:tcPr>
          <w:p>
            <w:pPr>
              <w:ind w:left="460"/>
              <w:spacing w:after="0"/>
              <w:rPr>
                <w:sz w:val="20"/>
                <w:szCs w:val="20"/>
                <w:color w:val="auto"/>
              </w:rPr>
            </w:pPr>
            <w:r>
              <w:rPr>
                <w:rFonts w:ascii="Arial" w:cs="Arial" w:eastAsia="Arial" w:hAnsi="Arial"/>
                <w:sz w:val="16"/>
                <w:szCs w:val="16"/>
                <w:color w:val="auto"/>
              </w:rPr>
              <w:t>2,865</w:t>
            </w: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ind w:right="799"/>
              <w:spacing w:after="0"/>
              <w:rPr>
                <w:sz w:val="20"/>
                <w:szCs w:val="20"/>
                <w:color w:val="auto"/>
              </w:rPr>
            </w:pPr>
            <w:r>
              <w:rPr>
                <w:rFonts w:ascii="Arial" w:cs="Arial" w:eastAsia="Arial" w:hAnsi="Arial"/>
                <w:sz w:val="16"/>
                <w:szCs w:val="16"/>
                <w:color w:val="auto"/>
              </w:rPr>
              <w:t>(8)%</w:t>
            </w:r>
          </w:p>
        </w:tc>
        <w:tc>
          <w:tcPr>
            <w:tcW w:w="14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3,196</w:t>
            </w:r>
          </w:p>
        </w:tc>
        <w:tc>
          <w:tcPr>
            <w:tcW w:w="1840" w:type="dxa"/>
            <w:vAlign w:val="bottom"/>
            <w:shd w:val="clear" w:color="auto" w:fill="CFF0FC"/>
          </w:tcPr>
          <w:p>
            <w:pPr>
              <w:jc w:val="center"/>
              <w:ind w:right="39"/>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5" w:lineRule="exact"/>
        <w:rPr>
          <w:rFonts w:ascii="Arial" w:cs="Arial" w:eastAsia="Arial" w:hAnsi="Arial"/>
          <w:sz w:val="14"/>
          <w:szCs w:val="14"/>
          <w:color w:val="auto"/>
        </w:rPr>
      </w:pPr>
    </w:p>
    <w:p>
      <w:pPr>
        <w:ind w:left="520" w:right="340" w:hanging="512"/>
        <w:spacing w:after="0" w:line="264"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including inter-segment eliminations,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8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rPr>
              <w:t>Three Months Ended March 31,</w:t>
            </w:r>
          </w:p>
        </w:tc>
        <w:tc>
          <w:tcPr>
            <w:tcW w:w="1080" w:type="dxa"/>
            <w:vAlign w:val="bottom"/>
          </w:tcPr>
          <w:p>
            <w:pPr>
              <w:spacing w:after="0"/>
              <w:rPr>
                <w:sz w:val="18"/>
                <w:szCs w:val="18"/>
                <w:color w:val="auto"/>
              </w:rPr>
            </w:pPr>
          </w:p>
        </w:tc>
      </w:tr>
      <w:tr>
        <w:trPr>
          <w:trHeight w:val="217"/>
        </w:trPr>
        <w:tc>
          <w:tcPr>
            <w:tcW w:w="5460" w:type="dxa"/>
            <w:vAlign w:val="bottom"/>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2040" w:type="dxa"/>
            <w:vAlign w:val="bottom"/>
            <w:tcBorders>
              <w:bottom w:val="single" w:sz="8" w:color="auto"/>
            </w:tcBorders>
          </w:tcPr>
          <w:p>
            <w:pPr>
              <w:jc w:val="center"/>
              <w:ind w:left="959"/>
              <w:spacing w:after="0"/>
              <w:rPr>
                <w:sz w:val="20"/>
                <w:szCs w:val="20"/>
                <w:color w:val="auto"/>
              </w:rPr>
            </w:pPr>
            <w:r>
              <w:rPr>
                <w:rFonts w:ascii="Arial" w:cs="Arial" w:eastAsia="Arial" w:hAnsi="Arial"/>
                <w:sz w:val="16"/>
                <w:szCs w:val="16"/>
                <w:b w:val="1"/>
                <w:bCs w:val="1"/>
                <w:color w:val="auto"/>
              </w:rPr>
              <w:t>2023</w:t>
            </w:r>
          </w:p>
        </w:tc>
        <w:tc>
          <w:tcPr>
            <w:tcW w:w="24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2024 vs 2023 Variance</w:t>
            </w:r>
          </w:p>
        </w:tc>
      </w:tr>
      <w:tr>
        <w:trPr>
          <w:trHeight w:val="209"/>
        </w:trPr>
        <w:tc>
          <w:tcPr>
            <w:tcW w:w="54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color w:val="auto"/>
              </w:rPr>
              <w:t>(in millions)</w:t>
            </w:r>
          </w:p>
        </w:tc>
        <w:tc>
          <w:tcPr>
            <w:tcW w:w="1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50"/>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(loss)</w:t>
            </w:r>
          </w:p>
        </w:tc>
        <w:tc>
          <w:tcPr>
            <w:tcW w:w="1320" w:type="dxa"/>
            <w:vAlign w:val="bottom"/>
            <w:tcBorders>
              <w:bottom w:val="single" w:sz="8" w:color="auto"/>
            </w:tcBorders>
            <w:shd w:val="clear" w:color="auto" w:fill="CFF0FC"/>
          </w:tcPr>
          <w:p>
            <w:pPr>
              <w:jc w:val="right"/>
              <w:ind w:right="113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FF0FC"/>
          </w:tcPr>
          <w:p>
            <w:pPr>
              <w:jc w:val="right"/>
              <w:ind w:right="1239"/>
              <w:spacing w:after="0"/>
              <w:rPr>
                <w:sz w:val="20"/>
                <w:szCs w:val="20"/>
                <w:color w:val="auto"/>
              </w:rPr>
            </w:pPr>
            <w:r>
              <w:rPr>
                <w:rFonts w:ascii="Arial" w:cs="Arial" w:eastAsia="Arial" w:hAnsi="Arial"/>
                <w:sz w:val="16"/>
                <w:szCs w:val="16"/>
                <w:color w:val="auto"/>
              </w:rPr>
              <w:t>(2.1 ) $</w:t>
            </w:r>
          </w:p>
        </w:tc>
        <w:tc>
          <w:tcPr>
            <w:tcW w:w="13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6"/>
                <w:szCs w:val="16"/>
                <w:color w:val="auto"/>
              </w:rPr>
              <w:t>(0.8 ) $</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2024, Compared to the Three Months Ended March 31,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comparable to the same period in the prior year.</w:t>
      </w:r>
    </w:p>
    <w:p>
      <w:pPr>
        <w:sectPr>
          <w:pgSz w:w="11900" w:h="16838" w:orient="portrait"/>
          <w:cols w:equalWidth="0" w:num="1">
            <w:col w:w="11240"/>
          </w:cols>
          <w:pgMar w:left="320" w:top="766" w:right="33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55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972"/>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1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5"/>
        </w:trPr>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2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Three Months Ended March 31,</w:t>
            </w:r>
          </w:p>
        </w:tc>
        <w:tc>
          <w:tcPr>
            <w:tcW w:w="1060" w:type="dxa"/>
            <w:vAlign w:val="bottom"/>
          </w:tcPr>
          <w:p>
            <w:pPr>
              <w:spacing w:after="0"/>
              <w:rPr>
                <w:sz w:val="24"/>
                <w:szCs w:val="24"/>
                <w:color w:val="auto"/>
              </w:rPr>
            </w:pPr>
          </w:p>
        </w:tc>
      </w:tr>
      <w:tr>
        <w:trPr>
          <w:trHeight w:val="217"/>
        </w:trPr>
        <w:tc>
          <w:tcPr>
            <w:tcW w:w="13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2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24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2024 vs 2023 Variance</w:t>
            </w:r>
          </w:p>
        </w:tc>
      </w:tr>
      <w:tr>
        <w:trPr>
          <w:trHeight w:val="209"/>
        </w:trPr>
        <w:tc>
          <w:tcPr>
            <w:tcW w:w="13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 millions)</w:t>
            </w:r>
          </w:p>
        </w:tc>
        <w:tc>
          <w:tcPr>
            <w:tcW w:w="1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126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(44.0 ) $</w:t>
            </w:r>
          </w:p>
        </w:tc>
        <w:tc>
          <w:tcPr>
            <w:tcW w:w="138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(43.5 ) $</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(0.5 )</w:t>
            </w:r>
          </w:p>
        </w:tc>
      </w:tr>
      <w:tr>
        <w:trPr>
          <w:trHeight w:val="215"/>
        </w:trPr>
        <w:tc>
          <w:tcPr>
            <w:tcW w:w="550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1260" w:type="dxa"/>
            <w:vAlign w:val="bottom"/>
          </w:tcPr>
          <w:p>
            <w:pPr>
              <w:spacing w:after="0"/>
              <w:rPr>
                <w:sz w:val="18"/>
                <w:szCs w:val="18"/>
                <w:color w:val="auto"/>
              </w:rPr>
            </w:pPr>
          </w:p>
        </w:tc>
        <w:tc>
          <w:tcPr>
            <w:tcW w:w="2040" w:type="dxa"/>
            <w:vAlign w:val="bottom"/>
          </w:tcPr>
          <w:p>
            <w:pPr>
              <w:jc w:val="right"/>
              <w:ind w:right="1319"/>
              <w:spacing w:after="0"/>
              <w:rPr>
                <w:sz w:val="20"/>
                <w:szCs w:val="20"/>
                <w:color w:val="auto"/>
              </w:rPr>
            </w:pPr>
            <w:r>
              <w:rPr>
                <w:rFonts w:ascii="Arial" w:cs="Arial" w:eastAsia="Arial" w:hAnsi="Arial"/>
                <w:sz w:val="16"/>
                <w:szCs w:val="16"/>
                <w:color w:val="auto"/>
              </w:rPr>
              <w:t>(0.8 )</w:t>
            </w:r>
          </w:p>
        </w:tc>
        <w:tc>
          <w:tcPr>
            <w:tcW w:w="1380" w:type="dxa"/>
            <w:vAlign w:val="bottom"/>
          </w:tcPr>
          <w:p>
            <w:pPr>
              <w:jc w:val="right"/>
              <w:ind w:right="879"/>
              <w:spacing w:after="0"/>
              <w:rPr>
                <w:sz w:val="20"/>
                <w:szCs w:val="20"/>
                <w:color w:val="auto"/>
              </w:rPr>
            </w:pPr>
            <w:r>
              <w:rPr>
                <w:rFonts w:ascii="Arial" w:cs="Arial" w:eastAsia="Arial" w:hAnsi="Arial"/>
                <w:sz w:val="16"/>
                <w:szCs w:val="16"/>
                <w:color w:val="auto"/>
              </w:rPr>
              <w:t>0.7</w:t>
            </w:r>
          </w:p>
        </w:tc>
        <w:tc>
          <w:tcPr>
            <w:tcW w:w="106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7"/>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1319"/>
              <w:spacing w:after="0"/>
              <w:rPr>
                <w:sz w:val="20"/>
                <w:szCs w:val="20"/>
                <w:color w:val="auto"/>
              </w:rPr>
            </w:pPr>
            <w:r>
              <w:rPr>
                <w:rFonts w:ascii="Arial" w:cs="Arial" w:eastAsia="Arial" w:hAnsi="Arial"/>
                <w:sz w:val="16"/>
                <w:szCs w:val="16"/>
                <w:color w:val="auto"/>
              </w:rPr>
              <w:t>(16.9 )</w:t>
            </w:r>
          </w:p>
        </w:tc>
        <w:tc>
          <w:tcPr>
            <w:tcW w:w="13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rPr>
              <w:t>(14.7 )</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2024, Compared to the Three Months Ended March 31,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increased primarily due to higher pre-tax income. The effective tax rate was comparable to the same period in the prior year. See </w:t>
      </w:r>
      <w:r>
        <w:rPr>
          <w:rFonts w:ascii="Arial" w:cs="Arial" w:eastAsia="Arial" w:hAnsi="Arial"/>
          <w:sz w:val="16"/>
          <w:szCs w:val="16"/>
          <w:u w:val="single" w:color="auto"/>
          <w:color w:val="0000FF"/>
        </w:rPr>
        <w:t>Note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11</w:t>
      </w:r>
      <w:r>
        <w:rPr>
          <w:rFonts w:ascii="Arial" w:cs="Arial" w:eastAsia="Arial" w:hAnsi="Arial"/>
          <w:sz w:val="16"/>
          <w:szCs w:val="16"/>
          <w:color w:val="0000FF"/>
        </w:rPr>
        <w:t xml:space="preserve"> </w:t>
      </w:r>
      <w:r>
        <w:rPr>
          <w:rFonts w:ascii="Arial" w:cs="Arial" w:eastAsia="Arial" w:hAnsi="Arial"/>
          <w:sz w:val="16"/>
          <w:szCs w:val="16"/>
          <w:color w:val="000000"/>
        </w:rPr>
        <w:t>of the Condensed Notes to Consolidated Financial Statements for further information on the effective tax rate.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2023 Annual Report on Form 10-K except as described below.</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three months ended March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85"/>
        </w:trPr>
        <w:tc>
          <w:tcPr>
            <w:tcW w:w="6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60" w:type="dxa"/>
            <w:vAlign w:val="bottom"/>
            <w:gridSpan w:val="5"/>
          </w:tcPr>
          <w:p>
            <w:pPr>
              <w:jc w:val="center"/>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6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6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63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0"/>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131.6</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117.4</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w:t>
            </w: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Non-cash adjustments to Net income</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w:t>
            </w:r>
          </w:p>
        </w:tc>
      </w:tr>
      <w:tr>
        <w:trPr>
          <w:trHeight w:val="210"/>
        </w:trPr>
        <w:tc>
          <w:tcPr>
            <w:tcW w:w="6340" w:type="dxa"/>
            <w:vAlign w:val="bottom"/>
            <w:tcBorders>
              <w:bottom w:val="single" w:sz="8" w:color="CCF0FC"/>
            </w:tcBorders>
            <w:shd w:val="clear" w:color="auto" w:fill="CCF0FC"/>
          </w:tcPr>
          <w:p>
            <w:pPr>
              <w:ind w:left="120"/>
              <w:spacing w:after="0"/>
              <w:rPr>
                <w:sz w:val="20"/>
                <w:szCs w:val="20"/>
                <w:color w:val="auto"/>
              </w:rPr>
            </w:pPr>
            <w:r>
              <w:rPr>
                <w:rFonts w:ascii="Arial" w:cs="Arial" w:eastAsia="Arial" w:hAnsi="Arial"/>
                <w:sz w:val="16"/>
                <w:szCs w:val="16"/>
                <w:color w:val="auto"/>
              </w:rPr>
              <w:t>Total earnings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222.0</w:t>
            </w: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198.2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23.8</w:t>
            </w:r>
          </w:p>
        </w:tc>
      </w:tr>
      <w:tr>
        <w:trPr>
          <w:trHeight w:val="209"/>
        </w:trPr>
        <w:tc>
          <w:tcPr>
            <w:tcW w:w="6340" w:type="dxa"/>
            <w:vAlign w:val="bottom"/>
          </w:tcPr>
          <w:p>
            <w:pPr>
              <w:ind w:left="20"/>
              <w:spacing w:after="0"/>
              <w:rPr>
                <w:sz w:val="20"/>
                <w:szCs w:val="20"/>
                <w:color w:val="auto"/>
              </w:rPr>
            </w:pPr>
            <w:r>
              <w:rPr>
                <w:rFonts w:ascii="Arial" w:cs="Arial" w:eastAsia="Arial" w:hAnsi="Arial"/>
                <w:sz w:val="16"/>
                <w:szCs w:val="16"/>
                <w:color w:val="auto"/>
              </w:rPr>
              <w:t>Changes in certain operating assets and liabilities: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6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and other current assets</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19.1</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104.8</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(85.7 )</w:t>
            </w:r>
          </w:p>
        </w:tc>
      </w:tr>
      <w:tr>
        <w:trPr>
          <w:trHeight w:val="215"/>
        </w:trPr>
        <w:tc>
          <w:tcPr>
            <w:tcW w:w="634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(59.6 )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(127.2 )</w:t>
            </w:r>
          </w:p>
        </w:tc>
        <w:tc>
          <w:tcPr>
            <w:tcW w:w="20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67.6</w:t>
            </w:r>
          </w:p>
        </w:tc>
      </w:tr>
      <w:tr>
        <w:trPr>
          <w:trHeight w:val="217"/>
        </w:trPr>
        <w:tc>
          <w:tcPr>
            <w:tcW w:w="6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Regulatory assets</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54.8</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154.7</w:t>
            </w: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(99.9 )</w:t>
            </w:r>
          </w:p>
        </w:tc>
      </w:tr>
      <w:tr>
        <w:trPr>
          <w:trHeight w:val="209"/>
        </w:trPr>
        <w:tc>
          <w:tcPr>
            <w:tcW w:w="6340" w:type="dxa"/>
            <w:vAlign w:val="bottom"/>
          </w:tcPr>
          <w:p>
            <w:pPr>
              <w:spacing w:after="0"/>
              <w:rPr>
                <w:sz w:val="18"/>
                <w:szCs w:val="18"/>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(118.0 )</w:t>
            </w:r>
          </w:p>
        </w:tc>
      </w:tr>
      <w:tr>
        <w:trPr>
          <w:trHeight w:val="210"/>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operating activities</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(2.9 )</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(1.8 )</w:t>
            </w: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(95.3 )</w:t>
            </w:r>
          </w:p>
        </w:tc>
      </w:tr>
      <w:tr>
        <w:trPr>
          <w:trHeight w:val="20"/>
        </w:trPr>
        <w:tc>
          <w:tcPr>
            <w:tcW w:w="6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2024, Compared to the Three Months Ended March 31,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$95.3 million lower than the same period in 2023. The variance to the prior year was primarily attributable to:</w:t>
      </w:r>
    </w:p>
    <w:p>
      <w:pPr>
        <w:spacing w:after="0" w:line="194" w:lineRule="exact"/>
        <w:rPr>
          <w:sz w:val="20"/>
          <w:szCs w:val="20"/>
          <w:color w:val="auto"/>
        </w:rPr>
      </w:pPr>
    </w:p>
    <w:p>
      <w:pPr>
        <w:jc w:val="both"/>
        <w:ind w:left="1020" w:right="40" w:hanging="503"/>
        <w:spacing w:after="0" w:line="266" w:lineRule="auto"/>
        <w:tabs>
          <w:tab w:leader="none" w:pos="102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$23.8 million higher for the three months ended March 31, 2024 compared to the same period in the prior year primarily due to increased Electric and Gas Utility margins driven by new rates and increased rider revenues and lower operating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Net inflows from changes in certain operating assets and liabilities were $118.0 million lower, primarily attributable to:</w:t>
      </w:r>
    </w:p>
    <w:p>
      <w:pPr>
        <w:spacing w:after="0" w:line="206" w:lineRule="exact"/>
        <w:rPr>
          <w:rFonts w:ascii="Times New Roman" w:cs="Times New Roman" w:eastAsia="Times New Roman" w:hAnsi="Times New Roman"/>
          <w:sz w:val="16"/>
          <w:szCs w:val="16"/>
          <w:color w:val="auto"/>
        </w:rPr>
      </w:pPr>
    </w:p>
    <w:p>
      <w:pPr>
        <w:ind w:left="1540" w:right="38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inflows decreased by $85.7 million as a result of changes in accounts receivable and other current assets primarily driven by fluctuations in commodity prices and weather conditions;</w:t>
      </w:r>
    </w:p>
    <w:p>
      <w:pPr>
        <w:spacing w:after="0" w:line="128" w:lineRule="exact"/>
        <w:rPr>
          <w:rFonts w:ascii="Times New Roman" w:cs="Times New Roman" w:eastAsia="Times New Roman" w:hAnsi="Times New Roman"/>
          <w:sz w:val="16"/>
          <w:szCs w:val="16"/>
          <w:color w:val="auto"/>
        </w:rPr>
      </w:pPr>
    </w:p>
    <w:p>
      <w:pPr>
        <w:ind w:left="1540" w:right="660" w:hanging="509"/>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outflows decreased by $67.6 million as a result of changes in accounts payable and accrued liabilities primarily driven by fluctuations in commodity prices, payment timing of natural gas and power purchases and changes in other working capital requirements; and</w:t>
      </w:r>
    </w:p>
    <w:p>
      <w:pPr>
        <w:spacing w:after="0" w:line="144" w:lineRule="exact"/>
        <w:rPr>
          <w:rFonts w:ascii="Times New Roman" w:cs="Times New Roman" w:eastAsia="Times New Roman" w:hAnsi="Times New Roman"/>
          <w:sz w:val="16"/>
          <w:szCs w:val="16"/>
          <w:color w:val="auto"/>
        </w:rPr>
      </w:pPr>
    </w:p>
    <w:p>
      <w:pPr>
        <w:ind w:left="1540" w:right="10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inflows decreased by $99.9 million as a result of changes in our regulatory assets and liabilities primarily due to lower recoveries of deferred gas and fuel cost adjustments driven by fluctuations in commodity prices.</w:t>
      </w:r>
    </w:p>
    <w:p>
      <w:pPr>
        <w:spacing w:after="0" w:line="12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by $1.1 million for other operating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85"/>
        </w:trPr>
        <w:tc>
          <w:tcPr>
            <w:tcW w:w="6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00" w:type="dxa"/>
            <w:vAlign w:val="bottom"/>
            <w:gridSpan w:val="3"/>
          </w:tcPr>
          <w:p>
            <w:pPr>
              <w:jc w:val="center"/>
              <w:ind w:right="1019"/>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6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6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63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color w:val="auto"/>
              </w:rPr>
              <w:t>(in millions)</w:t>
            </w:r>
          </w:p>
        </w:tc>
        <w:tc>
          <w:tcPr>
            <w:tcW w:w="1440" w:type="dxa"/>
            <w:vAlign w:val="bottom"/>
            <w:tcBorders>
              <w:bottom w:val="single" w:sz="8" w:color="auto"/>
            </w:tcBorders>
          </w:tcPr>
          <w:p>
            <w:pPr>
              <w:spacing w:after="0"/>
              <w:rPr>
                <w:sz w:val="18"/>
                <w:szCs w:val="18"/>
                <w:color w:val="auto"/>
              </w:rPr>
            </w:pPr>
          </w:p>
        </w:tc>
      </w:tr>
      <w:tr>
        <w:trPr>
          <w:trHeight w:val="210"/>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(176.2 ) $</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(119.1 ) $</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(57.1 )</w:t>
            </w: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1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(0.7 )</w:t>
            </w: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17.6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(18.3 )</w:t>
            </w:r>
          </w:p>
        </w:tc>
      </w:tr>
      <w:tr>
        <w:trPr>
          <w:trHeight w:val="250"/>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(176.9 ) $</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(101.5 ) $</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(75.4 )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2024, Compared to the Three Months Ended March 31,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$75.4 million higher than the same period in 2023. The variance to the prior year was primarily attributable to:</w:t>
      </w:r>
    </w:p>
    <w:p>
      <w:pPr>
        <w:spacing w:after="0" w:line="194" w:lineRule="exact"/>
        <w:rPr>
          <w:sz w:val="20"/>
          <w:szCs w:val="20"/>
          <w:color w:val="auto"/>
        </w:rPr>
      </w:pPr>
    </w:p>
    <w:p>
      <w:pPr>
        <w:jc w:val="both"/>
        <w:ind w:left="1020" w:right="200" w:hanging="503"/>
        <w:spacing w:after="0" w:line="266" w:lineRule="auto"/>
        <w:tabs>
          <w:tab w:leader="none" w:pos="102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Cash outflows increased by $57.1 million as a result of higher capital expenditures which were primarily driven by Wyoming Electric's </w:t>
      </w:r>
      <w:r>
        <w:rPr>
          <w:rFonts w:ascii="Arial" w:cs="Arial" w:eastAsia="Arial" w:hAnsi="Arial"/>
          <w:sz w:val="16"/>
          <w:szCs w:val="16"/>
          <w:i w:val="1"/>
          <w:iCs w:val="1"/>
          <w:color w:val="auto"/>
        </w:rPr>
        <w:t>Ready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Wyoming </w:t>
      </w:r>
      <w:r>
        <w:rPr>
          <w:rFonts w:ascii="Arial" w:cs="Arial" w:eastAsia="Arial" w:hAnsi="Arial"/>
          <w:sz w:val="16"/>
          <w:szCs w:val="16"/>
          <w:color w:val="auto"/>
        </w:rPr>
        <w:t>electric transmission expansion project and Black Hills Energy Renewable Resources' acquisition of a RNG production facility at a</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in Dubuque, Iowa; and</w:t>
      </w:r>
    </w:p>
    <w:p>
      <w:pPr>
        <w:spacing w:after="0" w:line="143" w:lineRule="exact"/>
        <w:rPr>
          <w:rFonts w:ascii="Times New Roman" w:cs="Times New Roman" w:eastAsia="Times New Roman" w:hAnsi="Times New Roman"/>
          <w:sz w:val="16"/>
          <w:szCs w:val="16"/>
          <w:color w:val="auto"/>
        </w:rPr>
      </w:pPr>
    </w:p>
    <w:p>
      <w:pPr>
        <w:ind w:left="1020" w:right="500" w:hanging="503"/>
        <w:spacing w:after="0" w:line="285" w:lineRule="auto"/>
        <w:tabs>
          <w:tab w:leader="none" w:pos="102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by $18.3 million for other investing activities primarily due to prior year proceeds from the sale of Northern Iowa Windpower assets.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85"/>
        </w:trPr>
        <w:tc>
          <w:tcPr>
            <w:tcW w:w="6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40" w:type="dxa"/>
            <w:vAlign w:val="bottom"/>
            <w:gridSpan w:val="3"/>
          </w:tcPr>
          <w:p>
            <w:pPr>
              <w:jc w:val="center"/>
              <w:ind w:right="1079"/>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6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 vs 2023</w:t>
            </w:r>
          </w:p>
        </w:tc>
      </w:tr>
      <w:tr>
        <w:trPr>
          <w:trHeight w:val="217"/>
        </w:trPr>
        <w:tc>
          <w:tcPr>
            <w:tcW w:w="6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63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479"/>
              <w:spacing w:after="0"/>
              <w:rPr>
                <w:sz w:val="20"/>
                <w:szCs w:val="20"/>
                <w:color w:val="auto"/>
              </w:rPr>
            </w:pPr>
            <w:r>
              <w:rPr>
                <w:rFonts w:ascii="Arial" w:cs="Arial" w:eastAsia="Arial" w:hAnsi="Arial"/>
                <w:sz w:val="16"/>
                <w:szCs w:val="16"/>
                <w:color w:val="auto"/>
              </w:rPr>
              <w:t>(in millions)</w:t>
            </w:r>
          </w:p>
        </w:tc>
        <w:tc>
          <w:tcPr>
            <w:tcW w:w="1440" w:type="dxa"/>
            <w:vAlign w:val="bottom"/>
            <w:tcBorders>
              <w:bottom w:val="single" w:sz="8" w:color="auto"/>
            </w:tcBorders>
          </w:tcPr>
          <w:p>
            <w:pPr>
              <w:spacing w:after="0"/>
              <w:rPr>
                <w:sz w:val="18"/>
                <w:szCs w:val="18"/>
                <w:color w:val="auto"/>
              </w:rPr>
            </w:pPr>
          </w:p>
        </w:tc>
      </w:tr>
      <w:tr>
        <w:trPr>
          <w:trHeight w:val="210"/>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paid on common stock</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(44.4 ) $</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(41.4 ) $</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Common stock issued</w:t>
            </w:r>
          </w:p>
        </w:tc>
        <w:tc>
          <w:tcPr>
            <w:tcW w:w="106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31.2</w:t>
            </w:r>
          </w:p>
        </w:tc>
        <w:tc>
          <w:tcPr>
            <w:tcW w:w="1580" w:type="dxa"/>
            <w:vAlign w:val="bottom"/>
          </w:tcPr>
          <w:p>
            <w:pPr>
              <w:jc w:val="right"/>
              <w:ind w:right="219"/>
              <w:spacing w:after="0"/>
              <w:rPr>
                <w:sz w:val="20"/>
                <w:szCs w:val="20"/>
                <w:color w:val="auto"/>
              </w:rPr>
            </w:pPr>
            <w:r>
              <w:rPr>
                <w:rFonts w:ascii="Arial" w:cs="Arial" w:eastAsia="Arial" w:hAnsi="Arial"/>
                <w:sz w:val="16"/>
                <w:szCs w:val="16"/>
                <w:color w:val="auto"/>
              </w:rPr>
              <w:t>27.4</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3.8</w:t>
            </w:r>
          </w:p>
        </w:tc>
      </w:tr>
      <w:tr>
        <w:trPr>
          <w:trHeight w:val="217"/>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and long-term debt borrowings, net</w:t>
            </w: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(185.6 )</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185.6</w:t>
            </w: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106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(5.6 )</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(4.5 )</w:t>
            </w:r>
          </w:p>
        </w:tc>
        <w:tc>
          <w:tcPr>
            <w:tcW w:w="14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financing activities</w:t>
            </w:r>
          </w:p>
        </w:tc>
        <w:tc>
          <w:tcPr>
            <w:tcW w:w="10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(1.0 )</w:t>
            </w:r>
          </w:p>
        </w:tc>
        <w:tc>
          <w:tcPr>
            <w:tcW w:w="158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(5.0 )</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w:t>
            </w: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(19.8 )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(209.1 ) $</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189.3</w:t>
            </w:r>
          </w:p>
        </w:tc>
      </w:tr>
      <w:tr>
        <w:trPr>
          <w:trHeight w:val="20"/>
        </w:trPr>
        <w:tc>
          <w:tcPr>
            <w:tcW w:w="6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2024, Compared to the Three Months Ended March 31,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$189.3 million lower than the same period in 2023. The variance to the prior year was primarily attributable to:</w:t>
      </w:r>
    </w:p>
    <w:p>
      <w:pPr>
        <w:spacing w:after="0" w:line="19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$185.6 million as a result of prior year net repayment activity under our Revolving Credit Facility and CP Program;</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$3.8 million due to higher issuances of common stock;</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$3.0 million due to increased dividends paid on common stock; and</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by $4.0 million for other financing activities.</w:t>
      </w:r>
    </w:p>
    <w:p>
      <w:pPr>
        <w:sectPr>
          <w:pgSz w:w="11900" w:h="16838" w:orient="portrait"/>
          <w:cols w:equalWidth="0" w:num="1">
            <w:col w:w="11240"/>
          </w:cols>
          <w:pgMar w:left="320" w:top="773" w:right="3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financing updates.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March 31, 2024.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We plan to fund our capital plan and strategic objectives by using cash generated from operating activities and various financing alternatives, which could include our Revolving Credit Facility, our CP Program, the issuance of common stock under our ATM program or in an opportunistic block trade. We plan to re-finance our $600 million, 1.037%, senior unsecured notes due August 23, 2024, at or before maturity date.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at March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508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b w:val="1"/>
                <w:bCs w:val="1"/>
                <w:color w:val="auto"/>
              </w:rPr>
              <w:t>Senior Unsecured Rating</w:t>
            </w:r>
          </w:p>
        </w:tc>
        <w:tc>
          <w:tcPr>
            <w:tcW w:w="27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Outlook</w:t>
            </w:r>
          </w:p>
        </w:tc>
      </w:tr>
      <w:tr>
        <w:trPr>
          <w:trHeight w:val="209"/>
        </w:trPr>
        <w:tc>
          <w:tcPr>
            <w:tcW w:w="3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S&amp;P</w:t>
            </w:r>
          </w:p>
        </w:tc>
        <w:tc>
          <w:tcPr>
            <w:tcW w:w="5080" w:type="dxa"/>
            <w:vAlign w:val="bottom"/>
            <w:shd w:val="clear" w:color="auto" w:fill="CFF0FC"/>
          </w:tcPr>
          <w:p>
            <w:pPr>
              <w:jc w:val="center"/>
              <w:ind w:left="1299"/>
              <w:spacing w:after="0"/>
              <w:rPr>
                <w:sz w:val="20"/>
                <w:szCs w:val="20"/>
                <w:color w:val="auto"/>
              </w:rPr>
            </w:pPr>
            <w:r>
              <w:rPr>
                <w:rFonts w:ascii="Arial" w:cs="Arial" w:eastAsia="Arial" w:hAnsi="Arial"/>
                <w:sz w:val="16"/>
                <w:szCs w:val="16"/>
                <w:color w:val="auto"/>
              </w:rPr>
              <w:t>BBB+</w:t>
            </w:r>
          </w:p>
        </w:tc>
        <w:tc>
          <w:tcPr>
            <w:tcW w:w="2740" w:type="dxa"/>
            <w:vAlign w:val="bottom"/>
            <w:shd w:val="clear" w:color="auto" w:fill="CFF0FC"/>
          </w:tcPr>
          <w:p>
            <w:pPr>
              <w:jc w:val="center"/>
              <w:ind w:right="239"/>
              <w:spacing w:after="0"/>
              <w:rPr>
                <w:sz w:val="20"/>
                <w:szCs w:val="20"/>
                <w:color w:val="auto"/>
              </w:rPr>
            </w:pPr>
            <w:r>
              <w:rPr>
                <w:rFonts w:ascii="Arial" w:cs="Arial" w:eastAsia="Arial" w:hAnsi="Arial"/>
                <w:sz w:val="16"/>
                <w:szCs w:val="16"/>
                <w:color w:val="auto"/>
              </w:rPr>
              <w:t>Stable</w:t>
            </w:r>
          </w:p>
        </w:tc>
      </w:tr>
      <w:tr>
        <w:trPr>
          <w:trHeight w:val="215"/>
        </w:trPr>
        <w:tc>
          <w:tcPr>
            <w:tcW w:w="3420" w:type="dxa"/>
            <w:vAlign w:val="bottom"/>
          </w:tcPr>
          <w:p>
            <w:pPr>
              <w:ind w:left="20"/>
              <w:spacing w:after="0"/>
              <w:rPr>
                <w:sz w:val="20"/>
                <w:szCs w:val="20"/>
                <w:color w:val="auto"/>
              </w:rPr>
            </w:pPr>
            <w:r>
              <w:rPr>
                <w:rFonts w:ascii="Arial" w:cs="Arial" w:eastAsia="Arial" w:hAnsi="Arial"/>
                <w:sz w:val="16"/>
                <w:szCs w:val="16"/>
                <w:color w:val="auto"/>
              </w:rPr>
              <w:t>Moody's</w:t>
            </w:r>
          </w:p>
        </w:tc>
        <w:tc>
          <w:tcPr>
            <w:tcW w:w="5080" w:type="dxa"/>
            <w:vAlign w:val="bottom"/>
          </w:tcPr>
          <w:p>
            <w:pPr>
              <w:jc w:val="center"/>
              <w:ind w:left="1299"/>
              <w:spacing w:after="0"/>
              <w:rPr>
                <w:sz w:val="20"/>
                <w:szCs w:val="20"/>
                <w:color w:val="auto"/>
              </w:rPr>
            </w:pPr>
            <w:r>
              <w:rPr>
                <w:rFonts w:ascii="Arial" w:cs="Arial" w:eastAsia="Arial" w:hAnsi="Arial"/>
                <w:sz w:val="16"/>
                <w:szCs w:val="16"/>
                <w:color w:val="auto"/>
              </w:rPr>
              <w:t>Baa2</w:t>
            </w:r>
          </w:p>
        </w:tc>
        <w:tc>
          <w:tcPr>
            <w:tcW w:w="2740" w:type="dxa"/>
            <w:vAlign w:val="bottom"/>
          </w:tcPr>
          <w:p>
            <w:pPr>
              <w:jc w:val="center"/>
              <w:ind w:right="239"/>
              <w:spacing w:after="0"/>
              <w:rPr>
                <w:sz w:val="20"/>
                <w:szCs w:val="20"/>
                <w:color w:val="auto"/>
              </w:rPr>
            </w:pPr>
            <w:r>
              <w:rPr>
                <w:rFonts w:ascii="Arial" w:cs="Arial" w:eastAsia="Arial" w:hAnsi="Arial"/>
                <w:sz w:val="16"/>
                <w:szCs w:val="16"/>
                <w:color w:val="auto"/>
              </w:rPr>
              <w:t>Stable</w:t>
            </w:r>
          </w:p>
        </w:tc>
      </w:tr>
      <w:tr>
        <w:trPr>
          <w:trHeight w:val="217"/>
        </w:trPr>
        <w:tc>
          <w:tcPr>
            <w:tcW w:w="342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(a)</w:t>
            </w:r>
          </w:p>
        </w:tc>
        <w:tc>
          <w:tcPr>
            <w:tcW w:w="5080" w:type="dxa"/>
            <w:vAlign w:val="bottom"/>
            <w:shd w:val="clear" w:color="auto" w:fill="CFF0FC"/>
          </w:tcPr>
          <w:p>
            <w:pPr>
              <w:jc w:val="center"/>
              <w:ind w:left="1299"/>
              <w:spacing w:after="0"/>
              <w:rPr>
                <w:sz w:val="20"/>
                <w:szCs w:val="20"/>
                <w:color w:val="auto"/>
              </w:rPr>
            </w:pPr>
            <w:r>
              <w:rPr>
                <w:rFonts w:ascii="Arial" w:cs="Arial" w:eastAsia="Arial" w:hAnsi="Arial"/>
                <w:sz w:val="16"/>
                <w:szCs w:val="16"/>
                <w:color w:val="auto"/>
              </w:rPr>
              <w:t>BBB+</w:t>
            </w:r>
          </w:p>
        </w:tc>
        <w:tc>
          <w:tcPr>
            <w:tcW w:w="274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Negative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January 26, 2024, Fitch reported BBB+ rating and revised to a Negative outlook.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of South Dakota Electric at March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1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Senior Secured Rating</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S&amp;P</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6"/>
                <w:szCs w:val="16"/>
                <w:color w:val="auto"/>
              </w:rPr>
              <w:t>Fitch</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6"/>
                <w:szCs w:val="16"/>
                <w:color w:val="auto"/>
              </w:rPr>
              <w:t>A</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99"/>
        </w:trPr>
        <w:tc>
          <w:tcPr>
            <w:tcW w:w="306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306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5"/>
        </w:trPr>
        <w:tc>
          <w:tcPr>
            <w:tcW w:w="3060" w:type="dxa"/>
            <w:vAlign w:val="bottom"/>
          </w:tcPr>
          <w:p>
            <w:pPr>
              <w:spacing w:after="0"/>
              <w:rPr>
                <w:sz w:val="24"/>
                <w:szCs w:val="24"/>
                <w:color w:val="auto"/>
              </w:rPr>
            </w:pPr>
          </w:p>
        </w:tc>
        <w:tc>
          <w:tcPr>
            <w:tcW w:w="188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Actual</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Forecasted</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69"/>
        </w:trPr>
        <w:tc>
          <w:tcPr>
            <w:tcW w:w="3060" w:type="dxa"/>
            <w:vAlign w:val="bottom"/>
          </w:tcPr>
          <w:p>
            <w:pPr>
              <w:spacing w:after="0"/>
              <w:rPr>
                <w:sz w:val="14"/>
                <w:szCs w:val="14"/>
                <w:color w:val="auto"/>
              </w:rPr>
            </w:pPr>
          </w:p>
        </w:tc>
        <w:tc>
          <w:tcPr>
            <w:tcW w:w="1880" w:type="dxa"/>
            <w:vAlign w:val="bottom"/>
          </w:tcPr>
          <w:p>
            <w:pPr>
              <w:jc w:val="center"/>
              <w:ind w:left="179"/>
              <w:spacing w:after="0" w:line="169" w:lineRule="exact"/>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 by Segment</w:t>
            </w:r>
          </w:p>
        </w:tc>
        <w:tc>
          <w:tcPr>
            <w:tcW w:w="1880" w:type="dxa"/>
            <w:vAlign w:val="bottom"/>
            <w:tcBorders>
              <w:bottom w:val="single" w:sz="8" w:color="auto"/>
            </w:tcBorders>
          </w:tcPr>
          <w:p>
            <w:pPr>
              <w:jc w:val="center"/>
              <w:ind w:left="219"/>
              <w:spacing w:after="0" w:line="230" w:lineRule="exact"/>
              <w:rPr>
                <w:sz w:val="20"/>
                <w:szCs w:val="20"/>
                <w:color w:val="auto"/>
              </w:rPr>
            </w:pPr>
            <w:r>
              <w:rPr>
                <w:rFonts w:ascii="Arial" w:cs="Arial" w:eastAsia="Arial" w:hAnsi="Arial"/>
                <w:sz w:val="16"/>
                <w:szCs w:val="16"/>
                <w:b w:val="1"/>
                <w:bCs w:val="1"/>
                <w:color w:val="auto"/>
                <w:w w:val="98"/>
              </w:rPr>
              <w:t xml:space="preserve">March 31, 2024 </w:t>
            </w:r>
            <w:r>
              <w:rPr>
                <w:rFonts w:ascii="Arial" w:cs="Arial" w:eastAsia="Arial" w:hAnsi="Arial"/>
                <w:sz w:val="21"/>
                <w:szCs w:val="21"/>
                <w:b w:val="1"/>
                <w:bCs w:val="1"/>
                <w:color w:val="auto"/>
                <w:w w:val="98"/>
                <w:vertAlign w:val="superscript"/>
              </w:rPr>
              <w:t>(a)</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9"/>
              <w:spacing w:after="0" w:line="230" w:lineRule="exact"/>
              <w:rPr>
                <w:sz w:val="20"/>
                <w:szCs w:val="20"/>
                <w:color w:val="auto"/>
              </w:rPr>
            </w:pPr>
            <w:r>
              <w:rPr>
                <w:rFonts w:ascii="Arial" w:cs="Arial" w:eastAsia="Arial" w:hAnsi="Arial"/>
                <w:sz w:val="16"/>
                <w:szCs w:val="16"/>
                <w:b w:val="1"/>
                <w:bCs w:val="1"/>
                <w:color w:val="auto"/>
              </w:rPr>
              <w:t xml:space="preserve">2024 </w:t>
            </w:r>
            <w:r>
              <w:rPr>
                <w:rFonts w:ascii="Arial" w:cs="Arial" w:eastAsia="Arial" w:hAnsi="Arial"/>
                <w:sz w:val="21"/>
                <w:szCs w:val="21"/>
                <w:b w:val="1"/>
                <w:bCs w:val="1"/>
                <w:color w:val="auto"/>
                <w:vertAlign w:val="superscript"/>
              </w:rPr>
              <w:t>(b)</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2027</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2028</w:t>
            </w:r>
          </w:p>
        </w:tc>
      </w:tr>
      <w:tr>
        <w:trPr>
          <w:trHeight w:val="209"/>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 millions)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5"/>
        </w:trPr>
        <w:tc>
          <w:tcPr>
            <w:tcW w:w="30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1880" w:type="dxa"/>
            <w:vAlign w:val="bottom"/>
          </w:tcPr>
          <w:p>
            <w:pPr>
              <w:jc w:val="right"/>
              <w:ind w:right="169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87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466</w:t>
            </w:r>
          </w:p>
        </w:tc>
        <w:tc>
          <w:tcPr>
            <w:tcW w:w="3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264</w:t>
            </w:r>
          </w:p>
        </w:tc>
      </w:tr>
      <w:tr>
        <w:trPr>
          <w:trHeight w:val="217"/>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Gas Utilities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373</w:t>
            </w:r>
          </w:p>
        </w:tc>
      </w:tr>
      <w:tr>
        <w:trPr>
          <w:trHeight w:val="215"/>
        </w:trPr>
        <w:tc>
          <w:tcPr>
            <w:tcW w:w="30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1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w:t>
            </w:r>
          </w:p>
        </w:tc>
      </w:tr>
      <w:tr>
        <w:trPr>
          <w:trHeight w:val="217"/>
        </w:trPr>
        <w:tc>
          <w:tcPr>
            <w:tcW w:w="3060" w:type="dxa"/>
            <w:vAlign w:val="bottom"/>
            <w:tcBorders>
              <w:bottom w:val="single" w:sz="8" w:color="CFF0FC"/>
            </w:tcBorders>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(c)</w:t>
            </w:r>
          </w:p>
        </w:tc>
        <w:tc>
          <w:tcPr>
            <w:tcW w:w="18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r>
      <w:tr>
        <w:trPr>
          <w:trHeight w:val="209"/>
        </w:trPr>
        <w:tc>
          <w:tcPr>
            <w:tcW w:w="3060" w:type="dxa"/>
            <w:vAlign w:val="bottom"/>
          </w:tcPr>
          <w:p>
            <w:pPr>
              <w:spacing w:after="0"/>
              <w:rPr>
                <w:sz w:val="18"/>
                <w:szCs w:val="18"/>
                <w:color w:val="auto"/>
              </w:rPr>
            </w:pPr>
          </w:p>
        </w:tc>
        <w:tc>
          <w:tcPr>
            <w:tcW w:w="1880" w:type="dxa"/>
            <w:vAlign w:val="bottom"/>
            <w:tcBorders>
              <w:bottom w:val="single" w:sz="8" w:color="auto"/>
            </w:tcBorders>
          </w:tcPr>
          <w:p>
            <w:pPr>
              <w:jc w:val="right"/>
              <w:ind w:right="16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716</w:t>
            </w:r>
          </w:p>
        </w:tc>
      </w:tr>
      <w:tr>
        <w:trPr>
          <w:trHeight w:val="20"/>
        </w:trPr>
        <w:tc>
          <w:tcPr>
            <w:tcW w:w="30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800" w:hanging="512"/>
        <w:spacing w:after="0" w:line="251"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actual capital expenditures for the three months ended March 31, 2024.</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4749800</wp:posOffset>
            </wp:positionH>
            <wp:positionV relativeFrom="paragraph">
              <wp:posOffset>-318770</wp:posOffset>
            </wp:positionV>
            <wp:extent cx="16249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Dividends paid on our common stock totaled $44.4 million for the three months ended March 31, 2024, or $0.65 per share. On April 22, 2024, our board of directors declared a quarterly dividend of $0.65 per share payable June 1, 2024, equivalent to an annual dividend of $2.60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 summary of our critical accounting estimates is included in our 2023 Annual Report on Form 10-K. There were no material changes made as of March 31, 2024.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Other than the pronouncements reported in our 2023 Annual Report on Form 10-K and those discussed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Condensed Notes to Consolidated Financial Statements, there have been no new accounting pronouncements that are expected to have a material effect on our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4860290</wp:posOffset>
            </wp:positionH>
            <wp:positionV relativeFrom="paragraph">
              <wp:posOffset>-276225</wp:posOffset>
            </wp:positionV>
            <wp:extent cx="302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2023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March 31, 2024. Based on their evaluation, they have concluded that our disclosure controls and procedures were effective at March 31, 2024.</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During the quarter ended March 31, 2024, there have been no changes in our internal controls over financial reporting that have materially affected or are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 xml:space="preserve">For information regarding legal proceedings,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and Note 3 in Item 8 of our 2023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-165735</wp:posOffset>
            </wp:positionV>
            <wp:extent cx="302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2023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March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Maximum Number (or</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40" w:type="dxa"/>
            <w:vAlign w:val="bottom"/>
          </w:tcPr>
          <w:p>
            <w:pPr>
              <w:spacing w:after="0"/>
              <w:rPr>
                <w:sz w:val="16"/>
                <w:szCs w:val="16"/>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rPr>
              <w:t>May Yet Be</w:t>
            </w:r>
          </w:p>
        </w:tc>
      </w:tr>
      <w:tr>
        <w:trPr>
          <w:trHeight w:val="163"/>
        </w:trPr>
        <w:tc>
          <w:tcPr>
            <w:tcW w:w="3820" w:type="dxa"/>
            <w:vAlign w:val="bottom"/>
          </w:tcPr>
          <w:p>
            <w:pPr>
              <w:spacing w:after="0"/>
              <w:rPr>
                <w:sz w:val="14"/>
                <w:szCs w:val="14"/>
                <w:color w:val="auto"/>
              </w:rPr>
            </w:pPr>
          </w:p>
        </w:tc>
        <w:tc>
          <w:tcPr>
            <w:tcW w:w="1980" w:type="dxa"/>
            <w:vAlign w:val="bottom"/>
          </w:tcPr>
          <w:p>
            <w:pPr>
              <w:jc w:val="right"/>
              <w:ind w:right="59"/>
              <w:spacing w:after="0" w:line="163" w:lineRule="exact"/>
              <w:rPr>
                <w:sz w:val="20"/>
                <w:szCs w:val="20"/>
                <w:color w:val="auto"/>
              </w:rPr>
            </w:pPr>
            <w:r>
              <w:rPr>
                <w:rFonts w:ascii="Arial" w:cs="Arial" w:eastAsia="Arial" w:hAnsi="Arial"/>
                <w:sz w:val="16"/>
                <w:szCs w:val="16"/>
                <w:b w:val="1"/>
                <w:bCs w:val="1"/>
                <w:color w:val="auto"/>
              </w:rPr>
              <w:t>Total Number of Shares</w:t>
            </w:r>
          </w:p>
        </w:tc>
        <w:tc>
          <w:tcPr>
            <w:tcW w:w="1420" w:type="dxa"/>
            <w:vAlign w:val="bottom"/>
            <w:gridSpan w:val="2"/>
          </w:tcPr>
          <w:p>
            <w:pPr>
              <w:jc w:val="right"/>
              <w:ind w:right="139"/>
              <w:spacing w:after="0" w:line="163" w:lineRule="exact"/>
              <w:rPr>
                <w:sz w:val="20"/>
                <w:szCs w:val="20"/>
                <w:color w:val="auto"/>
              </w:rPr>
            </w:pPr>
            <w:r>
              <w:rPr>
                <w:rFonts w:ascii="Arial" w:cs="Arial" w:eastAsia="Arial" w:hAnsi="Arial"/>
                <w:sz w:val="16"/>
                <w:szCs w:val="16"/>
                <w:b w:val="1"/>
                <w:bCs w:val="1"/>
                <w:color w:val="auto"/>
              </w:rPr>
              <w:t>Average Price</w:t>
            </w:r>
          </w:p>
        </w:tc>
        <w:tc>
          <w:tcPr>
            <w:tcW w:w="19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Publicly Announced</w:t>
            </w:r>
          </w:p>
        </w:tc>
        <w:tc>
          <w:tcPr>
            <w:tcW w:w="140" w:type="dxa"/>
            <w:vAlign w:val="bottom"/>
          </w:tcPr>
          <w:p>
            <w:pPr>
              <w:spacing w:after="0"/>
              <w:rPr>
                <w:sz w:val="14"/>
                <w:szCs w:val="14"/>
                <w:color w:val="auto"/>
              </w:rPr>
            </w:pPr>
          </w:p>
        </w:tc>
        <w:tc>
          <w:tcPr>
            <w:tcW w:w="192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Purchased Under the</w:t>
            </w:r>
          </w:p>
        </w:tc>
      </w:tr>
      <w:tr>
        <w:trPr>
          <w:trHeight w:val="243"/>
        </w:trPr>
        <w:tc>
          <w:tcPr>
            <w:tcW w:w="382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Period</w:t>
            </w:r>
          </w:p>
        </w:tc>
        <w:tc>
          <w:tcPr>
            <w:tcW w:w="1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1"/>
                <w:szCs w:val="21"/>
                <w:b w:val="1"/>
                <w:bCs w:val="1"/>
                <w:color w:val="auto"/>
                <w:vertAlign w:val="superscript"/>
              </w:rPr>
              <w:t>(a)</w:t>
            </w:r>
          </w:p>
        </w:tc>
        <w:tc>
          <w:tcPr>
            <w:tcW w:w="14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19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Plans or Programs</w:t>
            </w: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r>
      <w:tr>
        <w:trPr>
          <w:trHeight w:val="210"/>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January 1, 2024 - January 31, 2024</w:t>
            </w:r>
          </w:p>
        </w:tc>
        <w:tc>
          <w:tcPr>
            <w:tcW w:w="1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53.43</w:t>
            </w:r>
          </w:p>
        </w:tc>
        <w:tc>
          <w:tcPr>
            <w:tcW w:w="19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February 1, 2024 - February 29, 2024</w:t>
            </w:r>
          </w:p>
        </w:tc>
        <w:tc>
          <w:tcPr>
            <w:tcW w:w="1980" w:type="dxa"/>
            <w:vAlign w:val="bottom"/>
          </w:tcPr>
          <w:p>
            <w:pPr>
              <w:jc w:val="right"/>
              <w:spacing w:after="0"/>
              <w:rPr>
                <w:sz w:val="20"/>
                <w:szCs w:val="20"/>
                <w:color w:val="auto"/>
              </w:rPr>
            </w:pPr>
            <w:r>
              <w:rPr>
                <w:rFonts w:ascii="Arial" w:cs="Arial" w:eastAsia="Arial" w:hAnsi="Arial"/>
                <w:sz w:val="16"/>
                <w:szCs w:val="16"/>
                <w:color w:val="auto"/>
              </w:rPr>
              <w:t>14,597</w:t>
            </w:r>
          </w:p>
        </w:tc>
        <w:tc>
          <w:tcPr>
            <w:tcW w:w="5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51.62</w:t>
            </w:r>
          </w:p>
        </w:tc>
        <w:tc>
          <w:tcPr>
            <w:tcW w:w="19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March 1, 2024 - March 31, 2024</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51.44</w:t>
            </w:r>
          </w:p>
        </w:tc>
        <w:tc>
          <w:tcPr>
            <w:tcW w:w="19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820" w:type="dxa"/>
            <w:vAlign w:val="bottom"/>
          </w:tcPr>
          <w:p>
            <w:pPr>
              <w:ind w:left="300"/>
              <w:spacing w:after="0"/>
              <w:rPr>
                <w:sz w:val="20"/>
                <w:szCs w:val="20"/>
                <w:color w:val="auto"/>
              </w:rPr>
            </w:pPr>
            <w:r>
              <w:rPr>
                <w:rFonts w:ascii="Arial" w:cs="Arial" w:eastAsia="Arial" w:hAnsi="Arial"/>
                <w:sz w:val="16"/>
                <w:szCs w:val="16"/>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14,599</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51.62</w:t>
            </w:r>
          </w:p>
        </w:tc>
        <w:tc>
          <w:tcPr>
            <w:tcW w:w="1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38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0" w:lineRule="exact"/>
        <w:rPr>
          <w:sz w:val="20"/>
          <w:szCs w:val="20"/>
          <w:color w:val="auto"/>
        </w:rPr>
      </w:pPr>
    </w:p>
    <w:p>
      <w:pPr>
        <w:ind w:left="520" w:right="360" w:hanging="512"/>
        <w:spacing w:after="0" w:line="285"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March 31, 2024.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20" w:type="dxa"/>
            <w:vAlign w:val="bottom"/>
            <w:gridSpan w:val="5"/>
            <w:vMerge w:val="restart"/>
          </w:tcPr>
          <w:p>
            <w:pPr>
              <w:ind w:left="7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15"/>
        </w:trPr>
        <w:tc>
          <w:tcPr>
            <w:tcW w:w="14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1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40" w:type="dxa"/>
            <w:vAlign w:val="bottom"/>
          </w:tcPr>
          <w:p>
            <w:pPr>
              <w:ind w:left="120"/>
              <w:spacing w:after="0"/>
              <w:rPr>
                <w:sz w:val="20"/>
                <w:szCs w:val="20"/>
                <w:color w:val="auto"/>
              </w:rPr>
            </w:pPr>
            <w:r>
              <w:rPr>
                <w:rFonts w:ascii="Arial" w:cs="Arial" w:eastAsia="Arial" w:hAnsi="Arial"/>
                <w:sz w:val="16"/>
                <w:szCs w:val="16"/>
                <w:color w:val="auto"/>
              </w:rPr>
              <w:t>31.1*</w:t>
            </w:r>
          </w:p>
        </w:tc>
        <w:tc>
          <w:tcPr>
            <w:tcW w:w="9800" w:type="dxa"/>
            <w:vAlign w:val="bottom"/>
            <w:gridSpan w:val="9"/>
          </w:tcPr>
          <w:p>
            <w:pPr>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42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31.2*</w:t>
            </w:r>
          </w:p>
        </w:tc>
        <w:tc>
          <w:tcPr>
            <w:tcW w:w="980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93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3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32.1*</w:t>
            </w:r>
          </w:p>
        </w:tc>
        <w:tc>
          <w:tcPr>
            <w:tcW w:w="9800" w:type="dxa"/>
            <w:vAlign w:val="bottom"/>
            <w:gridSpan w:val="9"/>
          </w:tcPr>
          <w:p>
            <w:pPr>
              <w:spacing w:after="0"/>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Oxley Act of 2002.</w:t>
            </w:r>
          </w:p>
        </w:tc>
        <w:tc>
          <w:tcPr>
            <w:tcW w:w="7980" w:type="dxa"/>
            <w:vAlign w:val="bottom"/>
            <w:tcBorders>
              <w:top w:val="single" w:sz="8" w:color="0000FF"/>
            </w:tcBorders>
            <w:gridSpan w:val="3"/>
          </w:tcPr>
          <w:p>
            <w:pPr>
              <w:spacing w:after="0"/>
              <w:rPr>
                <w:sz w:val="14"/>
                <w:szCs w:val="14"/>
                <w:color w:val="auto"/>
              </w:rPr>
            </w:pPr>
          </w:p>
        </w:tc>
        <w:tc>
          <w:tcPr>
            <w:tcW w:w="4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32.2*</w:t>
            </w:r>
          </w:p>
        </w:tc>
        <w:tc>
          <w:tcPr>
            <w:tcW w:w="9800" w:type="dxa"/>
            <w:vAlign w:val="bottom"/>
            <w:gridSpan w:val="9"/>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Act of 2002.</w:t>
            </w:r>
          </w:p>
        </w:tc>
        <w:tc>
          <w:tcPr>
            <w:tcW w:w="8840" w:type="dxa"/>
            <w:vAlign w:val="bottom"/>
            <w:tcBorders>
              <w:top w:val="single" w:sz="8" w:color="0000FF"/>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40" w:type="dxa"/>
            <w:vAlign w:val="bottom"/>
          </w:tcPr>
          <w:p>
            <w:pPr>
              <w:ind w:left="120"/>
              <w:spacing w:after="0"/>
              <w:rPr>
                <w:sz w:val="20"/>
                <w:szCs w:val="20"/>
                <w:color w:val="auto"/>
              </w:rPr>
            </w:pPr>
            <w:r>
              <w:rPr>
                <w:rFonts w:ascii="Arial" w:cs="Arial" w:eastAsia="Arial" w:hAnsi="Arial"/>
                <w:sz w:val="16"/>
                <w:szCs w:val="16"/>
                <w:color w:val="auto"/>
              </w:rPr>
              <w:t>95*</w:t>
            </w:r>
          </w:p>
        </w:tc>
        <w:tc>
          <w:tcPr>
            <w:tcW w:w="9800" w:type="dxa"/>
            <w:vAlign w:val="bottom"/>
            <w:gridSpan w:val="9"/>
          </w:tcPr>
          <w:p>
            <w:pPr>
              <w:spacing w:after="0"/>
              <w:rPr>
                <w:sz w:val="20"/>
                <w:szCs w:val="20"/>
                <w:color w:val="auto"/>
              </w:rPr>
            </w:pPr>
            <w:r>
              <w:rPr>
                <w:rFonts w:ascii="Arial" w:cs="Arial" w:eastAsia="Arial" w:hAnsi="Arial"/>
                <w:sz w:val="16"/>
                <w:szCs w:val="16"/>
                <w:color w:val="0000FF"/>
              </w:rPr>
              <w:t>Mine Safety and Health Administration Safety Data.</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40" w:type="dxa"/>
            <w:vAlign w:val="bottom"/>
          </w:tcPr>
          <w:p>
            <w:pPr>
              <w:ind w:left="120"/>
              <w:spacing w:after="0"/>
              <w:rPr>
                <w:sz w:val="20"/>
                <w:szCs w:val="20"/>
                <w:color w:val="auto"/>
              </w:rPr>
            </w:pPr>
            <w:r>
              <w:rPr>
                <w:rFonts w:ascii="Arial" w:cs="Arial" w:eastAsia="Arial" w:hAnsi="Arial"/>
                <w:sz w:val="16"/>
                <w:szCs w:val="16"/>
                <w:color w:val="auto"/>
              </w:rPr>
              <w:t>101.INS*</w:t>
            </w:r>
          </w:p>
        </w:tc>
        <w:tc>
          <w:tcPr>
            <w:tcW w:w="980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9800" w:type="dxa"/>
            <w:vAlign w:val="bottom"/>
            <w:gridSpan w:val="9"/>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101.SCH*</w:t>
            </w:r>
          </w:p>
        </w:tc>
        <w:tc>
          <w:tcPr>
            <w:tcW w:w="98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with Embedded Linkbase Document</w:t>
            </w:r>
          </w:p>
        </w:tc>
        <w:tc>
          <w:tcPr>
            <w:tcW w:w="0" w:type="dxa"/>
            <w:vAlign w:val="bottom"/>
          </w:tcPr>
          <w:p>
            <w:pPr>
              <w:spacing w:after="0"/>
              <w:rPr>
                <w:sz w:val="1"/>
                <w:szCs w:val="1"/>
                <w:color w:val="auto"/>
              </w:rPr>
            </w:pPr>
          </w:p>
        </w:tc>
      </w:tr>
      <w:tr>
        <w:trPr>
          <w:trHeight w:val="297"/>
        </w:trPr>
        <w:tc>
          <w:tcPr>
            <w:tcW w:w="1440" w:type="dxa"/>
            <w:vAlign w:val="bottom"/>
          </w:tcPr>
          <w:p>
            <w:pPr>
              <w:ind w:left="120"/>
              <w:spacing w:after="0"/>
              <w:rPr>
                <w:sz w:val="20"/>
                <w:szCs w:val="20"/>
                <w:color w:val="auto"/>
              </w:rPr>
            </w:pPr>
            <w:r>
              <w:rPr>
                <w:rFonts w:ascii="Arial" w:cs="Arial" w:eastAsia="Arial" w:hAnsi="Arial"/>
                <w:sz w:val="16"/>
                <w:szCs w:val="16"/>
                <w:color w:val="auto"/>
              </w:rPr>
              <w:t>104*</w:t>
            </w:r>
          </w:p>
        </w:tc>
        <w:tc>
          <w:tcPr>
            <w:tcW w:w="980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45"/>
        </w:trPr>
        <w:tc>
          <w:tcPr>
            <w:tcW w:w="1440" w:type="dxa"/>
            <w:vAlign w:val="bottom"/>
          </w:tcPr>
          <w:p>
            <w:pPr>
              <w:spacing w:after="0"/>
              <w:rPr>
                <w:sz w:val="24"/>
                <w:szCs w:val="24"/>
                <w:color w:val="auto"/>
              </w:rPr>
            </w:pPr>
          </w:p>
        </w:tc>
        <w:tc>
          <w:tcPr>
            <w:tcW w:w="9300" w:type="dxa"/>
            <w:vAlign w:val="bottom"/>
            <w:gridSpan w:val="5"/>
          </w:tcPr>
          <w:p>
            <w:pPr>
              <w:ind w:left="4100"/>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1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6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BLACK HILLS CORPORATION</w:t>
      </w:r>
    </w:p>
    <w:p>
      <w:pPr>
        <w:spacing w:after="0" w:line="26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38100</wp:posOffset>
            </wp:positionV>
            <wp:extent cx="3703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8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Executive Officer</w:t>
      </w:r>
    </w:p>
    <w:p>
      <w:pPr>
        <w:spacing w:after="0" w:line="383"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38100</wp:posOffset>
            </wp:positionV>
            <wp:extent cx="3703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8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Kimberly F. Nooney, Senior Vice President and</w:t>
      </w:r>
    </w:p>
    <w:p>
      <w:pPr>
        <w:spacing w:after="0" w:line="11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Financial Officer</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Dated:</w:t>
            </w:r>
          </w:p>
        </w:tc>
        <w:tc>
          <w:tcPr>
            <w:tcW w:w="1040" w:type="dxa"/>
            <w:vAlign w:val="bottom"/>
          </w:tcPr>
          <w:p>
            <w:pPr>
              <w:ind w:left="160"/>
              <w:spacing w:after="0"/>
              <w:rPr>
                <w:sz w:val="20"/>
                <w:szCs w:val="20"/>
                <w:color w:val="auto"/>
              </w:rPr>
            </w:pPr>
            <w:r>
              <w:rPr>
                <w:rFonts w:ascii="Arial" w:cs="Arial" w:eastAsia="Arial" w:hAnsi="Arial"/>
                <w:sz w:val="16"/>
                <w:szCs w:val="16"/>
                <w:color w:val="auto"/>
                <w:w w:val="97"/>
              </w:rPr>
              <w:t>May 9, 2024</w:t>
            </w:r>
          </w:p>
        </w:tc>
      </w:tr>
    </w:tbl>
    <w:p>
      <w:pPr>
        <w:spacing w:after="0" w:line="23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773" w:right="12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94" w:lineRule="exact"/>
        <w:rPr>
          <w:sz w:val="20"/>
          <w:szCs w:val="20"/>
          <w:color w:val="auto"/>
        </w:rPr>
      </w:pPr>
    </w:p>
    <w:p>
      <w:pPr>
        <w:ind w:left="760" w:hanging="752"/>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40" w:hanging="752"/>
        <w:spacing w:after="0" w:line="266"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9, 2024</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20955</wp:posOffset>
            </wp:positionV>
            <wp:extent cx="3566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194"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40" w:hanging="752"/>
        <w:spacing w:after="0" w:line="266"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9, 2024</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20955</wp:posOffset>
            </wp:positionV>
            <wp:extent cx="3488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2024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40" w:hanging="743"/>
        <w:spacing w:after="0" w:line="286" w:lineRule="auto"/>
        <w:tabs>
          <w:tab w:leader="none" w:pos="1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May 9, 2024</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2024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40" w:hanging="743"/>
        <w:spacing w:after="0" w:line="286" w:lineRule="auto"/>
        <w:tabs>
          <w:tab w:leader="none" w:pos="1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May 9, 2024</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20955</wp:posOffset>
            </wp:positionV>
            <wp:extent cx="32061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Kimberly F. Nooney</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1036955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2024.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900" w:right="160" w:hanging="518"/>
        <w:spacing w:after="0" w:line="256"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900" w:right="120" w:hanging="518"/>
        <w:spacing w:after="0" w:line="256" w:lineRule="auto"/>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BHE – Wyodak Mine under the indicated provisions of the Mine Act, together with the total dollar value of proposed MSHA assessments received during the three months ended March 31, 2024 and legal actions pending before the Federal Mine Safety and Health Review Commission, together with the Administrative Law Judges thereof, for BHE – Wyodak Mine, our only mining complex. All citations were abated within 24 hours of issue.</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 Section</w:t>
            </w:r>
          </w:p>
        </w:tc>
        <w:tc>
          <w:tcPr>
            <w:tcW w:w="6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Received Notice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700" w:type="dxa"/>
            <w:vAlign w:val="bottom"/>
            <w:vMerge w:val="restart"/>
          </w:tcPr>
          <w:p>
            <w:pPr>
              <w:jc w:val="center"/>
              <w:ind w:left="16"/>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104 S&amp;S</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Total Number</w:t>
            </w:r>
          </w:p>
        </w:tc>
        <w:tc>
          <w:tcPr>
            <w:tcW w:w="1100" w:type="dxa"/>
            <w:vAlign w:val="bottom"/>
            <w:vMerge w:val="continue"/>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Mine/ MSHA</w:t>
            </w: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Citations issued</w:t>
            </w:r>
          </w:p>
        </w:tc>
        <w:tc>
          <w:tcPr>
            <w:tcW w:w="660" w:type="dxa"/>
            <w:vAlign w:val="bottom"/>
            <w:vMerge w:val="continue"/>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Section</w:t>
            </w:r>
          </w:p>
        </w:tc>
        <w:tc>
          <w:tcPr>
            <w:tcW w:w="920" w:type="dxa"/>
            <w:vAlign w:val="bottom"/>
            <w:vMerge w:val="continue"/>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Section 107(a)</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Dollar Value</w:t>
            </w:r>
          </w:p>
        </w:tc>
        <w:tc>
          <w:tcPr>
            <w:tcW w:w="880" w:type="dxa"/>
            <w:vAlign w:val="bottom"/>
            <w:vMerge w:val="continue"/>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Potential to</w:t>
            </w: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Pending as</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Actions</w:t>
            </w:r>
          </w:p>
        </w:tc>
        <w:tc>
          <w:tcPr>
            <w:tcW w:w="70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during three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104(d)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Section 110(b)</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Imminent</w:t>
            </w:r>
          </w:p>
        </w:tc>
        <w:tc>
          <w:tcPr>
            <w:tcW w:w="1200" w:type="dxa"/>
            <w:vAlign w:val="bottom"/>
            <w:gridSpan w:val="2"/>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Mining</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Have Pattern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Last Day</w:t>
            </w:r>
          </w:p>
        </w:tc>
        <w:tc>
          <w:tcPr>
            <w:tcW w:w="76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w w:val="96"/>
              </w:rPr>
              <w:t>Initiated</w:t>
            </w:r>
          </w:p>
        </w:tc>
        <w:tc>
          <w:tcPr>
            <w:tcW w:w="70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35"/>
        </w:trPr>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months ended</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and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(2) Violations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Danger</w:t>
            </w:r>
          </w:p>
        </w:tc>
        <w:tc>
          <w:tcPr>
            <w:tcW w:w="12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of Proposed MSHA</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Related</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Section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of Period</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During</w:t>
            </w:r>
          </w:p>
        </w:tc>
        <w:tc>
          <w:tcPr>
            <w:tcW w:w="7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180"/>
        </w:trPr>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March 31, 2024</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Orders (#)</w:t>
            </w:r>
          </w:p>
        </w:tc>
        <w:tc>
          <w:tcPr>
            <w:tcW w:w="92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00" w:type="dxa"/>
            <w:vAlign w:val="bottom"/>
          </w:tcPr>
          <w:p>
            <w:pPr>
              <w:spacing w:after="0"/>
              <w:rPr>
                <w:sz w:val="15"/>
                <w:szCs w:val="15"/>
                <w:color w:val="auto"/>
              </w:rPr>
            </w:pPr>
          </w:p>
        </w:tc>
        <w:tc>
          <w:tcPr>
            <w:tcW w:w="11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Assessments (a)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104(e) (yes/no)</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 (b)</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0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62"/>
        </w:trPr>
        <w:tc>
          <w:tcPr>
            <w:tcW w:w="1220" w:type="dxa"/>
            <w:vAlign w:val="bottom"/>
          </w:tcPr>
          <w:p>
            <w:pPr>
              <w:jc w:val="center"/>
              <w:spacing w:after="0"/>
              <w:rPr>
                <w:sz w:val="20"/>
                <w:szCs w:val="20"/>
                <w:color w:val="auto"/>
              </w:rPr>
            </w:pPr>
            <w:r>
              <w:rPr>
                <w:rFonts w:ascii="Arial" w:cs="Arial" w:eastAsia="Arial" w:hAnsi="Arial"/>
                <w:sz w:val="14"/>
                <w:szCs w:val="14"/>
                <w:color w:val="auto"/>
              </w:rPr>
              <w:t>Wyodak Coal Mine</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right"/>
              <w:ind w:right="513"/>
              <w:spacing w:after="0"/>
              <w:rPr>
                <w:sz w:val="20"/>
                <w:szCs w:val="20"/>
                <w:color w:val="auto"/>
              </w:rPr>
            </w:pPr>
            <w:r>
              <w:rPr>
                <w:rFonts w:ascii="Arial" w:cs="Arial" w:eastAsia="Arial" w:hAnsi="Arial"/>
                <w:sz w:val="14"/>
                <w:szCs w:val="14"/>
                <w:color w:val="auto"/>
                <w:w w:val="98"/>
              </w:rPr>
              <w:t>- 4800083</w:t>
            </w:r>
          </w:p>
        </w:tc>
        <w:tc>
          <w:tcPr>
            <w:tcW w:w="1100" w:type="dxa"/>
            <w:vAlign w:val="bottom"/>
          </w:tcPr>
          <w:p>
            <w:pPr>
              <w:jc w:val="right"/>
              <w:ind w:right="496"/>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860" w:type="dxa"/>
            <w:vAlign w:val="bottom"/>
          </w:tcPr>
          <w:p>
            <w:pPr>
              <w:jc w:val="center"/>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93"/>
              <w:spacing w:after="0"/>
              <w:rPr>
                <w:sz w:val="20"/>
                <w:szCs w:val="20"/>
                <w:color w:val="auto"/>
              </w:rPr>
            </w:pPr>
            <w:r>
              <w:rPr>
                <w:rFonts w:ascii="Arial" w:cs="Arial" w:eastAsia="Arial" w:hAnsi="Arial"/>
                <w:sz w:val="14"/>
                <w:szCs w:val="14"/>
                <w:color w:val="auto"/>
              </w:rPr>
              <w:t>1,606</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1100" w:type="dxa"/>
            <w:vAlign w:val="bottom"/>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6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56"/>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9030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5" w:lineRule="exact"/>
        <w:rPr>
          <w:sz w:val="20"/>
          <w:szCs w:val="20"/>
          <w:color w:val="auto"/>
        </w:rPr>
      </w:pPr>
    </w:p>
    <w:p>
      <w:pPr>
        <w:ind w:left="520" w:right="80" w:hanging="512"/>
        <w:spacing w:after="0" w:line="262" w:lineRule="auto"/>
        <w:tabs>
          <w:tab w:leader="none" w:pos="520" w:val="left"/>
        </w:tabs>
        <w:numPr>
          <w:ilvl w:val="0"/>
          <w:numId w:val="46"/>
        </w:numPr>
        <w:rPr>
          <w:rFonts w:ascii="Times New Roman" w:cs="Times New Roman" w:eastAsia="Times New Roman" w:hAnsi="Times New Roman"/>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4"/>
    </w:lvl>
  </w:abstractNum>
  <w:abstractNum w:abstractNumId="6">
    <w:nsid w:val="189A769B"/>
    <w:multiLevelType w:val="hybridMultilevel"/>
    <w:lvl w:ilvl="0">
      <w:lvlJc w:val="left"/>
      <w:lvlText w:val="(%1)"/>
      <w:numFmt w:val="decimal"/>
      <w:start w:val="5"/>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decimal"/>
      <w:start w:val="6"/>
    </w:lvl>
  </w:abstractNum>
  <w:abstractNum w:abstractNumId="9">
    <w:nsid w:val="2CA88611"/>
    <w:multiLevelType w:val="hybridMultilevel"/>
    <w:lvl w:ilvl="0">
      <w:lvlJc w:val="left"/>
      <w:lvlText w:val="(%1)"/>
      <w:numFmt w:val="decimal"/>
      <w:start w:val="7"/>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decimal"/>
      <w:start w:val="8"/>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decimal"/>
      <w:start w:val="9"/>
    </w:lvl>
  </w:abstractNum>
  <w:abstractNum w:abstractNumId="17">
    <w:nsid w:val="6CEAF087"/>
    <w:multiLevelType w:val="hybridMultilevel"/>
    <w:lvl w:ilvl="0">
      <w:lvlJc w:val="left"/>
      <w:lvlText w:val="(%1)"/>
      <w:numFmt w:val="decimal"/>
      <w:start w:val="10"/>
    </w:lvl>
  </w:abstractNum>
  <w:abstractNum w:abstractNumId="18">
    <w:nsid w:val="22221A70"/>
    <w:multiLevelType w:val="hybridMultilevel"/>
    <w:lvl w:ilvl="0">
      <w:lvlJc w:val="left"/>
      <w:lvlText w:val="(%1)"/>
      <w:numFmt w:val="decimal"/>
      <w:start w:val="12"/>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decimal"/>
      <w:start w:val="13"/>
    </w:lvl>
  </w:abstractNum>
  <w:abstractNum w:abstractNumId="21">
    <w:nsid w:val="614FD4A1"/>
    <w:multiLevelType w:val="hybridMultilevel"/>
    <w:lvl w:ilvl="0">
      <w:lvlJc w:val="left"/>
      <w:lvlText w:val="(%1)"/>
      <w:numFmt w:val="decimal"/>
      <w:start w:val="14"/>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2"/>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2024-05-09T10:43:43Z</dcterms:created>
  <dcterms:modified xsi:type="dcterms:W3CDTF">2024-05-09T10:43:43Z</dcterms:modified>
</cp:coreProperties>
</file>