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3940" w:right="1380" w:hanging="2549"/>
        <w:spacing w:after="0" w:line="286" w:lineRule="auto"/>
        <w:tabs>
          <w:tab w:leader="none" w:pos="157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March 31, 2025</w:t>
      </w:r>
    </w:p>
    <w:p>
      <w:pPr>
        <w:spacing w:after="0" w:line="129" w:lineRule="exact"/>
        <w:rPr>
          <w:sz w:val="24"/>
          <w:szCs w:val="24"/>
          <w:color w:val="auto"/>
        </w:rPr>
      </w:pPr>
    </w:p>
    <w:p>
      <w:pPr>
        <w:ind w:left="3540" w:right="1360" w:hanging="2167"/>
        <w:spacing w:after="0" w:line="286" w:lineRule="auto"/>
        <w:tabs>
          <w:tab w:leader="none" w:pos="16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86" w:lineRule="exact"/>
        <w:rPr>
          <w:sz w:val="24"/>
          <w:szCs w:val="24"/>
          <w:color w:val="auto"/>
        </w:rPr>
      </w:pPr>
    </w:p>
    <w:p>
      <w:pPr>
        <w:ind w:left="24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40" w:space="720"/>
            <w:col w:w="404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580" w:space="720"/>
            <w:col w:w="3400"/>
          </w:cols>
          <w:pgMar w:left="320" w:top="233" w:right="3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jc w:val="center"/>
              <w:ind w:left="2379"/>
              <w:spacing w:after="0"/>
              <w:rPr>
                <w:sz w:val="20"/>
                <w:szCs w:val="20"/>
                <w:color w:val="auto"/>
              </w:rPr>
            </w:pPr>
            <w:r>
              <w:rPr>
                <w:rFonts w:ascii="Arial" w:cs="Arial" w:eastAsia="Arial" w:hAnsi="Arial"/>
                <w:sz w:val="16"/>
                <w:szCs w:val="16"/>
                <w:color w:val="auto"/>
                <w:w w:val="99"/>
              </w:rPr>
              <w:t>Class</w:t>
            </w:r>
          </w:p>
        </w:tc>
        <w:tc>
          <w:tcPr>
            <w:tcW w:w="5460" w:type="dxa"/>
            <w:vAlign w:val="bottom"/>
          </w:tcPr>
          <w:p>
            <w:pPr>
              <w:ind w:left="540"/>
              <w:spacing w:after="0"/>
              <w:rPr>
                <w:sz w:val="20"/>
                <w:szCs w:val="20"/>
                <w:color w:val="auto"/>
              </w:rPr>
            </w:pPr>
            <w:r>
              <w:rPr>
                <w:rFonts w:ascii="Arial" w:cs="Arial" w:eastAsia="Arial" w:hAnsi="Arial"/>
                <w:sz w:val="16"/>
                <w:szCs w:val="16"/>
                <w:color w:val="auto"/>
              </w:rPr>
              <w:t>Outstanding at May 5, 2025</w:t>
            </w:r>
          </w:p>
        </w:tc>
      </w:tr>
      <w:tr>
        <w:trPr>
          <w:trHeight w:val="270"/>
        </w:trPr>
        <w:tc>
          <w:tcPr>
            <w:tcW w:w="5780" w:type="dxa"/>
            <w:vAlign w:val="bottom"/>
          </w:tcPr>
          <w:p>
            <w:pPr>
              <w:jc w:val="center"/>
              <w:ind w:left="2339"/>
              <w:spacing w:after="0"/>
              <w:rPr>
                <w:sz w:val="20"/>
                <w:szCs w:val="20"/>
                <w:color w:val="auto"/>
              </w:rPr>
            </w:pPr>
            <w:r>
              <w:rPr>
                <w:rFonts w:ascii="Arial" w:cs="Arial" w:eastAsia="Arial" w:hAnsi="Arial"/>
                <w:sz w:val="16"/>
                <w:szCs w:val="16"/>
                <w:color w:val="auto"/>
              </w:rPr>
              <w:t>Common stock, $1.00 par value</w:t>
            </w:r>
          </w:p>
        </w:tc>
        <w:tc>
          <w:tcPr>
            <w:tcW w:w="5460" w:type="dxa"/>
            <w:vAlign w:val="bottom"/>
          </w:tcPr>
          <w:p>
            <w:pPr>
              <w:ind w:left="700"/>
              <w:spacing w:after="0"/>
              <w:rPr>
                <w:sz w:val="20"/>
                <w:szCs w:val="20"/>
                <w:color w:val="auto"/>
              </w:rPr>
            </w:pPr>
            <w:r>
              <w:rPr>
                <w:rFonts w:ascii="Arial" w:cs="Arial" w:eastAsia="Arial" w:hAnsi="Arial"/>
                <w:sz w:val="16"/>
                <w:szCs w:val="16"/>
                <w:color w:val="auto"/>
              </w:rPr>
              <w:t>72,509,377 shares</w:t>
            </w:r>
          </w:p>
        </w:tc>
      </w:tr>
      <w:tr>
        <w:trPr>
          <w:trHeight w:val="121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gridSpan w:val="10"/>
          </w:tcPr>
          <w:p>
            <w:pPr>
              <w:ind w:left="12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gridSpan w:val="4"/>
          </w:tcPr>
          <w:p>
            <w:pPr>
              <w:ind w:left="580"/>
              <w:spacing w:after="0"/>
              <w:rPr>
                <w:sz w:val="20"/>
                <w:szCs w:val="20"/>
                <w:color w:val="auto"/>
              </w:rPr>
            </w:pPr>
            <w:r>
              <w:rPr>
                <w:rFonts w:ascii="Arial" w:cs="Arial" w:eastAsia="Arial" w:hAnsi="Arial"/>
                <w:sz w:val="16"/>
                <w:szCs w:val="16"/>
                <w:color w:val="auto"/>
              </w:rPr>
              <w:t>Page</w:t>
            </w:r>
          </w:p>
        </w:tc>
      </w:tr>
      <w:tr>
        <w:trPr>
          <w:trHeight w:val="156"/>
        </w:trPr>
        <w:tc>
          <w:tcPr>
            <w:tcW w:w="2680" w:type="dxa"/>
            <w:vAlign w:val="bottom"/>
            <w:tcBorders>
              <w:top w:val="single" w:sz="8" w:color="CFF0FC"/>
              <w:bottom w:val="single" w:sz="8" w:color="0000FF"/>
              <w:right w:val="single" w:sz="8" w:color="CFF0FC"/>
            </w:tcBorders>
            <w:gridSpan w:val="10"/>
            <w:shd w:val="clear" w:color="auto" w:fill="CFF0FC"/>
          </w:tcPr>
          <w:p>
            <w:pPr>
              <w:spacing w:after="0" w:line="148" w:lineRule="exact"/>
              <w:rPr>
                <w:sz w:val="20"/>
                <w:szCs w:val="20"/>
                <w:color w:val="auto"/>
              </w:rPr>
            </w:pPr>
            <w:r>
              <w:rPr>
                <w:rFonts w:ascii="Arial" w:cs="Arial" w:eastAsia="Arial" w:hAnsi="Arial"/>
                <w:sz w:val="16"/>
                <w:szCs w:val="16"/>
                <w:color w:val="0000FF"/>
              </w:rPr>
              <w:t>Glossary of Terms and Abbreviations</w:t>
            </w:r>
          </w:p>
        </w:tc>
        <w:tc>
          <w:tcPr>
            <w:tcW w:w="7000" w:type="dxa"/>
            <w:vAlign w:val="bottom"/>
            <w:tcBorders>
              <w:top w:val="single" w:sz="8" w:color="CFF0FC"/>
              <w:bottom w:val="single" w:sz="8" w:color="CFF0FC"/>
            </w:tcBorders>
            <w:gridSpan w:val="22"/>
            <w:shd w:val="clear" w:color="auto" w:fill="CFF0FC"/>
          </w:tcPr>
          <w:p>
            <w:pPr>
              <w:spacing w:after="0"/>
              <w:rPr>
                <w:sz w:val="13"/>
                <w:szCs w:val="13"/>
                <w:color w:val="auto"/>
              </w:rPr>
            </w:pPr>
          </w:p>
        </w:tc>
        <w:tc>
          <w:tcPr>
            <w:tcW w:w="720" w:type="dxa"/>
            <w:vAlign w:val="bottom"/>
            <w:tcBorders>
              <w:top w:val="single" w:sz="8" w:color="auto"/>
              <w:bottom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0000FF"/>
            </w:tcBorders>
            <w:shd w:val="clear" w:color="auto" w:fill="CFF0FC"/>
          </w:tcPr>
          <w:p>
            <w:pPr>
              <w:jc w:val="center"/>
              <w:spacing w:after="0" w:line="148" w:lineRule="exact"/>
              <w:rPr>
                <w:sz w:val="20"/>
                <w:szCs w:val="20"/>
                <w:color w:val="auto"/>
              </w:rPr>
            </w:pPr>
            <w:r>
              <w:rPr>
                <w:rFonts w:ascii="Arial" w:cs="Arial" w:eastAsia="Arial" w:hAnsi="Arial"/>
                <w:sz w:val="16"/>
                <w:szCs w:val="16"/>
                <w:color w:val="0000FF"/>
              </w:rPr>
              <w:t>3</w:t>
            </w:r>
          </w:p>
        </w:tc>
        <w:tc>
          <w:tcPr>
            <w:tcW w:w="720" w:type="dxa"/>
            <w:vAlign w:val="bottom"/>
            <w:tcBorders>
              <w:top w:val="single" w:sz="8" w:color="auto"/>
              <w:left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62"/>
        </w:trPr>
        <w:tc>
          <w:tcPr>
            <w:tcW w:w="2480" w:type="dxa"/>
            <w:vAlign w:val="bottom"/>
            <w:gridSpan w:val="9"/>
          </w:tcPr>
          <w:p>
            <w:pPr>
              <w:ind w:left="20"/>
              <w:spacing w:after="0" w:line="162" w:lineRule="exact"/>
              <w:rPr>
                <w:sz w:val="20"/>
                <w:szCs w:val="20"/>
                <w:color w:val="auto"/>
              </w:rPr>
            </w:pPr>
            <w:r>
              <w:rPr>
                <w:rFonts w:ascii="Arial" w:cs="Arial" w:eastAsia="Arial" w:hAnsi="Arial"/>
                <w:sz w:val="16"/>
                <w:szCs w:val="16"/>
                <w:color w:val="0000FF"/>
              </w:rPr>
              <w:t>Forward-Looking Information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7</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9680" w:type="dxa"/>
            <w:vAlign w:val="bottom"/>
            <w:gridSpan w:val="32"/>
            <w:shd w:val="clear" w:color="auto" w:fill="CFF0FC"/>
          </w:tcPr>
          <w:p>
            <w:pPr>
              <w:spacing w:after="0" w:line="162" w:lineRule="exact"/>
              <w:rPr>
                <w:sz w:val="20"/>
                <w:szCs w:val="20"/>
                <w:color w:val="auto"/>
              </w:rPr>
            </w:pPr>
            <w:r>
              <w:rPr>
                <w:rFonts w:ascii="Arial" w:cs="Arial" w:eastAsia="Arial" w:hAnsi="Arial"/>
                <w:sz w:val="16"/>
                <w:szCs w:val="16"/>
                <w:color w:val="0000FF"/>
              </w:rPr>
              <w:t>PART I. FINANCIAL INFORMATION</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Financial Statements - unaudited</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CFF0FC"/>
            </w:tcBorders>
            <w:shd w:val="clear" w:color="auto" w:fill="0000FF"/>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Income</w:t>
            </w: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9</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Balance Sheets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Cash Flows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Equity</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w w:val="99"/>
              </w:rPr>
              <w:t>Note 1. Management’s Statement</w:t>
            </w:r>
          </w:p>
        </w:tc>
        <w:tc>
          <w:tcPr>
            <w:tcW w:w="1520" w:type="dxa"/>
            <w:vAlign w:val="bottom"/>
            <w:gridSpan w:val="7"/>
          </w:tcPr>
          <w:p>
            <w:pPr>
              <w:spacing w:after="0"/>
              <w:rPr>
                <w:sz w:val="14"/>
                <w:szCs w:val="14"/>
                <w:color w:val="auto"/>
              </w:rPr>
            </w:pP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rPr>
              <w:t>Note 2.</w:t>
            </w:r>
          </w:p>
        </w:tc>
        <w:tc>
          <w:tcPr>
            <w:tcW w:w="1800" w:type="dxa"/>
            <w:vAlign w:val="bottom"/>
            <w:tcBorders>
              <w:right w:val="single" w:sz="8" w:color="CFF0FC"/>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5400" w:type="dxa"/>
            <w:vAlign w:val="bottom"/>
            <w:tcBorders>
              <w:left w:val="single" w:sz="8" w:color="CFF0FC"/>
            </w:tcBorders>
            <w:gridSpan w:val="12"/>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CFF0FC"/>
            </w:tcBorders>
            <w:shd w:val="clear" w:color="auto" w:fill="0000FF"/>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22"/>
          </w:tcPr>
          <w:p>
            <w:pPr>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940" w:type="dxa"/>
            <w:vAlign w:val="bottom"/>
            <w:gridSpan w:val="22"/>
            <w:shd w:val="clear" w:color="auto" w:fill="CFF0FC"/>
          </w:tcPr>
          <w:p>
            <w:pPr>
              <w:spacing w:after="0" w:line="162" w:lineRule="exact"/>
              <w:rPr>
                <w:sz w:val="20"/>
                <w:szCs w:val="20"/>
                <w:color w:val="auto"/>
              </w:rPr>
            </w:pPr>
            <w:r>
              <w:rPr>
                <w:rFonts w:ascii="Arial" w:cs="Arial" w:eastAsia="Arial" w:hAnsi="Arial"/>
                <w:sz w:val="16"/>
                <w:szCs w:val="16"/>
                <w:color w:val="0000FF"/>
              </w:rPr>
              <w:t>Note 4. Revenue</w:t>
            </w:r>
          </w:p>
        </w:tc>
        <w:tc>
          <w:tcPr>
            <w:tcW w:w="3880" w:type="dxa"/>
            <w:vAlign w:val="bottom"/>
            <w:tcBorders>
              <w:left w:val="single" w:sz="8" w:color="CFF0FC"/>
            </w:tcBorders>
            <w:gridSpan w:val="5"/>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0000FF"/>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rPr>
              <w:t>Note 5.</w:t>
            </w:r>
          </w:p>
        </w:tc>
        <w:tc>
          <w:tcPr>
            <w:tcW w:w="700" w:type="dxa"/>
            <w:vAlign w:val="bottom"/>
            <w:gridSpan w:val="5"/>
          </w:tcPr>
          <w:p>
            <w:pPr>
              <w:spacing w:after="0" w:line="162" w:lineRule="exact"/>
              <w:rPr>
                <w:sz w:val="20"/>
                <w:szCs w:val="20"/>
                <w:color w:val="auto"/>
              </w:rPr>
            </w:pPr>
            <w:r>
              <w:rPr>
                <w:rFonts w:ascii="Arial" w:cs="Arial" w:eastAsia="Arial" w:hAnsi="Arial"/>
                <w:sz w:val="16"/>
                <w:szCs w:val="16"/>
                <w:color w:val="0000FF"/>
                <w:w w:val="95"/>
              </w:rPr>
              <w:t>Financing</w:t>
            </w:r>
          </w:p>
        </w:tc>
        <w:tc>
          <w:tcPr>
            <w:tcW w:w="6500" w:type="dxa"/>
            <w:vAlign w:val="bottom"/>
            <w:gridSpan w:val="18"/>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820" w:type="dxa"/>
            <w:vAlign w:val="bottom"/>
            <w:gridSpan w:val="27"/>
            <w:shd w:val="clear" w:color="auto" w:fill="CFF0FC"/>
          </w:tcPr>
          <w:p>
            <w:pPr>
              <w:spacing w:after="0" w:line="162" w:lineRule="exact"/>
              <w:rPr>
                <w:sz w:val="20"/>
                <w:szCs w:val="20"/>
                <w:color w:val="auto"/>
              </w:rPr>
            </w:pPr>
            <w:r>
              <w:rPr>
                <w:rFonts w:ascii="Arial" w:cs="Arial" w:eastAsia="Arial" w:hAnsi="Arial"/>
                <w:sz w:val="16"/>
                <w:szCs w:val="16"/>
                <w:color w:val="0000FF"/>
              </w:rPr>
              <w:t>Note 6. Earnings Per Share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gridSpan w:val="27"/>
          </w:tcPr>
          <w:p>
            <w:pPr>
              <w:spacing w:after="0" w:line="162" w:lineRule="exact"/>
              <w:rPr>
                <w:sz w:val="20"/>
                <w:szCs w:val="20"/>
                <w:color w:val="auto"/>
              </w:rPr>
            </w:pPr>
            <w:r>
              <w:rPr>
                <w:rFonts w:ascii="Arial" w:cs="Arial" w:eastAsia="Arial" w:hAnsi="Arial"/>
                <w:sz w:val="16"/>
                <w:szCs w:val="16"/>
                <w:color w:val="0000FF"/>
              </w:rPr>
              <w:t>Note 7. Risk Management and Derivatives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080" w:type="dxa"/>
            <w:vAlign w:val="bottom"/>
            <w:gridSpan w:val="19"/>
            <w:shd w:val="clear" w:color="auto" w:fill="CFF0FC"/>
          </w:tcPr>
          <w:p>
            <w:pPr>
              <w:spacing w:after="0" w:line="162" w:lineRule="exact"/>
              <w:rPr>
                <w:sz w:val="20"/>
                <w:szCs w:val="20"/>
                <w:color w:val="auto"/>
              </w:rPr>
            </w:pPr>
            <w:r>
              <w:rPr>
                <w:rFonts w:ascii="Arial" w:cs="Arial" w:eastAsia="Arial" w:hAnsi="Arial"/>
                <w:sz w:val="16"/>
                <w:szCs w:val="16"/>
                <w:color w:val="0000FF"/>
              </w:rPr>
              <w:t>Note 8. Fair Value Measurements</w:t>
            </w:r>
          </w:p>
        </w:tc>
        <w:tc>
          <w:tcPr>
            <w:tcW w:w="4740" w:type="dxa"/>
            <w:vAlign w:val="bottom"/>
            <w:gridSpan w:val="8"/>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17"/>
          </w:tcPr>
          <w:p>
            <w:pPr>
              <w:spacing w:after="0" w:line="162" w:lineRule="exact"/>
              <w:rPr>
                <w:sz w:val="20"/>
                <w:szCs w:val="20"/>
                <w:color w:val="auto"/>
              </w:rPr>
            </w:pPr>
            <w:r>
              <w:rPr>
                <w:rFonts w:ascii="Arial" w:cs="Arial" w:eastAsia="Arial" w:hAnsi="Arial"/>
                <w:sz w:val="16"/>
                <w:szCs w:val="16"/>
                <w:color w:val="0000FF"/>
              </w:rPr>
              <w:t>Note 9. Other Comprehensive Income</w:t>
            </w:r>
          </w:p>
        </w:tc>
        <w:tc>
          <w:tcPr>
            <w:tcW w:w="5040" w:type="dxa"/>
            <w:vAlign w:val="bottom"/>
            <w:gridSpan w:val="10"/>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10.</w:t>
            </w:r>
          </w:p>
        </w:tc>
        <w:tc>
          <w:tcPr>
            <w:tcW w:w="2160" w:type="dxa"/>
            <w:vAlign w:val="bottom"/>
            <w:gridSpan w:val="13"/>
            <w:shd w:val="clear" w:color="auto" w:fill="CFF0FC"/>
          </w:tcPr>
          <w:p>
            <w:pPr>
              <w:ind w:left="80"/>
              <w:spacing w:after="0" w:line="162" w:lineRule="exact"/>
              <w:rPr>
                <w:sz w:val="20"/>
                <w:szCs w:val="20"/>
                <w:color w:val="auto"/>
              </w:rPr>
            </w:pPr>
            <w:r>
              <w:rPr>
                <w:rFonts w:ascii="Arial" w:cs="Arial" w:eastAsia="Arial" w:hAnsi="Arial"/>
                <w:sz w:val="16"/>
                <w:szCs w:val="16"/>
                <w:color w:val="0000FF"/>
              </w:rPr>
              <w:t>Employee Benefit Plans</w:t>
            </w:r>
          </w:p>
        </w:tc>
        <w:tc>
          <w:tcPr>
            <w:tcW w:w="5040" w:type="dxa"/>
            <w:vAlign w:val="bottom"/>
            <w:tcBorders>
              <w:left w:val="single" w:sz="8" w:color="CFF0FC"/>
            </w:tcBorders>
            <w:gridSpan w:val="10"/>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rPr>
              <w:t>Note 11. Income Taxes</w:t>
            </w:r>
          </w:p>
        </w:tc>
        <w:tc>
          <w:tcPr>
            <w:tcW w:w="5400" w:type="dxa"/>
            <w:vAlign w:val="bottom"/>
            <w:gridSpan w:val="12"/>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12.</w:t>
            </w:r>
          </w:p>
        </w:tc>
        <w:tc>
          <w:tcPr>
            <w:tcW w:w="7200" w:type="dxa"/>
            <w:vAlign w:val="bottom"/>
            <w:gridSpan w:val="23"/>
            <w:shd w:val="clear" w:color="auto" w:fill="CFF0FC"/>
          </w:tcPr>
          <w:p>
            <w:pPr>
              <w:ind w:left="80"/>
              <w:spacing w:after="0" w:line="162" w:lineRule="exact"/>
              <w:rPr>
                <w:sz w:val="20"/>
                <w:szCs w:val="20"/>
                <w:color w:val="auto"/>
              </w:rPr>
            </w:pPr>
            <w:r>
              <w:rPr>
                <w:rFonts w:ascii="Arial" w:cs="Arial" w:eastAsia="Arial" w:hAnsi="Arial"/>
                <w:sz w:val="16"/>
                <w:szCs w:val="16"/>
                <w:color w:val="0000FF"/>
              </w:rPr>
              <w:t>Business Segment Information</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w w:val="99"/>
              </w:rPr>
              <w:t>Note 13.</w:t>
            </w:r>
          </w:p>
        </w:tc>
        <w:tc>
          <w:tcPr>
            <w:tcW w:w="7200" w:type="dxa"/>
            <w:vAlign w:val="bottom"/>
            <w:gridSpan w:val="23"/>
          </w:tcPr>
          <w:p>
            <w:pPr>
              <w:ind w:left="80"/>
              <w:spacing w:after="0" w:line="162" w:lineRule="exact"/>
              <w:rPr>
                <w:sz w:val="20"/>
                <w:szCs w:val="20"/>
                <w:color w:val="auto"/>
              </w:rPr>
            </w:pPr>
            <w:r>
              <w:rPr>
                <w:rFonts w:ascii="Arial" w:cs="Arial" w:eastAsia="Arial" w:hAnsi="Arial"/>
                <w:sz w:val="16"/>
                <w:szCs w:val="16"/>
                <w:color w:val="0000FF"/>
              </w:rPr>
              <w:t>Selected Balance Sheet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280" w:type="dxa"/>
            <w:vAlign w:val="bottom"/>
            <w:gridSpan w:val="20"/>
            <w:shd w:val="clear" w:color="auto" w:fill="CFF0FC"/>
          </w:tcPr>
          <w:p>
            <w:pPr>
              <w:spacing w:after="0" w:line="162" w:lineRule="exact"/>
              <w:rPr>
                <w:sz w:val="20"/>
                <w:szCs w:val="20"/>
                <w:color w:val="auto"/>
              </w:rPr>
            </w:pPr>
            <w:r>
              <w:rPr>
                <w:rFonts w:ascii="Arial" w:cs="Arial" w:eastAsia="Arial" w:hAnsi="Arial"/>
                <w:sz w:val="16"/>
                <w:szCs w:val="16"/>
                <w:color w:val="0000FF"/>
              </w:rPr>
              <w:t>Note 14. Subsequent Events</w:t>
            </w:r>
          </w:p>
        </w:tc>
        <w:tc>
          <w:tcPr>
            <w:tcW w:w="4540" w:type="dxa"/>
            <w:vAlign w:val="bottom"/>
            <w:gridSpan w:val="7"/>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28</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80" w:type="dxa"/>
            <w:vAlign w:val="bottom"/>
            <w:gridSpan w:val="27"/>
          </w:tcPr>
          <w:p>
            <w:pPr>
              <w:ind w:left="10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Recent Developments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Results of Operations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Non-GAAP Financial Measure</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60" w:type="dxa"/>
            <w:vAlign w:val="bottom"/>
            <w:gridSpan w:val="7"/>
            <w:shd w:val="clear" w:color="auto" w:fill="CFF0FC"/>
          </w:tcPr>
          <w:p>
            <w:pPr>
              <w:spacing w:after="0" w:line="162" w:lineRule="exact"/>
              <w:rPr>
                <w:sz w:val="20"/>
                <w:szCs w:val="20"/>
                <w:color w:val="auto"/>
              </w:rPr>
            </w:pPr>
            <w:r>
              <w:rPr>
                <w:rFonts w:ascii="Arial" w:cs="Arial" w:eastAsia="Arial" w:hAnsi="Arial"/>
                <w:sz w:val="16"/>
                <w:szCs w:val="16"/>
                <w:color w:val="0000FF"/>
                <w:w w:val="94"/>
              </w:rPr>
              <w:t>Electric Utilities</w:t>
            </w:r>
          </w:p>
        </w:tc>
        <w:tc>
          <w:tcPr>
            <w:tcW w:w="6640" w:type="dxa"/>
            <w:vAlign w:val="bottom"/>
            <w:tcBorders>
              <w:left w:val="single" w:sz="8" w:color="CFF0FC"/>
            </w:tcBorders>
            <w:gridSpan w:val="19"/>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7"/>
          </w:tcPr>
          <w:p>
            <w:pPr>
              <w:spacing w:after="0" w:line="162" w:lineRule="exact"/>
              <w:rPr>
                <w:sz w:val="20"/>
                <w:szCs w:val="20"/>
                <w:color w:val="auto"/>
              </w:rPr>
            </w:pPr>
            <w:r>
              <w:rPr>
                <w:rFonts w:ascii="Arial" w:cs="Arial" w:eastAsia="Arial" w:hAnsi="Arial"/>
                <w:sz w:val="16"/>
                <w:szCs w:val="16"/>
                <w:color w:val="0000FF"/>
              </w:rPr>
              <w:t>Gas Utilities</w:t>
            </w:r>
          </w:p>
        </w:tc>
        <w:tc>
          <w:tcPr>
            <w:tcW w:w="6640" w:type="dxa"/>
            <w:vAlign w:val="bottom"/>
            <w:gridSpan w:val="19"/>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Corporate and Other</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CFF0FC"/>
            </w:tcBorders>
            <w:shd w:val="clear" w:color="auto" w:fill="0000FF"/>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Liquidity and Capital Resources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10"/>
          </w:tcPr>
          <w:p>
            <w:pPr>
              <w:spacing w:after="0" w:line="162" w:lineRule="exact"/>
              <w:rPr>
                <w:sz w:val="20"/>
                <w:szCs w:val="20"/>
                <w:color w:val="auto"/>
              </w:rPr>
            </w:pPr>
            <w:r>
              <w:rPr>
                <w:rFonts w:ascii="Arial" w:cs="Arial" w:eastAsia="Arial" w:hAnsi="Arial"/>
                <w:sz w:val="16"/>
                <w:szCs w:val="16"/>
                <w:color w:val="0000FF"/>
                <w:w w:val="93"/>
              </w:rPr>
              <w:t>Cash Flow Activities</w:t>
            </w:r>
          </w:p>
        </w:tc>
        <w:tc>
          <w:tcPr>
            <w:tcW w:w="780" w:type="dxa"/>
            <w:vAlign w:val="bottom"/>
            <w:gridSpan w:val="3"/>
          </w:tcPr>
          <w:p>
            <w:pPr>
              <w:spacing w:after="0"/>
              <w:rPr>
                <w:sz w:val="14"/>
                <w:szCs w:val="14"/>
                <w:color w:val="auto"/>
              </w:rPr>
            </w:pPr>
          </w:p>
        </w:tc>
        <w:tc>
          <w:tcPr>
            <w:tcW w:w="5540" w:type="dxa"/>
            <w:vAlign w:val="bottom"/>
            <w:gridSpan w:val="13"/>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38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Capital Resources</w:t>
            </w:r>
          </w:p>
        </w:tc>
        <w:tc>
          <w:tcPr>
            <w:tcW w:w="6320" w:type="dxa"/>
            <w:vAlign w:val="bottom"/>
            <w:tcBorders>
              <w:left w:val="single" w:sz="8" w:color="CFF0FC"/>
            </w:tcBorders>
            <w:gridSpan w:val="16"/>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9"/>
          </w:tcPr>
          <w:p>
            <w:pPr>
              <w:spacing w:after="0" w:line="162" w:lineRule="exact"/>
              <w:rPr>
                <w:sz w:val="20"/>
                <w:szCs w:val="20"/>
                <w:color w:val="auto"/>
              </w:rPr>
            </w:pPr>
            <w:r>
              <w:rPr>
                <w:rFonts w:ascii="Arial" w:cs="Arial" w:eastAsia="Arial" w:hAnsi="Arial"/>
                <w:sz w:val="16"/>
                <w:szCs w:val="16"/>
                <w:color w:val="0000FF"/>
              </w:rPr>
              <w:t>Credit Ratings</w:t>
            </w:r>
          </w:p>
        </w:tc>
        <w:tc>
          <w:tcPr>
            <w:tcW w:w="6400" w:type="dxa"/>
            <w:vAlign w:val="bottom"/>
            <w:gridSpan w:val="17"/>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600" w:type="dxa"/>
            <w:vAlign w:val="bottom"/>
            <w:tcBorders>
              <w:right w:val="single" w:sz="8" w:color="CFF0FC"/>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Capital Requirements</w:t>
            </w:r>
          </w:p>
        </w:tc>
        <w:tc>
          <w:tcPr>
            <w:tcW w:w="6100" w:type="dxa"/>
            <w:vAlign w:val="bottom"/>
            <w:gridSpan w:val="15"/>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40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Critical Accounting Estimates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New Accounting Pronouncements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3.</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Controls and Procedures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480" w:type="dxa"/>
            <w:vAlign w:val="bottom"/>
            <w:gridSpan w:val="9"/>
            <w:shd w:val="clear" w:color="auto" w:fill="CFF0FC"/>
          </w:tcPr>
          <w:p>
            <w:pPr>
              <w:spacing w:after="0"/>
              <w:rPr>
                <w:sz w:val="20"/>
                <w:szCs w:val="20"/>
                <w:color w:val="auto"/>
              </w:rPr>
            </w:pPr>
            <w:r>
              <w:rPr>
                <w:rFonts w:ascii="Arial" w:cs="Arial" w:eastAsia="Arial" w:hAnsi="Arial"/>
                <w:sz w:val="16"/>
                <w:szCs w:val="16"/>
                <w:color w:val="auto"/>
              </w:rPr>
              <w:t>PART II. OTHER INFORMATION</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Legal Proceedings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1A.</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Risk Factors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0000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Mine Safety Disclosures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CFF0FC"/>
            </w:tcBorders>
            <w:shd w:val="clear" w:color="auto" w:fill="0000FF"/>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5.</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Other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6.</w:t>
            </w:r>
          </w:p>
        </w:tc>
        <w:tc>
          <w:tcPr>
            <w:tcW w:w="1240" w:type="dxa"/>
            <w:vAlign w:val="bottom"/>
            <w:gridSpan w:val="6"/>
            <w:shd w:val="clear" w:color="auto" w:fill="CFF0FC"/>
          </w:tcPr>
          <w:p>
            <w:pPr>
              <w:ind w:left="460"/>
              <w:spacing w:after="0" w:line="162" w:lineRule="exact"/>
              <w:rPr>
                <w:sz w:val="20"/>
                <w:szCs w:val="20"/>
                <w:color w:val="auto"/>
              </w:rPr>
            </w:pPr>
            <w:r>
              <w:rPr>
                <w:rFonts w:ascii="Arial" w:cs="Arial" w:eastAsia="Arial" w:hAnsi="Arial"/>
                <w:sz w:val="16"/>
                <w:szCs w:val="16"/>
                <w:color w:val="0000FF"/>
              </w:rPr>
              <w:t>Exhibits</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0000FF"/>
              </w:rPr>
              <w:t>Signatures</w:t>
            </w: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42</w:t>
            </w:r>
          </w:p>
        </w:tc>
        <w:tc>
          <w:tcPr>
            <w:tcW w:w="20" w:type="dxa"/>
            <w:vAlign w:val="bottom"/>
            <w:shd w:val="clear" w:color="auto" w:fill="CFF0FC"/>
          </w:tcPr>
          <w:p>
            <w:pPr>
              <w:spacing w:after="0"/>
              <w:rPr>
                <w:sz w:val="14"/>
                <w:szCs w:val="14"/>
                <w:color w:val="auto"/>
              </w:rPr>
            </w:pPr>
          </w:p>
        </w:tc>
      </w:tr>
      <w:tr>
        <w:trPr>
          <w:trHeight w:val="605"/>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18"/>
          </w:tcPr>
          <w:p>
            <w:pPr>
              <w:ind w:left="3100"/>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780" w:type="dxa"/>
            <w:vAlign w:val="bottom"/>
          </w:tcPr>
          <w:p>
            <w:pPr>
              <w:spacing w:after="0"/>
              <w:rPr>
                <w:sz w:val="15"/>
                <w:szCs w:val="15"/>
                <w:color w:val="auto"/>
              </w:rPr>
            </w:pPr>
          </w:p>
        </w:tc>
        <w:tc>
          <w:tcPr>
            <w:tcW w:w="7460" w:type="dxa"/>
            <w:vAlign w:val="bottom"/>
          </w:tcPr>
          <w:p>
            <w:pPr>
              <w:spacing w:after="0"/>
              <w:rPr>
                <w:sz w:val="15"/>
                <w:szCs w:val="15"/>
                <w:color w:val="auto"/>
              </w:rPr>
            </w:pP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AFUDC</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Allowance for Funds Used During Construction</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AOCI</w:t>
            </w:r>
          </w:p>
        </w:tc>
        <w:tc>
          <w:tcPr>
            <w:tcW w:w="746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Arkansas Gas</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ASU</w:t>
            </w:r>
          </w:p>
        </w:tc>
        <w:tc>
          <w:tcPr>
            <w:tcW w:w="7460" w:type="dxa"/>
            <w:vAlign w:val="bottom"/>
          </w:tcPr>
          <w:p>
            <w:pPr>
              <w:ind w:left="180"/>
              <w:spacing w:after="0"/>
              <w:rPr>
                <w:sz w:val="20"/>
                <w:szCs w:val="20"/>
                <w:color w:val="auto"/>
              </w:rPr>
            </w:pPr>
            <w:r>
              <w:rPr>
                <w:rFonts w:ascii="Arial" w:cs="Arial" w:eastAsia="Arial" w:hAnsi="Arial"/>
                <w:sz w:val="16"/>
                <w:szCs w:val="16"/>
                <w:color w:val="auto"/>
              </w:rPr>
              <w:t>Accounting Standards Update as issued by the FASB</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ATM</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At-the-market equity offering program</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Availability</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The availability factor of a power plant is the percentage of the time that it is available to provide</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energy.</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BHC</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Corporation; the Company</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Black-box Settlement</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Black Hills Colorado IPP</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Black Hills Electric Generation</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Black Hills Electric Parent Holdings</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Black Hills Energy</w:t>
            </w:r>
          </w:p>
        </w:tc>
        <w:tc>
          <w:tcPr>
            <w:tcW w:w="7460" w:type="dxa"/>
            <w:vAlign w:val="bottom"/>
          </w:tcPr>
          <w:p>
            <w:pPr>
              <w:ind w:left="18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Black Hills Energy Renewable Resources (BHERR)</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regulated Holdings</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Black Hills Energy Services</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Black Hills Energy).</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Black Hills Non-regulated Holdings</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Black Hills Utility Holdings</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business as Black Hills Energy)</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Black Hills Wyoming</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Busch Ranch I</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A 29 MW wind farm near Pueblo, Colorado, jointly owned by Colorado Electric and Black Hills</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Electric Generation. Colorado Electric and Black Hills Electric Generation each have a 50%</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ownership interest in the wind farm. Black Hills Electric Generation provides its share of energy from</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the wind farm to Colorado Electric through a PPA, which expires in October 2037.</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Busch Ranch II</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A 59.4 MW wind farm near Pueblo, Colorado owned by Black Hills Electric Generation to provide</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wind energy to Colorado Electric through a PPA expiring in November 2044.</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CEPR</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Clean Energy Plan Rider, which is a 1.5% surcharge to fund Colorado Electric's recovery of</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renewable energy projects under the Clean Energy Plan. In conjunction with the implementation of</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the CEPR in January 2025, the RESA surcharge was reduced from 2.0% to 1.5%.</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Choice Gas Program</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distribution delivery service.</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Chief Operating Decision Maker (CODM)</w:t>
            </w:r>
          </w:p>
        </w:tc>
        <w:tc>
          <w:tcPr>
            <w:tcW w:w="7460" w:type="dxa"/>
            <w:vAlign w:val="bottom"/>
          </w:tcPr>
          <w:p>
            <w:pPr>
              <w:ind w:left="180"/>
              <w:spacing w:after="0"/>
              <w:rPr>
                <w:sz w:val="20"/>
                <w:szCs w:val="20"/>
                <w:color w:val="auto"/>
              </w:rPr>
            </w:pPr>
            <w:r>
              <w:rPr>
                <w:rFonts w:ascii="Arial" w:cs="Arial" w:eastAsia="Arial" w:hAnsi="Arial"/>
                <w:sz w:val="16"/>
                <w:szCs w:val="16"/>
                <w:color w:val="auto"/>
              </w:rPr>
              <w:t>Chief Executive Officer</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CIAC</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Contribution in aid of construction</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Clean Energy Plan</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emissions by a minimum of 80% from 2005 levels by 2030. The recommended resource portfolio</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proposes the addition of 350 MW of clean energy resources to Colorado Electric's system. Colorado</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legislation allows electric utilities to own up to 50% of the renewable generation assets added to</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comply with the Clean Energy Plan.</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Colorado Electric</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215"/>
        </w:trPr>
        <w:tc>
          <w:tcPr>
            <w:tcW w:w="3780" w:type="dxa"/>
            <w:vAlign w:val="bottom"/>
          </w:tcPr>
          <w:p>
            <w:pPr>
              <w:spacing w:after="0"/>
              <w:rPr>
                <w:sz w:val="18"/>
                <w:szCs w:val="18"/>
                <w:color w:val="auto"/>
              </w:rPr>
            </w:pPr>
          </w:p>
        </w:tc>
        <w:tc>
          <w:tcPr>
            <w:tcW w:w="7460" w:type="dxa"/>
            <w:vAlign w:val="bottom"/>
          </w:tcPr>
          <w:p>
            <w:pPr>
              <w:ind w:left="1800"/>
              <w:spacing w:after="0"/>
              <w:rPr>
                <w:sz w:val="20"/>
                <w:szCs w:val="20"/>
                <w:color w:val="auto"/>
              </w:rPr>
            </w:pPr>
            <w:r>
              <w:rPr>
                <w:rFonts w:ascii="Arial" w:cs="Arial" w:eastAsia="Arial" w:hAnsi="Arial"/>
                <w:sz w:val="16"/>
                <w:szCs w:val="16"/>
                <w:color w:val="auto"/>
              </w:rPr>
              <w:t>3</w:t>
            </w:r>
          </w:p>
        </w:tc>
      </w:tr>
      <w:tr>
        <w:trPr>
          <w:trHeight w:val="737"/>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Colorado Gas</w:t>
            </w:r>
          </w:p>
        </w:tc>
        <w:tc>
          <w:tcPr>
            <w:tcW w:w="7460" w:type="dxa"/>
            <w:vAlign w:val="bottom"/>
          </w:tcPr>
          <w:p>
            <w:pPr>
              <w:ind w:left="180"/>
              <w:spacing w:after="0"/>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Consolidated Indebtedness to Capitalization Ratio</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Any indebtedness outstanding at such time, divided by capital at such time. Capital being</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consolidated net worth (excluding non-controlling interest) plus consolidated indebtedness (including</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letters of credit and certain guarantees issued) as defined within the current Revolving Credit Facility.</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Cooling Degree Day</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A cooling degree day is equivalent to each degree that the average of the high and the low</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temperatures for a day is above 65 degrees. The warmer the climate, the greater the number of</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cooling degree days. Cooling degree days are used in the utility industry to measure the relative</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warmth of weather and to compare relative temperatures between one geographic area and another.</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Normal degree days are based on the National Weather Service data for selected locations.</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CP Program</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Paper Program</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CPCN</w:t>
            </w:r>
          </w:p>
        </w:tc>
        <w:tc>
          <w:tcPr>
            <w:tcW w:w="7460" w:type="dxa"/>
            <w:vAlign w:val="bottom"/>
          </w:tcPr>
          <w:p>
            <w:pPr>
              <w:ind w:left="180"/>
              <w:spacing w:after="0"/>
              <w:rPr>
                <w:sz w:val="20"/>
                <w:szCs w:val="20"/>
                <w:color w:val="auto"/>
              </w:rPr>
            </w:pPr>
            <w:r>
              <w:rPr>
                <w:rFonts w:ascii="Arial" w:cs="Arial" w:eastAsia="Arial" w:hAnsi="Arial"/>
                <w:sz w:val="16"/>
                <w:szCs w:val="16"/>
                <w:color w:val="auto"/>
              </w:rPr>
              <w:t>Certificate of Public Convenience and Necessity</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CPUC</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Colorado Public Utilities Commission</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CT</w:t>
            </w:r>
          </w:p>
        </w:tc>
        <w:tc>
          <w:tcPr>
            <w:tcW w:w="7460" w:type="dxa"/>
            <w:vAlign w:val="bottom"/>
          </w:tcPr>
          <w:p>
            <w:pPr>
              <w:ind w:left="180"/>
              <w:spacing w:after="0"/>
              <w:rPr>
                <w:sz w:val="20"/>
                <w:szCs w:val="20"/>
                <w:color w:val="auto"/>
              </w:rPr>
            </w:pPr>
            <w:r>
              <w:rPr>
                <w:rFonts w:ascii="Arial" w:cs="Arial" w:eastAsia="Arial" w:hAnsi="Arial"/>
                <w:sz w:val="16"/>
                <w:szCs w:val="16"/>
                <w:color w:val="auto"/>
              </w:rPr>
              <w:t>Combustion Turbine</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Dth</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FASB</w:t>
            </w:r>
          </w:p>
        </w:tc>
        <w:tc>
          <w:tcPr>
            <w:tcW w:w="7460" w:type="dxa"/>
            <w:vAlign w:val="bottom"/>
          </w:tcPr>
          <w:p>
            <w:pPr>
              <w:ind w:left="180"/>
              <w:spacing w:after="0"/>
              <w:rPr>
                <w:sz w:val="20"/>
                <w:szCs w:val="20"/>
                <w:color w:val="auto"/>
              </w:rPr>
            </w:pPr>
            <w:r>
              <w:rPr>
                <w:rFonts w:ascii="Arial" w:cs="Arial" w:eastAsia="Arial" w:hAnsi="Arial"/>
                <w:sz w:val="16"/>
                <w:szCs w:val="16"/>
                <w:color w:val="auto"/>
              </w:rPr>
              <w:t>Financial Accounting Standards Board</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Fitch</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Fitch Ratings Inc.</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GAAP</w:t>
            </w:r>
          </w:p>
        </w:tc>
        <w:tc>
          <w:tcPr>
            <w:tcW w:w="7460" w:type="dxa"/>
            <w:vAlign w:val="bottom"/>
          </w:tcPr>
          <w:p>
            <w:pPr>
              <w:ind w:left="18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Heating Degree Day</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temperatures for a day is below 65 degrees. The colder the climate, the greater the number of</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heating degree days. Heating degree days are used in the utility industry to measure the relative</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coldness of weather and to compare relative temperatures between one geographic area and</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another. Normal degree days are based on the National Weather Service data for selected locations.</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HomeServe</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additional home repair service plans.</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Integrated Generation</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Iowa Gas</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IPP</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Independent Power Producer</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IRS</w:t>
            </w:r>
          </w:p>
        </w:tc>
        <w:tc>
          <w:tcPr>
            <w:tcW w:w="7460" w:type="dxa"/>
            <w:vAlign w:val="bottom"/>
          </w:tcPr>
          <w:p>
            <w:pPr>
              <w:ind w:left="180"/>
              <w:spacing w:after="0"/>
              <w:rPr>
                <w:sz w:val="20"/>
                <w:szCs w:val="20"/>
                <w:color w:val="auto"/>
              </w:rPr>
            </w:pPr>
            <w:r>
              <w:rPr>
                <w:rFonts w:ascii="Arial" w:cs="Arial" w:eastAsia="Arial" w:hAnsi="Arial"/>
                <w:sz w:val="16"/>
                <w:szCs w:val="16"/>
                <w:color w:val="auto"/>
              </w:rPr>
              <w:t>United States Internal Revenue Service</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IUC</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Iowa Utilities Commission</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Kansas Gas</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Holdings, providing natural gas services to customers in Kansas (doing business as Black Hills</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Energy).</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KCC</w:t>
            </w: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Kansas Corporation Commission</w:t>
            </w:r>
          </w:p>
        </w:tc>
      </w:tr>
      <w:tr>
        <w:trPr>
          <w:trHeight w:val="175"/>
        </w:trPr>
        <w:tc>
          <w:tcPr>
            <w:tcW w:w="3780" w:type="dxa"/>
            <w:vAlign w:val="bottom"/>
          </w:tcPr>
          <w:p>
            <w:pPr>
              <w:spacing w:after="0" w:line="175" w:lineRule="exact"/>
              <w:rPr>
                <w:sz w:val="20"/>
                <w:szCs w:val="20"/>
                <w:color w:val="auto"/>
              </w:rPr>
            </w:pPr>
            <w:r>
              <w:rPr>
                <w:rFonts w:ascii="Arial" w:cs="Arial" w:eastAsia="Arial" w:hAnsi="Arial"/>
                <w:sz w:val="16"/>
                <w:szCs w:val="16"/>
                <w:color w:val="auto"/>
              </w:rPr>
              <w:t>Lange II</w:t>
            </w:r>
          </w:p>
        </w:tc>
        <w:tc>
          <w:tcPr>
            <w:tcW w:w="7460" w:type="dxa"/>
            <w:vAlign w:val="bottom"/>
          </w:tcPr>
          <w:p>
            <w:pPr>
              <w:ind w:left="180"/>
              <w:spacing w:after="0" w:line="175" w:lineRule="exact"/>
              <w:rPr>
                <w:sz w:val="20"/>
                <w:szCs w:val="20"/>
                <w:color w:val="auto"/>
              </w:rPr>
            </w:pPr>
            <w:r>
              <w:rPr>
                <w:rFonts w:ascii="Arial" w:cs="Arial" w:eastAsia="Arial" w:hAnsi="Arial"/>
                <w:sz w:val="16"/>
                <w:szCs w:val="16"/>
                <w:color w:val="auto"/>
              </w:rPr>
              <w:t>A dual fuel (natural gas and diesel oil) electric generation project in Rapid City, South Dakota with an</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estimated total capacity of 99 MW. This facility will be owned and operated by South Dakota Electric</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and will be located adjacent to the Lange CT generation facility. This project is expected to be</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completed by the second half of 2026. The fast-start, dispatchable generation will be comprised of six</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reciprocating internal combustion engines, with technology to support strong system resiliency,</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including crucial black start capability to respond quickly to electric load changes. The addition of</w:t>
            </w:r>
          </w:p>
        </w:tc>
      </w:tr>
      <w:tr>
        <w:trPr>
          <w:trHeight w:val="189"/>
        </w:trPr>
        <w:tc>
          <w:tcPr>
            <w:tcW w:w="3780" w:type="dxa"/>
            <w:vAlign w:val="bottom"/>
          </w:tcPr>
          <w:p>
            <w:pPr>
              <w:spacing w:after="0"/>
              <w:rPr>
                <w:sz w:val="16"/>
                <w:szCs w:val="16"/>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these resources will replace aging gas-fired and diesel resources planned for retirement in 2027 and</w:t>
            </w:r>
          </w:p>
        </w:tc>
      </w:tr>
      <w:tr>
        <w:trPr>
          <w:trHeight w:val="203"/>
        </w:trPr>
        <w:tc>
          <w:tcPr>
            <w:tcW w:w="3780" w:type="dxa"/>
            <w:vAlign w:val="bottom"/>
          </w:tcPr>
          <w:p>
            <w:pPr>
              <w:spacing w:after="0"/>
              <w:rPr>
                <w:sz w:val="17"/>
                <w:szCs w:val="17"/>
                <w:color w:val="auto"/>
              </w:rPr>
            </w:pPr>
          </w:p>
        </w:tc>
        <w:tc>
          <w:tcPr>
            <w:tcW w:w="7460" w:type="dxa"/>
            <w:vAlign w:val="bottom"/>
          </w:tcPr>
          <w:p>
            <w:pPr>
              <w:ind w:left="180"/>
              <w:spacing w:after="0"/>
              <w:rPr>
                <w:sz w:val="20"/>
                <w:szCs w:val="20"/>
                <w:color w:val="auto"/>
              </w:rPr>
            </w:pPr>
            <w:r>
              <w:rPr>
                <w:rFonts w:ascii="Arial" w:cs="Arial" w:eastAsia="Arial" w:hAnsi="Arial"/>
                <w:sz w:val="16"/>
                <w:szCs w:val="16"/>
                <w:color w:val="auto"/>
              </w:rPr>
              <w:t>support updated planning reserve margin requirements.</w:t>
            </w:r>
          </w:p>
        </w:tc>
      </w:tr>
      <w:tr>
        <w:trPr>
          <w:trHeight w:val="175"/>
        </w:trPr>
        <w:tc>
          <w:tcPr>
            <w:tcW w:w="37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Large Power Contract Service (LPCS) Tariff</w:t>
            </w:r>
          </w:p>
        </w:tc>
        <w:tc>
          <w:tcPr>
            <w:tcW w:w="7460" w:type="dxa"/>
            <w:vAlign w:val="bottom"/>
            <w:shd w:val="clear" w:color="auto" w:fill="CFF0FC"/>
          </w:tcPr>
          <w:p>
            <w:pPr>
              <w:ind w:left="180"/>
              <w:spacing w:after="0" w:line="175" w:lineRule="exact"/>
              <w:rPr>
                <w:sz w:val="20"/>
                <w:szCs w:val="20"/>
                <w:color w:val="auto"/>
              </w:rPr>
            </w:pPr>
            <w:r>
              <w:rPr>
                <w:rFonts w:ascii="Arial" w:cs="Arial" w:eastAsia="Arial" w:hAnsi="Arial"/>
                <w:sz w:val="16"/>
                <w:szCs w:val="16"/>
                <w:color w:val="auto"/>
              </w:rPr>
              <w:t>Innovative tariff solution developed in collaboration with Microsoft and approved by the WPSC in</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2016. The LPSC is applicable to Wyoming Electric retail customers with new loads of 13 MW or</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greater who agree to Black Hills Energy-dispatched, customer-owned generation, on-site for the</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purpose of providing backup service for the customer’s load and maintaining reliability. If the parties</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agree through negotiations to electric service through this tariff, a Large Power Service Agreement</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will be executed. The associated service agreement provides qualifying customers with market-based</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energy rates and access to renewable energy resources that is not served from utility-owned</w:t>
            </w:r>
          </w:p>
        </w:tc>
      </w:tr>
      <w:tr>
        <w:trPr>
          <w:trHeight w:val="189"/>
        </w:trPr>
        <w:tc>
          <w:tcPr>
            <w:tcW w:w="3780" w:type="dxa"/>
            <w:vAlign w:val="bottom"/>
            <w:shd w:val="clear" w:color="auto" w:fill="CFF0FC"/>
          </w:tcPr>
          <w:p>
            <w:pPr>
              <w:spacing w:after="0"/>
              <w:rPr>
                <w:sz w:val="16"/>
                <w:szCs w:val="16"/>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generation (i.e. minimal capital model for Wyoming Electric). Customers shall not participate in the</w:t>
            </w:r>
          </w:p>
        </w:tc>
      </w:tr>
      <w:tr>
        <w:trPr>
          <w:trHeight w:val="203"/>
        </w:trPr>
        <w:tc>
          <w:tcPr>
            <w:tcW w:w="3780" w:type="dxa"/>
            <w:vAlign w:val="bottom"/>
            <w:shd w:val="clear" w:color="auto" w:fill="CFF0FC"/>
          </w:tcPr>
          <w:p>
            <w:pPr>
              <w:spacing w:after="0"/>
              <w:rPr>
                <w:sz w:val="17"/>
                <w:szCs w:val="17"/>
                <w:color w:val="auto"/>
              </w:rPr>
            </w:pPr>
          </w:p>
        </w:tc>
        <w:tc>
          <w:tcPr>
            <w:tcW w:w="7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PCA or TCAM to the extent of service received under the tariff.</w:t>
            </w:r>
          </w:p>
        </w:tc>
      </w:tr>
      <w:tr>
        <w:trPr>
          <w:trHeight w:val="215"/>
        </w:trPr>
        <w:tc>
          <w:tcPr>
            <w:tcW w:w="3780" w:type="dxa"/>
            <w:vAlign w:val="bottom"/>
          </w:tcPr>
          <w:p>
            <w:pPr>
              <w:spacing w:after="0"/>
              <w:rPr>
                <w:sz w:val="18"/>
                <w:szCs w:val="18"/>
                <w:color w:val="auto"/>
              </w:rPr>
            </w:pPr>
          </w:p>
        </w:tc>
        <w:tc>
          <w:tcPr>
            <w:tcW w:w="7460" w:type="dxa"/>
            <w:vAlign w:val="bottom"/>
          </w:tcPr>
          <w:p>
            <w:pPr>
              <w:ind w:left="1800"/>
              <w:spacing w:after="0"/>
              <w:rPr>
                <w:sz w:val="20"/>
                <w:szCs w:val="20"/>
                <w:color w:val="auto"/>
              </w:rPr>
            </w:pPr>
            <w:r>
              <w:rPr>
                <w:rFonts w:ascii="Arial" w:cs="Arial" w:eastAsia="Arial" w:hAnsi="Arial"/>
                <w:sz w:val="16"/>
                <w:szCs w:val="16"/>
                <w:color w:val="auto"/>
              </w:rPr>
              <w:t>4</w:t>
            </w:r>
          </w:p>
        </w:tc>
      </w:tr>
      <w:tr>
        <w:trPr>
          <w:trHeight w:val="737"/>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MMBtu</w:t>
            </w:r>
          </w:p>
        </w:tc>
        <w:tc>
          <w:tcPr>
            <w:tcW w:w="8240" w:type="dxa"/>
            <w:vAlign w:val="bottom"/>
          </w:tcPr>
          <w:p>
            <w:pPr>
              <w:ind w:left="960"/>
              <w:spacing w:after="0"/>
              <w:rPr>
                <w:sz w:val="20"/>
                <w:szCs w:val="20"/>
                <w:color w:val="auto"/>
              </w:rPr>
            </w:pPr>
            <w:r>
              <w:rPr>
                <w:rFonts w:ascii="Arial" w:cs="Arial" w:eastAsia="Arial" w:hAnsi="Arial"/>
                <w:sz w:val="16"/>
                <w:szCs w:val="16"/>
                <w:color w:val="auto"/>
              </w:rPr>
              <w:t>Million British thermal units</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Moody's</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Moody's Investors Service, Inc.</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MW</w:t>
            </w:r>
          </w:p>
        </w:tc>
        <w:tc>
          <w:tcPr>
            <w:tcW w:w="8240" w:type="dxa"/>
            <w:vAlign w:val="bottom"/>
          </w:tcPr>
          <w:p>
            <w:pPr>
              <w:ind w:left="960"/>
              <w:spacing w:after="0"/>
              <w:rPr>
                <w:sz w:val="20"/>
                <w:szCs w:val="20"/>
                <w:color w:val="auto"/>
              </w:rPr>
            </w:pPr>
            <w:r>
              <w:rPr>
                <w:rFonts w:ascii="Arial" w:cs="Arial" w:eastAsia="Arial" w:hAnsi="Arial"/>
                <w:sz w:val="16"/>
                <w:szCs w:val="16"/>
                <w:color w:val="auto"/>
              </w:rPr>
              <w:t>Megawatts</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MWh</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Megawatt-hours</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N/A</w:t>
            </w:r>
          </w:p>
        </w:tc>
        <w:tc>
          <w:tcPr>
            <w:tcW w:w="8240" w:type="dxa"/>
            <w:vAlign w:val="bottom"/>
          </w:tcPr>
          <w:p>
            <w:pPr>
              <w:ind w:left="960"/>
              <w:spacing w:after="0"/>
              <w:rPr>
                <w:sz w:val="20"/>
                <w:szCs w:val="20"/>
                <w:color w:val="auto"/>
              </w:rPr>
            </w:pPr>
            <w:r>
              <w:rPr>
                <w:rFonts w:ascii="Arial" w:cs="Arial" w:eastAsia="Arial" w:hAnsi="Arial"/>
                <w:sz w:val="16"/>
                <w:szCs w:val="16"/>
                <w:color w:val="auto"/>
              </w:rPr>
              <w:t>Not applicable</w:t>
            </w:r>
          </w:p>
        </w:tc>
      </w:tr>
      <w:tr>
        <w:trPr>
          <w:trHeight w:val="175"/>
        </w:trPr>
        <w:tc>
          <w:tcPr>
            <w:tcW w:w="30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Nebraska Gas</w:t>
            </w:r>
          </w:p>
        </w:tc>
        <w:tc>
          <w:tcPr>
            <w:tcW w:w="8240" w:type="dxa"/>
            <w:vAlign w:val="bottom"/>
            <w:shd w:val="clear" w:color="auto" w:fill="CFF0FC"/>
          </w:tcPr>
          <w:p>
            <w:pPr>
              <w:ind w:left="960"/>
              <w:spacing w:after="0" w:line="175"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03"/>
        </w:trPr>
        <w:tc>
          <w:tcPr>
            <w:tcW w:w="3000" w:type="dxa"/>
            <w:vAlign w:val="bottom"/>
            <w:shd w:val="clear" w:color="auto" w:fill="CFF0FC"/>
          </w:tcPr>
          <w:p>
            <w:pPr>
              <w:spacing w:after="0"/>
              <w:rPr>
                <w:sz w:val="17"/>
                <w:szCs w:val="17"/>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NPSC</w:t>
            </w:r>
          </w:p>
        </w:tc>
        <w:tc>
          <w:tcPr>
            <w:tcW w:w="8240" w:type="dxa"/>
            <w:vAlign w:val="bottom"/>
          </w:tcPr>
          <w:p>
            <w:pPr>
              <w:ind w:left="960"/>
              <w:spacing w:after="0"/>
              <w:rPr>
                <w:sz w:val="20"/>
                <w:szCs w:val="20"/>
                <w:color w:val="auto"/>
              </w:rPr>
            </w:pPr>
            <w:r>
              <w:rPr>
                <w:rFonts w:ascii="Arial" w:cs="Arial" w:eastAsia="Arial" w:hAnsi="Arial"/>
                <w:sz w:val="16"/>
                <w:szCs w:val="16"/>
                <w:color w:val="auto"/>
              </w:rPr>
              <w:t>Nebraska Public Service Commission</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OCI</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Other Comprehensive Income</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PPA</w:t>
            </w:r>
          </w:p>
        </w:tc>
        <w:tc>
          <w:tcPr>
            <w:tcW w:w="8240" w:type="dxa"/>
            <w:vAlign w:val="bottom"/>
          </w:tcPr>
          <w:p>
            <w:pPr>
              <w:ind w:left="960"/>
              <w:spacing w:after="0"/>
              <w:rPr>
                <w:sz w:val="20"/>
                <w:szCs w:val="20"/>
                <w:color w:val="auto"/>
              </w:rPr>
            </w:pPr>
            <w:r>
              <w:rPr>
                <w:rFonts w:ascii="Arial" w:cs="Arial" w:eastAsia="Arial" w:hAnsi="Arial"/>
                <w:sz w:val="16"/>
                <w:szCs w:val="16"/>
                <w:color w:val="auto"/>
              </w:rPr>
              <w:t>Power Purchase Agreement</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PTC</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Production Tax Credit</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Pueblo Airport Generation</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Pueblo Airport Generating Station located in Pueblo, Colorado includes 440 MW of combined cycle</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gas-fired power generation plants jointly owned by Colorado Electric (240 MW) and Black Hills</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Colorado IPP (200 MW). Black Hills Colorado IPP operates this facility. The plants commenced</w:t>
            </w:r>
          </w:p>
        </w:tc>
      </w:tr>
      <w:tr>
        <w:trPr>
          <w:trHeight w:val="203"/>
        </w:trPr>
        <w:tc>
          <w:tcPr>
            <w:tcW w:w="3000" w:type="dxa"/>
            <w:vAlign w:val="bottom"/>
          </w:tcPr>
          <w:p>
            <w:pPr>
              <w:spacing w:after="0"/>
              <w:rPr>
                <w:sz w:val="17"/>
                <w:szCs w:val="17"/>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operation on January 1, 2012.</w:t>
            </w:r>
          </w:p>
        </w:tc>
      </w:tr>
      <w:tr>
        <w:trPr>
          <w:trHeight w:val="175"/>
        </w:trPr>
        <w:tc>
          <w:tcPr>
            <w:tcW w:w="30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Ready Wyoming</w:t>
            </w:r>
          </w:p>
        </w:tc>
        <w:tc>
          <w:tcPr>
            <w:tcW w:w="8240" w:type="dxa"/>
            <w:vAlign w:val="bottom"/>
            <w:shd w:val="clear" w:color="auto" w:fill="CFF0FC"/>
          </w:tcPr>
          <w:p>
            <w:pPr>
              <w:ind w:left="960"/>
              <w:spacing w:after="0" w:line="175" w:lineRule="exact"/>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expected to serve the growing needs of customers by enhancing resiliency of Wyoming Electric’s</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overall electric system and expanding access to power markets and renewable resources. The</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project is expected to help Wyoming Electric maintain top-quartile reliability and enable economic</w:t>
            </w:r>
          </w:p>
        </w:tc>
      </w:tr>
      <w:tr>
        <w:trPr>
          <w:trHeight w:val="203"/>
        </w:trPr>
        <w:tc>
          <w:tcPr>
            <w:tcW w:w="3000" w:type="dxa"/>
            <w:vAlign w:val="bottom"/>
            <w:shd w:val="clear" w:color="auto" w:fill="CFF0FC"/>
          </w:tcPr>
          <w:p>
            <w:pPr>
              <w:spacing w:after="0"/>
              <w:rPr>
                <w:sz w:val="17"/>
                <w:szCs w:val="17"/>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development in the Cheyenne, Wyoming region.</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RESA</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Renewable Energy Standard Adjustment is an incremental retail rate limited to 1.5% for Colorado</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Electric customers that provides funding for renewable energy projects and programs to comply with</w:t>
            </w:r>
          </w:p>
        </w:tc>
      </w:tr>
      <w:tr>
        <w:trPr>
          <w:trHeight w:val="203"/>
        </w:trPr>
        <w:tc>
          <w:tcPr>
            <w:tcW w:w="3000" w:type="dxa"/>
            <w:vAlign w:val="bottom"/>
          </w:tcPr>
          <w:p>
            <w:pPr>
              <w:spacing w:after="0"/>
              <w:rPr>
                <w:sz w:val="17"/>
                <w:szCs w:val="17"/>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Colorado’s Renewable Energy Standard.</w:t>
            </w:r>
          </w:p>
        </w:tc>
      </w:tr>
      <w:tr>
        <w:trPr>
          <w:trHeight w:val="175"/>
        </w:trPr>
        <w:tc>
          <w:tcPr>
            <w:tcW w:w="30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Revolving Credit Facility</w:t>
            </w:r>
          </w:p>
        </w:tc>
        <w:tc>
          <w:tcPr>
            <w:tcW w:w="8240" w:type="dxa"/>
            <w:vAlign w:val="bottom"/>
            <w:shd w:val="clear" w:color="auto" w:fill="CFF0FC"/>
          </w:tcPr>
          <w:p>
            <w:pPr>
              <w:ind w:left="960"/>
              <w:spacing w:after="0" w:line="175"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purposes, which was amended on May 31, 2024, and will terminate on May 31, 2029. This facility</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03"/>
        </w:trPr>
        <w:tc>
          <w:tcPr>
            <w:tcW w:w="3000" w:type="dxa"/>
            <w:vAlign w:val="bottom"/>
            <w:shd w:val="clear" w:color="auto" w:fill="CFF0FC"/>
          </w:tcPr>
          <w:p>
            <w:pPr>
              <w:spacing w:after="0"/>
              <w:rPr>
                <w:sz w:val="17"/>
                <w:szCs w:val="17"/>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commitment.</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RNG</w:t>
            </w:r>
          </w:p>
        </w:tc>
        <w:tc>
          <w:tcPr>
            <w:tcW w:w="8240" w:type="dxa"/>
            <w:vAlign w:val="bottom"/>
          </w:tcPr>
          <w:p>
            <w:pPr>
              <w:ind w:left="960"/>
              <w:spacing w:after="0"/>
              <w:rPr>
                <w:sz w:val="20"/>
                <w:szCs w:val="20"/>
                <w:color w:val="auto"/>
              </w:rPr>
            </w:pPr>
            <w:r>
              <w:rPr>
                <w:rFonts w:ascii="Arial" w:cs="Arial" w:eastAsia="Arial" w:hAnsi="Arial"/>
                <w:sz w:val="16"/>
                <w:szCs w:val="16"/>
                <w:color w:val="auto"/>
              </w:rPr>
              <w:t>Renewable natural gas</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SEC</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Service Guard Comfort Plan</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03"/>
        </w:trPr>
        <w:tc>
          <w:tcPr>
            <w:tcW w:w="3000" w:type="dxa"/>
            <w:vAlign w:val="bottom"/>
          </w:tcPr>
          <w:p>
            <w:pPr>
              <w:spacing w:after="0"/>
              <w:rPr>
                <w:sz w:val="17"/>
                <w:szCs w:val="17"/>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service agreements to residential utility customers.</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S&amp;P</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S&amp;P Global Ratings, a division of S&amp;P Global Inc.</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South Dakota Electric</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service to customers in Montana, South Dakota and Wyoming (doing business as Black Hills</w:t>
            </w:r>
          </w:p>
        </w:tc>
      </w:tr>
      <w:tr>
        <w:trPr>
          <w:trHeight w:val="203"/>
        </w:trPr>
        <w:tc>
          <w:tcPr>
            <w:tcW w:w="3000" w:type="dxa"/>
            <w:vAlign w:val="bottom"/>
          </w:tcPr>
          <w:p>
            <w:pPr>
              <w:spacing w:after="0"/>
              <w:rPr>
                <w:sz w:val="17"/>
                <w:szCs w:val="17"/>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Energy).</w:t>
            </w:r>
          </w:p>
        </w:tc>
      </w:tr>
      <w:tr>
        <w:trPr>
          <w:trHeight w:val="175"/>
        </w:trPr>
        <w:tc>
          <w:tcPr>
            <w:tcW w:w="30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TCAM</w:t>
            </w:r>
          </w:p>
        </w:tc>
        <w:tc>
          <w:tcPr>
            <w:tcW w:w="8240" w:type="dxa"/>
            <w:vAlign w:val="bottom"/>
            <w:shd w:val="clear" w:color="auto" w:fill="CFF0FC"/>
          </w:tcPr>
          <w:p>
            <w:pPr>
              <w:ind w:left="960"/>
              <w:spacing w:after="0" w:line="175" w:lineRule="exact"/>
              <w:rPr>
                <w:sz w:val="20"/>
                <w:szCs w:val="20"/>
                <w:color w:val="auto"/>
              </w:rPr>
            </w:pPr>
            <w:r>
              <w:rPr>
                <w:rFonts w:ascii="Arial" w:cs="Arial" w:eastAsia="Arial" w:hAnsi="Arial"/>
                <w:sz w:val="16"/>
                <w:szCs w:val="16"/>
                <w:color w:val="auto"/>
              </w:rPr>
              <w:t>Transmission Cost Adjustment Mechanism is a WPSC-approved tariff based on a formulaic approach</w:t>
            </w:r>
          </w:p>
        </w:tc>
      </w:tr>
      <w:tr>
        <w:trPr>
          <w:trHeight w:val="203"/>
        </w:trPr>
        <w:tc>
          <w:tcPr>
            <w:tcW w:w="3000" w:type="dxa"/>
            <w:vAlign w:val="bottom"/>
            <w:shd w:val="clear" w:color="auto" w:fill="CFF0FC"/>
          </w:tcPr>
          <w:p>
            <w:pPr>
              <w:spacing w:after="0"/>
              <w:rPr>
                <w:sz w:val="17"/>
                <w:szCs w:val="17"/>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that determines the recovery of Wyoming Electric's transmission costs.</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Tech Services</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customers throughout its service territory by constructing and maintaining customer-owned gas</w:t>
            </w:r>
          </w:p>
        </w:tc>
      </w:tr>
      <w:tr>
        <w:trPr>
          <w:trHeight w:val="203"/>
        </w:trPr>
        <w:tc>
          <w:tcPr>
            <w:tcW w:w="3000" w:type="dxa"/>
            <w:vAlign w:val="bottom"/>
          </w:tcPr>
          <w:p>
            <w:pPr>
              <w:spacing w:after="0"/>
              <w:rPr>
                <w:sz w:val="17"/>
                <w:szCs w:val="17"/>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infrastructure facilities, typically through one-time contracts.</w:t>
            </w:r>
          </w:p>
        </w:tc>
      </w:tr>
      <w:tr>
        <w:trPr>
          <w:trHeight w:val="189"/>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Utilities</w:t>
            </w: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Wind Capacity Factor</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03"/>
        </w:trPr>
        <w:tc>
          <w:tcPr>
            <w:tcW w:w="3000" w:type="dxa"/>
            <w:vAlign w:val="bottom"/>
          </w:tcPr>
          <w:p>
            <w:pPr>
              <w:spacing w:after="0"/>
              <w:rPr>
                <w:sz w:val="17"/>
                <w:szCs w:val="17"/>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maximum potential.</w:t>
            </w:r>
          </w:p>
        </w:tc>
      </w:tr>
      <w:tr>
        <w:trPr>
          <w:trHeight w:val="175"/>
        </w:trPr>
        <w:tc>
          <w:tcPr>
            <w:tcW w:w="30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Winter Storm Uri</w:t>
            </w:r>
          </w:p>
        </w:tc>
        <w:tc>
          <w:tcPr>
            <w:tcW w:w="8240" w:type="dxa"/>
            <w:vAlign w:val="bottom"/>
            <w:shd w:val="clear" w:color="auto" w:fill="CFF0FC"/>
          </w:tcPr>
          <w:p>
            <w:pPr>
              <w:ind w:left="960"/>
              <w:spacing w:after="0" w:line="175" w:lineRule="exact"/>
              <w:rPr>
                <w:sz w:val="20"/>
                <w:szCs w:val="20"/>
                <w:color w:val="auto"/>
              </w:rPr>
            </w:pPr>
            <w:r>
              <w:rPr>
                <w:rFonts w:ascii="Arial" w:cs="Arial" w:eastAsia="Arial" w:hAnsi="Arial"/>
                <w:sz w:val="16"/>
                <w:szCs w:val="16"/>
                <w:color w:val="auto"/>
              </w:rPr>
              <w:t>February 2021 winter weather event that caused extreme cold temperatures in the central United</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States and led to unprecedented fluctuations in customer demand and market pricing for natural gas</w:t>
            </w:r>
          </w:p>
        </w:tc>
      </w:tr>
      <w:tr>
        <w:trPr>
          <w:trHeight w:val="203"/>
        </w:trPr>
        <w:tc>
          <w:tcPr>
            <w:tcW w:w="3000" w:type="dxa"/>
            <w:vAlign w:val="bottom"/>
            <w:shd w:val="clear" w:color="auto" w:fill="CFF0FC"/>
          </w:tcPr>
          <w:p>
            <w:pPr>
              <w:spacing w:after="0"/>
              <w:rPr>
                <w:sz w:val="17"/>
                <w:szCs w:val="17"/>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and energy.</w:t>
            </w:r>
          </w:p>
        </w:tc>
      </w:tr>
      <w:tr>
        <w:trPr>
          <w:trHeight w:val="189"/>
        </w:trPr>
        <w:tc>
          <w:tcPr>
            <w:tcW w:w="3000" w:type="dxa"/>
            <w:vAlign w:val="bottom"/>
          </w:tcPr>
          <w:p>
            <w:pPr>
              <w:spacing w:after="0"/>
              <w:rPr>
                <w:sz w:val="20"/>
                <w:szCs w:val="20"/>
                <w:color w:val="auto"/>
              </w:rPr>
            </w:pPr>
            <w:r>
              <w:rPr>
                <w:rFonts w:ascii="Arial" w:cs="Arial" w:eastAsia="Arial" w:hAnsi="Arial"/>
                <w:sz w:val="16"/>
                <w:szCs w:val="16"/>
                <w:color w:val="auto"/>
              </w:rPr>
              <w:t>WPSC</w:t>
            </w:r>
          </w:p>
        </w:tc>
        <w:tc>
          <w:tcPr>
            <w:tcW w:w="8240" w:type="dxa"/>
            <w:vAlign w:val="bottom"/>
          </w:tcPr>
          <w:p>
            <w:pPr>
              <w:ind w:left="96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30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WRDC</w:t>
            </w:r>
          </w:p>
        </w:tc>
        <w:tc>
          <w:tcPr>
            <w:tcW w:w="8240" w:type="dxa"/>
            <w:vAlign w:val="bottom"/>
            <w:shd w:val="clear" w:color="auto" w:fill="CFF0FC"/>
          </w:tcPr>
          <w:p>
            <w:pPr>
              <w:ind w:left="96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w:t>
            </w:r>
          </w:p>
        </w:tc>
      </w:tr>
      <w:tr>
        <w:trPr>
          <w:trHeight w:val="189"/>
        </w:trPr>
        <w:tc>
          <w:tcPr>
            <w:tcW w:w="3000" w:type="dxa"/>
            <w:vAlign w:val="bottom"/>
            <w:shd w:val="clear" w:color="auto" w:fill="CFF0FC"/>
          </w:tcPr>
          <w:p>
            <w:pPr>
              <w:spacing w:after="0"/>
              <w:rPr>
                <w:sz w:val="16"/>
                <w:szCs w:val="16"/>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Black Hills Non-regulated Holdings, providing coal supply primarily to five on-site, mine-mouth</w:t>
            </w:r>
          </w:p>
        </w:tc>
      </w:tr>
      <w:tr>
        <w:trPr>
          <w:trHeight w:val="203"/>
        </w:trPr>
        <w:tc>
          <w:tcPr>
            <w:tcW w:w="3000" w:type="dxa"/>
            <w:vAlign w:val="bottom"/>
            <w:shd w:val="clear" w:color="auto" w:fill="CFF0FC"/>
          </w:tcPr>
          <w:p>
            <w:pPr>
              <w:spacing w:after="0"/>
              <w:rPr>
                <w:sz w:val="17"/>
                <w:szCs w:val="17"/>
                <w:color w:val="auto"/>
              </w:rPr>
            </w:pPr>
          </w:p>
        </w:tc>
        <w:tc>
          <w:tcPr>
            <w:tcW w:w="82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generating facilities at our Gillette Energy Complex (doing business as Black Hills Energy).</w:t>
            </w:r>
          </w:p>
        </w:tc>
      </w:tr>
      <w:tr>
        <w:trPr>
          <w:trHeight w:val="175"/>
        </w:trPr>
        <w:tc>
          <w:tcPr>
            <w:tcW w:w="3000" w:type="dxa"/>
            <w:vAlign w:val="bottom"/>
          </w:tcPr>
          <w:p>
            <w:pPr>
              <w:spacing w:after="0" w:line="175" w:lineRule="exact"/>
              <w:rPr>
                <w:sz w:val="20"/>
                <w:szCs w:val="20"/>
                <w:color w:val="auto"/>
              </w:rPr>
            </w:pPr>
            <w:r>
              <w:rPr>
                <w:rFonts w:ascii="Arial" w:cs="Arial" w:eastAsia="Arial" w:hAnsi="Arial"/>
                <w:sz w:val="16"/>
                <w:szCs w:val="16"/>
                <w:color w:val="auto"/>
              </w:rPr>
              <w:t>Wygen III</w:t>
            </w:r>
          </w:p>
        </w:tc>
        <w:tc>
          <w:tcPr>
            <w:tcW w:w="8240" w:type="dxa"/>
            <w:vAlign w:val="bottom"/>
          </w:tcPr>
          <w:p>
            <w:pPr>
              <w:ind w:left="960"/>
              <w:spacing w:after="0" w:line="175" w:lineRule="exact"/>
              <w:rPr>
                <w:sz w:val="20"/>
                <w:szCs w:val="20"/>
                <w:color w:val="auto"/>
              </w:rPr>
            </w:pPr>
            <w:r>
              <w:rPr>
                <w:rFonts w:ascii="Arial" w:cs="Arial" w:eastAsia="Arial" w:hAnsi="Arial"/>
                <w:sz w:val="16"/>
                <w:szCs w:val="16"/>
                <w:color w:val="auto"/>
              </w:rPr>
              <w:t>A mine-mouth, coal-fired power plant operated by South Dakota Electric with a total capacity of 116</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MW located at our Gillette Energy Complex. South Dakota Electric owns 52% of the power plant,</w:t>
            </w:r>
          </w:p>
        </w:tc>
      </w:tr>
      <w:tr>
        <w:trPr>
          <w:trHeight w:val="189"/>
        </w:trPr>
        <w:tc>
          <w:tcPr>
            <w:tcW w:w="3000" w:type="dxa"/>
            <w:vAlign w:val="bottom"/>
          </w:tcPr>
          <w:p>
            <w:pPr>
              <w:spacing w:after="0"/>
              <w:rPr>
                <w:sz w:val="16"/>
                <w:szCs w:val="16"/>
                <w:color w:val="auto"/>
              </w:rPr>
            </w:pPr>
          </w:p>
        </w:tc>
        <w:tc>
          <w:tcPr>
            <w:tcW w:w="8240" w:type="dxa"/>
            <w:vAlign w:val="bottom"/>
          </w:tcPr>
          <w:p>
            <w:pPr>
              <w:ind w:left="960"/>
              <w:spacing w:after="0"/>
              <w:rPr>
                <w:sz w:val="20"/>
                <w:szCs w:val="20"/>
                <w:color w:val="auto"/>
              </w:rPr>
            </w:pPr>
            <w:r>
              <w:rPr>
                <w:rFonts w:ascii="Arial" w:cs="Arial" w:eastAsia="Arial" w:hAnsi="Arial"/>
                <w:sz w:val="16"/>
                <w:szCs w:val="16"/>
                <w:color w:val="auto"/>
              </w:rPr>
              <w:t>MDU owns 25%, and the City of Gillette owns the remaining 23%.</w:t>
            </w:r>
          </w:p>
        </w:tc>
      </w:tr>
      <w:tr>
        <w:trPr>
          <w:trHeight w:val="215"/>
        </w:trPr>
        <w:tc>
          <w:tcPr>
            <w:tcW w:w="3000" w:type="dxa"/>
            <w:vAlign w:val="bottom"/>
          </w:tcPr>
          <w:p>
            <w:pPr>
              <w:spacing w:after="0"/>
              <w:rPr>
                <w:sz w:val="18"/>
                <w:szCs w:val="18"/>
                <w:color w:val="auto"/>
              </w:rPr>
            </w:pPr>
          </w:p>
        </w:tc>
        <w:tc>
          <w:tcPr>
            <w:tcW w:w="8240" w:type="dxa"/>
            <w:vAlign w:val="bottom"/>
          </w:tcPr>
          <w:p>
            <w:pPr>
              <w:ind w:left="2580"/>
              <w:spacing w:after="0"/>
              <w:rPr>
                <w:sz w:val="20"/>
                <w:szCs w:val="20"/>
                <w:color w:val="auto"/>
              </w:rPr>
            </w:pPr>
            <w:r>
              <w:rPr>
                <w:rFonts w:ascii="Arial" w:cs="Arial" w:eastAsia="Arial" w:hAnsi="Arial"/>
                <w:sz w:val="16"/>
                <w:szCs w:val="16"/>
                <w:color w:val="auto"/>
              </w:rPr>
              <w:t>5</w:t>
            </w:r>
          </w:p>
        </w:tc>
      </w:tr>
      <w:tr>
        <w:trPr>
          <w:trHeight w:val="751"/>
        </w:trPr>
        <w:tc>
          <w:tcPr>
            <w:tcW w:w="30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8640" w:type="dxa"/>
            <w:vAlign w:val="bottom"/>
            <w:shd w:val="clear" w:color="auto" w:fill="CFF0FC"/>
          </w:tcPr>
          <w:p>
            <w:pPr>
              <w:ind w:left="1360"/>
              <w:spacing w:after="0"/>
              <w:rPr>
                <w:sz w:val="20"/>
                <w:szCs w:val="20"/>
                <w:color w:val="auto"/>
              </w:rPr>
            </w:pPr>
            <w:r>
              <w:rPr>
                <w:rFonts w:ascii="Arial" w:cs="Arial" w:eastAsia="Arial" w:hAnsi="Arial"/>
                <w:sz w:val="16"/>
                <w:szCs w:val="16"/>
                <w:color w:val="auto"/>
              </w:rPr>
              <w:t>Cheyenne Light, Fuel and Power Company, a direct, wholly-owned subsidiary of Black Hills</w:t>
            </w:r>
          </w:p>
        </w:tc>
      </w:tr>
      <w:tr>
        <w:trPr>
          <w:trHeight w:val="189"/>
        </w:trPr>
        <w:tc>
          <w:tcPr>
            <w:tcW w:w="2600" w:type="dxa"/>
            <w:vAlign w:val="bottom"/>
            <w:shd w:val="clear" w:color="auto" w:fill="CFF0FC"/>
          </w:tcPr>
          <w:p>
            <w:pPr>
              <w:spacing w:after="0"/>
              <w:rPr>
                <w:sz w:val="16"/>
                <w:szCs w:val="16"/>
                <w:color w:val="auto"/>
              </w:rPr>
            </w:pPr>
          </w:p>
        </w:tc>
        <w:tc>
          <w:tcPr>
            <w:tcW w:w="8640" w:type="dxa"/>
            <w:vAlign w:val="bottom"/>
            <w:shd w:val="clear" w:color="auto" w:fill="CFF0FC"/>
          </w:tcPr>
          <w:p>
            <w:pPr>
              <w:ind w:left="1360"/>
              <w:spacing w:after="0"/>
              <w:rPr>
                <w:sz w:val="20"/>
                <w:szCs w:val="20"/>
                <w:color w:val="auto"/>
              </w:rPr>
            </w:pPr>
            <w:r>
              <w:rPr>
                <w:rFonts w:ascii="Arial" w:cs="Arial" w:eastAsia="Arial" w:hAnsi="Arial"/>
                <w:sz w:val="16"/>
                <w:szCs w:val="16"/>
                <w:color w:val="auto"/>
              </w:rPr>
              <w:t>Corporation, providing electric service to customers in the Cheyenne, Wyoming area (doing business</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1360"/>
              <w:spacing w:after="0"/>
              <w:rPr>
                <w:sz w:val="20"/>
                <w:szCs w:val="20"/>
                <w:color w:val="auto"/>
              </w:rPr>
            </w:pPr>
            <w:r>
              <w:rPr>
                <w:rFonts w:ascii="Arial" w:cs="Arial" w:eastAsia="Arial" w:hAnsi="Arial"/>
                <w:sz w:val="16"/>
                <w:szCs w:val="16"/>
                <w:color w:val="auto"/>
              </w:rPr>
              <w:t>as Black Hills Energy).</w:t>
            </w:r>
          </w:p>
        </w:tc>
      </w:tr>
      <w:tr>
        <w:trPr>
          <w:trHeight w:val="175"/>
        </w:trPr>
        <w:tc>
          <w:tcPr>
            <w:tcW w:w="2600" w:type="dxa"/>
            <w:vAlign w:val="bottom"/>
          </w:tcPr>
          <w:p>
            <w:pPr>
              <w:spacing w:after="0" w:line="175" w:lineRule="exact"/>
              <w:rPr>
                <w:sz w:val="20"/>
                <w:szCs w:val="20"/>
                <w:color w:val="auto"/>
              </w:rPr>
            </w:pPr>
            <w:r>
              <w:rPr>
                <w:rFonts w:ascii="Arial" w:cs="Arial" w:eastAsia="Arial" w:hAnsi="Arial"/>
                <w:sz w:val="16"/>
                <w:szCs w:val="16"/>
                <w:color w:val="auto"/>
              </w:rPr>
              <w:t>Wyoming Gas</w:t>
            </w:r>
          </w:p>
        </w:tc>
        <w:tc>
          <w:tcPr>
            <w:tcW w:w="8640" w:type="dxa"/>
            <w:vAlign w:val="bottom"/>
          </w:tcPr>
          <w:p>
            <w:pPr>
              <w:ind w:left="1360"/>
              <w:spacing w:after="0" w:line="175"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189"/>
        </w:trPr>
        <w:tc>
          <w:tcPr>
            <w:tcW w:w="2600" w:type="dxa"/>
            <w:vAlign w:val="bottom"/>
          </w:tcPr>
          <w:p>
            <w:pPr>
              <w:spacing w:after="0"/>
              <w:rPr>
                <w:sz w:val="16"/>
                <w:szCs w:val="16"/>
                <w:color w:val="auto"/>
              </w:rPr>
            </w:pPr>
          </w:p>
        </w:tc>
        <w:tc>
          <w:tcPr>
            <w:tcW w:w="8640" w:type="dxa"/>
            <w:vAlign w:val="bottom"/>
          </w:tcPr>
          <w:p>
            <w:pPr>
              <w:ind w:left="136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215"/>
        </w:trPr>
        <w:tc>
          <w:tcPr>
            <w:tcW w:w="2600" w:type="dxa"/>
            <w:vAlign w:val="bottom"/>
          </w:tcPr>
          <w:p>
            <w:pPr>
              <w:spacing w:after="0"/>
              <w:rPr>
                <w:sz w:val="18"/>
                <w:szCs w:val="18"/>
                <w:color w:val="auto"/>
              </w:rPr>
            </w:pPr>
          </w:p>
        </w:tc>
        <w:tc>
          <w:tcPr>
            <w:tcW w:w="8640" w:type="dxa"/>
            <w:vAlign w:val="bottom"/>
          </w:tcPr>
          <w:p>
            <w:pPr>
              <w:ind w:left="2980"/>
              <w:spacing w:after="0"/>
              <w:rPr>
                <w:sz w:val="20"/>
                <w:szCs w:val="20"/>
                <w:color w:val="auto"/>
              </w:rPr>
            </w:pPr>
            <w:r>
              <w:rPr>
                <w:rFonts w:ascii="Arial" w:cs="Arial" w:eastAsia="Arial" w:hAnsi="Arial"/>
                <w:sz w:val="16"/>
                <w:szCs w:val="16"/>
                <w:color w:val="auto"/>
              </w:rPr>
              <w:t>6</w:t>
            </w:r>
          </w:p>
        </w:tc>
      </w:tr>
      <w:tr>
        <w:trPr>
          <w:trHeight w:val="752"/>
        </w:trPr>
        <w:tc>
          <w:tcPr>
            <w:tcW w:w="2600" w:type="dxa"/>
            <w:vAlign w:val="bottom"/>
            <w:tcBorders>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2024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142"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tariffs and volatile energy prices;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sufficient insurance coverage at reasonable costs and whether such coverage will protect us against significant losses; and</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2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STATEMENTS</w:t>
            </w:r>
          </w:p>
        </w:tc>
        <w:tc>
          <w:tcPr>
            <w:tcW w:w="2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060" w:type="dxa"/>
            <w:vAlign w:val="bottom"/>
            <w:gridSpan w:val="2"/>
          </w:tcPr>
          <w:p>
            <w:pPr>
              <w:jc w:val="right"/>
              <w:ind w:right="1019"/>
              <w:spacing w:after="0"/>
              <w:rPr>
                <w:sz w:val="20"/>
                <w:szCs w:val="20"/>
                <w:color w:val="auto"/>
              </w:rPr>
            </w:pPr>
            <w:r>
              <w:rPr>
                <w:rFonts w:ascii="Arial" w:cs="Arial" w:eastAsia="Arial" w:hAnsi="Arial"/>
                <w:sz w:val="16"/>
                <w:szCs w:val="16"/>
                <w:b w:val="1"/>
                <w:bCs w:val="1"/>
                <w:color w:val="auto"/>
              </w:rPr>
              <w:t>BLACK HILLS CORPORATION</w:t>
            </w: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0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CONSOLIDATED STATEMENTS OF INCOME</w:t>
            </w:r>
          </w:p>
        </w:tc>
        <w:tc>
          <w:tcPr>
            <w:tcW w:w="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60" w:type="dxa"/>
            <w:vAlign w:val="bottom"/>
            <w:gridSpan w:val="2"/>
          </w:tcPr>
          <w:p>
            <w:pPr>
              <w:jc w:val="center"/>
              <w:ind w:right="67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Pr>
          <w:p>
            <w:pPr>
              <w:spacing w:after="0"/>
              <w:rPr>
                <w:sz w:val="24"/>
                <w:szCs w:val="24"/>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(unaudited)</w:t>
            </w:r>
          </w:p>
        </w:tc>
        <w:tc>
          <w:tcPr>
            <w:tcW w:w="2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60" w:type="dxa"/>
            <w:vAlign w:val="bottom"/>
            <w:gridSpan w:val="2"/>
          </w:tcPr>
          <w:p>
            <w:pPr>
              <w:jc w:val="center"/>
              <w:ind w:right="679"/>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0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960" w:type="dxa"/>
            <w:vAlign w:val="bottom"/>
          </w:tcPr>
          <w:p>
            <w:pPr>
              <w:spacing w:after="0"/>
              <w:rPr>
                <w:sz w:val="17"/>
                <w:szCs w:val="17"/>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780" w:type="dxa"/>
            <w:vAlign w:val="bottom"/>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980" w:type="dxa"/>
            <w:vAlign w:val="bottom"/>
            <w:tcBorders>
              <w:top w:val="single" w:sz="8" w:color="auto"/>
              <w:bottom w:val="single" w:sz="8" w:color="auto"/>
            </w:tcBorders>
            <w:gridSpan w:val="3"/>
          </w:tcPr>
          <w:p>
            <w:pPr>
              <w:jc w:val="center"/>
              <w:ind w:left="599"/>
              <w:spacing w:after="0" w:line="183" w:lineRule="exact"/>
              <w:rPr>
                <w:sz w:val="20"/>
                <w:szCs w:val="20"/>
                <w:color w:val="auto"/>
              </w:rPr>
            </w:pPr>
            <w:r>
              <w:rPr>
                <w:rFonts w:ascii="Arial" w:cs="Arial" w:eastAsia="Arial" w:hAnsi="Arial"/>
                <w:sz w:val="16"/>
                <w:szCs w:val="16"/>
                <w:color w:val="auto"/>
              </w:rPr>
              <w:t>(in millions, except per share amounts)</w:t>
            </w:r>
          </w:p>
        </w:tc>
        <w:tc>
          <w:tcPr>
            <w:tcW w:w="780" w:type="dxa"/>
            <w:vAlign w:val="bottom"/>
            <w:tcBorders>
              <w:top w:val="single" w:sz="8" w:color="auto"/>
              <w:bottom w:val="single" w:sz="8" w:color="auto"/>
            </w:tcBorders>
          </w:tcPr>
          <w:p>
            <w:pPr>
              <w:spacing w:after="0"/>
              <w:rPr>
                <w:sz w:val="15"/>
                <w:szCs w:val="15"/>
                <w:color w:val="auto"/>
              </w:rPr>
            </w:pPr>
          </w:p>
        </w:tc>
      </w:tr>
      <w:tr>
        <w:trPr>
          <w:trHeight w:val="183"/>
        </w:trPr>
        <w:tc>
          <w:tcPr>
            <w:tcW w:w="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60" w:type="dxa"/>
            <w:vAlign w:val="bottom"/>
            <w:shd w:val="clear" w:color="auto" w:fill="CFF0FC"/>
          </w:tcPr>
          <w:p>
            <w:pPr>
              <w:spacing w:after="0"/>
              <w:rPr>
                <w:sz w:val="15"/>
                <w:szCs w:val="15"/>
                <w:color w:val="auto"/>
              </w:rPr>
            </w:pPr>
          </w:p>
        </w:tc>
        <w:tc>
          <w:tcPr>
            <w:tcW w:w="4060" w:type="dxa"/>
            <w:vAlign w:val="bottom"/>
            <w:gridSpan w:val="2"/>
            <w:shd w:val="clear" w:color="auto" w:fill="CFF0FC"/>
          </w:tcPr>
          <w:p>
            <w:pPr>
              <w:jc w:val="right"/>
              <w:ind w:right="123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805.2</w:t>
            </w:r>
          </w:p>
        </w:tc>
        <w:tc>
          <w:tcPr>
            <w:tcW w:w="1600" w:type="dxa"/>
            <w:vAlign w:val="bottom"/>
            <w:shd w:val="clear" w:color="auto" w:fill="CFF0FC"/>
          </w:tcPr>
          <w:p>
            <w:pPr>
              <w:jc w:val="right"/>
              <w:ind w:right="141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726.4</w:t>
            </w:r>
          </w:p>
        </w:tc>
      </w:tr>
      <w:tr>
        <w:trPr>
          <w:trHeight w:val="183"/>
        </w:trPr>
        <w:tc>
          <w:tcPr>
            <w:tcW w:w="3840" w:type="dxa"/>
            <w:vAlign w:val="bottom"/>
            <w:tcBorders>
              <w:top w:val="single" w:sz="8" w:color="CFF0FC"/>
            </w:tcBorders>
            <w:gridSpan w:val="2"/>
          </w:tcPr>
          <w:p>
            <w:pPr>
              <w:spacing w:after="0"/>
              <w:rPr>
                <w:sz w:val="15"/>
                <w:szCs w:val="15"/>
                <w:color w:val="auto"/>
              </w:rPr>
            </w:pPr>
          </w:p>
        </w:tc>
        <w:tc>
          <w:tcPr>
            <w:tcW w:w="264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6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Fuel, purchased power and cost of natural gas sold</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359.7</w:t>
            </w:r>
          </w:p>
        </w:tc>
        <w:tc>
          <w:tcPr>
            <w:tcW w:w="160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316.6</w:t>
            </w: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26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153.7</w:t>
            </w: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133.6</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69.2</w:t>
            </w:r>
          </w:p>
        </w:tc>
        <w:tc>
          <w:tcPr>
            <w:tcW w:w="160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65.9</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6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17.6</w:t>
            </w:r>
          </w:p>
        </w:tc>
        <w:tc>
          <w:tcPr>
            <w:tcW w:w="16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w:t>
            </w:r>
          </w:p>
        </w:tc>
      </w:tr>
      <w:tr>
        <w:trPr>
          <w:trHeight w:val="183"/>
        </w:trPr>
        <w:tc>
          <w:tcPr>
            <w:tcW w:w="38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Total operating expenses</w:t>
            </w:r>
          </w:p>
        </w:tc>
        <w:tc>
          <w:tcPr>
            <w:tcW w:w="2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600.2</w:t>
            </w:r>
          </w:p>
        </w:tc>
        <w:tc>
          <w:tcPr>
            <w:tcW w:w="1600" w:type="dxa"/>
            <w:vAlign w:val="bottom"/>
          </w:tcPr>
          <w:p>
            <w:pPr>
              <w:spacing w:after="0"/>
              <w:rPr>
                <w:sz w:val="15"/>
                <w:szCs w:val="15"/>
                <w:color w:val="auto"/>
              </w:rPr>
            </w:pPr>
          </w:p>
        </w:tc>
        <w:tc>
          <w:tcPr>
            <w:tcW w:w="7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533.1</w:t>
            </w:r>
          </w:p>
        </w:tc>
      </w:tr>
      <w:tr>
        <w:trPr>
          <w:trHeight w:val="189"/>
        </w:trPr>
        <w:tc>
          <w:tcPr>
            <w:tcW w:w="3840" w:type="dxa"/>
            <w:vAlign w:val="bottom"/>
            <w:gridSpan w:val="2"/>
            <w:shd w:val="clear" w:color="auto" w:fill="CFF0FC"/>
          </w:tcPr>
          <w:p>
            <w:pPr>
              <w:spacing w:after="0"/>
              <w:rPr>
                <w:sz w:val="16"/>
                <w:szCs w:val="16"/>
                <w:color w:val="auto"/>
              </w:rPr>
            </w:pPr>
          </w:p>
        </w:tc>
        <w:tc>
          <w:tcPr>
            <w:tcW w:w="26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205.0</w:t>
            </w:r>
          </w:p>
        </w:tc>
        <w:tc>
          <w:tcPr>
            <w:tcW w:w="160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193.3</w:t>
            </w:r>
          </w:p>
        </w:tc>
      </w:tr>
      <w:tr>
        <w:trPr>
          <w:trHeight w:val="189"/>
        </w:trPr>
        <w:tc>
          <w:tcPr>
            <w:tcW w:w="3840" w:type="dxa"/>
            <w:vAlign w:val="bottom"/>
            <w:gridSpan w:val="2"/>
            <w:shd w:val="clear" w:color="auto" w:fill="CFF0FC"/>
          </w:tcPr>
          <w:p>
            <w:pPr>
              <w:spacing w:after="0"/>
              <w:rPr>
                <w:sz w:val="16"/>
                <w:szCs w:val="16"/>
                <w:color w:val="auto"/>
              </w:rPr>
            </w:pPr>
          </w:p>
        </w:tc>
        <w:tc>
          <w:tcPr>
            <w:tcW w:w="26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 incurred net of amounts capitalized</w:t>
            </w:r>
          </w:p>
        </w:tc>
        <w:tc>
          <w:tcPr>
            <w:tcW w:w="26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60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6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16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183"/>
        </w:trPr>
        <w:tc>
          <w:tcPr>
            <w:tcW w:w="3840" w:type="dxa"/>
            <w:vAlign w:val="bottom"/>
            <w:gridSpan w:val="2"/>
          </w:tcPr>
          <w:p>
            <w:pPr>
              <w:ind w:left="120"/>
              <w:spacing w:after="0" w:line="183" w:lineRule="exact"/>
              <w:rPr>
                <w:sz w:val="20"/>
                <w:szCs w:val="20"/>
                <w:color w:val="auto"/>
              </w:rPr>
            </w:pPr>
            <w:r>
              <w:rPr>
                <w:rFonts w:ascii="Arial" w:cs="Arial" w:eastAsia="Arial" w:hAnsi="Arial"/>
                <w:sz w:val="16"/>
                <w:szCs w:val="16"/>
                <w:color w:val="auto"/>
              </w:rPr>
              <w:t>Total other (expense)</w:t>
            </w:r>
          </w:p>
        </w:tc>
        <w:tc>
          <w:tcPr>
            <w:tcW w:w="26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(50.5)</w:t>
            </w:r>
          </w:p>
        </w:tc>
        <w:tc>
          <w:tcPr>
            <w:tcW w:w="1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(44.8)</w:t>
            </w:r>
          </w:p>
        </w:tc>
      </w:tr>
      <w:tr>
        <w:trPr>
          <w:trHeight w:val="183"/>
        </w:trPr>
        <w:tc>
          <w:tcPr>
            <w:tcW w:w="3840" w:type="dxa"/>
            <w:vAlign w:val="bottom"/>
            <w:gridSpan w:val="2"/>
            <w:shd w:val="clear" w:color="auto" w:fill="CFF0FC"/>
          </w:tcPr>
          <w:p>
            <w:pPr>
              <w:spacing w:after="0"/>
              <w:rPr>
                <w:sz w:val="15"/>
                <w:szCs w:val="15"/>
                <w:color w:val="auto"/>
              </w:rPr>
            </w:pPr>
          </w:p>
        </w:tc>
        <w:tc>
          <w:tcPr>
            <w:tcW w:w="26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154.5</w:t>
            </w:r>
          </w:p>
        </w:tc>
        <w:tc>
          <w:tcPr>
            <w:tcW w:w="160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148.5</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6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6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r>
      <w:tr>
        <w:trPr>
          <w:trHeight w:val="183"/>
        </w:trPr>
        <w:tc>
          <w:tcPr>
            <w:tcW w:w="980" w:type="dxa"/>
            <w:vAlign w:val="bottom"/>
          </w:tcPr>
          <w:p>
            <w:pPr>
              <w:ind w:left="60"/>
              <w:spacing w:after="0" w:line="183" w:lineRule="exact"/>
              <w:rPr>
                <w:sz w:val="20"/>
                <w:szCs w:val="20"/>
                <w:color w:val="auto"/>
              </w:rPr>
            </w:pPr>
            <w:r>
              <w:rPr>
                <w:rFonts w:ascii="Arial" w:cs="Arial" w:eastAsia="Arial" w:hAnsi="Arial"/>
                <w:sz w:val="16"/>
                <w:szCs w:val="16"/>
                <w:color w:val="auto"/>
              </w:rPr>
              <w:t>Net income</w:t>
            </w:r>
          </w:p>
        </w:tc>
        <w:tc>
          <w:tcPr>
            <w:tcW w:w="2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136.4</w:t>
            </w:r>
          </w:p>
        </w:tc>
        <w:tc>
          <w:tcPr>
            <w:tcW w:w="1600" w:type="dxa"/>
            <w:vAlign w:val="bottom"/>
          </w:tcPr>
          <w:p>
            <w:pPr>
              <w:spacing w:after="0"/>
              <w:rPr>
                <w:sz w:val="15"/>
                <w:szCs w:val="15"/>
                <w:color w:val="auto"/>
              </w:rPr>
            </w:pPr>
          </w:p>
        </w:tc>
        <w:tc>
          <w:tcPr>
            <w:tcW w:w="7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131.6</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26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183"/>
        </w:trPr>
        <w:tc>
          <w:tcPr>
            <w:tcW w:w="3840" w:type="dxa"/>
            <w:vAlign w:val="bottom"/>
            <w:gridSpan w:val="2"/>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4060" w:type="dxa"/>
            <w:vAlign w:val="bottom"/>
            <w:gridSpan w:val="2"/>
          </w:tcPr>
          <w:p>
            <w:pPr>
              <w:jc w:val="right"/>
              <w:ind w:right="1239"/>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134.3</w:t>
            </w:r>
          </w:p>
        </w:tc>
        <w:tc>
          <w:tcPr>
            <w:tcW w:w="1600" w:type="dxa"/>
            <w:vAlign w:val="bottom"/>
          </w:tcPr>
          <w:p>
            <w:pPr>
              <w:jc w:val="right"/>
              <w:ind w:right="1419"/>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127.9</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Earnings per share of common stock:</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9"/>
        </w:trPr>
        <w:tc>
          <w:tcPr>
            <w:tcW w:w="3840" w:type="dxa"/>
            <w:vAlign w:val="bottom"/>
            <w:tcBorders>
              <w:bottom w:val="single" w:sz="8" w:color="CFF0FC"/>
            </w:tcBorders>
            <w:gridSpan w:val="2"/>
            <w:shd w:val="clear" w:color="auto" w:fill="CFF0FC"/>
          </w:tcPr>
          <w:p>
            <w:pPr>
              <w:ind w:left="60"/>
              <w:spacing w:after="0" w:line="169" w:lineRule="exact"/>
              <w:rPr>
                <w:sz w:val="20"/>
                <w:szCs w:val="20"/>
                <w:color w:val="auto"/>
              </w:rPr>
            </w:pPr>
            <w:r>
              <w:rPr>
                <w:rFonts w:ascii="Arial" w:cs="Arial" w:eastAsia="Arial" w:hAnsi="Arial"/>
                <w:sz w:val="16"/>
                <w:szCs w:val="16"/>
                <w:color w:val="auto"/>
              </w:rPr>
              <w:t>Earnings per share, Basic</w:t>
            </w:r>
          </w:p>
        </w:tc>
        <w:tc>
          <w:tcPr>
            <w:tcW w:w="26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9"/>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1.87</w:t>
            </w:r>
          </w:p>
        </w:tc>
        <w:tc>
          <w:tcPr>
            <w:tcW w:w="1600" w:type="dxa"/>
            <w:vAlign w:val="bottom"/>
            <w:tcBorders>
              <w:bottom w:val="single" w:sz="8" w:color="auto"/>
            </w:tcBorders>
            <w:shd w:val="clear" w:color="auto" w:fill="CFF0FC"/>
          </w:tcPr>
          <w:p>
            <w:pPr>
              <w:jc w:val="right"/>
              <w:ind w:right="1419"/>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1.88</w:t>
            </w:r>
          </w:p>
        </w:tc>
      </w:tr>
      <w:tr>
        <w:trPr>
          <w:trHeight w:val="170"/>
        </w:trPr>
        <w:tc>
          <w:tcPr>
            <w:tcW w:w="384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Earnings per share, Diluted</w:t>
            </w:r>
          </w:p>
        </w:tc>
        <w:tc>
          <w:tcPr>
            <w:tcW w:w="4060" w:type="dxa"/>
            <w:vAlign w:val="bottom"/>
            <w:gridSpan w:val="2"/>
          </w:tcPr>
          <w:p>
            <w:pPr>
              <w:jc w:val="right"/>
              <w:ind w:right="1239"/>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1.87</w:t>
            </w:r>
          </w:p>
        </w:tc>
        <w:tc>
          <w:tcPr>
            <w:tcW w:w="1600" w:type="dxa"/>
            <w:vAlign w:val="bottom"/>
          </w:tcPr>
          <w:p>
            <w:pPr>
              <w:jc w:val="right"/>
              <w:ind w:right="1419"/>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1.87</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26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2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9"/>
        </w:trPr>
        <w:tc>
          <w:tcPr>
            <w:tcW w:w="980" w:type="dxa"/>
            <w:vAlign w:val="bottom"/>
            <w:tcBorders>
              <w:bottom w:val="single" w:sz="8" w:color="CFF0FC"/>
            </w:tcBorders>
            <w:shd w:val="clear" w:color="auto" w:fill="CFF0FC"/>
          </w:tcPr>
          <w:p>
            <w:pPr>
              <w:ind w:left="60"/>
              <w:spacing w:after="0" w:line="169" w:lineRule="exact"/>
              <w:rPr>
                <w:sz w:val="20"/>
                <w:szCs w:val="20"/>
                <w:color w:val="auto"/>
              </w:rPr>
            </w:pPr>
            <w:r>
              <w:rPr>
                <w:rFonts w:ascii="Arial" w:cs="Arial" w:eastAsia="Arial" w:hAnsi="Arial"/>
                <w:sz w:val="16"/>
                <w:szCs w:val="16"/>
                <w:color w:val="auto"/>
              </w:rPr>
              <w:t>Basic</w:t>
            </w:r>
          </w:p>
        </w:tc>
        <w:tc>
          <w:tcPr>
            <w:tcW w:w="2860" w:type="dxa"/>
            <w:vAlign w:val="bottom"/>
            <w:tcBorders>
              <w:bottom w:val="single" w:sz="8" w:color="CFF0FC"/>
            </w:tcBorders>
            <w:shd w:val="clear" w:color="auto" w:fill="CFF0FC"/>
          </w:tcPr>
          <w:p>
            <w:pPr>
              <w:spacing w:after="0"/>
              <w:rPr>
                <w:sz w:val="19"/>
                <w:szCs w:val="19"/>
                <w:color w:val="auto"/>
              </w:rPr>
            </w:pPr>
          </w:p>
        </w:tc>
        <w:tc>
          <w:tcPr>
            <w:tcW w:w="26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71.6</w:t>
            </w:r>
          </w:p>
        </w:tc>
        <w:tc>
          <w:tcPr>
            <w:tcW w:w="16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68.2</w:t>
            </w:r>
          </w:p>
        </w:tc>
      </w:tr>
      <w:tr>
        <w:trPr>
          <w:trHeight w:val="170"/>
        </w:trPr>
        <w:tc>
          <w:tcPr>
            <w:tcW w:w="980" w:type="dxa"/>
            <w:vAlign w:val="bottom"/>
          </w:tcPr>
          <w:p>
            <w:pPr>
              <w:ind w:left="60"/>
              <w:spacing w:after="0" w:line="169" w:lineRule="exact"/>
              <w:rPr>
                <w:sz w:val="20"/>
                <w:szCs w:val="20"/>
                <w:color w:val="auto"/>
              </w:rPr>
            </w:pPr>
            <w:r>
              <w:rPr>
                <w:rFonts w:ascii="Arial" w:cs="Arial" w:eastAsia="Arial" w:hAnsi="Arial"/>
                <w:sz w:val="16"/>
                <w:szCs w:val="16"/>
                <w:color w:val="auto"/>
              </w:rPr>
              <w:t>Diluted</w:t>
            </w:r>
          </w:p>
        </w:tc>
        <w:tc>
          <w:tcPr>
            <w:tcW w:w="2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71.8</w:t>
            </w:r>
          </w:p>
        </w:tc>
        <w:tc>
          <w:tcPr>
            <w:tcW w:w="1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68.3</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89"/>
        </w:trPr>
        <w:tc>
          <w:tcPr>
            <w:tcW w:w="6920" w:type="dxa"/>
            <w:vAlign w:val="bottom"/>
          </w:tcPr>
          <w:p>
            <w:pPr>
              <w:spacing w:after="0"/>
              <w:rPr>
                <w:sz w:val="20"/>
                <w:szCs w:val="20"/>
                <w:color w:val="auto"/>
              </w:rPr>
            </w:pPr>
            <w:r>
              <w:rPr>
                <w:rFonts w:ascii="Arial" w:cs="Arial" w:eastAsia="Arial" w:hAnsi="Arial"/>
                <w:sz w:val="16"/>
                <w:szCs w:val="16"/>
                <w:color w:val="auto"/>
              </w:rPr>
              <w:t>(unaudited)</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center"/>
              <w:ind w:left="599"/>
              <w:spacing w:after="0"/>
              <w:rPr>
                <w:sz w:val="20"/>
                <w:szCs w:val="20"/>
                <w:color w:val="auto"/>
              </w:rPr>
            </w:pPr>
            <w:r>
              <w:rPr>
                <w:rFonts w:ascii="Arial" w:cs="Arial" w:eastAsia="Arial" w:hAnsi="Arial"/>
                <w:sz w:val="16"/>
                <w:szCs w:val="16"/>
                <w:b w:val="1"/>
                <w:bCs w:val="1"/>
                <w:color w:val="auto"/>
              </w:rPr>
              <w:t>March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left="599"/>
              <w:spacing w:after="0" w:line="183" w:lineRule="exact"/>
              <w:rPr>
                <w:sz w:val="20"/>
                <w:szCs w:val="20"/>
                <w:color w:val="auto"/>
              </w:rPr>
            </w:pPr>
            <w:r>
              <w:rPr>
                <w:rFonts w:ascii="Arial" w:cs="Arial" w:eastAsia="Arial" w:hAnsi="Arial"/>
                <w:sz w:val="16"/>
                <w:szCs w:val="16"/>
                <w:color w:val="auto"/>
                <w:w w:val="98"/>
              </w:rPr>
              <w:t>(in millions)</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48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136.4</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183"/>
        </w:trPr>
        <w:tc>
          <w:tcPr>
            <w:tcW w:w="6920" w:type="dxa"/>
            <w:vAlign w:val="bottom"/>
            <w:tcBorders>
              <w:top w:val="single" w:sz="8" w:color="CFF0FC"/>
            </w:tcBorders>
          </w:tcPr>
          <w:p>
            <w:pPr>
              <w:spacing w:after="0"/>
              <w:rPr>
                <w:sz w:val="15"/>
                <w:szCs w:val="15"/>
                <w:color w:val="auto"/>
              </w:rPr>
            </w:pPr>
          </w:p>
        </w:tc>
        <w:tc>
          <w:tcPr>
            <w:tcW w:w="1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 net of tax;</w:t>
            </w:r>
          </w:p>
        </w:tc>
        <w:tc>
          <w:tcPr>
            <w:tcW w:w="1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20" w:type="dxa"/>
            <w:vAlign w:val="bottom"/>
          </w:tcPr>
          <w:p>
            <w:pPr>
              <w:ind w:left="160"/>
              <w:spacing w:after="0"/>
              <w:rPr>
                <w:sz w:val="20"/>
                <w:szCs w:val="20"/>
                <w:color w:val="auto"/>
              </w:rPr>
            </w:pPr>
            <w:r>
              <w:rPr>
                <w:rFonts w:ascii="Arial" w:cs="Arial" w:eastAsia="Arial" w:hAnsi="Arial"/>
                <w:sz w:val="16"/>
                <w:szCs w:val="16"/>
                <w:color w:val="auto"/>
              </w:rPr>
              <w:t>Derivative instruments designated as cash flow hedges:</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0" w:type="dxa"/>
            <w:vAlign w:val="bottom"/>
            <w:gridSpan w:val="3"/>
            <w:shd w:val="clear" w:color="auto" w:fill="CFF0FC"/>
          </w:tcPr>
          <w:p>
            <w:pPr>
              <w:ind w:left="300"/>
              <w:spacing w:after="0" w:line="175" w:lineRule="exact"/>
              <w:rPr>
                <w:sz w:val="20"/>
                <w:szCs w:val="20"/>
                <w:color w:val="auto"/>
              </w:rPr>
            </w:pPr>
            <w:r>
              <w:rPr>
                <w:rFonts w:ascii="Arial" w:cs="Arial" w:eastAsia="Arial" w:hAnsi="Arial"/>
                <w:sz w:val="16"/>
                <w:szCs w:val="16"/>
                <w:color w:val="auto"/>
              </w:rPr>
              <w:t>Reclassification of net realized (gains) losses on settled/amortized interest rate swaps (net of tax of $(0.2)</w:t>
            </w: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and $(0.1), respectively)</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75"/>
        </w:trPr>
        <w:tc>
          <w:tcPr>
            <w:tcW w:w="6920" w:type="dxa"/>
            <w:vAlign w:val="bottom"/>
          </w:tcPr>
          <w:p>
            <w:pPr>
              <w:ind w:left="300"/>
              <w:spacing w:after="0" w:line="175" w:lineRule="exact"/>
              <w:rPr>
                <w:sz w:val="20"/>
                <w:szCs w:val="20"/>
                <w:color w:val="auto"/>
              </w:rPr>
            </w:pPr>
            <w:r>
              <w:rPr>
                <w:rFonts w:ascii="Arial" w:cs="Arial" w:eastAsia="Arial" w:hAnsi="Arial"/>
                <w:sz w:val="16"/>
                <w:szCs w:val="16"/>
                <w:color w:val="auto"/>
              </w:rPr>
              <w:t>Net unrealized gains (losses) on commodity derivatives</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300"/>
              <w:spacing w:after="0"/>
              <w:rPr>
                <w:sz w:val="20"/>
                <w:szCs w:val="20"/>
                <w:color w:val="auto"/>
              </w:rPr>
            </w:pPr>
            <w:r>
              <w:rPr>
                <w:rFonts w:ascii="Arial" w:cs="Arial" w:eastAsia="Arial" w:hAnsi="Arial"/>
                <w:sz w:val="16"/>
                <w:szCs w:val="16"/>
                <w:color w:val="auto"/>
              </w:rPr>
              <w:t>(net of tax of $0.0 and $0.0, respectively)</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6920" w:type="dxa"/>
            <w:vAlign w:val="bottom"/>
            <w:shd w:val="clear" w:color="auto" w:fill="CFF0FC"/>
          </w:tcPr>
          <w:p>
            <w:pPr>
              <w:ind w:left="300"/>
              <w:spacing w:after="0" w:line="175" w:lineRule="exact"/>
              <w:rPr>
                <w:sz w:val="20"/>
                <w:szCs w:val="20"/>
                <w:color w:val="auto"/>
              </w:rPr>
            </w:pPr>
            <w:r>
              <w:rPr>
                <w:rFonts w:ascii="Arial" w:cs="Arial" w:eastAsia="Arial" w:hAnsi="Arial"/>
                <w:sz w:val="16"/>
                <w:szCs w:val="16"/>
                <w:color w:val="auto"/>
              </w:rPr>
              <w:t>Reclassification of net realized (gains) losses on settled commodity derivatives (net of tax of</w:t>
            </w:r>
          </w:p>
        </w:tc>
        <w:tc>
          <w:tcPr>
            <w:tcW w:w="1480" w:type="dxa"/>
            <w:vAlign w:val="bottom"/>
            <w:gridSpan w:val="2"/>
            <w:shd w:val="clear" w:color="auto" w:fill="CFF0FC"/>
          </w:tcPr>
          <w:p>
            <w:pPr>
              <w:jc w:val="right"/>
              <w:ind w:right="700"/>
              <w:spacing w:after="0" w:line="175" w:lineRule="exact"/>
              <w:rPr>
                <w:sz w:val="20"/>
                <w:szCs w:val="20"/>
                <w:color w:val="auto"/>
              </w:rPr>
            </w:pPr>
            <w:r>
              <w:rPr>
                <w:rFonts w:ascii="Arial" w:cs="Arial" w:eastAsia="Arial" w:hAnsi="Arial"/>
                <w:sz w:val="16"/>
                <w:szCs w:val="16"/>
                <w:color w:val="auto"/>
              </w:rPr>
              <w:t>$(0.1) and</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48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0"/>
        </w:trPr>
        <w:tc>
          <w:tcPr>
            <w:tcW w:w="69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$(0.6), respectively)</w:t>
            </w:r>
          </w:p>
        </w:tc>
        <w:tc>
          <w:tcPr>
            <w:tcW w:w="1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vMerge w:val="continue"/>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20" w:type="dxa"/>
            <w:vAlign w:val="bottom"/>
          </w:tcPr>
          <w:p>
            <w:pPr>
              <w:spacing w:after="0" w:line="183" w:lineRule="exact"/>
              <w:rPr>
                <w:sz w:val="20"/>
                <w:szCs w:val="20"/>
                <w:color w:val="auto"/>
              </w:rPr>
            </w:pPr>
            <w:r>
              <w:rPr>
                <w:rFonts w:ascii="Arial" w:cs="Arial" w:eastAsia="Arial" w:hAnsi="Arial"/>
                <w:sz w:val="16"/>
                <w:szCs w:val="16"/>
                <w:color w:val="auto"/>
              </w:rPr>
              <w:t>Other comprehensive income, net of tax</w:t>
            </w:r>
          </w:p>
        </w:tc>
        <w:tc>
          <w:tcPr>
            <w:tcW w:w="1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w:t>
            </w: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6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20" w:type="dxa"/>
            <w:vAlign w:val="bottom"/>
          </w:tcPr>
          <w:p>
            <w:pPr>
              <w:spacing w:after="0"/>
              <w:rPr>
                <w:sz w:val="20"/>
                <w:szCs w:val="20"/>
                <w:color w:val="auto"/>
              </w:rPr>
            </w:pPr>
            <w:r>
              <w:rPr>
                <w:rFonts w:ascii="Arial" w:cs="Arial" w:eastAsia="Arial" w:hAnsi="Arial"/>
                <w:sz w:val="16"/>
                <w:szCs w:val="16"/>
                <w:color w:val="auto"/>
              </w:rPr>
              <w:t>Comprehensive income</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137.4</w:t>
            </w:r>
          </w:p>
        </w:tc>
        <w:tc>
          <w:tcPr>
            <w:tcW w:w="48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189"/>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3"/>
        </w:trPr>
        <w:tc>
          <w:tcPr>
            <w:tcW w:w="6920" w:type="dxa"/>
            <w:vAlign w:val="bottom"/>
          </w:tcPr>
          <w:p>
            <w:pPr>
              <w:spacing w:after="0" w:line="169" w:lineRule="exact"/>
              <w:rPr>
                <w:sz w:val="20"/>
                <w:szCs w:val="20"/>
                <w:color w:val="auto"/>
              </w:rPr>
            </w:pPr>
            <w:r>
              <w:rPr>
                <w:rFonts w:ascii="Arial" w:cs="Arial" w:eastAsia="Arial" w:hAnsi="Arial"/>
                <w:sz w:val="16"/>
                <w:szCs w:val="16"/>
                <w:color w:val="auto"/>
              </w:rPr>
              <w:t>Comprehensive income available for common stock</w:t>
            </w:r>
          </w:p>
        </w:tc>
        <w:tc>
          <w:tcPr>
            <w:tcW w:w="148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69" w:lineRule="exact"/>
              <w:rPr>
                <w:sz w:val="20"/>
                <w:szCs w:val="20"/>
                <w:color w:val="auto"/>
              </w:rPr>
            </w:pPr>
            <w:r>
              <w:rPr>
                <w:rFonts w:ascii="Arial" w:cs="Arial" w:eastAsia="Arial" w:hAnsi="Arial"/>
                <w:sz w:val="16"/>
                <w:szCs w:val="16"/>
                <w:color w:val="auto"/>
              </w:rPr>
              <w:t>135.3</w:t>
            </w:r>
          </w:p>
        </w:tc>
        <w:tc>
          <w:tcPr>
            <w:tcW w:w="480" w:type="dxa"/>
            <w:vAlign w:val="bottom"/>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302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1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2025</w:t>
            </w:r>
          </w:p>
        </w:tc>
        <w:tc>
          <w:tcPr>
            <w:tcW w:w="12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8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660"/>
              <w:spacing w:after="0"/>
              <w:rPr>
                <w:sz w:val="20"/>
                <w:szCs w:val="20"/>
                <w:color w:val="auto"/>
              </w:rPr>
            </w:pPr>
            <w:r>
              <w:rPr>
                <w:rFonts w:ascii="Arial" w:cs="Arial" w:eastAsia="Arial" w:hAnsi="Arial"/>
                <w:sz w:val="16"/>
                <w:szCs w:val="16"/>
                <w:b w:val="1"/>
                <w:bCs w:val="1"/>
                <w:color w:val="auto"/>
              </w:rPr>
              <w:t>ASSETS</w:t>
            </w:r>
          </w:p>
        </w:tc>
        <w:tc>
          <w:tcPr>
            <w:tcW w:w="1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40" w:type="dxa"/>
            <w:vAlign w:val="bottom"/>
          </w:tcPr>
          <w:p>
            <w:pPr>
              <w:jc w:val="right"/>
              <w:ind w:right="1682"/>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cash and equivalents</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377.9</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351.2</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Materials, supplies and fuel</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128.1</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Derivative assets, current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tax receivable, net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assets, current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129.3</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current assets</w:t>
            </w:r>
          </w:p>
        </w:tc>
        <w:tc>
          <w:tcPr>
            <w:tcW w:w="18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18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708.1</w:t>
            </w:r>
          </w:p>
        </w:tc>
        <w:tc>
          <w:tcPr>
            <w:tcW w:w="480" w:type="dxa"/>
            <w:vAlign w:val="bottom"/>
          </w:tcPr>
          <w:p>
            <w:pPr>
              <w:spacing w:after="0"/>
              <w:rPr>
                <w:sz w:val="15"/>
                <w:szCs w:val="15"/>
                <w:color w:val="auto"/>
              </w:rPr>
            </w:pPr>
          </w:p>
        </w:tc>
        <w:tc>
          <w:tcPr>
            <w:tcW w:w="22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742.3</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9,714.6</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9,566.5</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Less: accumulated depreciation</w:t>
            </w:r>
          </w:p>
        </w:tc>
        <w:tc>
          <w:tcPr>
            <w:tcW w:w="18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(1,992.6)</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(1,936.6)</w:t>
            </w:r>
          </w:p>
        </w:tc>
        <w:tc>
          <w:tcPr>
            <w:tcW w:w="0" w:type="dxa"/>
            <w:vAlign w:val="bottom"/>
          </w:tcPr>
          <w:p>
            <w:pPr>
              <w:spacing w:after="0"/>
              <w:rPr>
                <w:sz w:val="1"/>
                <w:szCs w:val="1"/>
                <w:color w:val="auto"/>
              </w:rPr>
            </w:pPr>
          </w:p>
        </w:tc>
      </w:tr>
      <w:tr>
        <w:trPr>
          <w:trHeight w:val="182"/>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property, plant and equipment, net</w:t>
            </w:r>
          </w:p>
        </w:tc>
        <w:tc>
          <w:tcPr>
            <w:tcW w:w="1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7,722.0</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7,629.9</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Other assets:</w:t>
            </w:r>
          </w:p>
        </w:tc>
        <w:tc>
          <w:tcPr>
            <w:tcW w:w="1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Goodwill</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1,299.5</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1,299.5</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8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assets, non-current</w:t>
            </w:r>
          </w:p>
        </w:tc>
        <w:tc>
          <w:tcPr>
            <w:tcW w:w="18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252.3</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assets, non-current</w:t>
            </w:r>
          </w:p>
        </w:tc>
        <w:tc>
          <w:tcPr>
            <w:tcW w:w="18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other assets, non-current</w:t>
            </w:r>
          </w:p>
        </w:tc>
        <w:tc>
          <w:tcPr>
            <w:tcW w:w="18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1,631.1</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1,650.4</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ASSETS</w:t>
            </w:r>
          </w:p>
        </w:tc>
        <w:tc>
          <w:tcPr>
            <w:tcW w:w="1840" w:type="dxa"/>
            <w:vAlign w:val="bottom"/>
            <w:tcBorders>
              <w:bottom w:val="single" w:sz="8" w:color="auto"/>
            </w:tcBorders>
            <w:shd w:val="clear" w:color="auto" w:fill="CFF0FC"/>
          </w:tcPr>
          <w:p>
            <w:pPr>
              <w:jc w:val="right"/>
              <w:ind w:right="1682"/>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10,061.2</w:t>
            </w:r>
          </w:p>
        </w:tc>
        <w:tc>
          <w:tcPr>
            <w:tcW w:w="480" w:type="dxa"/>
            <w:vAlign w:val="bottom"/>
            <w:tcBorders>
              <w:bottom w:val="single" w:sz="8" w:color="auto"/>
            </w:tcBorders>
            <w:shd w:val="clear" w:color="auto" w:fill="CFF0FC"/>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10,022.6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1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2025</w:t>
            </w:r>
          </w:p>
        </w:tc>
        <w:tc>
          <w:tcPr>
            <w:tcW w:w="12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000"/>
              <w:spacing w:after="0"/>
              <w:rPr>
                <w:sz w:val="20"/>
                <w:szCs w:val="20"/>
                <w:color w:val="auto"/>
              </w:rPr>
            </w:pPr>
            <w:r>
              <w:rPr>
                <w:rFonts w:ascii="Arial" w:cs="Arial" w:eastAsia="Arial" w:hAnsi="Arial"/>
                <w:sz w:val="16"/>
                <w:szCs w:val="16"/>
                <w:b w:val="1"/>
                <w:bCs w:val="1"/>
                <w:color w:val="auto"/>
              </w:rPr>
              <w:t>LIABILITIES AND EQUITY</w:t>
            </w:r>
          </w:p>
        </w:tc>
        <w:tc>
          <w:tcPr>
            <w:tcW w:w="1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60" w:type="dxa"/>
            <w:vAlign w:val="bottom"/>
          </w:tcPr>
          <w:p>
            <w:pPr>
              <w:jc w:val="right"/>
              <w:ind w:right="170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216.8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liabilities</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Derivative liabilities, current</w:t>
            </w:r>
          </w:p>
        </w:tc>
        <w:tc>
          <w:tcPr>
            <w:tcW w:w="1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liabilities, current</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Notes payable</w:t>
            </w:r>
          </w:p>
        </w:tc>
        <w:tc>
          <w:tcPr>
            <w:tcW w:w="1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59.9</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Current maturities of long-term debt</w:t>
            </w:r>
          </w:p>
        </w:tc>
        <w:tc>
          <w:tcPr>
            <w:tcW w:w="18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current liabilities</w:t>
            </w:r>
          </w:p>
        </w:tc>
        <w:tc>
          <w:tcPr>
            <w:tcW w:w="1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928.9</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1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3,951.6</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4,250.2</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income tax liabilities, net</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666.5</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625.1</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liabilities, non-current</w:t>
            </w:r>
          </w:p>
        </w:tc>
        <w:tc>
          <w:tcPr>
            <w:tcW w:w="1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475.2</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Benefit plan liabilities</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deferred credits and other liabilities</w:t>
            </w:r>
          </w:p>
        </w:tc>
        <w:tc>
          <w:tcPr>
            <w:tcW w:w="18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8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1,463.6</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1,423.8</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Commitments, contingencies and guarantees (Note 3)</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Stockholder's equity -</w:t>
            </w:r>
          </w:p>
        </w:tc>
        <w:tc>
          <w:tcPr>
            <w:tcW w:w="1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Common stock $1 par value; 100,000,000 shares authorized; issued</w:t>
            </w:r>
          </w:p>
        </w:tc>
        <w:tc>
          <w:tcPr>
            <w:tcW w:w="18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72,544,232 and 71,676,756 shares, respectively</w:t>
            </w:r>
          </w:p>
        </w:tc>
        <w:tc>
          <w:tcPr>
            <w:tcW w:w="18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480" w:type="dxa"/>
            <w:vAlign w:val="bottom"/>
            <w:shd w:val="clear" w:color="auto" w:fill="CFF0FC"/>
          </w:tcPr>
          <w:p>
            <w:pPr>
              <w:spacing w:after="0"/>
              <w:rPr>
                <w:sz w:val="17"/>
                <w:szCs w:val="17"/>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2,238.2</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2,193.4</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18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1,334.8</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1,249.1</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Treasury stock, at cost - 34,120 and 56,608 shares, respectively</w:t>
            </w:r>
          </w:p>
        </w:tc>
        <w:tc>
          <w:tcPr>
            <w:tcW w:w="18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4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18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stockholders' equity</w:t>
            </w:r>
          </w:p>
        </w:tc>
        <w:tc>
          <w:tcPr>
            <w:tcW w:w="186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3,635.1</w:t>
            </w:r>
          </w:p>
        </w:tc>
        <w:tc>
          <w:tcPr>
            <w:tcW w:w="480" w:type="dxa"/>
            <w:vAlign w:val="bottom"/>
          </w:tcPr>
          <w:p>
            <w:pPr>
              <w:spacing w:after="0"/>
              <w:rPr>
                <w:sz w:val="15"/>
                <w:szCs w:val="15"/>
                <w:color w:val="auto"/>
              </w:rPr>
            </w:pPr>
          </w:p>
        </w:tc>
        <w:tc>
          <w:tcPr>
            <w:tcW w:w="22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3,501.5</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Non-controlling interest</w:t>
            </w:r>
          </w:p>
        </w:tc>
        <w:tc>
          <w:tcPr>
            <w:tcW w:w="186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82.0</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equity</w:t>
            </w:r>
          </w:p>
        </w:tc>
        <w:tc>
          <w:tcPr>
            <w:tcW w:w="18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3,717.1</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3,585.2</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69" w:lineRule="exact"/>
              <w:rPr>
                <w:sz w:val="20"/>
                <w:szCs w:val="20"/>
                <w:color w:val="auto"/>
              </w:rPr>
            </w:pPr>
            <w:r>
              <w:rPr>
                <w:rFonts w:ascii="Arial" w:cs="Arial" w:eastAsia="Arial" w:hAnsi="Arial"/>
                <w:sz w:val="16"/>
                <w:szCs w:val="16"/>
                <w:color w:val="auto"/>
              </w:rPr>
              <w:t>TOTAL LIABILITIES AND TOTAL EQUITY</w:t>
            </w:r>
          </w:p>
        </w:tc>
        <w:tc>
          <w:tcPr>
            <w:tcW w:w="1860" w:type="dxa"/>
            <w:vAlign w:val="bottom"/>
            <w:tcBorders>
              <w:bottom w:val="single" w:sz="8" w:color="auto"/>
            </w:tcBorders>
          </w:tcPr>
          <w:p>
            <w:pPr>
              <w:jc w:val="right"/>
              <w:ind w:right="1702"/>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9"/>
              </w:rPr>
              <w:t>10,061.2</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10,022.6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3"/>
        </w:trPr>
        <w:tc>
          <w:tcPr>
            <w:tcW w:w="6820" w:type="dxa"/>
            <w:vAlign w:val="bottom"/>
            <w:vMerge w:val="restart"/>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8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26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136.4</w:t>
            </w:r>
          </w:p>
        </w:tc>
        <w:tc>
          <w:tcPr>
            <w:tcW w:w="50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69.2</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financing cost amortization</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benefit plans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Other adjustments, net</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Changes in certain operating assets and liabilities: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Materials, supplies and fuel</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and other current assets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(56.0)</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(59.6)</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Regulatory assets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52.6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Other operating activities, net</w:t>
            </w:r>
          </w:p>
        </w:tc>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227.8</w:t>
            </w:r>
          </w:p>
        </w:tc>
        <w:tc>
          <w:tcPr>
            <w:tcW w:w="5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Property, plant and equipment additions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(152.9)</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investing activities</w:t>
            </w:r>
          </w:p>
        </w:tc>
        <w:tc>
          <w:tcPr>
            <w:tcW w:w="9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(155.2)</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Dividends paid on common stock</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Common stock issued</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45.6</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Distributions to non-controlling interests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financing activities</w:t>
            </w:r>
          </w:p>
        </w:tc>
        <w:tc>
          <w:tcPr>
            <w:tcW w:w="9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Net change in cash, restricted cash and cash equivalents</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restricted cash, and cash equivalents end of period</w:t>
            </w:r>
          </w:p>
        </w:tc>
        <w:tc>
          <w:tcPr>
            <w:tcW w:w="12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14.1</w:t>
            </w:r>
          </w:p>
        </w:tc>
        <w:tc>
          <w:tcPr>
            <w:tcW w:w="500" w:type="dxa"/>
            <w:vAlign w:val="bottom"/>
            <w:shd w:val="clear" w:color="auto" w:fill="CFF0FC"/>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129.7</w:t>
            </w:r>
          </w:p>
        </w:tc>
        <w:tc>
          <w:tcPr>
            <w:tcW w:w="0" w:type="dxa"/>
            <w:vAlign w:val="bottom"/>
          </w:tcPr>
          <w:p>
            <w:pPr>
              <w:spacing w:after="0"/>
              <w:rPr>
                <w:sz w:val="1"/>
                <w:szCs w:val="1"/>
                <w:color w:val="auto"/>
              </w:rPr>
            </w:pPr>
          </w:p>
        </w:tc>
      </w:tr>
      <w:tr>
        <w:trPr>
          <w:trHeight w:val="169"/>
        </w:trPr>
        <w:tc>
          <w:tcPr>
            <w:tcW w:w="682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Supplemental cash flow information:</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Cash (paid) received during the period:</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Interest (net of amounts capitalized)</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89"/>
        </w:trPr>
        <w:tc>
          <w:tcPr>
            <w:tcW w:w="6820" w:type="dxa"/>
            <w:vAlign w:val="bottom"/>
          </w:tcPr>
          <w:p>
            <w:pPr>
              <w:ind w:left="160"/>
              <w:spacing w:after="0"/>
              <w:rPr>
                <w:sz w:val="20"/>
                <w:szCs w:val="20"/>
                <w:color w:val="auto"/>
              </w:rPr>
            </w:pPr>
            <w:r>
              <w:rPr>
                <w:rFonts w:ascii="Arial" w:cs="Arial" w:eastAsia="Arial" w:hAnsi="Arial"/>
                <w:sz w:val="16"/>
                <w:szCs w:val="16"/>
                <w:color w:val="auto"/>
              </w:rPr>
              <w:t>Income taxes, net of transferred tax credits (Note 11)</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160"/>
              <w:spacing w:after="0"/>
              <w:rPr>
                <w:sz w:val="20"/>
                <w:szCs w:val="20"/>
                <w:color w:val="auto"/>
              </w:rPr>
            </w:pPr>
            <w:r>
              <w:rPr>
                <w:rFonts w:ascii="Arial" w:cs="Arial" w:eastAsia="Arial" w:hAnsi="Arial"/>
                <w:sz w:val="16"/>
                <w:szCs w:val="16"/>
                <w:color w:val="auto"/>
              </w:rPr>
              <w:t>Accrued property, plant, and equipment purchases at March 31,</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50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Borders>
              <w:bottom w:val="single" w:sz="8" w:color="auto"/>
            </w:tcBorders>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Paid in</w:t>
            </w:r>
          </w:p>
        </w:tc>
        <w:tc>
          <w:tcPr>
            <w:tcW w:w="9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10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71,676,75</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2024</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71.7</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56,608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2,193.4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1,249.1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83.7</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3,585.2</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134.3</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(48.6)</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103,995</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(22,488)</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763,481</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72,544,23</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2025</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72.5</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34,120</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(2.0)</w:t>
            </w:r>
          </w:p>
        </w:tc>
        <w:tc>
          <w:tcPr>
            <w:tcW w:w="140" w:type="dxa"/>
            <w:vAlign w:val="bottom"/>
            <w:tcBorders>
              <w:bottom w:val="single" w:sz="8" w:color="auto"/>
            </w:tcBorders>
            <w:gridSpan w:val="2"/>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2,238.2</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1,334.8</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(8.4)</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82.0</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3,717.1</w:t>
            </w:r>
          </w:p>
        </w:tc>
        <w:tc>
          <w:tcPr>
            <w:tcW w:w="0" w:type="dxa"/>
            <w:vAlign w:val="bottom"/>
          </w:tcPr>
          <w:p>
            <w:pPr>
              <w:spacing w:after="0"/>
              <w:rPr>
                <w:sz w:val="1"/>
                <w:szCs w:val="1"/>
                <w:color w:val="auto"/>
              </w:rPr>
            </w:pPr>
          </w:p>
        </w:tc>
      </w:tr>
      <w:tr>
        <w:trPr>
          <w:trHeight w:val="332"/>
        </w:trPr>
        <w:tc>
          <w:tcPr>
            <w:tcW w:w="2940" w:type="dxa"/>
            <w:vAlign w:val="bottom"/>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7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Borders>
              <w:bottom w:val="single" w:sz="8" w:color="auto"/>
            </w:tcBorders>
          </w:tcPr>
          <w:p>
            <w:pPr>
              <w:spacing w:after="0"/>
              <w:rPr>
                <w:sz w:val="24"/>
                <w:szCs w:val="2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Paid in</w:t>
            </w:r>
          </w:p>
        </w:tc>
        <w:tc>
          <w:tcPr>
            <w:tcW w:w="9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rPr>
              <w:t>controlling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10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68,265,04</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2023</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68.3</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68,073</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2,007.7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90.5</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127.9</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3"/>
        </w:trPr>
        <w:tc>
          <w:tcPr>
            <w:tcW w:w="2940" w:type="dxa"/>
            <w:vAlign w:val="bottom"/>
          </w:tcPr>
          <w:p>
            <w:pPr>
              <w:spacing w:after="0" w:line="153" w:lineRule="exact"/>
              <w:rPr>
                <w:sz w:val="20"/>
                <w:szCs w:val="20"/>
                <w:color w:val="auto"/>
              </w:rPr>
            </w:pPr>
            <w:r>
              <w:rPr>
                <w:rFonts w:ascii="Arial" w:cs="Arial" w:eastAsia="Arial" w:hAnsi="Arial"/>
                <w:sz w:val="14"/>
                <w:szCs w:val="14"/>
                <w:color w:val="auto"/>
              </w:rPr>
              <w:t>Dividends on common stock ($0.65 per</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20"/>
                <w:szCs w:val="20"/>
                <w:color w:val="auto"/>
              </w:rPr>
            </w:pPr>
            <w:r>
              <w:rPr>
                <w:rFonts w:ascii="Arial" w:cs="Arial" w:eastAsia="Arial" w:hAnsi="Arial"/>
                <w:sz w:val="14"/>
                <w:szCs w:val="14"/>
                <w:color w:val="auto"/>
              </w:rPr>
              <w:t>share)</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104,181</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14,270</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600,355</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6"/>
        </w:trPr>
        <w:tc>
          <w:tcPr>
            <w:tcW w:w="29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68,969,57</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2024</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69.0</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82,343</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(4.7)</w:t>
            </w:r>
          </w:p>
        </w:tc>
        <w:tc>
          <w:tcPr>
            <w:tcW w:w="140" w:type="dxa"/>
            <w:vAlign w:val="bottom"/>
            <w:tcBorders>
              <w:bottom w:val="single" w:sz="8" w:color="auto"/>
            </w:tcBorders>
            <w:gridSpan w:val="2"/>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2,040.2</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1,241.7</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(12.3)</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88.6</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3,422.5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the Company’s 2024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2024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March 31, 2025, December 31, 2024, and March 31, 2024,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The ASU is effective for our Annual Report on Form 10-K for the fiscal year ended December 31, 2025, with early adoption permitted. We are currently evaluating the impact of ASU 2023-09 on our consolidated financial statement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and in January 2025, the FASB issued ASU 2025-01, </w:t>
      </w:r>
      <w:r>
        <w:rPr>
          <w:rFonts w:ascii="Arial" w:cs="Arial" w:eastAsia="Arial" w:hAnsi="Arial"/>
          <w:sz w:val="16"/>
          <w:szCs w:val="16"/>
          <w:i w:val="1"/>
          <w:iCs w:val="1"/>
          <w:color w:val="auto"/>
        </w:rPr>
        <w:t>Income Statement - Reporting Comprehensive Income - Expense Disaggregation Disclosures: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 Date</w:t>
      </w:r>
      <w:r>
        <w:rPr>
          <w:rFonts w:ascii="Arial" w:cs="Arial" w:eastAsia="Arial" w:hAnsi="Arial"/>
          <w:sz w:val="16"/>
          <w:szCs w:val="16"/>
          <w:color w:val="auto"/>
        </w:rPr>
        <w:t>. ASU 2024-03 requires public entities to disclose, in the notes to financial statements, certain costs and expenses,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employee compensation, and costs related to depreciation and amortization. ASU 2024-03, as clarified by ASU 2025-01, is effective for our Annual Report on Form 10-K for the fiscal year ended December 31, 2027, and subsequent interim periods, with early adoption permitted. We are currently evaluating the impact of these standards on our consolidated financial statement disclosures.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1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w:t>
            </w: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2"/>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920" w:type="dxa"/>
            <w:vAlign w:val="bottom"/>
          </w:tcPr>
          <w:p>
            <w:pPr>
              <w:jc w:val="right"/>
              <w:ind w:right="399"/>
              <w:spacing w:after="0"/>
              <w:rPr>
                <w:sz w:val="20"/>
                <w:szCs w:val="20"/>
                <w:color w:val="auto"/>
              </w:rPr>
            </w:pPr>
            <w:r>
              <w:rPr>
                <w:rFonts w:ascii="Arial" w:cs="Arial" w:eastAsia="Arial" w:hAnsi="Arial"/>
                <w:sz w:val="16"/>
                <w:szCs w:val="16"/>
                <w:b w:val="1"/>
                <w:bCs w:val="1"/>
                <w:color w:val="auto"/>
              </w:rPr>
              <w:t>As of</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jc w:val="right"/>
              <w:ind w:right="1059"/>
              <w:spacing w:after="0"/>
              <w:rPr>
                <w:sz w:val="20"/>
                <w:szCs w:val="20"/>
                <w:color w:val="auto"/>
              </w:rPr>
            </w:pPr>
            <w:r>
              <w:rPr>
                <w:rFonts w:ascii="Arial" w:cs="Arial" w:eastAsia="Arial" w:hAnsi="Arial"/>
                <w:sz w:val="16"/>
                <w:szCs w:val="16"/>
                <w:b w:val="1"/>
                <w:bCs w:val="1"/>
                <w:color w:val="auto"/>
              </w:rPr>
              <w:t>As of</w:t>
            </w:r>
          </w:p>
        </w:tc>
      </w:tr>
      <w:tr>
        <w:trPr>
          <w:trHeight w:val="203"/>
        </w:trPr>
        <w:tc>
          <w:tcPr>
            <w:tcW w:w="3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2025</w:t>
            </w:r>
          </w:p>
        </w:tc>
        <w:tc>
          <w:tcPr>
            <w:tcW w:w="6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3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140" w:type="dxa"/>
            <w:vAlign w:val="bottom"/>
            <w:tcBorders>
              <w:bottom w:val="single" w:sz="8" w:color="auto"/>
            </w:tcBorders>
          </w:tcPr>
          <w:p>
            <w:pPr>
              <w:spacing w:after="0"/>
              <w:rPr>
                <w:sz w:val="15"/>
                <w:szCs w:val="15"/>
                <w:color w:val="auto"/>
              </w:rPr>
            </w:pP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Regulatory assets</w:t>
            </w:r>
          </w:p>
        </w:tc>
        <w:tc>
          <w:tcPr>
            <w:tcW w:w="19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Winter Storm Uri</w:t>
            </w:r>
          </w:p>
        </w:tc>
        <w:tc>
          <w:tcPr>
            <w:tcW w:w="1920" w:type="dxa"/>
            <w:vAlign w:val="bottom"/>
          </w:tcPr>
          <w:p>
            <w:pPr>
              <w:jc w:val="right"/>
              <w:ind w:right="17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109.5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Deferred energy and fuel cost adjustments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69.6</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gas cost adjustments</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14.5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Gas price derivatives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AFUDC</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8.0</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plans and related deferred taxes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87.8</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89.0</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Environmental</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Loss on reacquired debt</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15.3</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flow through accounting</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87.7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Decommissioning costs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Other regulatory assets</w:t>
            </w:r>
          </w:p>
        </w:tc>
        <w:tc>
          <w:tcPr>
            <w:tcW w:w="1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w:t>
            </w: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regulatory assets</w:t>
            </w:r>
          </w:p>
        </w:tc>
        <w:tc>
          <w:tcPr>
            <w:tcW w:w="19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381.6</w:t>
            </w: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427.7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Less current regulatory assets</w:t>
            </w:r>
          </w:p>
        </w:tc>
        <w:tc>
          <w:tcPr>
            <w:tcW w:w="1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r>
      <w:tr>
        <w:trPr>
          <w:trHeight w:val="223"/>
        </w:trPr>
        <w:tc>
          <w:tcPr>
            <w:tcW w:w="610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Regulatory assets, non-current</w:t>
            </w:r>
          </w:p>
        </w:tc>
        <w:tc>
          <w:tcPr>
            <w:tcW w:w="1920" w:type="dxa"/>
            <w:vAlign w:val="bottom"/>
            <w:tcBorders>
              <w:bottom w:val="single" w:sz="8" w:color="auto"/>
            </w:tcBorders>
            <w:shd w:val="clear" w:color="auto" w:fill="CFF0FC"/>
          </w:tcPr>
          <w:p>
            <w:pPr>
              <w:jc w:val="right"/>
              <w:ind w:right="173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252.3</w:t>
            </w:r>
          </w:p>
        </w:tc>
        <w:tc>
          <w:tcPr>
            <w:tcW w:w="440" w:type="dxa"/>
            <w:vAlign w:val="bottom"/>
            <w:tcBorders>
              <w:bottom w:val="single" w:sz="8" w:color="auto"/>
            </w:tcBorders>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272.9</w:t>
            </w:r>
          </w:p>
        </w:tc>
      </w:tr>
      <w:tr>
        <w:trPr>
          <w:trHeight w:val="170"/>
        </w:trPr>
        <w:tc>
          <w:tcPr>
            <w:tcW w:w="610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89"/>
        </w:trPr>
        <w:tc>
          <w:tcPr>
            <w:tcW w:w="6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Regulatory liabilities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spacing w:after="0"/>
              <w:rPr>
                <w:sz w:val="16"/>
                <w:szCs w:val="16"/>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energy and gas costs</w:t>
            </w:r>
          </w:p>
        </w:tc>
        <w:tc>
          <w:tcPr>
            <w:tcW w:w="1920" w:type="dxa"/>
            <w:vAlign w:val="bottom"/>
          </w:tcPr>
          <w:p>
            <w:pPr>
              <w:jc w:val="right"/>
              <w:ind w:right="17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70.5</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67.8</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 costs and related deferred taxes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36.1</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Cost of removal</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200.4</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197.0</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Excess deferred income taxes</w:t>
            </w:r>
          </w:p>
        </w:tc>
        <w:tc>
          <w:tcPr>
            <w:tcW w:w="19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235.5</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238.5</w:t>
            </w:r>
          </w:p>
        </w:tc>
      </w:tr>
      <w:tr>
        <w:trPr>
          <w:trHeight w:val="189"/>
        </w:trPr>
        <w:tc>
          <w:tcPr>
            <w:tcW w:w="6100" w:type="dxa"/>
            <w:vAlign w:val="bottom"/>
            <w:gridSpan w:val="2"/>
          </w:tcPr>
          <w:p>
            <w:pPr>
              <w:ind w:left="60"/>
              <w:spacing w:after="0" w:line="189" w:lineRule="exact"/>
              <w:rPr>
                <w:sz w:val="20"/>
                <w:szCs w:val="20"/>
                <w:color w:val="auto"/>
              </w:rPr>
            </w:pPr>
            <w:r>
              <w:rPr>
                <w:rFonts w:ascii="Arial" w:cs="Arial" w:eastAsia="Arial" w:hAnsi="Arial"/>
                <w:sz w:val="16"/>
                <w:szCs w:val="16"/>
                <w:color w:val="auto"/>
              </w:rPr>
              <w:t xml:space="preserve">Colorado renewable energy </w:t>
            </w:r>
            <w:r>
              <w:rPr>
                <w:rFonts w:ascii="Arial" w:cs="Arial" w:eastAsia="Arial" w:hAnsi="Arial"/>
                <w:sz w:val="21"/>
                <w:szCs w:val="21"/>
                <w:color w:val="auto"/>
                <w:vertAlign w:val="superscript"/>
              </w:rPr>
              <w:t>(a)</w:t>
            </w:r>
          </w:p>
        </w:tc>
        <w:tc>
          <w:tcPr>
            <w:tcW w:w="19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Other regulatory liabilities</w:t>
            </w:r>
          </w:p>
        </w:tc>
        <w:tc>
          <w:tcPr>
            <w:tcW w:w="1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4.7</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183"/>
        </w:trPr>
        <w:tc>
          <w:tcPr>
            <w:tcW w:w="6100" w:type="dxa"/>
            <w:vAlign w:val="bottom"/>
            <w:gridSpan w:val="2"/>
          </w:tcPr>
          <w:p>
            <w:pPr>
              <w:spacing w:after="0" w:line="183" w:lineRule="exact"/>
              <w:rPr>
                <w:sz w:val="20"/>
                <w:szCs w:val="20"/>
                <w:color w:val="auto"/>
              </w:rPr>
            </w:pPr>
            <w:r>
              <w:rPr>
                <w:rFonts w:ascii="Arial" w:cs="Arial" w:eastAsia="Arial" w:hAnsi="Arial"/>
                <w:sz w:val="16"/>
                <w:szCs w:val="16"/>
                <w:color w:val="auto"/>
              </w:rPr>
              <w:t>Total regulatory liabilities</w:t>
            </w:r>
          </w:p>
        </w:tc>
        <w:tc>
          <w:tcPr>
            <w:tcW w:w="1920" w:type="dxa"/>
            <w:vAlign w:val="bottom"/>
          </w:tcPr>
          <w:p>
            <w:pPr>
              <w:spacing w:after="0"/>
              <w:rPr>
                <w:sz w:val="15"/>
                <w:szCs w:val="15"/>
                <w:color w:val="auto"/>
              </w:rPr>
            </w:pPr>
          </w:p>
        </w:tc>
        <w:tc>
          <w:tcPr>
            <w:tcW w:w="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574.2</w:t>
            </w:r>
          </w:p>
        </w:tc>
        <w:tc>
          <w:tcPr>
            <w:tcW w:w="440" w:type="dxa"/>
            <w:vAlign w:val="bottom"/>
          </w:tcPr>
          <w:p>
            <w:pPr>
              <w:spacing w:after="0"/>
              <w:rPr>
                <w:sz w:val="15"/>
                <w:szCs w:val="15"/>
                <w:color w:val="auto"/>
              </w:rPr>
            </w:pPr>
          </w:p>
        </w:tc>
        <w:tc>
          <w:tcPr>
            <w:tcW w:w="2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568.7</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Less current regulatory liabilities</w:t>
            </w:r>
          </w:p>
        </w:tc>
        <w:tc>
          <w:tcPr>
            <w:tcW w:w="19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w:t>
            </w:r>
          </w:p>
        </w:tc>
      </w:tr>
      <w:tr>
        <w:trPr>
          <w:trHeight w:val="183"/>
        </w:trPr>
        <w:tc>
          <w:tcPr>
            <w:tcW w:w="6100" w:type="dxa"/>
            <w:vAlign w:val="bottom"/>
            <w:gridSpan w:val="2"/>
          </w:tcPr>
          <w:p>
            <w:pPr>
              <w:spacing w:after="0" w:line="169" w:lineRule="exact"/>
              <w:rPr>
                <w:sz w:val="20"/>
                <w:szCs w:val="20"/>
                <w:color w:val="auto"/>
              </w:rPr>
            </w:pPr>
            <w:r>
              <w:rPr>
                <w:rFonts w:ascii="Arial" w:cs="Arial" w:eastAsia="Arial" w:hAnsi="Arial"/>
                <w:sz w:val="16"/>
                <w:szCs w:val="16"/>
                <w:color w:val="auto"/>
              </w:rPr>
              <w:t>Regulatory liabilities, non-current</w:t>
            </w:r>
          </w:p>
        </w:tc>
        <w:tc>
          <w:tcPr>
            <w:tcW w:w="1920" w:type="dxa"/>
            <w:vAlign w:val="bottom"/>
            <w:tcBorders>
              <w:bottom w:val="single" w:sz="8" w:color="auto"/>
            </w:tcBorders>
          </w:tcPr>
          <w:p>
            <w:pPr>
              <w:jc w:val="right"/>
              <w:ind w:right="1739"/>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475.2</w:t>
            </w:r>
          </w:p>
        </w:tc>
        <w:tc>
          <w:tcPr>
            <w:tcW w:w="4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474.6</w:t>
            </w:r>
          </w:p>
        </w:tc>
      </w:tr>
      <w:tr>
        <w:trPr>
          <w:trHeight w:val="20"/>
        </w:trPr>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80" w:hanging="512"/>
        <w:spacing w:after="0" w:line="256"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Colorado Electric's RESA and CEPR mechanisms, which allow for recovery/repayment of costs, but not a rate of return. Through these mechanisms, which are authorized by the CPUC, Colorado Electric is allowed to charge its retail customers an incremental rate limited to 1.5% per mechanism that provides funding for various renewable energy projects and programs to comply with requirements under the State of Colorado’s emissions reduction legislation. Project costs that are over-recovered through customer rates will be refunded to customers in future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On June 14, 2024, Colorado Electric filed a rate review with the CPUC seeking recovery of significant infrastructure investments in its 3,200-mile electric distribution and 600-mile electric transmission systems. On March 17, 2025, Colorado Electric received an order from the CPUC for a general rate increase which is expected to generate approximately $ 17.0 million of new annual revenue based on a weighted average cost of capital of 6.9% with a capital structure in a range of 47% to 49% equity and 51% to 53% debt, and a return on equity in a range of 9.3% to 9.5%. The new rates were effective March 22, 2025. On April 7, 2025, Colorado Electric filed a request with the CPUC for rehearing, re-argument or reconsideration (RRR). On May 6, 2025, Colorado Electric received a final decision from the CPUC related to its RRR request, increasing new annual revenue to approximately $17.5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On May 1, 2024, Iowa Gas filed a rate review with the IUC seeking recovery of significant infrastructure investments in its 5,000-mile natural gas pipeline system. On December 2, 2024, Iowa Gas received final approval from the IUC for a settlement agreement for a general rate increase. The approved Black-box Settlement is expected to generate $15.0 million of new annual revenue based on a weighted average cost of capital of 7.2%. New rates were enacted on January 1, 2025, which replaced interim rates.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Kansas Gas</w:t>
      </w:r>
    </w:p>
    <w:p>
      <w:pPr>
        <w:spacing w:after="0" w:line="19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On February 3, 2025, Kansas Gas filed a rate review with the KCC seeking recovery of significant infrastructure investments in its 4,765-mile natural gas pipeline system. The rate review requests $17.2 million in new annual revenue with a capital structure of 50% equity and 50% debt and a return on equity of 10.5%. The request seeks to implement new rates in the second half of 2025.</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May 1, 2025, Nebraska Gas filed a rate review with the NPSC seeking recovery of significant infrastructure investments in its 12,900-mile natural gas pipeline system. The rate review requests $34.9 million in new annual revenue with a capital structure of 51% equity and 49% debt and a return on equity of 10.5%. Nebraska statute allows for implementation of interim rates 90 days after filing a rate review. New rates are expected to be effective in the first quarter of 2026.</w:t>
      </w:r>
    </w:p>
    <w:p>
      <w:pPr>
        <w:spacing w:after="0" w:line="34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2024 Annual Report on Form 10-K except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Transfers of Renewable Tax Credits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January 2025, we entered into an agreement with a third party to sell our 2024 generated PTCs. In the agreement, we provided indemnifications associated with the proceeds for PTCs transferred to the third party in the event of an adverse change or interpretation of tax law, including whether the related tax credits meet the qualification requirements. We believe the likelihood of having to make any material cash payments under these indemnifications is remote.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-31750</wp:posOffset>
            </wp:positionV>
            <wp:extent cx="3600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20"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months ended March 31, 2025, and 2024. Sales tax and other similar taxes are excluded from revenues.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March 31, 2025</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jc w:val="right"/>
              <w:ind w:right="131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360" w:type="dxa"/>
            <w:vAlign w:val="bottom"/>
            <w:gridSpan w:val="2"/>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191.3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499.7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691.0</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57.6</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7.1</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12.1</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12.3</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21.1</w:t>
            </w:r>
          </w:p>
        </w:tc>
      </w:tr>
      <w:tr>
        <w:trPr>
          <w:trHeight w:val="183"/>
        </w:trPr>
        <w:tc>
          <w:tcPr>
            <w:tcW w:w="35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235.6</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568.7</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800.4</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236.7</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572.4</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805.2</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568.7</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792.3</w:t>
            </w:r>
          </w:p>
        </w:tc>
      </w:tr>
      <w:tr>
        <w:trPr>
          <w:trHeight w:val="223"/>
        </w:trPr>
        <w:tc>
          <w:tcPr>
            <w:tcW w:w="354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235.6</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568.7</w:t>
            </w:r>
          </w:p>
        </w:tc>
        <w:tc>
          <w:tcPr>
            <w:tcW w:w="2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800.4</w:t>
            </w:r>
          </w:p>
        </w:tc>
      </w:tr>
      <w:tr>
        <w:trPr>
          <w:trHeight w:val="397"/>
        </w:trPr>
        <w:tc>
          <w:tcPr>
            <w:tcW w:w="11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w:t>
            </w: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51"/>
        </w:trPr>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March 31, 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60" w:type="dxa"/>
            <w:vAlign w:val="bottom"/>
            <w:gridSpan w:val="3"/>
            <w:shd w:val="clear" w:color="auto" w:fill="CFF0FC"/>
          </w:tcPr>
          <w:p>
            <w:pPr>
              <w:jc w:val="right"/>
              <w:ind w:right="131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360" w:type="dxa"/>
            <w:vAlign w:val="bottom"/>
            <w:gridSpan w:val="2"/>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179.6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437.4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617.0</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51.6</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12.7</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13.0</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20.5</w:t>
            </w:r>
          </w:p>
        </w:tc>
      </w:tr>
      <w:tr>
        <w:trPr>
          <w:trHeight w:val="183"/>
        </w:trPr>
        <w:tc>
          <w:tcPr>
            <w:tcW w:w="35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221.4</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500.3</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717.2</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9.2</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222.2</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508.7</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726.4</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708.5</w:t>
            </w:r>
          </w:p>
        </w:tc>
      </w:tr>
      <w:tr>
        <w:trPr>
          <w:trHeight w:val="223"/>
        </w:trPr>
        <w:tc>
          <w:tcPr>
            <w:tcW w:w="354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221.4</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500.3</w:t>
            </w:r>
          </w:p>
        </w:tc>
        <w:tc>
          <w:tcPr>
            <w:tcW w:w="2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717.2</w:t>
            </w:r>
          </w:p>
        </w:tc>
      </w:tr>
      <w:tr>
        <w:trPr>
          <w:trHeight w:val="586"/>
        </w:trPr>
        <w:tc>
          <w:tcPr>
            <w:tcW w:w="11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w:t>
            </w: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752"/>
        </w:trPr>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9960" w:firstLine="8"/>
        <w:spacing w:after="0" w:line="493" w:lineRule="auto"/>
        <w:tabs>
          <w:tab w:leader="none" w:pos="50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2025</w:t>
            </w: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December 31, 2024</w:t>
            </w:r>
          </w:p>
        </w:tc>
        <w:tc>
          <w:tcPr>
            <w:tcW w:w="680" w:type="dxa"/>
            <w:vAlign w:val="bottom"/>
            <w:tcBorders>
              <w:bottom w:val="single" w:sz="8" w:color="auto"/>
            </w:tcBorders>
          </w:tcPr>
          <w:p>
            <w:pPr>
              <w:spacing w:after="0"/>
              <w:rPr>
                <w:sz w:val="17"/>
                <w:szCs w:val="17"/>
                <w:color w:val="auto"/>
              </w:rPr>
            </w:pPr>
          </w:p>
        </w:tc>
      </w:tr>
      <w:tr>
        <w:trPr>
          <w:trHeight w:val="183"/>
        </w:trPr>
        <w:tc>
          <w:tcPr>
            <w:tcW w:w="586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jc w:val="center"/>
              <w:ind w:right="1259"/>
              <w:spacing w:after="0" w:line="183" w:lineRule="exact"/>
              <w:rPr>
                <w:sz w:val="20"/>
                <w:szCs w:val="20"/>
                <w:color w:val="auto"/>
              </w:rPr>
            </w:pPr>
            <w:r>
              <w:rPr>
                <w:rFonts w:ascii="Arial" w:cs="Arial" w:eastAsia="Arial" w:hAnsi="Arial"/>
                <w:sz w:val="16"/>
                <w:szCs w:val="16"/>
                <w:color w:val="auto"/>
              </w:rPr>
              <w:t>(dollars in millions)</w:t>
            </w:r>
          </w:p>
        </w:tc>
        <w:tc>
          <w:tcPr>
            <w:tcW w:w="680" w:type="dxa"/>
            <w:vAlign w:val="bottom"/>
            <w:tcBorders>
              <w:bottom w:val="single" w:sz="8" w:color="auto"/>
            </w:tcBorders>
          </w:tcPr>
          <w:p>
            <w:pPr>
              <w:spacing w:after="0"/>
              <w:rPr>
                <w:sz w:val="15"/>
                <w:szCs w:val="15"/>
                <w:color w:val="auto"/>
              </w:rPr>
            </w:pPr>
          </w:p>
        </w:tc>
      </w:tr>
      <w:tr>
        <w:trPr>
          <w:trHeight w:val="183"/>
        </w:trPr>
        <w:tc>
          <w:tcPr>
            <w:tcW w:w="5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Amount outstanding</w:t>
            </w:r>
          </w:p>
        </w:tc>
        <w:tc>
          <w:tcPr>
            <w:tcW w:w="1860" w:type="dxa"/>
            <w:vAlign w:val="bottom"/>
            <w:shd w:val="clear" w:color="auto" w:fill="CFF0FC"/>
          </w:tcPr>
          <w:p>
            <w:pPr>
              <w:jc w:val="right"/>
              <w:ind w:right="16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59.9</w:t>
            </w:r>
          </w:p>
        </w:tc>
        <w:tc>
          <w:tcPr>
            <w:tcW w:w="2160" w:type="dxa"/>
            <w:vAlign w:val="bottom"/>
            <w:shd w:val="clear" w:color="auto" w:fill="CFF0FC"/>
          </w:tcPr>
          <w:p>
            <w:pPr>
              <w:jc w:val="right"/>
              <w:ind w:right="19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133.8</w:t>
            </w: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1860" w:type="dxa"/>
            <w:vAlign w:val="bottom"/>
          </w:tcPr>
          <w:p>
            <w:pPr>
              <w:spacing w:after="0"/>
              <w:rPr>
                <w:sz w:val="16"/>
                <w:szCs w:val="16"/>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216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3.5</w:t>
            </w:r>
          </w:p>
        </w:tc>
      </w:tr>
      <w:tr>
        <w:trPr>
          <w:trHeight w:val="18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Available capacity</w:t>
            </w:r>
          </w:p>
        </w:tc>
        <w:tc>
          <w:tcPr>
            <w:tcW w:w="18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686.6</w:t>
            </w:r>
          </w:p>
        </w:tc>
        <w:tc>
          <w:tcPr>
            <w:tcW w:w="21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612.7</w:t>
            </w: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Weighted average interest rates</w:t>
            </w:r>
          </w:p>
        </w:tc>
        <w:tc>
          <w:tcPr>
            <w:tcW w:w="1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w:t>
            </w:r>
          </w:p>
        </w:tc>
        <w:tc>
          <w:tcPr>
            <w:tcW w:w="2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w:t>
            </w:r>
          </w:p>
        </w:tc>
      </w:tr>
    </w:tbl>
    <w:p>
      <w:pPr>
        <w:spacing w:after="0" w:line="109" w:lineRule="exact"/>
        <w:rPr>
          <w:sz w:val="20"/>
          <w:szCs w:val="20"/>
          <w:color w:val="auto"/>
        </w:rPr>
      </w:pPr>
    </w:p>
    <w:p>
      <w:pPr>
        <w:ind w:right="1880" w:firstLine="8"/>
        <w:spacing w:after="0" w:line="493" w:lineRule="auto"/>
        <w:tabs>
          <w:tab w:leader="none" w:pos="509" w:val="left"/>
        </w:tabs>
        <w:numPr>
          <w:ilvl w:val="0"/>
          <w:numId w:val="9"/>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10458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366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6"/>
                <w:szCs w:val="16"/>
                <w:color w:val="auto"/>
              </w:rPr>
            </w:pPr>
          </w:p>
        </w:tc>
      </w:tr>
      <w:tr>
        <w:trPr>
          <w:trHeight w:val="203"/>
        </w:trPr>
        <w:tc>
          <w:tcPr>
            <w:tcW w:w="6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183"/>
        </w:trPr>
        <w:tc>
          <w:tcPr>
            <w:tcW w:w="69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center"/>
              <w:ind w:right="679"/>
              <w:spacing w:after="0" w:line="183" w:lineRule="exact"/>
              <w:rPr>
                <w:sz w:val="20"/>
                <w:szCs w:val="20"/>
                <w:color w:val="auto"/>
              </w:rPr>
            </w:pPr>
            <w:r>
              <w:rPr>
                <w:rFonts w:ascii="Arial" w:cs="Arial" w:eastAsia="Arial" w:hAnsi="Arial"/>
                <w:sz w:val="16"/>
                <w:szCs w:val="16"/>
                <w:color w:val="auto"/>
              </w:rPr>
              <w:t>(dollars in millions)</w:t>
            </w:r>
          </w:p>
        </w:tc>
        <w:tc>
          <w:tcPr>
            <w:tcW w:w="660" w:type="dxa"/>
            <w:vAlign w:val="bottom"/>
            <w:tcBorders>
              <w:bottom w:val="single" w:sz="8" w:color="auto"/>
            </w:tcBorders>
          </w:tcPr>
          <w:p>
            <w:pPr>
              <w:spacing w:after="0"/>
              <w:rPr>
                <w:sz w:val="15"/>
                <w:szCs w:val="15"/>
                <w:color w:val="auto"/>
              </w:rPr>
            </w:pPr>
          </w:p>
        </w:tc>
      </w:tr>
      <w:tr>
        <w:trPr>
          <w:trHeight w:val="183"/>
        </w:trPr>
        <w:tc>
          <w:tcPr>
            <w:tcW w:w="6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Maximum amount outstanding (based on daily outstanding balances)</w:t>
            </w:r>
          </w:p>
        </w:tc>
        <w:tc>
          <w:tcPr>
            <w:tcW w:w="1300" w:type="dxa"/>
            <w:vAlign w:val="bottom"/>
            <w:shd w:val="clear" w:color="auto" w:fill="CFF0FC"/>
          </w:tcPr>
          <w:p>
            <w:pPr>
              <w:jc w:val="right"/>
              <w:ind w:right="11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157.8</w:t>
            </w:r>
          </w:p>
        </w:tc>
        <w:tc>
          <w:tcPr>
            <w:tcW w:w="1480" w:type="dxa"/>
            <w:vAlign w:val="bottom"/>
            <w:shd w:val="clear" w:color="auto" w:fill="CFF0FC"/>
          </w:tcPr>
          <w:p>
            <w:pPr>
              <w:jc w:val="right"/>
              <w:ind w:right="129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89"/>
        </w:trPr>
        <w:tc>
          <w:tcPr>
            <w:tcW w:w="692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130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92.3</w:t>
            </w:r>
          </w:p>
        </w:tc>
        <w:tc>
          <w:tcPr>
            <w:tcW w:w="148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interest rates</w:t>
            </w:r>
          </w:p>
        </w:tc>
        <w:tc>
          <w:tcPr>
            <w:tcW w:w="13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14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March 31, 2025.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March 31, 2025, our Consolidated Indebtedness to Capitalization Ratio was 0.54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March 31, 2025. Wyoming Electric is required to maintain a debt to capitalization ratio of no more than 0.60 to 1.00. As of March 31, 2025, Wyoming Electric's debt to capitalization ratio was 0.51 to 1.00.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32"/>
        </w:trPr>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At-the-Market Equity Offering Program</w:t>
            </w:r>
          </w:p>
        </w:tc>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0"/>
        </w:trPr>
        <w:tc>
          <w:tcPr>
            <w:tcW w:w="5160" w:type="dxa"/>
            <w:vAlign w:val="bottom"/>
            <w:gridSpan w:val="2"/>
          </w:tcPr>
          <w:p>
            <w:pPr>
              <w:spacing w:after="0"/>
              <w:rPr>
                <w:sz w:val="20"/>
                <w:szCs w:val="20"/>
                <w:color w:val="auto"/>
              </w:rPr>
            </w:pPr>
            <w:r>
              <w:rPr>
                <w:rFonts w:ascii="Arial" w:cs="Arial" w:eastAsia="Arial" w:hAnsi="Arial"/>
                <w:sz w:val="16"/>
                <w:szCs w:val="16"/>
                <w:color w:val="auto"/>
              </w:rPr>
              <w:t>ATM activity was as follows:</w:t>
            </w: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2"/>
        </w:trPr>
        <w:tc>
          <w:tcPr>
            <w:tcW w:w="2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24"/>
                <w:szCs w:val="24"/>
                <w:color w:val="auto"/>
              </w:rPr>
            </w:pPr>
          </w:p>
        </w:tc>
      </w:tr>
      <w:tr>
        <w:trPr>
          <w:trHeight w:val="203"/>
        </w:trPr>
        <w:tc>
          <w:tcPr>
            <w:tcW w:w="27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183"/>
        </w:trPr>
        <w:tc>
          <w:tcPr>
            <w:tcW w:w="2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40" w:type="dxa"/>
            <w:vAlign w:val="bottom"/>
            <w:tcBorders>
              <w:bottom w:val="single" w:sz="8" w:color="auto"/>
            </w:tcBorders>
            <w:gridSpan w:val="3"/>
          </w:tcPr>
          <w:p>
            <w:pPr>
              <w:jc w:val="right"/>
              <w:ind w:right="19"/>
              <w:spacing w:after="0" w:line="183" w:lineRule="exact"/>
              <w:rPr>
                <w:sz w:val="20"/>
                <w:szCs w:val="20"/>
                <w:color w:val="auto"/>
              </w:rPr>
            </w:pPr>
            <w:r>
              <w:rPr>
                <w:rFonts w:ascii="Arial" w:cs="Arial" w:eastAsia="Arial" w:hAnsi="Arial"/>
                <w:sz w:val="16"/>
                <w:szCs w:val="16"/>
                <w:color w:val="auto"/>
              </w:rPr>
              <w:t>(in millions, except Average price per share amounts)</w:t>
            </w:r>
          </w:p>
        </w:tc>
        <w:tc>
          <w:tcPr>
            <w:tcW w:w="620" w:type="dxa"/>
            <w:vAlign w:val="bottom"/>
            <w:tcBorders>
              <w:bottom w:val="single" w:sz="8" w:color="auto"/>
            </w:tcBorders>
          </w:tcPr>
          <w:p>
            <w:pPr>
              <w:spacing w:after="0"/>
              <w:rPr>
                <w:sz w:val="15"/>
                <w:szCs w:val="15"/>
                <w:color w:val="auto"/>
              </w:rPr>
            </w:pPr>
          </w:p>
        </w:tc>
      </w:tr>
      <w:tr>
        <w:trPr>
          <w:trHeight w:val="183"/>
        </w:trPr>
        <w:tc>
          <w:tcPr>
            <w:tcW w:w="51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Proceeds, (net of issuance costs of $(0.5) and $(0.3), respectively)</w:t>
            </w:r>
          </w:p>
        </w:tc>
        <w:tc>
          <w:tcPr>
            <w:tcW w:w="2660" w:type="dxa"/>
            <w:vAlign w:val="bottom"/>
            <w:gridSpan w:val="2"/>
            <w:shd w:val="clear" w:color="auto" w:fill="CFF0FC"/>
          </w:tcPr>
          <w:p>
            <w:pPr>
              <w:jc w:val="right"/>
              <w:ind w:right="155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45.7</w:t>
            </w:r>
          </w:p>
        </w:tc>
        <w:tc>
          <w:tcPr>
            <w:tcW w:w="2000" w:type="dxa"/>
            <w:vAlign w:val="bottom"/>
            <w:shd w:val="clear" w:color="auto" w:fill="CFF0FC"/>
          </w:tcPr>
          <w:p>
            <w:pPr>
              <w:jc w:val="right"/>
              <w:ind w:right="177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31.2</w:t>
            </w:r>
          </w:p>
        </w:tc>
      </w:tr>
      <w:tr>
        <w:trPr>
          <w:trHeight w:val="189"/>
        </w:trPr>
        <w:tc>
          <w:tcPr>
            <w:tcW w:w="5160" w:type="dxa"/>
            <w:vAlign w:val="bottom"/>
            <w:gridSpan w:val="2"/>
          </w:tcPr>
          <w:p>
            <w:pPr>
              <w:spacing w:after="0"/>
              <w:rPr>
                <w:sz w:val="20"/>
                <w:szCs w:val="20"/>
                <w:color w:val="auto"/>
              </w:rPr>
            </w:pPr>
            <w:r>
              <w:rPr>
                <w:rFonts w:ascii="Arial" w:cs="Arial" w:eastAsia="Arial" w:hAnsi="Arial"/>
                <w:sz w:val="16"/>
                <w:szCs w:val="16"/>
                <w:color w:val="auto"/>
              </w:rPr>
              <w:t>Number of shares issued</w:t>
            </w:r>
          </w:p>
        </w:tc>
        <w:tc>
          <w:tcPr>
            <w:tcW w:w="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c>
          <w:tcPr>
            <w:tcW w:w="200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18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Average price per share</w:t>
            </w:r>
          </w:p>
        </w:tc>
        <w:tc>
          <w:tcPr>
            <w:tcW w:w="2660" w:type="dxa"/>
            <w:vAlign w:val="bottom"/>
            <w:gridSpan w:val="2"/>
            <w:shd w:val="clear" w:color="auto" w:fill="CFF0FC"/>
          </w:tcPr>
          <w:p>
            <w:pPr>
              <w:jc w:val="right"/>
              <w:ind w:right="15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60.44</w:t>
            </w:r>
          </w:p>
        </w:tc>
        <w:tc>
          <w:tcPr>
            <w:tcW w:w="2000" w:type="dxa"/>
            <w:vAlign w:val="bottom"/>
            <w:shd w:val="clear" w:color="auto" w:fill="CFF0FC"/>
          </w:tcPr>
          <w:p>
            <w:pPr>
              <w:jc w:val="right"/>
              <w:ind w:right="1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52.51</w:t>
            </w:r>
          </w:p>
        </w:tc>
      </w:tr>
      <w:tr>
        <w:trPr>
          <w:trHeight w:val="605"/>
        </w:trPr>
        <w:tc>
          <w:tcPr>
            <w:tcW w:w="2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18</w:t>
            </w: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51"/>
        </w:trPr>
        <w:tc>
          <w:tcPr>
            <w:tcW w:w="27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43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Pr>
          <w:p>
            <w:pPr>
              <w:spacing w:after="0"/>
              <w:rPr>
                <w:sz w:val="16"/>
                <w:szCs w:val="16"/>
                <w:color w:val="auto"/>
              </w:rPr>
            </w:pPr>
          </w:p>
        </w:tc>
      </w:tr>
      <w:tr>
        <w:trPr>
          <w:trHeight w:val="203"/>
        </w:trPr>
        <w:tc>
          <w:tcPr>
            <w:tcW w:w="6080" w:type="dxa"/>
            <w:vAlign w:val="bottom"/>
          </w:tcPr>
          <w:p>
            <w:pPr>
              <w:spacing w:after="0"/>
              <w:rPr>
                <w:sz w:val="17"/>
                <w:szCs w:val="17"/>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7"/>
                <w:szCs w:val="17"/>
                <w:color w:val="auto"/>
              </w:rPr>
            </w:pPr>
          </w:p>
        </w:tc>
      </w:tr>
      <w:tr>
        <w:trPr>
          <w:trHeight w:val="183"/>
        </w:trPr>
        <w:tc>
          <w:tcPr>
            <w:tcW w:w="6080" w:type="dxa"/>
            <w:vAlign w:val="bottom"/>
          </w:tcPr>
          <w:p>
            <w:pPr>
              <w:spacing w:after="0"/>
              <w:rPr>
                <w:sz w:val="15"/>
                <w:szCs w:val="15"/>
                <w:color w:val="auto"/>
              </w:rPr>
            </w:pPr>
          </w:p>
        </w:tc>
        <w:tc>
          <w:tcPr>
            <w:tcW w:w="4320" w:type="dxa"/>
            <w:vAlign w:val="bottom"/>
            <w:tcBorders>
              <w:bottom w:val="single" w:sz="8" w:color="auto"/>
            </w:tcBorders>
            <w:gridSpan w:val="3"/>
          </w:tcPr>
          <w:p>
            <w:pPr>
              <w:jc w:val="right"/>
              <w:ind w:right="319"/>
              <w:spacing w:after="0" w:line="183" w:lineRule="exact"/>
              <w:rPr>
                <w:sz w:val="20"/>
                <w:szCs w:val="20"/>
                <w:color w:val="auto"/>
              </w:rPr>
            </w:pPr>
            <w:r>
              <w:rPr>
                <w:rFonts w:ascii="Arial" w:cs="Arial" w:eastAsia="Arial" w:hAnsi="Arial"/>
                <w:sz w:val="16"/>
                <w:szCs w:val="16"/>
                <w:color w:val="auto"/>
              </w:rPr>
              <w:t>(in millions, except per share amounts)</w:t>
            </w:r>
          </w:p>
        </w:tc>
        <w:tc>
          <w:tcPr>
            <w:tcW w:w="840" w:type="dxa"/>
            <w:vAlign w:val="bottom"/>
            <w:tcBorders>
              <w:bottom w:val="single" w:sz="8" w:color="auto"/>
            </w:tcBorders>
          </w:tcPr>
          <w:p>
            <w:pPr>
              <w:spacing w:after="0"/>
              <w:rPr>
                <w:sz w:val="15"/>
                <w:szCs w:val="15"/>
                <w:color w:val="auto"/>
              </w:rPr>
            </w:pPr>
          </w:p>
        </w:tc>
      </w:tr>
      <w:tr>
        <w:trPr>
          <w:trHeight w:val="223"/>
        </w:trPr>
        <w:tc>
          <w:tcPr>
            <w:tcW w:w="60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1740" w:type="dxa"/>
            <w:vAlign w:val="bottom"/>
            <w:tcBorders>
              <w:bottom w:val="single" w:sz="8" w:color="auto"/>
            </w:tcBorders>
            <w:shd w:val="clear" w:color="auto" w:fill="CFF0FC"/>
          </w:tcPr>
          <w:p>
            <w:pPr>
              <w:jc w:val="right"/>
              <w:ind w:right="1559"/>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134.3</w:t>
            </w:r>
          </w:p>
        </w:tc>
        <w:tc>
          <w:tcPr>
            <w:tcW w:w="1780" w:type="dxa"/>
            <w:vAlign w:val="bottom"/>
            <w:tcBorders>
              <w:bottom w:val="single" w:sz="8" w:color="auto"/>
            </w:tcBorders>
            <w:shd w:val="clear" w:color="auto" w:fill="CFF0FC"/>
          </w:tcPr>
          <w:p>
            <w:pPr>
              <w:jc w:val="right"/>
              <w:ind w:right="1559"/>
              <w:spacing w:after="0" w:line="16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127.9</w:t>
            </w:r>
          </w:p>
        </w:tc>
      </w:tr>
      <w:tr>
        <w:trPr>
          <w:trHeight w:val="169"/>
        </w:trPr>
        <w:tc>
          <w:tcPr>
            <w:tcW w:w="6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 basic</w:t>
            </w:r>
          </w:p>
        </w:tc>
        <w:tc>
          <w:tcPr>
            <w:tcW w:w="17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68.2</w:t>
            </w:r>
          </w:p>
        </w:tc>
      </w:tr>
      <w:tr>
        <w:trPr>
          <w:trHeight w:val="189"/>
        </w:trPr>
        <w:tc>
          <w:tcPr>
            <w:tcW w:w="6080" w:type="dxa"/>
            <w:vAlign w:val="bottom"/>
          </w:tcPr>
          <w:p>
            <w:pPr>
              <w:spacing w:after="0"/>
              <w:rPr>
                <w:sz w:val="20"/>
                <w:szCs w:val="20"/>
                <w:color w:val="auto"/>
              </w:rPr>
            </w:pPr>
            <w:r>
              <w:rPr>
                <w:rFonts w:ascii="Arial" w:cs="Arial" w:eastAsia="Arial" w:hAnsi="Arial"/>
                <w:sz w:val="16"/>
                <w:szCs w:val="16"/>
                <w:color w:val="auto"/>
              </w:rPr>
              <w:t>Dilutive effect of equity compensation</w:t>
            </w:r>
          </w:p>
        </w:tc>
        <w:tc>
          <w:tcPr>
            <w:tcW w:w="1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23"/>
        </w:trPr>
        <w:tc>
          <w:tcPr>
            <w:tcW w:w="60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17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71.8</w:t>
            </w:r>
          </w:p>
        </w:tc>
        <w:tc>
          <w:tcPr>
            <w:tcW w:w="17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68.3</w:t>
            </w:r>
          </w:p>
        </w:tc>
      </w:tr>
      <w:tr>
        <w:trPr>
          <w:trHeight w:val="169"/>
        </w:trPr>
        <w:tc>
          <w:tcPr>
            <w:tcW w:w="6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6080" w:type="dxa"/>
            <w:vAlign w:val="bottom"/>
            <w:shd w:val="clear" w:color="auto" w:fill="CFF0FC"/>
          </w:tcPr>
          <w:p>
            <w:pPr>
              <w:spacing w:after="0"/>
              <w:rPr>
                <w:sz w:val="20"/>
                <w:szCs w:val="20"/>
                <w:color w:val="auto"/>
              </w:rPr>
            </w:pPr>
            <w:r>
              <w:rPr>
                <w:rFonts w:ascii="Arial" w:cs="Arial" w:eastAsia="Arial" w:hAnsi="Arial"/>
                <w:sz w:val="16"/>
                <w:szCs w:val="16"/>
                <w:color w:val="auto"/>
              </w:rPr>
              <w:t>Net income available for common stock, per share - Diluted</w:t>
            </w:r>
          </w:p>
        </w:tc>
        <w:tc>
          <w:tcPr>
            <w:tcW w:w="1740" w:type="dxa"/>
            <w:vAlign w:val="bottom"/>
            <w:shd w:val="clear" w:color="auto" w:fill="CFF0FC"/>
          </w:tcPr>
          <w:p>
            <w:pPr>
              <w:jc w:val="right"/>
              <w:ind w:right="15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1780" w:type="dxa"/>
            <w:vAlign w:val="bottom"/>
            <w:shd w:val="clear" w:color="auto" w:fill="CFF0FC"/>
          </w:tcPr>
          <w:p>
            <w:pPr>
              <w:jc w:val="right"/>
              <w:ind w:right="15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gridSpan w:val="2"/>
          </w:tcPr>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w:t>
            </w:r>
          </w:p>
        </w:tc>
        <w:tc>
          <w:tcPr>
            <w:tcW w:w="17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2"/>
        </w:trPr>
        <w:tc>
          <w:tcPr>
            <w:tcW w:w="7640" w:type="dxa"/>
            <w:vAlign w:val="bottom"/>
          </w:tcPr>
          <w:p>
            <w:pPr>
              <w:spacing w:after="0"/>
              <w:rPr>
                <w:sz w:val="24"/>
                <w:szCs w:val="24"/>
                <w:color w:val="auto"/>
              </w:rPr>
            </w:pPr>
          </w:p>
        </w:tc>
        <w:tc>
          <w:tcPr>
            <w:tcW w:w="308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24"/>
                <w:szCs w:val="24"/>
                <w:color w:val="auto"/>
              </w:rPr>
            </w:pPr>
          </w:p>
        </w:tc>
      </w:tr>
      <w:tr>
        <w:trPr>
          <w:trHeight w:val="203"/>
        </w:trPr>
        <w:tc>
          <w:tcPr>
            <w:tcW w:w="9000" w:type="dxa"/>
            <w:vAlign w:val="bottom"/>
            <w:gridSpan w:val="2"/>
          </w:tcPr>
          <w:p>
            <w:pPr>
              <w:ind w:left="8280"/>
              <w:spacing w:after="0"/>
              <w:rPr>
                <w:sz w:val="20"/>
                <w:szCs w:val="20"/>
                <w:color w:val="auto"/>
              </w:rPr>
            </w:pPr>
            <w:r>
              <w:rPr>
                <w:rFonts w:ascii="Arial" w:cs="Arial" w:eastAsia="Arial" w:hAnsi="Arial"/>
                <w:sz w:val="16"/>
                <w:szCs w:val="16"/>
                <w:b w:val="1"/>
                <w:bCs w:val="1"/>
                <w:color w:val="auto"/>
              </w:rPr>
              <w:t>2025</w:t>
            </w: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7"/>
                <w:szCs w:val="17"/>
                <w:color w:val="auto"/>
              </w:rPr>
            </w:pPr>
          </w:p>
        </w:tc>
      </w:tr>
      <w:tr>
        <w:trPr>
          <w:trHeight w:val="183"/>
        </w:trPr>
        <w:tc>
          <w:tcPr>
            <w:tcW w:w="7640" w:type="dxa"/>
            <w:vAlign w:val="bottom"/>
          </w:tcPr>
          <w:p>
            <w:pPr>
              <w:spacing w:after="0"/>
              <w:rPr>
                <w:sz w:val="15"/>
                <w:szCs w:val="15"/>
                <w:color w:val="auto"/>
              </w:rPr>
            </w:pPr>
          </w:p>
        </w:tc>
        <w:tc>
          <w:tcPr>
            <w:tcW w:w="3080" w:type="dxa"/>
            <w:vAlign w:val="bottom"/>
            <w:tcBorders>
              <w:top w:val="single" w:sz="8" w:color="auto"/>
              <w:bottom w:val="single" w:sz="8" w:color="auto"/>
            </w:tcBorders>
            <w:gridSpan w:val="2"/>
          </w:tcPr>
          <w:p>
            <w:pPr>
              <w:jc w:val="center"/>
              <w:ind w:left="299"/>
              <w:spacing w:after="0" w:line="183" w:lineRule="exact"/>
              <w:rPr>
                <w:sz w:val="20"/>
                <w:szCs w:val="20"/>
                <w:color w:val="auto"/>
              </w:rPr>
            </w:pPr>
            <w:r>
              <w:rPr>
                <w:rFonts w:ascii="Arial" w:cs="Arial" w:eastAsia="Arial" w:hAnsi="Arial"/>
                <w:sz w:val="16"/>
                <w:szCs w:val="16"/>
                <w:color w:val="auto"/>
              </w:rPr>
              <w:t>(in millions of shares)</w:t>
            </w:r>
          </w:p>
        </w:tc>
        <w:tc>
          <w:tcPr>
            <w:tcW w:w="520" w:type="dxa"/>
            <w:vAlign w:val="bottom"/>
            <w:tcBorders>
              <w:top w:val="single" w:sz="8" w:color="auto"/>
              <w:bottom w:val="single" w:sz="8" w:color="auto"/>
            </w:tcBorders>
          </w:tcPr>
          <w:p>
            <w:pPr>
              <w:spacing w:after="0"/>
              <w:rPr>
                <w:sz w:val="15"/>
                <w:szCs w:val="15"/>
                <w:color w:val="auto"/>
              </w:rPr>
            </w:pPr>
          </w:p>
        </w:tc>
      </w:tr>
      <w:tr>
        <w:trPr>
          <w:trHeight w:val="183"/>
        </w:trPr>
        <w:tc>
          <w:tcPr>
            <w:tcW w:w="90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Equity compensation</w:t>
            </w:r>
          </w:p>
        </w:tc>
        <w:tc>
          <w:tcPr>
            <w:tcW w:w="172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0.1</w:t>
            </w: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Restricted stock</w:t>
            </w:r>
          </w:p>
        </w:tc>
        <w:tc>
          <w:tcPr>
            <w:tcW w:w="1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6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Anti-dilutive shares excluded from computation of earnings per share</w:t>
            </w:r>
          </w:p>
        </w:tc>
        <w:tc>
          <w:tcPr>
            <w:tcW w:w="13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ind w:left="120"/>
              <w:spacing w:after="0" w:line="169" w:lineRule="exact"/>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0.1</w:t>
            </w:r>
          </w:p>
        </w:tc>
      </w:tr>
    </w:tbl>
    <w:p>
      <w:pPr>
        <w:spacing w:after="0" w:line="364" w:lineRule="exact"/>
        <w:rPr>
          <w:sz w:val="20"/>
          <w:szCs w:val="20"/>
          <w:color w:val="auto"/>
        </w:rPr>
      </w:pPr>
    </w:p>
    <w:p>
      <w:pPr>
        <w:ind w:right="8100" w:firstLine="8"/>
        <w:spacing w:after="0" w:line="493" w:lineRule="auto"/>
        <w:tabs>
          <w:tab w:leader="none" w:pos="50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900" w:right="80" w:hanging="518"/>
        <w:spacing w:after="0" w:line="259" w:lineRule="auto"/>
        <w:tabs>
          <w:tab w:leader="none" w:pos="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imposition of new tariffs,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-45720</wp:posOffset>
            </wp:positionV>
            <wp:extent cx="302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April 2025 through December 2027.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304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b w:val="1"/>
                <w:bCs w:val="1"/>
                <w:color w:val="auto"/>
              </w:rPr>
              <w:t>March 31, 2025</w:t>
            </w:r>
          </w:p>
        </w:tc>
        <w:tc>
          <w:tcPr>
            <w:tcW w:w="318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December 31, 2024</w:t>
            </w:r>
          </w:p>
        </w:tc>
      </w:tr>
      <w:tr>
        <w:trPr>
          <w:trHeight w:val="142"/>
        </w:trPr>
        <w:tc>
          <w:tcPr>
            <w:tcW w:w="5020" w:type="dxa"/>
            <w:vAlign w:val="bottom"/>
          </w:tcPr>
          <w:p>
            <w:pPr>
              <w:spacing w:after="0"/>
              <w:rPr>
                <w:sz w:val="12"/>
                <w:szCs w:val="12"/>
                <w:color w:val="auto"/>
              </w:rPr>
            </w:pPr>
          </w:p>
        </w:tc>
        <w:tc>
          <w:tcPr>
            <w:tcW w:w="166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Notional Amounts</w:t>
            </w:r>
          </w:p>
        </w:tc>
        <w:tc>
          <w:tcPr>
            <w:tcW w:w="13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c>
          <w:tcPr>
            <w:tcW w:w="166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rPr>
              <w:t>Notional Amounts</w:t>
            </w:r>
          </w:p>
        </w:tc>
        <w:tc>
          <w:tcPr>
            <w:tcW w:w="15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r>
      <w:tr>
        <w:trPr>
          <w:trHeight w:val="230"/>
        </w:trPr>
        <w:tc>
          <w:tcPr>
            <w:tcW w:w="5020" w:type="dxa"/>
            <w:vAlign w:val="bottom"/>
          </w:tcPr>
          <w:p>
            <w:pPr>
              <w:spacing w:after="0"/>
              <w:rPr>
                <w:sz w:val="19"/>
                <w:szCs w:val="19"/>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(MMBtus)</w:t>
            </w:r>
          </w:p>
        </w:tc>
        <w:tc>
          <w:tcPr>
            <w:tcW w:w="13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(MMBtus)</w:t>
            </w:r>
          </w:p>
        </w:tc>
        <w:tc>
          <w:tcPr>
            <w:tcW w:w="1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r>
      <w:tr>
        <w:trPr>
          <w:trHeight w:val="183"/>
        </w:trPr>
        <w:tc>
          <w:tcPr>
            <w:tcW w:w="5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Natural gas futures purchased</w:t>
            </w:r>
          </w:p>
        </w:tc>
        <w:tc>
          <w:tcPr>
            <w:tcW w:w="16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N/A</w:t>
            </w:r>
          </w:p>
        </w:tc>
        <w:tc>
          <w:tcPr>
            <w:tcW w:w="1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660,000</w:t>
            </w:r>
          </w:p>
        </w:tc>
        <w:tc>
          <w:tcPr>
            <w:tcW w:w="15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Natural gas options purchased, net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2,780,000</w:t>
            </w:r>
          </w:p>
        </w:tc>
        <w:tc>
          <w:tcPr>
            <w:tcW w:w="152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Natural gas basis swaps purchased</w:t>
            </w:r>
          </w:p>
        </w:tc>
        <w:tc>
          <w:tcPr>
            <w:tcW w:w="16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N/A</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1,080,000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2,350,000</w:t>
            </w:r>
          </w:p>
        </w:tc>
        <w:tc>
          <w:tcPr>
            <w:tcW w:w="1380" w:type="dxa"/>
            <w:vAlign w:val="bottom"/>
          </w:tcPr>
          <w:p>
            <w:pPr>
              <w:jc w:val="center"/>
              <w:spacing w:after="0"/>
              <w:rPr>
                <w:sz w:val="20"/>
                <w:szCs w:val="20"/>
                <w:color w:val="auto"/>
              </w:rPr>
            </w:pPr>
            <w:r>
              <w:rPr>
                <w:rFonts w:ascii="Arial" w:cs="Arial" w:eastAsia="Arial" w:hAnsi="Arial"/>
                <w:sz w:val="16"/>
                <w:szCs w:val="16"/>
                <w:color w:val="auto"/>
              </w:rPr>
              <w:t>32</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3,480,000</w:t>
            </w:r>
          </w:p>
        </w:tc>
        <w:tc>
          <w:tcPr>
            <w:tcW w:w="1520" w:type="dxa"/>
            <w:vAlign w:val="bottom"/>
          </w:tcPr>
          <w:p>
            <w:pPr>
              <w:jc w:val="center"/>
              <w:spacing w:after="0"/>
              <w:rPr>
                <w:sz w:val="20"/>
                <w:szCs w:val="20"/>
                <w:color w:val="auto"/>
              </w:rPr>
            </w:pPr>
            <w:r>
              <w:rPr>
                <w:rFonts w:ascii="Arial" w:cs="Arial" w:eastAsia="Arial" w:hAnsi="Arial"/>
                <w:sz w:val="16"/>
                <w:szCs w:val="16"/>
                <w:color w:val="auto"/>
              </w:rPr>
              <w:t>20</w:t>
            </w:r>
          </w:p>
        </w:tc>
      </w:tr>
      <w:tr>
        <w:trPr>
          <w:trHeight w:val="189"/>
        </w:trPr>
        <w:tc>
          <w:tcPr>
            <w:tcW w:w="502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(968,990)</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20,276,230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March 31, 2025, 549,000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171" w:lineRule="exact"/>
        <w:rPr>
          <w:sz w:val="20"/>
          <w:szCs w:val="20"/>
          <w:color w:val="auto"/>
        </w:rPr>
      </w:pPr>
    </w:p>
    <w:p>
      <w:pPr>
        <w:jc w:val="both"/>
        <w:ind w:right="62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March 31, 2025, the Company posted $0.1 million related to such provisions, which is included in Other current assets on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2"/>
          </w:tcPr>
          <w:p>
            <w:pPr>
              <w:spacing w:after="0"/>
              <w:rPr>
                <w:sz w:val="20"/>
                <w:szCs w:val="20"/>
                <w:color w:val="auto"/>
              </w:rPr>
            </w:pPr>
            <w:r>
              <w:rPr>
                <w:rFonts w:ascii="Arial" w:cs="Arial" w:eastAsia="Arial" w:hAnsi="Arial"/>
                <w:sz w:val="16"/>
                <w:szCs w:val="16"/>
                <w:color w:val="auto"/>
              </w:rPr>
              <w:t>Derivatives by Balance Sheet Classification</w:t>
            </w: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96"/>
        </w:trPr>
        <w:tc>
          <w:tcPr>
            <w:tcW w:w="8060" w:type="dxa"/>
            <w:vAlign w:val="bottom"/>
            <w:gridSpan w:val="3"/>
          </w:tcPr>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as of:</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2"/>
        </w:trPr>
        <w:tc>
          <w:tcPr>
            <w:tcW w:w="3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3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4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Balance Sheet Location</w:t>
            </w:r>
          </w:p>
        </w:tc>
        <w:tc>
          <w:tcPr>
            <w:tcW w:w="112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183"/>
        </w:trPr>
        <w:tc>
          <w:tcPr>
            <w:tcW w:w="3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159"/>
              <w:spacing w:after="0" w:line="183" w:lineRule="exact"/>
              <w:rPr>
                <w:sz w:val="20"/>
                <w:szCs w:val="20"/>
                <w:color w:val="auto"/>
              </w:rPr>
            </w:pPr>
            <w:r>
              <w:rPr>
                <w:rFonts w:ascii="Arial" w:cs="Arial" w:eastAsia="Arial" w:hAnsi="Arial"/>
                <w:sz w:val="16"/>
                <w:szCs w:val="16"/>
                <w:color w:val="auto"/>
                <w:w w:val="98"/>
              </w:rPr>
              <w:t>(in millions)</w:t>
            </w:r>
          </w:p>
        </w:tc>
      </w:tr>
      <w:tr>
        <w:trPr>
          <w:trHeight w:val="183"/>
        </w:trPr>
        <w:tc>
          <w:tcPr>
            <w:tcW w:w="41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hedges:</w:t>
            </w:r>
          </w:p>
        </w:tc>
        <w:tc>
          <w:tcPr>
            <w:tcW w:w="39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89"/>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120" w:type="dxa"/>
            <w:vAlign w:val="bottom"/>
            <w:gridSpan w:val="2"/>
            <w:shd w:val="clear" w:color="auto" w:fill="CFF0FC"/>
          </w:tcPr>
          <w:p>
            <w:pPr>
              <w:jc w:val="right"/>
              <w:ind w:right="94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4120" w:type="dxa"/>
            <w:vAlign w:val="bottom"/>
            <w:gridSpan w:val="2"/>
          </w:tcPr>
          <w:p>
            <w:pPr>
              <w:spacing w:after="0" w:line="169" w:lineRule="exact"/>
              <w:rPr>
                <w:sz w:val="20"/>
                <w:szCs w:val="20"/>
                <w:color w:val="auto"/>
              </w:rPr>
            </w:pPr>
            <w:r>
              <w:rPr>
                <w:rFonts w:ascii="Arial" w:cs="Arial" w:eastAsia="Arial" w:hAnsi="Arial"/>
                <w:sz w:val="16"/>
                <w:szCs w:val="16"/>
                <w:color w:val="auto"/>
              </w:rPr>
              <w:t>Total derivatives designated as hedges</w:t>
            </w: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ind w:right="942"/>
              <w:spacing w:after="0" w:line="169"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w:t>
            </w:r>
          </w:p>
        </w:tc>
      </w:tr>
      <w:tr>
        <w:trPr>
          <w:trHeight w:val="20"/>
        </w:trPr>
        <w:tc>
          <w:tcPr>
            <w:tcW w:w="3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3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89"/>
        </w:trPr>
        <w:tc>
          <w:tcPr>
            <w:tcW w:w="4120" w:type="dxa"/>
            <w:vAlign w:val="bottom"/>
            <w:gridSpan w:val="2"/>
          </w:tcPr>
          <w:p>
            <w:pPr>
              <w:spacing w:after="0"/>
              <w:rPr>
                <w:sz w:val="20"/>
                <w:szCs w:val="20"/>
                <w:color w:val="auto"/>
              </w:rPr>
            </w:pPr>
            <w:r>
              <w:rPr>
                <w:rFonts w:ascii="Arial" w:cs="Arial" w:eastAsia="Arial" w:hAnsi="Arial"/>
                <w:sz w:val="16"/>
                <w:szCs w:val="16"/>
                <w:color w:val="auto"/>
              </w:rPr>
              <w:t>Derivatives not designated as hedges:</w:t>
            </w: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Asset derivative instruments:</w:t>
            </w:r>
          </w:p>
        </w:tc>
        <w:tc>
          <w:tcPr>
            <w:tcW w:w="39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9"/>
        </w:trPr>
        <w:tc>
          <w:tcPr>
            <w:tcW w:w="4120" w:type="dxa"/>
            <w:vAlign w:val="bottom"/>
            <w:gridSpan w:val="2"/>
          </w:tcPr>
          <w:p>
            <w:pPr>
              <w:ind w:left="80"/>
              <w:spacing w:after="0"/>
              <w:rPr>
                <w:sz w:val="20"/>
                <w:szCs w:val="20"/>
                <w:color w:val="auto"/>
              </w:rPr>
            </w:pPr>
            <w:r>
              <w:rPr>
                <w:rFonts w:ascii="Arial" w:cs="Arial" w:eastAsia="Arial" w:hAnsi="Arial"/>
                <w:sz w:val="16"/>
                <w:szCs w:val="16"/>
                <w:color w:val="auto"/>
              </w:rPr>
              <w:t>Current commodity derivatives</w:t>
            </w:r>
          </w:p>
        </w:tc>
        <w:tc>
          <w:tcPr>
            <w:tcW w:w="3940" w:type="dxa"/>
            <w:vAlign w:val="bottom"/>
          </w:tcPr>
          <w:p>
            <w:pPr>
              <w:spacing w:after="0"/>
              <w:rPr>
                <w:sz w:val="20"/>
                <w:szCs w:val="20"/>
                <w:color w:val="auto"/>
              </w:rPr>
            </w:pPr>
            <w:r>
              <w:rPr>
                <w:rFonts w:ascii="Arial" w:cs="Arial" w:eastAsia="Arial" w:hAnsi="Arial"/>
                <w:sz w:val="16"/>
                <w:szCs w:val="16"/>
                <w:color w:val="auto"/>
              </w:rPr>
              <w:t>Derivative assets, current</w:t>
            </w:r>
          </w:p>
        </w:tc>
        <w:tc>
          <w:tcPr>
            <w:tcW w:w="1120" w:type="dxa"/>
            <w:vAlign w:val="bottom"/>
            <w:gridSpan w:val="2"/>
          </w:tcPr>
          <w:p>
            <w:pPr>
              <w:jc w:val="right"/>
              <w:ind w:right="9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1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Noncurrent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Other assets, non-current</w:t>
            </w:r>
          </w:p>
        </w:tc>
        <w:tc>
          <w:tcPr>
            <w:tcW w:w="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Liability derivative instruments:</w:t>
            </w:r>
          </w:p>
        </w:tc>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Current commodity derivatives</w:t>
            </w:r>
          </w:p>
        </w:tc>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1120" w:type="dxa"/>
            <w:vAlign w:val="bottom"/>
            <w:gridSpan w:val="2"/>
            <w:shd w:val="clear" w:color="auto" w:fill="CFF0FC"/>
          </w:tcPr>
          <w:p>
            <w:pPr>
              <w:jc w:val="right"/>
              <w:ind w:right="94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4120" w:type="dxa"/>
            <w:vAlign w:val="bottom"/>
            <w:gridSpan w:val="2"/>
          </w:tcPr>
          <w:p>
            <w:pPr>
              <w:spacing w:after="0" w:line="169" w:lineRule="exact"/>
              <w:rPr>
                <w:sz w:val="20"/>
                <w:szCs w:val="20"/>
                <w:color w:val="auto"/>
              </w:rPr>
            </w:pPr>
            <w:r>
              <w:rPr>
                <w:rFonts w:ascii="Arial" w:cs="Arial" w:eastAsia="Arial" w:hAnsi="Arial"/>
                <w:sz w:val="16"/>
                <w:szCs w:val="16"/>
                <w:color w:val="auto"/>
              </w:rPr>
              <w:t>Total derivatives not designated as hedges</w:t>
            </w:r>
          </w:p>
        </w:tc>
        <w:tc>
          <w:tcPr>
            <w:tcW w:w="39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42"/>
              <w:spacing w:after="0" w:line="169"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0.2</w:t>
            </w:r>
          </w:p>
        </w:tc>
        <w:tc>
          <w:tcPr>
            <w:tcW w:w="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w:t>
            </w:r>
          </w:p>
        </w:tc>
      </w:tr>
      <w:tr>
        <w:trPr>
          <w:trHeight w:val="20"/>
        </w:trPr>
        <w:tc>
          <w:tcPr>
            <w:tcW w:w="3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months ended March 31, 2025, and 2024.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188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3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gridSpan w:val="2"/>
          </w:tcPr>
          <w:p>
            <w:pPr>
              <w:jc w:val="center"/>
              <w:ind w:right="359"/>
              <w:spacing w:after="0"/>
              <w:rPr>
                <w:sz w:val="20"/>
                <w:szCs w:val="20"/>
                <w:color w:val="auto"/>
              </w:rPr>
            </w:pPr>
            <w:r>
              <w:rPr>
                <w:rFonts w:ascii="Arial" w:cs="Arial" w:eastAsia="Arial" w:hAnsi="Arial"/>
                <w:sz w:val="16"/>
                <w:szCs w:val="16"/>
                <w:b w:val="1"/>
                <w:bCs w:val="1"/>
                <w:color w:val="auto"/>
              </w:rPr>
              <w:t>March 31,</w:t>
            </w:r>
          </w:p>
        </w:tc>
        <w:tc>
          <w:tcPr>
            <w:tcW w:w="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rPr>
              <w:t>March 31,</w:t>
            </w:r>
          </w:p>
        </w:tc>
        <w:tc>
          <w:tcPr>
            <w:tcW w:w="800" w:type="dxa"/>
            <w:vAlign w:val="bottom"/>
          </w:tcPr>
          <w:p>
            <w:pPr>
              <w:spacing w:after="0"/>
              <w:rPr>
                <w:sz w:val="16"/>
                <w:szCs w:val="16"/>
                <w:color w:val="auto"/>
              </w:rPr>
            </w:pPr>
          </w:p>
        </w:tc>
      </w:tr>
      <w:tr>
        <w:trPr>
          <w:trHeight w:val="203"/>
        </w:trPr>
        <w:tc>
          <w:tcPr>
            <w:tcW w:w="33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68"/>
        </w:trPr>
        <w:tc>
          <w:tcPr>
            <w:tcW w:w="3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tcPr>
          <w:p>
            <w:pPr>
              <w:jc w:val="center"/>
              <w:ind w:right="199"/>
              <w:spacing w:after="0" w:line="168"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38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224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Amount of Gain/(Loss)</w:t>
            </w: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Reclassified from AOCI</w:t>
            </w:r>
          </w:p>
        </w:tc>
      </w:tr>
      <w:tr>
        <w:trPr>
          <w:trHeight w:val="203"/>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88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6"/>
                <w:szCs w:val="16"/>
                <w:b w:val="1"/>
                <w:bCs w:val="1"/>
                <w:color w:val="auto"/>
              </w:rPr>
              <w:t>Recognized in OCI</w:t>
            </w:r>
          </w:p>
        </w:tc>
        <w:tc>
          <w:tcPr>
            <w:tcW w:w="3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Income Statement Location</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rPr>
              <w:t>into Income</w:t>
            </w:r>
          </w:p>
        </w:tc>
      </w:tr>
      <w:tr>
        <w:trPr>
          <w:trHeight w:val="183"/>
        </w:trPr>
        <w:tc>
          <w:tcPr>
            <w:tcW w:w="3380" w:type="dxa"/>
            <w:vAlign w:val="bottom"/>
            <w:tcBorders>
              <w:bottom w:val="single" w:sz="8" w:color="CFF0FC"/>
            </w:tcBorders>
            <w:shd w:val="clear" w:color="auto" w:fill="CFF0FC"/>
          </w:tcPr>
          <w:p>
            <w:pPr>
              <w:spacing w:after="0"/>
              <w:rPr>
                <w:sz w:val="15"/>
                <w:szCs w:val="15"/>
                <w:color w:val="auto"/>
              </w:rPr>
            </w:pPr>
          </w:p>
        </w:tc>
        <w:tc>
          <w:tcPr>
            <w:tcW w:w="1880" w:type="dxa"/>
            <w:vAlign w:val="bottom"/>
            <w:tcBorders>
              <w:bottom w:val="single" w:sz="8" w:color="auto"/>
            </w:tcBorders>
            <w:gridSpan w:val="3"/>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shd w:val="clear" w:color="auto" w:fill="CFF0FC"/>
          </w:tcPr>
          <w:p>
            <w:pPr>
              <w:spacing w:after="0"/>
              <w:rPr>
                <w:sz w:val="15"/>
                <w:szCs w:val="15"/>
                <w:color w:val="auto"/>
              </w:rPr>
            </w:pPr>
          </w:p>
        </w:tc>
        <w:tc>
          <w:tcPr>
            <w:tcW w:w="3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2140" w:type="dxa"/>
            <w:vAlign w:val="bottom"/>
            <w:tcBorders>
              <w:bottom w:val="single" w:sz="8" w:color="auto"/>
            </w:tcBorders>
            <w:gridSpan w:val="3"/>
            <w:shd w:val="clear" w:color="auto" w:fill="CFF0FC"/>
          </w:tcPr>
          <w:p>
            <w:pPr>
              <w:jc w:val="center"/>
              <w:ind w:right="1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3380" w:type="dxa"/>
            <w:vAlign w:val="bottom"/>
          </w:tcPr>
          <w:p>
            <w:pPr>
              <w:spacing w:after="0" w:line="183" w:lineRule="exact"/>
              <w:rPr>
                <w:sz w:val="20"/>
                <w:szCs w:val="20"/>
                <w:color w:val="auto"/>
              </w:rPr>
            </w:pPr>
            <w:r>
              <w:rPr>
                <w:rFonts w:ascii="Arial" w:cs="Arial" w:eastAsia="Arial" w:hAnsi="Arial"/>
                <w:sz w:val="16"/>
                <w:szCs w:val="16"/>
                <w:color w:val="auto"/>
              </w:rPr>
              <w:t>Interest rate swaps</w:t>
            </w:r>
          </w:p>
        </w:tc>
        <w:tc>
          <w:tcPr>
            <w:tcW w:w="680" w:type="dxa"/>
            <w:vAlign w:val="bottom"/>
          </w:tcPr>
          <w:p>
            <w:pPr>
              <w:jc w:val="right"/>
              <w:ind w:right="499"/>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c>
          <w:tcPr>
            <w:tcW w:w="800" w:type="dxa"/>
            <w:vAlign w:val="bottom"/>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0.7</w:t>
            </w:r>
          </w:p>
        </w:tc>
        <w:tc>
          <w:tcPr>
            <w:tcW w:w="3220" w:type="dxa"/>
            <w:vAlign w:val="bottom"/>
          </w:tcPr>
          <w:p>
            <w:pPr>
              <w:spacing w:after="0" w:line="183" w:lineRule="exact"/>
              <w:rPr>
                <w:sz w:val="20"/>
                <w:szCs w:val="20"/>
                <w:color w:val="auto"/>
              </w:rPr>
            </w:pPr>
            <w:r>
              <w:rPr>
                <w:rFonts w:ascii="Arial" w:cs="Arial" w:eastAsia="Arial" w:hAnsi="Arial"/>
                <w:sz w:val="16"/>
                <w:szCs w:val="16"/>
                <w:color w:val="auto"/>
              </w:rPr>
              <w:t>Interest expense</w:t>
            </w:r>
          </w:p>
        </w:tc>
        <w:tc>
          <w:tcPr>
            <w:tcW w:w="2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c>
          <w:tcPr>
            <w:tcW w:w="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(0.7)</w:t>
            </w:r>
          </w:p>
        </w:tc>
      </w:tr>
      <w:tr>
        <w:trPr>
          <w:trHeight w:val="175"/>
        </w:trPr>
        <w:tc>
          <w:tcPr>
            <w:tcW w:w="33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2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Fuel, purchased power, and cost of natural</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20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6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8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2.4</w:t>
            </w: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gas sold</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3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r>
      <w:tr>
        <w:trPr>
          <w:trHeight w:val="183"/>
        </w:trPr>
        <w:tc>
          <w:tcPr>
            <w:tcW w:w="3380" w:type="dxa"/>
            <w:vAlign w:val="bottom"/>
          </w:tcPr>
          <w:p>
            <w:pPr>
              <w:ind w:left="100"/>
              <w:spacing w:after="0" w:line="169" w:lineRule="exact"/>
              <w:rPr>
                <w:sz w:val="20"/>
                <w:szCs w:val="20"/>
                <w:color w:val="auto"/>
              </w:rPr>
            </w:pPr>
            <w:r>
              <w:rPr>
                <w:rFonts w:ascii="Arial" w:cs="Arial" w:eastAsia="Arial" w:hAnsi="Arial"/>
                <w:sz w:val="16"/>
                <w:szCs w:val="16"/>
                <w:color w:val="auto"/>
              </w:rPr>
              <w:t>Total</w:t>
            </w:r>
          </w:p>
        </w:tc>
        <w:tc>
          <w:tcPr>
            <w:tcW w:w="680" w:type="dxa"/>
            <w:vAlign w:val="bottom"/>
          </w:tcPr>
          <w:p>
            <w:pPr>
              <w:jc w:val="right"/>
              <w:ind w:right="499"/>
              <w:spacing w:after="0" w:line="169"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c>
          <w:tcPr>
            <w:tcW w:w="800" w:type="dxa"/>
            <w:vAlign w:val="bottom"/>
          </w:tcPr>
          <w:p>
            <w:pPr>
              <w:jc w:val="right"/>
              <w:ind w:right="559"/>
              <w:spacing w:after="0" w:line="169"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8"/>
              </w:rPr>
              <w:t>3.1</w:t>
            </w:r>
          </w:p>
        </w:tc>
        <w:tc>
          <w:tcPr>
            <w:tcW w:w="3220" w:type="dxa"/>
            <w:vAlign w:val="bottom"/>
          </w:tcPr>
          <w:p>
            <w:pPr>
              <w:spacing w:after="0"/>
              <w:rPr>
                <w:sz w:val="15"/>
                <w:szCs w:val="15"/>
                <w:color w:val="auto"/>
              </w:rPr>
            </w:pPr>
          </w:p>
        </w:tc>
        <w:tc>
          <w:tcPr>
            <w:tcW w:w="26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(1.2)</w:t>
            </w:r>
          </w:p>
        </w:tc>
        <w:tc>
          <w:tcPr>
            <w:tcW w:w="300" w:type="dxa"/>
            <w:vAlign w:val="bottom"/>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(3.3)</w:t>
            </w:r>
          </w:p>
        </w:tc>
      </w:tr>
      <w:tr>
        <w:trPr>
          <w:trHeight w:val="20"/>
        </w:trPr>
        <w:tc>
          <w:tcPr>
            <w:tcW w:w="3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-521970</wp:posOffset>
            </wp:positionV>
            <wp:extent cx="21342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342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-153670</wp:posOffset>
            </wp:positionV>
            <wp:extent cx="21342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5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31, 2025, $2.7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months ended March 31, 2025, and 2024.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Derivatives Not Designated as Hedging</w:t>
            </w:r>
          </w:p>
        </w:tc>
        <w:tc>
          <w:tcPr>
            <w:tcW w:w="3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rPr>
              <w:t>Location of Gain/(Loss) on Derivatives</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408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right="779"/>
              <w:spacing w:after="0"/>
              <w:rPr>
                <w:sz w:val="20"/>
                <w:szCs w:val="20"/>
                <w:color w:val="auto"/>
              </w:rPr>
            </w:pPr>
            <w:r>
              <w:rPr>
                <w:rFonts w:ascii="Arial" w:cs="Arial" w:eastAsia="Arial" w:hAnsi="Arial"/>
                <w:sz w:val="16"/>
                <w:szCs w:val="16"/>
                <w:b w:val="1"/>
                <w:bCs w:val="1"/>
                <w:color w:val="auto"/>
              </w:rPr>
              <w:t>in Income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center"/>
              <w:ind w:right="759"/>
              <w:spacing w:after="0" w:line="183" w:lineRule="exact"/>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14"/>
                <w:szCs w:val="14"/>
                <w:color w:val="auto"/>
              </w:rPr>
            </w:pPr>
          </w:p>
        </w:tc>
        <w:tc>
          <w:tcPr>
            <w:tcW w:w="3640" w:type="dxa"/>
            <w:vAlign w:val="bottom"/>
            <w:shd w:val="clear" w:color="auto" w:fill="CFF0FC"/>
          </w:tcPr>
          <w:p>
            <w:pPr>
              <w:jc w:val="center"/>
              <w:ind w:left="19"/>
              <w:spacing w:after="0" w:line="168" w:lineRule="exact"/>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460" w:type="dxa"/>
            <w:vAlign w:val="bottom"/>
            <w:vMerge w:val="restart"/>
            <w:shd w:val="clear" w:color="auto" w:fill="CFF0FC"/>
          </w:tcPr>
          <w:p>
            <w:pPr>
              <w:jc w:val="right"/>
              <w:ind w:right="12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3640" w:type="dxa"/>
            <w:vAlign w:val="bottom"/>
            <w:tcBorders>
              <w:bottom w:val="single" w:sz="8" w:color="CFF0FC"/>
            </w:tcBorders>
            <w:shd w:val="clear" w:color="auto" w:fill="CFF0FC"/>
          </w:tcPr>
          <w:p>
            <w:pPr>
              <w:jc w:val="right"/>
              <w:ind w:right="3079"/>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146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w:t>
            </w:r>
          </w:p>
        </w:tc>
        <w:tc>
          <w:tcPr>
            <w:tcW w:w="1460" w:type="dxa"/>
            <w:vAlign w:val="bottom"/>
            <w:tcBorders>
              <w:bottom w:val="single" w:sz="8" w:color="auto"/>
            </w:tcBorders>
          </w:tcPr>
          <w:p>
            <w:pPr>
              <w:jc w:val="right"/>
              <w:ind w:right="123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40" w:type="dxa"/>
            <w:vAlign w:val="bottom"/>
            <w:vMerge w:val="restart"/>
          </w:tcPr>
          <w:p>
            <w:pPr>
              <w:jc w:val="right"/>
              <w:ind w:right="1359"/>
              <w:spacing w:after="0"/>
              <w:rPr>
                <w:sz w:val="20"/>
                <w:szCs w:val="20"/>
                <w:color w:val="auto"/>
              </w:rPr>
            </w:pPr>
            <w:r>
              <w:rPr>
                <w:rFonts w:ascii="Arial" w:cs="Arial" w:eastAsia="Arial" w:hAnsi="Arial"/>
                <w:sz w:val="16"/>
                <w:szCs w:val="16"/>
                <w:color w:val="auto"/>
              </w:rPr>
              <w:t>21</w:t>
            </w: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5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5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There were no net unrealized gains or losses included in our Regulatory liability or asset accounts related to these financial instruments as of March 31, 2025. The net unrealized losses included in our Regulatory asset accounts related to these financial instruments were $2.9 million as of December 31, 2024.</w:t>
      </w:r>
    </w:p>
    <w:p>
      <w:pPr>
        <w:spacing w:after="0" w:line="34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2024 Annual Report on Form 10-K.</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0" w:type="dxa"/>
            <w:vAlign w:val="bottom"/>
            <w:gridSpan w:val="4"/>
          </w:tcPr>
          <w:p>
            <w:pPr>
              <w:jc w:val="center"/>
              <w:ind w:right="1286"/>
              <w:spacing w:after="0"/>
              <w:rPr>
                <w:sz w:val="20"/>
                <w:szCs w:val="20"/>
                <w:color w:val="auto"/>
              </w:rPr>
            </w:pPr>
            <w:r>
              <w:rPr>
                <w:rFonts w:ascii="Arial" w:cs="Arial" w:eastAsia="Arial" w:hAnsi="Arial"/>
                <w:sz w:val="16"/>
                <w:szCs w:val="16"/>
                <w:b w:val="1"/>
                <w:bCs w:val="1"/>
                <w:color w:val="auto"/>
              </w:rPr>
              <w:t>As of March 31, 2025</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ind w:right="126"/>
              <w:spacing w:after="0"/>
              <w:rPr>
                <w:sz w:val="20"/>
                <w:szCs w:val="20"/>
                <w:color w:val="auto"/>
              </w:rPr>
            </w:pPr>
            <w:r>
              <w:rPr>
                <w:rFonts w:ascii="Arial" w:cs="Arial" w:eastAsia="Arial" w:hAnsi="Arial"/>
                <w:sz w:val="16"/>
                <w:szCs w:val="16"/>
                <w:b w:val="1"/>
                <w:bCs w:val="1"/>
                <w:color w:val="auto"/>
              </w:rPr>
              <w:t>Cash Collateral and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jc w:val="center"/>
              <w:ind w:right="26"/>
              <w:spacing w:after="0" w:line="163" w:lineRule="exact"/>
              <w:rPr>
                <w:sz w:val="20"/>
                <w:szCs w:val="20"/>
                <w:color w:val="auto"/>
              </w:rPr>
            </w:pPr>
            <w:r>
              <w:rPr>
                <w:rFonts w:ascii="Arial" w:cs="Arial" w:eastAsia="Arial" w:hAnsi="Arial"/>
                <w:sz w:val="16"/>
                <w:szCs w:val="16"/>
                <w:b w:val="1"/>
                <w:bCs w:val="1"/>
                <w:color w:val="auto"/>
              </w:rPr>
              <w:t>Counterparty Netting</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0"/>
                <w:szCs w:val="10"/>
                <w:color w:val="auto"/>
              </w:rPr>
            </w:pPr>
          </w:p>
        </w:tc>
        <w:tc>
          <w:tcPr>
            <w:tcW w:w="1060" w:type="dxa"/>
            <w:vAlign w:val="bottom"/>
            <w:vMerge w:val="restart"/>
          </w:tcPr>
          <w:p>
            <w:pPr>
              <w:jc w:val="right"/>
              <w:ind w:right="299"/>
              <w:spacing w:after="0" w:line="162" w:lineRule="exact"/>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0"/>
                <w:szCs w:val="10"/>
                <w:color w:val="auto"/>
              </w:rPr>
            </w:pPr>
          </w:p>
        </w:tc>
        <w:tc>
          <w:tcPr>
            <w:tcW w:w="1100" w:type="dxa"/>
            <w:vAlign w:val="bottom"/>
            <w:vMerge w:val="restart"/>
          </w:tcPr>
          <w:p>
            <w:pPr>
              <w:ind w:left="120"/>
              <w:spacing w:after="0" w:line="162"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172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88"/>
              </w:rPr>
              <w:t>(a)</w:t>
            </w:r>
          </w:p>
        </w:tc>
        <w:tc>
          <w:tcPr>
            <w:tcW w:w="300" w:type="dxa"/>
            <w:vAlign w:val="bottom"/>
          </w:tcPr>
          <w:p>
            <w:pPr>
              <w:spacing w:after="0"/>
              <w:rPr>
                <w:sz w:val="10"/>
                <w:szCs w:val="10"/>
                <w:color w:val="auto"/>
              </w:rPr>
            </w:pPr>
          </w:p>
        </w:tc>
        <w:tc>
          <w:tcPr>
            <w:tcW w:w="108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left="119"/>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ind w:left="15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2"/>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FF0FC"/>
          </w:tcPr>
          <w:p>
            <w:pPr>
              <w:ind w:left="1500"/>
              <w:spacing w:after="0" w:line="169"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March 31, 2025, we had no commodity derivative or liabilities, or related gross collateral amounts, that were subject to master netting agreements.</w:t>
      </w:r>
    </w:p>
    <w:p>
      <w:pPr>
        <w:spacing w:after="0" w:line="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80" w:type="dxa"/>
            <w:vAlign w:val="bottom"/>
            <w:gridSpan w:val="4"/>
          </w:tcPr>
          <w:p>
            <w:pPr>
              <w:jc w:val="right"/>
              <w:ind w:right="1283"/>
              <w:spacing w:after="0"/>
              <w:rPr>
                <w:sz w:val="20"/>
                <w:szCs w:val="20"/>
                <w:color w:val="auto"/>
              </w:rPr>
            </w:pPr>
            <w:r>
              <w:rPr>
                <w:rFonts w:ascii="Arial" w:cs="Arial" w:eastAsia="Arial" w:hAnsi="Arial"/>
                <w:sz w:val="16"/>
                <w:szCs w:val="16"/>
                <w:b w:val="1"/>
                <w:bCs w:val="1"/>
                <w:color w:val="auto"/>
              </w:rPr>
              <w:t>As of December 31, 2024</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63"/>
              <w:spacing w:after="0"/>
              <w:rPr>
                <w:sz w:val="20"/>
                <w:szCs w:val="20"/>
                <w:color w:val="auto"/>
              </w:rPr>
            </w:pPr>
            <w:r>
              <w:rPr>
                <w:rFonts w:ascii="Arial" w:cs="Arial" w:eastAsia="Arial" w:hAnsi="Arial"/>
                <w:sz w:val="16"/>
                <w:szCs w:val="16"/>
                <w:b w:val="1"/>
                <w:bCs w:val="1"/>
                <w:color w:val="auto"/>
              </w:rPr>
              <w:t>Cash Collateral and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2"/>
          </w:tcPr>
          <w:p>
            <w:pPr>
              <w:jc w:val="center"/>
              <w:ind w:right="2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0"/>
                <w:szCs w:val="10"/>
                <w:color w:val="auto"/>
              </w:rPr>
            </w:pPr>
          </w:p>
        </w:tc>
        <w:tc>
          <w:tcPr>
            <w:tcW w:w="1020" w:type="dxa"/>
            <w:vAlign w:val="bottom"/>
            <w:vMerge w:val="restart"/>
          </w:tcPr>
          <w:p>
            <w:pPr>
              <w:jc w:val="right"/>
              <w:ind w:right="259"/>
              <w:spacing w:after="0" w:line="162" w:lineRule="exact"/>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0"/>
                <w:szCs w:val="10"/>
                <w:color w:val="auto"/>
              </w:rPr>
            </w:pPr>
          </w:p>
        </w:tc>
        <w:tc>
          <w:tcPr>
            <w:tcW w:w="110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1760" w:type="dxa"/>
            <w:vAlign w:val="bottom"/>
          </w:tcPr>
          <w:p>
            <w:pPr>
              <w:jc w:val="center"/>
              <w:ind w:right="103"/>
              <w:spacing w:after="0" w:line="122" w:lineRule="exact"/>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10"/>
                <w:szCs w:val="10"/>
                <w:color w:val="auto"/>
              </w:rPr>
            </w:pPr>
          </w:p>
        </w:tc>
        <w:tc>
          <w:tcPr>
            <w:tcW w:w="108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ind w:left="880"/>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ind w:left="880"/>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0" w:hanging="512"/>
        <w:spacing w:after="0" w:line="285"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December 31, 2024, $2.2 million of our commodity derivative assets and $0.6 million of our commodity derivative liabilities, as well as related gross collateral amounts, were subject to master netting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2024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March 31, 2025</w:t>
            </w:r>
          </w:p>
        </w:tc>
        <w:tc>
          <w:tcPr>
            <w:tcW w:w="5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December 31, 2024</w:t>
            </w:r>
          </w:p>
        </w:tc>
      </w:tr>
      <w:tr>
        <w:trPr>
          <w:trHeight w:val="168"/>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4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r>
      <w:tr>
        <w:trPr>
          <w:trHeight w:val="183"/>
        </w:trPr>
        <w:tc>
          <w:tcPr>
            <w:tcW w:w="4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800"/>
              <w:spacing w:after="0" w:line="183" w:lineRule="exact"/>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2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4,251.6</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4,097.8</w:t>
            </w:r>
          </w:p>
        </w:tc>
        <w:tc>
          <w:tcPr>
            <w:tcW w:w="5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4,250.2</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4,059.1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220" w:hanging="512"/>
        <w:spacing w:after="0" w:line="285"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8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Amount Reclassified from AOCI</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348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Location on the Consolidated Statements</w:t>
            </w:r>
          </w:p>
        </w:tc>
        <w:tc>
          <w:tcPr>
            <w:tcW w:w="3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3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ind w:left="1460"/>
              <w:spacing w:after="0"/>
              <w:rPr>
                <w:sz w:val="20"/>
                <w:szCs w:val="20"/>
                <w:color w:val="auto"/>
              </w:rPr>
            </w:pPr>
            <w:r>
              <w:rPr>
                <w:rFonts w:ascii="Arial" w:cs="Arial" w:eastAsia="Arial" w:hAnsi="Arial"/>
                <w:sz w:val="16"/>
                <w:szCs w:val="16"/>
                <w:b w:val="1"/>
                <w:bCs w:val="1"/>
                <w:color w:val="auto"/>
              </w:rPr>
              <w:t>of Income</w:t>
            </w: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left="799"/>
              <w:spacing w:after="0" w:line="183" w:lineRule="exact"/>
              <w:rPr>
                <w:sz w:val="20"/>
                <w:szCs w:val="20"/>
                <w:color w:val="auto"/>
              </w:rPr>
            </w:pPr>
            <w:r>
              <w:rPr>
                <w:rFonts w:ascii="Arial" w:cs="Arial" w:eastAsia="Arial" w:hAnsi="Arial"/>
                <w:sz w:val="16"/>
                <w:szCs w:val="16"/>
                <w:color w:val="auto"/>
              </w:rPr>
              <w:t>(in millions)</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Gains and (losses) on cash flow hedges:</w:t>
            </w:r>
          </w:p>
        </w:tc>
        <w:tc>
          <w:tcPr>
            <w:tcW w:w="34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Interest rate swaps</w:t>
            </w:r>
          </w:p>
        </w:tc>
        <w:tc>
          <w:tcPr>
            <w:tcW w:w="34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(0.8)</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75"/>
        </w:trPr>
        <w:tc>
          <w:tcPr>
            <w:tcW w:w="4060" w:type="dxa"/>
            <w:vAlign w:val="bottom"/>
            <w:shd w:val="clear" w:color="auto" w:fill="CFF0FC"/>
          </w:tcPr>
          <w:p>
            <w:pPr>
              <w:spacing w:after="0"/>
              <w:rPr>
                <w:sz w:val="15"/>
                <w:szCs w:val="15"/>
                <w:color w:val="auto"/>
              </w:rPr>
            </w:pPr>
          </w:p>
        </w:tc>
        <w:tc>
          <w:tcPr>
            <w:tcW w:w="3480" w:type="dxa"/>
            <w:vAlign w:val="bottom"/>
            <w:shd w:val="clear" w:color="auto" w:fill="CFF0FC"/>
          </w:tcPr>
          <w:p>
            <w:pPr>
              <w:ind w:left="220"/>
              <w:spacing w:after="0" w:line="175" w:lineRule="exact"/>
              <w:rPr>
                <w:sz w:val="20"/>
                <w:szCs w:val="20"/>
                <w:color w:val="auto"/>
              </w:rPr>
            </w:pPr>
            <w:r>
              <w:rPr>
                <w:rFonts w:ascii="Arial" w:cs="Arial" w:eastAsia="Arial" w:hAnsi="Arial"/>
                <w:sz w:val="16"/>
                <w:szCs w:val="16"/>
                <w:color w:val="auto"/>
              </w:rPr>
              <w:t>Fuel, purchased power, and cost of natural</w:t>
            </w:r>
          </w:p>
        </w:tc>
        <w:tc>
          <w:tcPr>
            <w:tcW w:w="320" w:type="dxa"/>
            <w:vAlign w:val="bottom"/>
            <w:shd w:val="clear" w:color="auto" w:fill="CFF0FC"/>
          </w:tcPr>
          <w:p>
            <w:pPr>
              <w:spacing w:after="0"/>
              <w:rPr>
                <w:sz w:val="15"/>
                <w:szCs w:val="15"/>
                <w:color w:val="auto"/>
              </w:rPr>
            </w:pP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52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contracts</w:t>
            </w:r>
          </w:p>
        </w:tc>
        <w:tc>
          <w:tcPr>
            <w:tcW w:w="3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gas sold</w:t>
            </w:r>
          </w:p>
        </w:tc>
        <w:tc>
          <w:tcPr>
            <w:tcW w:w="3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vMerge w:val="continue"/>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20" w:type="dxa"/>
            <w:vAlign w:val="bottom"/>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line="183" w:lineRule="exact"/>
              <w:rPr>
                <w:sz w:val="20"/>
                <w:szCs w:val="20"/>
                <w:color w:val="auto"/>
              </w:rPr>
            </w:pPr>
            <w:r>
              <w:rPr>
                <w:rFonts w:ascii="Arial" w:cs="Arial" w:eastAsia="Arial" w:hAnsi="Arial"/>
                <w:sz w:val="16"/>
                <w:szCs w:val="16"/>
                <w:color w:val="auto"/>
              </w:rPr>
              <w:t>(1.2)</w:t>
            </w:r>
          </w:p>
        </w:tc>
        <w:tc>
          <w:tcPr>
            <w:tcW w:w="520" w:type="dxa"/>
            <w:vAlign w:val="bottom"/>
          </w:tcPr>
          <w:p>
            <w:pPr>
              <w:jc w:val="right"/>
              <w:ind w:right="33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w:t>
            </w:r>
          </w:p>
        </w:tc>
        <w:tc>
          <w:tcPr>
            <w:tcW w:w="34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c>
          <w:tcPr>
            <w:tcW w:w="5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68"/>
        </w:trPr>
        <w:tc>
          <w:tcPr>
            <w:tcW w:w="4060" w:type="dxa"/>
            <w:vAlign w:val="bottom"/>
          </w:tcPr>
          <w:p>
            <w:pPr>
              <w:spacing w:after="0" w:line="168" w:lineRule="exact"/>
              <w:rPr>
                <w:sz w:val="20"/>
                <w:szCs w:val="20"/>
                <w:color w:val="auto"/>
              </w:rPr>
            </w:pPr>
            <w:r>
              <w:rPr>
                <w:rFonts w:ascii="Arial" w:cs="Arial" w:eastAsia="Arial" w:hAnsi="Arial"/>
                <w:sz w:val="16"/>
                <w:szCs w:val="16"/>
                <w:color w:val="auto"/>
              </w:rPr>
              <w:t>Total reclassification adjustments related to cash flow</w:t>
            </w:r>
          </w:p>
        </w:tc>
        <w:tc>
          <w:tcPr>
            <w:tcW w:w="348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20"/>
                <w:szCs w:val="20"/>
                <w:color w:val="auto"/>
              </w:rPr>
            </w:pPr>
            <w:r>
              <w:rPr>
                <w:rFonts w:ascii="Arial" w:cs="Arial" w:eastAsia="Arial" w:hAnsi="Arial"/>
                <w:sz w:val="16"/>
                <w:szCs w:val="16"/>
                <w:color w:val="auto"/>
              </w:rPr>
              <w:t>hedges, net of tax</w:t>
            </w:r>
          </w:p>
        </w:tc>
        <w:tc>
          <w:tcPr>
            <w:tcW w:w="34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reclassifications</w:t>
            </w:r>
          </w:p>
        </w:tc>
        <w:tc>
          <w:tcPr>
            <w:tcW w:w="34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(0.9)</w:t>
            </w:r>
          </w:p>
        </w:tc>
        <w:tc>
          <w:tcPr>
            <w:tcW w:w="520" w:type="dxa"/>
            <w:vAlign w:val="bottom"/>
            <w:tcBorders>
              <w:bottom w:val="single" w:sz="8" w:color="auto"/>
            </w:tcBorders>
            <w:shd w:val="clear" w:color="auto" w:fill="CFF0FC"/>
          </w:tcPr>
          <w:p>
            <w:pPr>
              <w:jc w:val="right"/>
              <w:ind w:right="339"/>
              <w:spacing w:after="0" w:line="169"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Derivatives Designated as Cash</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Flow Hedges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Employee Benefit</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79"/>
              <w:spacing w:after="0" w:line="168" w:lineRule="exact"/>
              <w:rPr>
                <w:sz w:val="20"/>
                <w:szCs w:val="20"/>
                <w:color w:val="auto"/>
              </w:rPr>
            </w:pPr>
            <w:r>
              <w:rPr>
                <w:rFonts w:ascii="Arial" w:cs="Arial" w:eastAsia="Arial" w:hAnsi="Arial"/>
                <w:sz w:val="16"/>
                <w:szCs w:val="16"/>
                <w:b w:val="1"/>
                <w:bCs w:val="1"/>
                <w:color w:val="auto"/>
              </w:rPr>
              <w:t>Interest Rate</w:t>
            </w:r>
          </w:p>
        </w:tc>
        <w:tc>
          <w:tcPr>
            <w:tcW w:w="160" w:type="dxa"/>
            <w:vAlign w:val="bottom"/>
          </w:tcPr>
          <w:p>
            <w:pPr>
              <w:spacing w:after="0"/>
              <w:rPr>
                <w:sz w:val="14"/>
                <w:szCs w:val="14"/>
                <w:color w:val="auto"/>
              </w:rPr>
            </w:pPr>
          </w:p>
        </w:tc>
        <w:tc>
          <w:tcPr>
            <w:tcW w:w="1260" w:type="dxa"/>
            <w:vAlign w:val="bottom"/>
          </w:tcPr>
          <w:p>
            <w:pPr>
              <w:jc w:val="right"/>
              <w:ind w:right="239"/>
              <w:spacing w:after="0" w:line="168" w:lineRule="exact"/>
              <w:rPr>
                <w:sz w:val="20"/>
                <w:szCs w:val="20"/>
                <w:color w:val="auto"/>
              </w:rPr>
            </w:pPr>
            <w:r>
              <w:rPr>
                <w:rFonts w:ascii="Arial" w:cs="Arial" w:eastAsia="Arial" w:hAnsi="Arial"/>
                <w:sz w:val="16"/>
                <w:szCs w:val="16"/>
                <w:b w:val="1"/>
                <w:bCs w:val="1"/>
                <w:color w:val="auto"/>
              </w:rPr>
              <w:t>Commodity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Swaps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Derivatives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Plans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93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2024</w:t>
            </w:r>
          </w:p>
        </w:tc>
        <w:tc>
          <w:tcPr>
            <w:tcW w:w="7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75"/>
        </w:trPr>
        <w:tc>
          <w:tcPr>
            <w:tcW w:w="370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5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1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3"/>
        </w:trPr>
        <w:tc>
          <w:tcPr>
            <w:tcW w:w="3700" w:type="dxa"/>
            <w:vAlign w:val="bottom"/>
          </w:tcPr>
          <w:p>
            <w:pPr>
              <w:spacing w:after="0" w:line="169" w:lineRule="exact"/>
              <w:rPr>
                <w:sz w:val="20"/>
                <w:szCs w:val="20"/>
                <w:color w:val="auto"/>
              </w:rPr>
            </w:pPr>
            <w:r>
              <w:rPr>
                <w:rFonts w:ascii="Arial" w:cs="Arial" w:eastAsia="Arial" w:hAnsi="Arial"/>
                <w:sz w:val="16"/>
                <w:szCs w:val="16"/>
                <w:color w:val="auto"/>
              </w:rPr>
              <w:t>As of March 31, 2025</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0.1</w:t>
            </w:r>
          </w:p>
        </w:tc>
        <w:tc>
          <w:tcPr>
            <w:tcW w:w="1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Pr>
          <w:p>
            <w:pPr>
              <w:jc w:val="right"/>
              <w:spacing w:after="0" w:line="169" w:lineRule="exact"/>
              <w:rPr>
                <w:sz w:val="20"/>
                <w:szCs w:val="20"/>
                <w:color w:val="auto"/>
              </w:rPr>
            </w:pPr>
            <w:r>
              <w:rPr>
                <w:rFonts w:ascii="Arial" w:cs="Arial" w:eastAsia="Arial" w:hAnsi="Arial"/>
                <w:sz w:val="16"/>
                <w:szCs w:val="16"/>
                <w:color w:val="auto"/>
              </w:rPr>
              <w:t>(5.3)</w:t>
            </w:r>
          </w:p>
        </w:tc>
        <w:tc>
          <w:tcPr>
            <w:tcW w:w="46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640" w:type="dxa"/>
            <w:vAlign w:val="bottom"/>
          </w:tcPr>
          <w:p>
            <w:pPr>
              <w:jc w:val="right"/>
              <w:spacing w:after="0" w:line="169"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Derivatives Designated as Cash</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6"/>
                <w:szCs w:val="16"/>
                <w:b w:val="1"/>
                <w:bCs w:val="1"/>
                <w:color w:val="auto"/>
              </w:rPr>
              <w:t>Flow Hedges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Employee Benefit</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79"/>
              <w:spacing w:after="0" w:line="168" w:lineRule="exact"/>
              <w:rPr>
                <w:sz w:val="20"/>
                <w:szCs w:val="20"/>
                <w:color w:val="auto"/>
              </w:rPr>
            </w:pPr>
            <w:r>
              <w:rPr>
                <w:rFonts w:ascii="Arial" w:cs="Arial" w:eastAsia="Arial" w:hAnsi="Arial"/>
                <w:sz w:val="16"/>
                <w:szCs w:val="16"/>
                <w:b w:val="1"/>
                <w:bCs w:val="1"/>
                <w:color w:val="auto"/>
              </w:rPr>
              <w:t>Interest Rate</w:t>
            </w:r>
          </w:p>
        </w:tc>
        <w:tc>
          <w:tcPr>
            <w:tcW w:w="160" w:type="dxa"/>
            <w:vAlign w:val="bottom"/>
          </w:tcPr>
          <w:p>
            <w:pPr>
              <w:spacing w:after="0"/>
              <w:rPr>
                <w:sz w:val="14"/>
                <w:szCs w:val="14"/>
                <w:color w:val="auto"/>
              </w:rPr>
            </w:pPr>
          </w:p>
        </w:tc>
        <w:tc>
          <w:tcPr>
            <w:tcW w:w="126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Commodity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Swaps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Derivatives</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Plans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93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2023</w:t>
            </w:r>
          </w:p>
        </w:tc>
        <w:tc>
          <w:tcPr>
            <w:tcW w:w="7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1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75"/>
        </w:trPr>
        <w:tc>
          <w:tcPr>
            <w:tcW w:w="370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5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4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3"/>
        </w:trPr>
        <w:tc>
          <w:tcPr>
            <w:tcW w:w="3700" w:type="dxa"/>
            <w:vAlign w:val="bottom"/>
          </w:tcPr>
          <w:p>
            <w:pPr>
              <w:spacing w:after="0" w:line="169" w:lineRule="exact"/>
              <w:rPr>
                <w:sz w:val="20"/>
                <w:szCs w:val="20"/>
                <w:color w:val="auto"/>
              </w:rPr>
            </w:pPr>
            <w:r>
              <w:rPr>
                <w:rFonts w:ascii="Arial" w:cs="Arial" w:eastAsia="Arial" w:hAnsi="Arial"/>
                <w:sz w:val="16"/>
                <w:szCs w:val="16"/>
                <w:color w:val="auto"/>
              </w:rPr>
              <w:t>As of March 31, 2024</w:t>
            </w:r>
          </w:p>
        </w:tc>
        <w:tc>
          <w:tcPr>
            <w:tcW w:w="72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(5.5)</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(0.6)</w:t>
            </w:r>
          </w:p>
        </w:tc>
        <w:tc>
          <w:tcPr>
            <w:tcW w:w="1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Pr>
          <w:p>
            <w:pPr>
              <w:jc w:val="right"/>
              <w:spacing w:after="0" w:line="169" w:lineRule="exact"/>
              <w:rPr>
                <w:sz w:val="20"/>
                <w:szCs w:val="20"/>
                <w:color w:val="auto"/>
              </w:rPr>
            </w:pPr>
            <w:r>
              <w:rPr>
                <w:rFonts w:ascii="Arial" w:cs="Arial" w:eastAsia="Arial" w:hAnsi="Arial"/>
                <w:sz w:val="16"/>
                <w:szCs w:val="16"/>
                <w:color w:val="auto"/>
              </w:rPr>
              <w:t>(6.2)</w:t>
            </w:r>
          </w:p>
        </w:tc>
        <w:tc>
          <w:tcPr>
            <w:tcW w:w="46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640" w:type="dxa"/>
            <w:vAlign w:val="bottom"/>
          </w:tcPr>
          <w:p>
            <w:pPr>
              <w:jc w:val="right"/>
              <w:spacing w:after="0" w:line="169"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7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40" w:type="dxa"/>
            <w:vAlign w:val="bottom"/>
            <w:gridSpan w:val="4"/>
          </w:tcPr>
          <w:p>
            <w:pPr>
              <w:ind w:left="80"/>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2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Supplemental Non-qualified</w:t>
            </w:r>
          </w:p>
        </w:tc>
        <w:tc>
          <w:tcPr>
            <w:tcW w:w="140" w:type="dxa"/>
            <w:vAlign w:val="bottom"/>
          </w:tcPr>
          <w:p>
            <w:pPr>
              <w:spacing w:after="0"/>
              <w:rPr>
                <w:sz w:val="16"/>
                <w:szCs w:val="16"/>
                <w:color w:val="auto"/>
              </w:rPr>
            </w:pPr>
          </w:p>
        </w:tc>
        <w:tc>
          <w:tcPr>
            <w:tcW w:w="240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Postretirement Healthcare</w:t>
            </w:r>
          </w:p>
        </w:tc>
        <w:tc>
          <w:tcPr>
            <w:tcW w:w="0" w:type="dxa"/>
            <w:vAlign w:val="bottom"/>
          </w:tcPr>
          <w:p>
            <w:pPr>
              <w:spacing w:after="0"/>
              <w:rPr>
                <w:sz w:val="1"/>
                <w:szCs w:val="1"/>
                <w:color w:val="auto"/>
              </w:rPr>
            </w:pPr>
          </w:p>
        </w:tc>
      </w:tr>
      <w:tr>
        <w:trPr>
          <w:trHeight w:val="203"/>
        </w:trPr>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Defined Benefit Pension Plan</w:t>
            </w:r>
          </w:p>
        </w:tc>
        <w:tc>
          <w:tcPr>
            <w:tcW w:w="204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6"/>
                <w:szCs w:val="16"/>
                <w:b w:val="1"/>
                <w:bCs w:val="1"/>
                <w:color w:val="auto"/>
              </w:rPr>
              <w:t>Defined Benefit Plans</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Plan</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20" w:type="dxa"/>
            <w:vAlign w:val="bottom"/>
            <w:tcBorders>
              <w:bottom w:val="single" w:sz="8" w:color="auto"/>
            </w:tcBorders>
            <w:gridSpan w:val="2"/>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ind w:left="159"/>
              <w:spacing w:after="0" w:line="183" w:lineRule="exact"/>
              <w:rPr>
                <w:sz w:val="20"/>
                <w:szCs w:val="20"/>
                <w:color w:val="auto"/>
              </w:rPr>
            </w:pPr>
            <w:r>
              <w:rPr>
                <w:rFonts w:ascii="Arial" w:cs="Arial" w:eastAsia="Arial" w:hAnsi="Arial"/>
                <w:sz w:val="16"/>
                <w:szCs w:val="16"/>
                <w:color w:val="auto"/>
                <w:w w:val="98"/>
              </w:rPr>
              <w:t>(in millions)</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Service cost</w:t>
            </w:r>
          </w:p>
        </w:tc>
        <w:tc>
          <w:tcPr>
            <w:tcW w:w="6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0.4</w:t>
            </w:r>
          </w:p>
        </w:tc>
        <w:tc>
          <w:tcPr>
            <w:tcW w:w="40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0.6</w:t>
            </w:r>
          </w:p>
        </w:tc>
        <w:tc>
          <w:tcPr>
            <w:tcW w:w="820" w:type="dxa"/>
            <w:vAlign w:val="bottom"/>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860" w:type="dxa"/>
            <w:vAlign w:val="bottom"/>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322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8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0.3</w:t>
            </w:r>
          </w:p>
        </w:tc>
        <w:tc>
          <w:tcPr>
            <w:tcW w:w="86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4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8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20" w:type="dxa"/>
            <w:vAlign w:val="bottom"/>
            <w:gridSpan w:val="2"/>
          </w:tcPr>
          <w:p>
            <w:pPr>
              <w:spacing w:after="0"/>
              <w:rPr>
                <w:sz w:val="20"/>
                <w:szCs w:val="20"/>
                <w:color w:val="auto"/>
              </w:rPr>
            </w:pPr>
            <w:r>
              <w:rPr>
                <w:rFonts w:ascii="Arial" w:cs="Arial" w:eastAsia="Arial" w:hAnsi="Arial"/>
                <w:sz w:val="16"/>
                <w:szCs w:val="16"/>
                <w:color w:val="auto"/>
              </w:rPr>
              <w:t>Net amortization of prior service costs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5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0.5</w:t>
            </w:r>
          </w:p>
        </w:tc>
        <w:tc>
          <w:tcPr>
            <w:tcW w:w="82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20" w:type="dxa"/>
            <w:vAlign w:val="bottom"/>
            <w:gridSpan w:val="2"/>
          </w:tcPr>
          <w:p>
            <w:pPr>
              <w:spacing w:after="0" w:line="169" w:lineRule="exact"/>
              <w:rPr>
                <w:sz w:val="20"/>
                <w:szCs w:val="20"/>
                <w:color w:val="auto"/>
              </w:rPr>
            </w:pPr>
            <w:r>
              <w:rPr>
                <w:rFonts w:ascii="Arial" w:cs="Arial" w:eastAsia="Arial" w:hAnsi="Arial"/>
                <w:sz w:val="16"/>
                <w:szCs w:val="16"/>
                <w:color w:val="auto"/>
              </w:rPr>
              <w:t>Net periodic expense (benefit)</w:t>
            </w:r>
          </w:p>
        </w:tc>
        <w:tc>
          <w:tcPr>
            <w:tcW w:w="6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0.7</w:t>
            </w:r>
          </w:p>
        </w:tc>
        <w:tc>
          <w:tcPr>
            <w:tcW w:w="400" w:type="dxa"/>
            <w:vAlign w:val="bottom"/>
          </w:tcPr>
          <w:p>
            <w:pPr>
              <w:jc w:val="right"/>
              <w:ind w:right="219"/>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0.7</w:t>
            </w:r>
          </w:p>
        </w:tc>
        <w:tc>
          <w:tcPr>
            <w:tcW w:w="820" w:type="dxa"/>
            <w:vAlign w:val="bottom"/>
          </w:tcPr>
          <w:p>
            <w:pPr>
              <w:jc w:val="right"/>
              <w:ind w:right="619"/>
              <w:spacing w:after="0" w:line="169"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69" w:lineRule="exact"/>
              <w:rPr>
                <w:sz w:val="20"/>
                <w:szCs w:val="20"/>
                <w:color w:val="auto"/>
              </w:rPr>
            </w:pPr>
            <w:r>
              <w:rPr>
                <w:rFonts w:ascii="Arial" w:cs="Arial" w:eastAsia="Arial" w:hAnsi="Arial"/>
                <w:sz w:val="16"/>
                <w:szCs w:val="16"/>
                <w:color w:val="auto"/>
              </w:rPr>
              <w:t>0.5</w:t>
            </w:r>
          </w:p>
        </w:tc>
        <w:tc>
          <w:tcPr>
            <w:tcW w:w="860" w:type="dxa"/>
            <w:vAlign w:val="bottom"/>
          </w:tcPr>
          <w:p>
            <w:pPr>
              <w:jc w:val="right"/>
              <w:ind w:right="63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1.3</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1.0</w:t>
            </w:r>
          </w:p>
        </w:tc>
        <w:tc>
          <w:tcPr>
            <w:tcW w:w="260" w:type="dxa"/>
            <w:vAlign w:val="bottom"/>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6"/>
                <w:szCs w:val="16"/>
                <w:color w:val="auto"/>
              </w:rPr>
              <w:t>Plan Contributions</w:t>
            </w:r>
          </w:p>
        </w:tc>
        <w:tc>
          <w:tcPr>
            <w:tcW w:w="188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40" w:type="dxa"/>
            <w:vAlign w:val="bottom"/>
            <w:tcBorders>
              <w:bottom w:val="single" w:sz="8" w:color="auto"/>
            </w:tcBorders>
            <w:vMerge w:val="continue"/>
          </w:tcPr>
          <w:p>
            <w:pPr>
              <w:spacing w:after="0"/>
              <w:rPr>
                <w:sz w:val="24"/>
                <w:szCs w:val="24"/>
                <w:color w:val="auto"/>
              </w:rPr>
            </w:pPr>
          </w:p>
        </w:tc>
        <w:tc>
          <w:tcPr>
            <w:tcW w:w="1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320" w:type="dxa"/>
            <w:vAlign w:val="bottom"/>
            <w:gridSpan w:val="10"/>
          </w:tcPr>
          <w:p>
            <w:pPr>
              <w:spacing w:after="0"/>
              <w:rPr>
                <w:sz w:val="20"/>
                <w:szCs w:val="20"/>
                <w:color w:val="auto"/>
              </w:rPr>
            </w:pPr>
            <w:r>
              <w:rPr>
                <w:rFonts w:ascii="Arial" w:cs="Arial" w:eastAsia="Arial" w:hAnsi="Arial"/>
                <w:sz w:val="16"/>
                <w:szCs w:val="16"/>
                <w:color w:val="auto"/>
              </w:rPr>
              <w:t>Contributions made in the first three months of 2025 and anticipated contributions for 2025 are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Contributions Made</w:t>
            </w:r>
          </w:p>
        </w:tc>
        <w:tc>
          <w:tcPr>
            <w:tcW w:w="380" w:type="dxa"/>
            <w:vAlign w:val="bottom"/>
          </w:tcPr>
          <w:p>
            <w:pPr>
              <w:spacing w:after="0"/>
              <w:rPr>
                <w:sz w:val="24"/>
                <w:szCs w:val="24"/>
                <w:color w:val="auto"/>
              </w:rPr>
            </w:pPr>
          </w:p>
        </w:tc>
        <w:tc>
          <w:tcPr>
            <w:tcW w:w="2540" w:type="dxa"/>
            <w:vAlign w:val="bottom"/>
            <w:gridSpan w:val="4"/>
          </w:tcPr>
          <w:p>
            <w:pPr>
              <w:ind w:left="80"/>
              <w:spacing w:after="0"/>
              <w:rPr>
                <w:sz w:val="20"/>
                <w:szCs w:val="20"/>
                <w:color w:val="auto"/>
              </w:rPr>
            </w:pPr>
            <w:r>
              <w:rPr>
                <w:rFonts w:ascii="Arial" w:cs="Arial" w:eastAsia="Arial" w:hAnsi="Arial"/>
                <w:sz w:val="16"/>
                <w:szCs w:val="16"/>
                <w:b w:val="1"/>
                <w:bCs w:val="1"/>
                <w:color w:val="auto"/>
              </w:rPr>
              <w:t>Additional Contributions</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 March 31, 2025</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Anticipated for 2025</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Defined Benefit Pension Plan</w:t>
            </w: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5000" w:type="dxa"/>
            <w:vAlign w:val="bottom"/>
            <w:gridSpan w:val="5"/>
          </w:tcPr>
          <w:p>
            <w:pPr>
              <w:spacing w:after="0"/>
              <w:rPr>
                <w:sz w:val="20"/>
                <w:szCs w:val="20"/>
                <w:color w:val="auto"/>
              </w:rPr>
            </w:pPr>
            <w:r>
              <w:rPr>
                <w:rFonts w:ascii="Arial" w:cs="Arial" w:eastAsia="Arial" w:hAnsi="Arial"/>
                <w:sz w:val="16"/>
                <w:szCs w:val="16"/>
                <w:color w:val="auto"/>
              </w:rPr>
              <w:t>Non-pension Defined Benefit Postretirement Healthcare Plan</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75"/>
        </w:trPr>
        <w:tc>
          <w:tcPr>
            <w:tcW w:w="5000" w:type="dxa"/>
            <w:vAlign w:val="bottom"/>
            <w:gridSpan w:val="5"/>
            <w:shd w:val="clear" w:color="auto" w:fill="CFF0FC"/>
          </w:tcPr>
          <w:p>
            <w:pPr>
              <w:spacing w:after="0" w:line="175" w:lineRule="exact"/>
              <w:rPr>
                <w:sz w:val="20"/>
                <w:szCs w:val="20"/>
                <w:color w:val="auto"/>
              </w:rPr>
            </w:pPr>
            <w:r>
              <w:rPr>
                <w:rFonts w:ascii="Arial" w:cs="Arial" w:eastAsia="Arial" w:hAnsi="Arial"/>
                <w:sz w:val="16"/>
                <w:szCs w:val="16"/>
                <w:color w:val="auto"/>
              </w:rPr>
              <w:t>Supplemental Non-qualified Defined Benefit and Defined Contribution</w:t>
            </w:r>
          </w:p>
        </w:tc>
        <w:tc>
          <w:tcPr>
            <w:tcW w:w="4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Plans</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0.7</w:t>
            </w: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b w:val="1"/>
          <w:bCs w:val="1"/>
          <w:color w:val="auto"/>
        </w:rPr>
        <w:t>(11)</w:t>
        <w:tab/>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August 2022, President Biden signed H.R. 5376 into law, commonly known as the IRA of 2022, or IRA. The IRA contains a tax credit transferability provision that allows us to transfer (e.g. sell) PTCs produced after December 31, 2022, to third parties. In January 2025, under this transferability provision, we entered into an agreement with a third party to sell $17.0 million of our 2024 generated PTCs.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2025, Compared to the Three Months Ended March 31, 2024</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Income tax (expense) for the three months ended March 31, 2025, was $(18.1) million compared to $(16.9) million reported for the same period in 2024. For the three months ended March 31, 2025, the effective tax rate was 11.7%, which was comparable to 11.4% for the same period in 2024.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are a holding company that, through our subsidiaries, conducts our operations through the following reportable segments: Electric Utilities and Gas Utilities. Certain unallocated corporate expenses that support our reportable segments are presented as Corporate and Other.</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spacing w:after="0" w:line="12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business development activities that are not part of our operating segments and inter-segment eliminations.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and decides how to allocate resources based on operating income. Our CODM reviews capital expenditures by operating segment rather than any individual or total asset amount.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 was as follows:</w:t>
      </w:r>
    </w:p>
    <w:p>
      <w:pPr>
        <w:spacing w:after="0" w:line="194" w:lineRule="exact"/>
        <w:rPr>
          <w:sz w:val="20"/>
          <w:szCs w:val="20"/>
          <w:color w:val="auto"/>
        </w:rPr>
      </w:pPr>
    </w:p>
    <w:p>
      <w:pPr>
        <w:jc w:val="right"/>
        <w:ind w:right="2000"/>
        <w:spacing w:after="0"/>
        <w:rPr>
          <w:sz w:val="20"/>
          <w:szCs w:val="20"/>
          <w:color w:val="auto"/>
        </w:rPr>
      </w:pPr>
      <w:r>
        <w:rPr>
          <w:rFonts w:ascii="Arial" w:cs="Arial" w:eastAsia="Arial" w:hAnsi="Arial"/>
          <w:sz w:val="16"/>
          <w:szCs w:val="16"/>
          <w:b w:val="1"/>
          <w:bCs w:val="1"/>
          <w:color w:val="auto"/>
        </w:rPr>
        <w:t>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12065</wp:posOffset>
            </wp:positionV>
            <wp:extent cx="40544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15" w:lineRule="exact"/>
        <w:rPr>
          <w:sz w:val="20"/>
          <w:szCs w:val="20"/>
          <w:color w:val="auto"/>
        </w:rPr>
      </w:pPr>
    </w:p>
    <w:p>
      <w:pPr>
        <w:jc w:val="right"/>
        <w:ind w:right="2040"/>
        <w:spacing w:after="0"/>
        <w:rPr>
          <w:sz w:val="20"/>
          <w:szCs w:val="20"/>
          <w:color w:val="auto"/>
        </w:rPr>
      </w:pPr>
      <w:r>
        <w:rPr>
          <w:rFonts w:ascii="Arial" w:cs="Arial" w:eastAsia="Arial" w:hAnsi="Arial"/>
          <w:sz w:val="16"/>
          <w:szCs w:val="16"/>
          <w:b w:val="1"/>
          <w:bCs w:val="1"/>
          <w:color w:val="auto"/>
        </w:rPr>
        <w:t>Corporate</w:t>
      </w:r>
    </w:p>
    <w:p>
      <w:pPr>
        <w:spacing w:after="0" w:line="5" w:lineRule="exact"/>
        <w:rPr>
          <w:sz w:val="20"/>
          <w:szCs w:val="20"/>
          <w:color w:val="auto"/>
        </w:rPr>
      </w:pPr>
    </w:p>
    <w:p>
      <w:pPr>
        <w:spacing w:after="0"/>
        <w:tabs>
          <w:tab w:leader="none" w:pos="5000" w:val="left"/>
          <w:tab w:leader="none" w:pos="6760" w:val="left"/>
          <w:tab w:leader="none" w:pos="8440" w:val="left"/>
          <w:tab w:leader="none" w:pos="10180" w:val="left"/>
        </w:tabs>
        <w:rPr>
          <w:sz w:val="20"/>
          <w:szCs w:val="20"/>
          <w:color w:val="auto"/>
        </w:rPr>
      </w:pPr>
      <w:r>
        <w:rPr>
          <w:rFonts w:ascii="Arial" w:cs="Arial" w:eastAsia="Arial" w:hAnsi="Arial"/>
          <w:sz w:val="16"/>
          <w:szCs w:val="16"/>
          <w:b w:val="1"/>
          <w:bCs w:val="1"/>
          <w:color w:val="auto"/>
        </w:rPr>
        <w:t>Three Months Ended March 31, 2025</w:t>
      </w:r>
      <w:r>
        <w:rPr>
          <w:sz w:val="20"/>
          <w:szCs w:val="20"/>
          <w:color w:val="auto"/>
        </w:rPr>
        <w:tab/>
      </w:r>
      <w:r>
        <w:rPr>
          <w:rFonts w:ascii="Arial" w:cs="Arial" w:eastAsia="Arial" w:hAnsi="Arial"/>
          <w:sz w:val="16"/>
          <w:szCs w:val="16"/>
          <w:b w:val="1"/>
          <w:bCs w:val="1"/>
          <w:color w:val="auto"/>
        </w:rPr>
        <w:t>Electric Utilities</w:t>
      </w:r>
      <w:r>
        <w:rPr>
          <w:sz w:val="20"/>
          <w:szCs w:val="20"/>
          <w:color w:val="auto"/>
        </w:rPr>
        <w:tab/>
      </w:r>
      <w:r>
        <w:rPr>
          <w:rFonts w:ascii="Arial" w:cs="Arial" w:eastAsia="Arial" w:hAnsi="Arial"/>
          <w:sz w:val="16"/>
          <w:szCs w:val="16"/>
          <w:b w:val="1"/>
          <w:bCs w:val="1"/>
          <w:color w:val="auto"/>
        </w:rPr>
        <w:t>Gas Utilities</w:t>
      </w:r>
      <w:r>
        <w:rPr>
          <w:sz w:val="20"/>
          <w:szCs w:val="20"/>
          <w:color w:val="auto"/>
        </w:rPr>
        <w:tab/>
      </w:r>
      <w:r>
        <w:rPr>
          <w:rFonts w:ascii="Arial" w:cs="Arial" w:eastAsia="Arial" w:hAnsi="Arial"/>
          <w:sz w:val="16"/>
          <w:szCs w:val="16"/>
          <w:b w:val="1"/>
          <w:bCs w:val="1"/>
          <w:color w:val="auto"/>
        </w:rPr>
        <w:t>and Other</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6"/>
          <w:szCs w:val="16"/>
          <w:color w:val="auto"/>
        </w:rPr>
        <w:t>(in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Borders>
              <w:top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60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234.3</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570.9</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805.2</w:t>
            </w:r>
          </w:p>
        </w:tc>
      </w:tr>
      <w:tr>
        <w:trPr>
          <w:trHeight w:val="189"/>
        </w:trPr>
        <w:tc>
          <w:tcPr>
            <w:tcW w:w="4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6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6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7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236.7</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572.4</w:t>
            </w: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805.2</w:t>
            </w:r>
          </w:p>
        </w:tc>
      </w:tr>
      <w:tr>
        <w:trPr>
          <w:trHeight w:val="183"/>
        </w:trPr>
        <w:tc>
          <w:tcPr>
            <w:tcW w:w="4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67.2</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292.6</w:t>
            </w:r>
          </w:p>
        </w:tc>
        <w:tc>
          <w:tcPr>
            <w:tcW w:w="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359.7</w:t>
            </w:r>
          </w:p>
        </w:tc>
      </w:tr>
      <w:tr>
        <w:trPr>
          <w:trHeight w:val="189"/>
        </w:trPr>
        <w:tc>
          <w:tcPr>
            <w:tcW w:w="42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Direct</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w:t>
            </w:r>
          </w:p>
        </w:tc>
        <w:tc>
          <w:tcPr>
            <w:tcW w:w="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76.8</w:t>
            </w:r>
          </w:p>
        </w:tc>
      </w:tr>
      <w:tr>
        <w:trPr>
          <w:trHeight w:val="189"/>
        </w:trPr>
        <w:tc>
          <w:tcPr>
            <w:tcW w:w="4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6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76.9</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37.1</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w:t>
            </w:r>
          </w:p>
        </w:tc>
        <w:tc>
          <w:tcPr>
            <w:tcW w:w="7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69.2</w:t>
            </w:r>
          </w:p>
        </w:tc>
      </w:tr>
      <w:tr>
        <w:trPr>
          <w:trHeight w:val="189"/>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6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6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7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17.6</w:t>
            </w:r>
          </w:p>
        </w:tc>
      </w:tr>
      <w:tr>
        <w:trPr>
          <w:trHeight w:val="183"/>
        </w:trPr>
        <w:tc>
          <w:tcPr>
            <w:tcW w:w="426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98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54.3</w:t>
            </w:r>
          </w:p>
        </w:tc>
        <w:tc>
          <w:tcPr>
            <w:tcW w:w="640" w:type="dxa"/>
            <w:vAlign w:val="bottom"/>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151.5</w:t>
            </w:r>
          </w:p>
        </w:tc>
        <w:tc>
          <w:tcPr>
            <w:tcW w:w="700" w:type="dxa"/>
            <w:vAlign w:val="bottom"/>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(0.8)</w:t>
            </w:r>
          </w:p>
        </w:tc>
        <w:tc>
          <w:tcPr>
            <w:tcW w:w="580" w:type="dxa"/>
            <w:vAlign w:val="bottom"/>
            <w:gridSpan w:val="2"/>
          </w:tcPr>
          <w:p>
            <w:pPr>
              <w:jc w:val="right"/>
              <w:ind w:right="46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205.0</w:t>
            </w:r>
          </w:p>
        </w:tc>
      </w:tr>
      <w:tr>
        <w:trPr>
          <w:trHeight w:val="183"/>
        </w:trPr>
        <w:tc>
          <w:tcPr>
            <w:tcW w:w="4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Interest expense, net</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0.8</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Income tax (expense)</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183"/>
        </w:trPr>
        <w:tc>
          <w:tcPr>
            <w:tcW w:w="426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6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136.4</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426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6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4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134.3</w:t>
            </w:r>
          </w:p>
        </w:tc>
      </w:tr>
      <w:tr>
        <w:trPr>
          <w:trHeight w:val="410"/>
        </w:trPr>
        <w:tc>
          <w:tcPr>
            <w:tcW w:w="426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jc w:val="right"/>
              <w:ind w:right="659"/>
              <w:spacing w:after="0"/>
              <w:rPr>
                <w:sz w:val="20"/>
                <w:szCs w:val="20"/>
                <w:color w:val="auto"/>
              </w:rPr>
            </w:pPr>
            <w:r>
              <w:rPr>
                <w:rFonts w:ascii="Arial" w:cs="Arial" w:eastAsia="Arial" w:hAnsi="Arial"/>
                <w:sz w:val="16"/>
                <w:szCs w:val="16"/>
                <w:color w:val="auto"/>
              </w:rPr>
              <w:t>26</w:t>
            </w:r>
          </w:p>
        </w:tc>
        <w:tc>
          <w:tcPr>
            <w:tcW w:w="64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751"/>
        </w:trPr>
        <w:tc>
          <w:tcPr>
            <w:tcW w:w="4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2000"/>
        <w:spacing w:after="0"/>
        <w:rPr>
          <w:sz w:val="20"/>
          <w:szCs w:val="20"/>
          <w:color w:val="auto"/>
        </w:rPr>
      </w:pPr>
      <w:r>
        <w:rPr>
          <w:rFonts w:ascii="Arial" w:cs="Arial" w:eastAsia="Arial" w:hAnsi="Arial"/>
          <w:sz w:val="16"/>
          <w:szCs w:val="16"/>
          <w:b w:val="1"/>
          <w:bCs w:val="1"/>
          <w:color w:val="auto"/>
        </w:rPr>
        <w:t>Consolidating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12065</wp:posOffset>
            </wp:positionV>
            <wp:extent cx="40544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15" w:lineRule="exact"/>
        <w:rPr>
          <w:sz w:val="20"/>
          <w:szCs w:val="20"/>
          <w:color w:val="auto"/>
        </w:rPr>
      </w:pPr>
    </w:p>
    <w:p>
      <w:pPr>
        <w:jc w:val="right"/>
        <w:ind w:right="2040"/>
        <w:spacing w:after="0"/>
        <w:rPr>
          <w:sz w:val="20"/>
          <w:szCs w:val="20"/>
          <w:color w:val="auto"/>
        </w:rPr>
      </w:pPr>
      <w:r>
        <w:rPr>
          <w:rFonts w:ascii="Arial" w:cs="Arial" w:eastAsia="Arial" w:hAnsi="Arial"/>
          <w:sz w:val="16"/>
          <w:szCs w:val="16"/>
          <w:b w:val="1"/>
          <w:bCs w:val="1"/>
          <w:color w:val="auto"/>
        </w:rPr>
        <w:t>Corporate</w:t>
      </w:r>
    </w:p>
    <w:p>
      <w:pPr>
        <w:spacing w:after="0" w:line="5" w:lineRule="exact"/>
        <w:rPr>
          <w:sz w:val="20"/>
          <w:szCs w:val="20"/>
          <w:color w:val="auto"/>
        </w:rPr>
      </w:pPr>
    </w:p>
    <w:p>
      <w:pPr>
        <w:spacing w:after="0"/>
        <w:tabs>
          <w:tab w:leader="none" w:pos="5000" w:val="left"/>
          <w:tab w:leader="none" w:pos="6760" w:val="left"/>
          <w:tab w:leader="none" w:pos="8440" w:val="left"/>
          <w:tab w:leader="none" w:pos="10180" w:val="left"/>
        </w:tabs>
        <w:rPr>
          <w:sz w:val="20"/>
          <w:szCs w:val="20"/>
          <w:color w:val="auto"/>
        </w:rPr>
      </w:pPr>
      <w:r>
        <w:rPr>
          <w:rFonts w:ascii="Arial" w:cs="Arial" w:eastAsia="Arial" w:hAnsi="Arial"/>
          <w:sz w:val="16"/>
          <w:szCs w:val="16"/>
          <w:b w:val="1"/>
          <w:bCs w:val="1"/>
          <w:color w:val="auto"/>
        </w:rPr>
        <w:t>Three Months Ended March 31, 2024</w:t>
      </w:r>
      <w:r>
        <w:rPr>
          <w:sz w:val="20"/>
          <w:szCs w:val="20"/>
          <w:color w:val="auto"/>
        </w:rPr>
        <w:tab/>
      </w:r>
      <w:r>
        <w:rPr>
          <w:rFonts w:ascii="Arial" w:cs="Arial" w:eastAsia="Arial" w:hAnsi="Arial"/>
          <w:sz w:val="16"/>
          <w:szCs w:val="16"/>
          <w:b w:val="1"/>
          <w:bCs w:val="1"/>
          <w:color w:val="auto"/>
        </w:rPr>
        <w:t>Electric Utilities</w:t>
      </w:r>
      <w:r>
        <w:rPr>
          <w:sz w:val="20"/>
          <w:szCs w:val="20"/>
          <w:color w:val="auto"/>
        </w:rPr>
        <w:tab/>
      </w:r>
      <w:r>
        <w:rPr>
          <w:rFonts w:ascii="Arial" w:cs="Arial" w:eastAsia="Arial" w:hAnsi="Arial"/>
          <w:sz w:val="16"/>
          <w:szCs w:val="16"/>
          <w:b w:val="1"/>
          <w:bCs w:val="1"/>
          <w:color w:val="auto"/>
        </w:rPr>
        <w:t>Gas Utilities</w:t>
      </w:r>
      <w:r>
        <w:rPr>
          <w:sz w:val="20"/>
          <w:szCs w:val="20"/>
          <w:color w:val="auto"/>
        </w:rPr>
        <w:tab/>
      </w:r>
      <w:r>
        <w:rPr>
          <w:rFonts w:ascii="Arial" w:cs="Arial" w:eastAsia="Arial" w:hAnsi="Arial"/>
          <w:sz w:val="16"/>
          <w:szCs w:val="16"/>
          <w:b w:val="1"/>
          <w:bCs w:val="1"/>
          <w:color w:val="auto"/>
        </w:rPr>
        <w:t>and Other</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580"/>
        <w:spacing w:after="0"/>
        <w:rPr>
          <w:sz w:val="20"/>
          <w:szCs w:val="20"/>
          <w:color w:val="auto"/>
        </w:rPr>
      </w:pPr>
      <w:r>
        <w:rPr>
          <w:rFonts w:ascii="Arial" w:cs="Arial" w:eastAsia="Arial" w:hAnsi="Arial"/>
          <w:sz w:val="16"/>
          <w:szCs w:val="16"/>
          <w:color w:val="auto"/>
        </w:rPr>
        <w:t>(in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Borders>
              <w:top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600" w:type="dxa"/>
            <w:vAlign w:val="bottom"/>
            <w:tcBorders>
              <w:top w:val="single" w:sz="8" w:color="CFF0FC"/>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12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219.3</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507.1</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726.4</w:t>
            </w:r>
          </w:p>
        </w:tc>
      </w:tr>
      <w:tr>
        <w:trPr>
          <w:trHeight w:val="189"/>
        </w:trPr>
        <w:tc>
          <w:tcPr>
            <w:tcW w:w="42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6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6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7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6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222.2</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508.7</w:t>
            </w: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726.4</w:t>
            </w:r>
          </w:p>
        </w:tc>
      </w:tr>
      <w:tr>
        <w:trPr>
          <w:trHeight w:val="183"/>
        </w:trPr>
        <w:tc>
          <w:tcPr>
            <w:tcW w:w="4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261.9</w:t>
            </w:r>
          </w:p>
        </w:tc>
        <w:tc>
          <w:tcPr>
            <w:tcW w:w="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316.6</w:t>
            </w:r>
          </w:p>
        </w:tc>
      </w:tr>
      <w:tr>
        <w:trPr>
          <w:trHeight w:val="189"/>
        </w:trPr>
        <w:tc>
          <w:tcPr>
            <w:tcW w:w="42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6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4260" w:type="dxa"/>
            <w:vAlign w:val="bottom"/>
          </w:tcPr>
          <w:p>
            <w:pPr>
              <w:ind w:left="100"/>
              <w:spacing w:after="0"/>
              <w:rPr>
                <w:sz w:val="20"/>
                <w:szCs w:val="20"/>
                <w:color w:val="auto"/>
              </w:rPr>
            </w:pPr>
            <w:r>
              <w:rPr>
                <w:rFonts w:ascii="Arial" w:cs="Arial" w:eastAsia="Arial" w:hAnsi="Arial"/>
                <w:sz w:val="16"/>
                <w:szCs w:val="16"/>
                <w:color w:val="auto"/>
              </w:rPr>
              <w:t>Direct</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w:t>
            </w:r>
          </w:p>
        </w:tc>
        <w:tc>
          <w:tcPr>
            <w:tcW w:w="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63.1</w:t>
            </w:r>
          </w:p>
        </w:tc>
      </w:tr>
      <w:tr>
        <w:trPr>
          <w:trHeight w:val="189"/>
        </w:trPr>
        <w:tc>
          <w:tcPr>
            <w:tcW w:w="4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6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6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70.5</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c>
          <w:tcPr>
            <w:tcW w:w="7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65.9</w:t>
            </w:r>
          </w:p>
        </w:tc>
      </w:tr>
      <w:tr>
        <w:trPr>
          <w:trHeight w:val="189"/>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60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6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7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17.0</w:t>
            </w:r>
          </w:p>
        </w:tc>
      </w:tr>
      <w:tr>
        <w:trPr>
          <w:trHeight w:val="183"/>
        </w:trPr>
        <w:tc>
          <w:tcPr>
            <w:tcW w:w="426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1200" w:type="dxa"/>
            <w:vAlign w:val="bottom"/>
            <w:gridSpan w:val="2"/>
          </w:tcPr>
          <w:p>
            <w:pPr>
              <w:jc w:val="right"/>
              <w:ind w:right="5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64.6</w:t>
            </w:r>
          </w:p>
        </w:tc>
        <w:tc>
          <w:tcPr>
            <w:tcW w:w="640" w:type="dxa"/>
            <w:vAlign w:val="bottom"/>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130.8</w:t>
            </w:r>
          </w:p>
        </w:tc>
        <w:tc>
          <w:tcPr>
            <w:tcW w:w="700" w:type="dxa"/>
            <w:vAlign w:val="bottom"/>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580" w:type="dxa"/>
            <w:vAlign w:val="bottom"/>
            <w:gridSpan w:val="2"/>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193.3</w:t>
            </w:r>
          </w:p>
        </w:tc>
      </w:tr>
      <w:tr>
        <w:trPr>
          <w:trHeight w:val="183"/>
        </w:trPr>
        <w:tc>
          <w:tcPr>
            <w:tcW w:w="4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Interest expense, net</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18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6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Income tax (expense)</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183"/>
        </w:trPr>
        <w:tc>
          <w:tcPr>
            <w:tcW w:w="426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6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131.6</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83"/>
        </w:trPr>
        <w:tc>
          <w:tcPr>
            <w:tcW w:w="4260" w:type="dxa"/>
            <w:vAlign w:val="bottom"/>
            <w:tcBorders>
              <w:bottom w:val="single" w:sz="8" w:color="CFF0FC"/>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6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60" w:lineRule="exact"/>
        <w:rPr>
          <w:sz w:val="20"/>
          <w:szCs w:val="20"/>
          <w:color w:val="auto"/>
        </w:rPr>
      </w:pPr>
    </w:p>
    <w:p>
      <w:pPr>
        <w:ind w:left="520" w:right="120" w:hanging="512"/>
        <w:spacing w:after="0" w:line="256"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 and Allocated Operations and maintenance expenses for our operating segments are regularly provided to the CODM. Direct Operations and maintenance expense represents the costs incurred directly by our operating segments. Allocated Operations and maintenance expense represent costs incurred by BHSC for various direct and indirect support services provided to our operating segments. Pursuant to the BHSC Cost Allocation Manual, indirect cost allocations are determined in accordance with the Public Utility Holding Company Act of 2005.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three months ended March 31,</w:t>
            </w:r>
          </w:p>
        </w:tc>
        <w:tc>
          <w:tcPr>
            <w:tcW w:w="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2024</w:t>
            </w:r>
          </w:p>
        </w:tc>
      </w:tr>
      <w:tr>
        <w:trPr>
          <w:trHeight w:val="183"/>
        </w:trPr>
        <w:tc>
          <w:tcPr>
            <w:tcW w:w="67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2"/>
          </w:tcPr>
          <w:p>
            <w:pPr>
              <w:jc w:val="right"/>
              <w:ind w:right="199"/>
              <w:spacing w:after="0" w:line="183" w:lineRule="exact"/>
              <w:rPr>
                <w:sz w:val="20"/>
                <w:szCs w:val="20"/>
                <w:color w:val="auto"/>
              </w:rPr>
            </w:pPr>
            <w:r>
              <w:rPr>
                <w:rFonts w:ascii="Arial" w:cs="Arial" w:eastAsia="Arial" w:hAnsi="Arial"/>
                <w:sz w:val="16"/>
                <w:szCs w:val="16"/>
                <w:color w:val="auto"/>
              </w:rPr>
              <w:t>(in millions)</w:t>
            </w:r>
          </w:p>
        </w:tc>
        <w:tc>
          <w:tcPr>
            <w:tcW w:w="1620" w:type="dxa"/>
            <w:vAlign w:val="bottom"/>
            <w:tcBorders>
              <w:bottom w:val="single" w:sz="8" w:color="auto"/>
            </w:tcBorders>
          </w:tcPr>
          <w:p>
            <w:pPr>
              <w:spacing w:after="0"/>
              <w:rPr>
                <w:sz w:val="15"/>
                <w:szCs w:val="15"/>
                <w:color w:val="auto"/>
              </w:rPr>
            </w:pPr>
          </w:p>
        </w:tc>
      </w:tr>
      <w:tr>
        <w:trPr>
          <w:trHeight w:val="183"/>
        </w:trPr>
        <w:tc>
          <w:tcPr>
            <w:tcW w:w="67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Electric Utilities</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102.1</w:t>
            </w:r>
          </w:p>
        </w:tc>
        <w:tc>
          <w:tcPr>
            <w:tcW w:w="660" w:type="dxa"/>
            <w:vAlign w:val="bottom"/>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86.9</w:t>
            </w:r>
          </w:p>
        </w:tc>
      </w:tr>
      <w:tr>
        <w:trPr>
          <w:trHeight w:val="189"/>
        </w:trPr>
        <w:tc>
          <w:tcPr>
            <w:tcW w:w="6760" w:type="dxa"/>
            <w:vAlign w:val="bottom"/>
          </w:tcPr>
          <w:p>
            <w:pPr>
              <w:ind w:left="60"/>
              <w:spacing w:after="0"/>
              <w:rPr>
                <w:sz w:val="20"/>
                <w:szCs w:val="20"/>
                <w:color w:val="auto"/>
              </w:rPr>
            </w:pPr>
            <w:r>
              <w:rPr>
                <w:rFonts w:ascii="Arial" w:cs="Arial" w:eastAsia="Arial" w:hAnsi="Arial"/>
                <w:sz w:val="16"/>
                <w:szCs w:val="16"/>
                <w:color w:val="auto"/>
              </w:rPr>
              <w:t>Gas Utilities</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59.0</w:t>
            </w:r>
          </w:p>
        </w:tc>
        <w:tc>
          <w:tcPr>
            <w:tcW w:w="660" w:type="dxa"/>
            <w:vAlign w:val="bottom"/>
          </w:tcPr>
          <w:p>
            <w:pPr>
              <w:spacing w:after="0"/>
              <w:rPr>
                <w:sz w:val="16"/>
                <w:szCs w:val="16"/>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85.0</w:t>
            </w:r>
          </w:p>
        </w:tc>
      </w:tr>
      <w:tr>
        <w:trPr>
          <w:trHeight w:val="189"/>
        </w:trPr>
        <w:tc>
          <w:tcPr>
            <w:tcW w:w="6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Corporate and Other</w:t>
            </w:r>
          </w:p>
        </w:tc>
        <w:tc>
          <w:tcPr>
            <w:tcW w:w="48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66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182"/>
        </w:trPr>
        <w:tc>
          <w:tcPr>
            <w:tcW w:w="6760" w:type="dxa"/>
            <w:vAlign w:val="bottom"/>
          </w:tcPr>
          <w:p>
            <w:pPr>
              <w:spacing w:after="0" w:line="183" w:lineRule="exact"/>
              <w:rPr>
                <w:sz w:val="20"/>
                <w:szCs w:val="20"/>
                <w:color w:val="auto"/>
              </w:rPr>
            </w:pPr>
            <w:r>
              <w:rPr>
                <w:rFonts w:ascii="Arial" w:cs="Arial" w:eastAsia="Arial" w:hAnsi="Arial"/>
                <w:sz w:val="16"/>
                <w:szCs w:val="16"/>
                <w:color w:val="auto"/>
              </w:rPr>
              <w:t>Total capital expenditures</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162.4</w:t>
            </w:r>
          </w:p>
        </w:tc>
        <w:tc>
          <w:tcPr>
            <w:tcW w:w="66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174.3</w:t>
            </w: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760" w:hanging="512"/>
        <w:spacing w:after="0" w:line="285"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-142240</wp:posOffset>
            </wp:positionV>
            <wp:extent cx="16249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 2025</w:t>
            </w: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2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7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Billed Accounts Receivable</w:t>
            </w:r>
          </w:p>
        </w:tc>
        <w:tc>
          <w:tcPr>
            <w:tcW w:w="2160" w:type="dxa"/>
            <w:vAlign w:val="bottom"/>
            <w:shd w:val="clear" w:color="auto" w:fill="CFF0FC"/>
          </w:tcPr>
          <w:p>
            <w:pPr>
              <w:jc w:val="right"/>
              <w:ind w:right="19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263.6</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201.5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Unbilled Revenue</w:t>
            </w:r>
          </w:p>
        </w:tc>
        <w:tc>
          <w:tcPr>
            <w:tcW w:w="2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119.2</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151.8</w:t>
            </w:r>
          </w:p>
        </w:tc>
      </w:tr>
      <w:tr>
        <w:trPr>
          <w:trHeight w:val="189"/>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Allowance for Credit Losses</w:t>
            </w:r>
          </w:p>
        </w:tc>
        <w:tc>
          <w:tcPr>
            <w:tcW w:w="21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5620" w:type="dxa"/>
            <w:vAlign w:val="bottom"/>
          </w:tcPr>
          <w:p>
            <w:pPr>
              <w:spacing w:after="0" w:line="169" w:lineRule="exact"/>
              <w:rPr>
                <w:sz w:val="20"/>
                <w:szCs w:val="20"/>
                <w:color w:val="auto"/>
              </w:rPr>
            </w:pPr>
            <w:r>
              <w:rPr>
                <w:rFonts w:ascii="Arial" w:cs="Arial" w:eastAsia="Arial" w:hAnsi="Arial"/>
                <w:sz w:val="16"/>
                <w:szCs w:val="16"/>
                <w:color w:val="auto"/>
              </w:rPr>
              <w:t>Account Receivable, net</w:t>
            </w:r>
          </w:p>
        </w:tc>
        <w:tc>
          <w:tcPr>
            <w:tcW w:w="2160" w:type="dxa"/>
            <w:vAlign w:val="bottom"/>
            <w:tcBorders>
              <w:bottom w:val="single" w:sz="8" w:color="auto"/>
            </w:tcBorders>
          </w:tcPr>
          <w:p>
            <w:pPr>
              <w:jc w:val="right"/>
              <w:ind w:right="197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377.9</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351.2</w:t>
            </w:r>
          </w:p>
        </w:tc>
      </w:tr>
      <w:tr>
        <w:trPr>
          <w:trHeight w:val="20"/>
        </w:trPr>
        <w:tc>
          <w:tcPr>
            <w:tcW w:w="56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three months ended March 31, 2025 and 2024, respectively,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Additions Charged to</w:t>
            </w: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 and Other</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Write-offs and Other</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2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of Year</w:t>
            </w: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Deductions</w:t>
            </w:r>
          </w:p>
        </w:tc>
        <w:tc>
          <w:tcPr>
            <w:tcW w:w="1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Balance at March 31,</w:t>
            </w:r>
          </w:p>
        </w:tc>
      </w:tr>
      <w:tr>
        <w:trPr>
          <w:trHeight w:val="183"/>
        </w:trPr>
        <w:tc>
          <w:tcPr>
            <w:tcW w:w="2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2040" w:type="dxa"/>
            <w:vAlign w:val="bottom"/>
            <w:shd w:val="clear" w:color="auto" w:fill="CFF0FC"/>
          </w:tcPr>
          <w:p>
            <w:pPr>
              <w:jc w:val="right"/>
              <w:ind w:right="1599"/>
              <w:spacing w:after="0" w:line="183" w:lineRule="exact"/>
              <w:rPr>
                <w:sz w:val="20"/>
                <w:szCs w:val="20"/>
                <w:color w:val="auto"/>
              </w:rPr>
            </w:pPr>
            <w:r>
              <w:rPr>
                <w:rFonts w:ascii="Arial" w:cs="Arial" w:eastAsia="Arial" w:hAnsi="Arial"/>
                <w:sz w:val="16"/>
                <w:szCs w:val="16"/>
                <w:color w:val="auto"/>
                <w:w w:val="95"/>
              </w:rPr>
              <w:t>2025</w:t>
            </w:r>
          </w:p>
        </w:tc>
        <w:tc>
          <w:tcPr>
            <w:tcW w:w="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w:t>
            </w:r>
          </w:p>
        </w:tc>
        <w:tc>
          <w:tcPr>
            <w:tcW w:w="8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0.9</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w:t>
            </w:r>
          </w:p>
        </w:tc>
        <w:tc>
          <w:tcPr>
            <w:tcW w:w="800" w:type="dxa"/>
            <w:vAlign w:val="bottom"/>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4.9</w:t>
            </w:r>
          </w:p>
        </w:tc>
      </w:tr>
      <w:tr>
        <w:trPr>
          <w:trHeight w:val="215"/>
        </w:trPr>
        <w:tc>
          <w:tcPr>
            <w:tcW w:w="2040" w:type="dxa"/>
            <w:vAlign w:val="bottom"/>
          </w:tcPr>
          <w:p>
            <w:pPr>
              <w:jc w:val="right"/>
              <w:ind w:right="1599"/>
              <w:spacing w:after="0"/>
              <w:rPr>
                <w:sz w:val="20"/>
                <w:szCs w:val="20"/>
                <w:color w:val="auto"/>
              </w:rPr>
            </w:pPr>
            <w:r>
              <w:rPr>
                <w:rFonts w:ascii="Arial" w:cs="Arial" w:eastAsia="Arial" w:hAnsi="Arial"/>
                <w:sz w:val="16"/>
                <w:szCs w:val="16"/>
                <w:color w:val="auto"/>
                <w:w w:val="95"/>
              </w:rPr>
              <w:t>2024</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88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March 31, 2025</w:t>
            </w:r>
          </w:p>
        </w:tc>
        <w:tc>
          <w:tcPr>
            <w:tcW w:w="6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December 31, 2024</w:t>
            </w:r>
          </w:p>
        </w:tc>
      </w:tr>
      <w:tr>
        <w:trPr>
          <w:trHeight w:val="182"/>
        </w:trPr>
        <w:tc>
          <w:tcPr>
            <w:tcW w:w="5640" w:type="dxa"/>
            <w:vAlign w:val="bottom"/>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Materials and supplies</w:t>
            </w:r>
          </w:p>
        </w:tc>
        <w:tc>
          <w:tcPr>
            <w:tcW w:w="2140" w:type="dxa"/>
            <w:vAlign w:val="bottom"/>
            <w:shd w:val="clear" w:color="auto" w:fill="CFF0FC"/>
          </w:tcPr>
          <w:p>
            <w:pPr>
              <w:jc w:val="right"/>
              <w:ind w:right="198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108.9</w:t>
            </w:r>
          </w:p>
        </w:tc>
        <w:tc>
          <w:tcPr>
            <w:tcW w:w="48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106.1</w:t>
            </w: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Fuel - Electric Utilities</w:t>
            </w:r>
          </w:p>
        </w:tc>
        <w:tc>
          <w:tcPr>
            <w:tcW w:w="2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189"/>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in storage</w:t>
            </w:r>
          </w:p>
        </w:tc>
        <w:tc>
          <w:tcPr>
            <w:tcW w:w="2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40.3</w:t>
            </w:r>
          </w:p>
        </w:tc>
      </w:tr>
      <w:tr>
        <w:trPr>
          <w:trHeight w:val="183"/>
        </w:trPr>
        <w:tc>
          <w:tcPr>
            <w:tcW w:w="5640" w:type="dxa"/>
            <w:vAlign w:val="bottom"/>
          </w:tcPr>
          <w:p>
            <w:pPr>
              <w:ind w:left="120"/>
              <w:spacing w:after="0" w:line="169" w:lineRule="exact"/>
              <w:rPr>
                <w:sz w:val="20"/>
                <w:szCs w:val="20"/>
                <w:color w:val="auto"/>
              </w:rPr>
            </w:pPr>
            <w:r>
              <w:rPr>
                <w:rFonts w:ascii="Arial" w:cs="Arial" w:eastAsia="Arial" w:hAnsi="Arial"/>
                <w:sz w:val="16"/>
                <w:szCs w:val="16"/>
                <w:color w:val="auto"/>
              </w:rPr>
              <w:t>Total materials, supplies, and fuel</w:t>
            </w:r>
          </w:p>
        </w:tc>
        <w:tc>
          <w:tcPr>
            <w:tcW w:w="2140" w:type="dxa"/>
            <w:vAlign w:val="bottom"/>
            <w:tcBorders>
              <w:bottom w:val="single" w:sz="8" w:color="auto"/>
            </w:tcBorders>
          </w:tcPr>
          <w:p>
            <w:pPr>
              <w:jc w:val="right"/>
              <w:ind w:right="1982"/>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128.1</w:t>
            </w:r>
          </w:p>
        </w:tc>
        <w:tc>
          <w:tcPr>
            <w:tcW w:w="48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153.9</w:t>
            </w:r>
          </w:p>
        </w:tc>
      </w:tr>
      <w:tr>
        <w:trPr>
          <w:trHeight w:val="20"/>
        </w:trPr>
        <w:tc>
          <w:tcPr>
            <w:tcW w:w="56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March 31, 2025</w:t>
            </w: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4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320" w:type="dxa"/>
            <w:vAlign w:val="bottom"/>
            <w:tcBorders>
              <w:bottom w:val="single" w:sz="8" w:color="auto"/>
            </w:tcBorders>
          </w:tcPr>
          <w:p>
            <w:pPr>
              <w:spacing w:after="0"/>
              <w:rPr>
                <w:sz w:val="15"/>
                <w:szCs w:val="15"/>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benefits, and withholdings</w:t>
            </w:r>
          </w:p>
        </w:tc>
        <w:tc>
          <w:tcPr>
            <w:tcW w:w="2100" w:type="dxa"/>
            <w:vAlign w:val="bottom"/>
            <w:shd w:val="clear" w:color="auto" w:fill="CFF0FC"/>
          </w:tcPr>
          <w:p>
            <w:pPr>
              <w:jc w:val="right"/>
              <w:ind w:right="194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58.6</w:t>
            </w:r>
          </w:p>
        </w:tc>
        <w:tc>
          <w:tcPr>
            <w:tcW w:w="52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85.5</w:t>
            </w: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Accrued property taxes</w:t>
            </w:r>
          </w:p>
        </w:tc>
        <w:tc>
          <w:tcPr>
            <w:tcW w:w="2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57.0</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189"/>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 and prepayments</w:t>
            </w:r>
          </w:p>
        </w:tc>
        <w:tc>
          <w:tcPr>
            <w:tcW w:w="2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520" w:type="dxa"/>
            <w:vAlign w:val="bottom"/>
            <w:shd w:val="clear" w:color="auto" w:fill="CFF0FC"/>
          </w:tcPr>
          <w:p>
            <w:pPr>
              <w:spacing w:after="0"/>
              <w:rPr>
                <w:sz w:val="16"/>
                <w:szCs w:val="16"/>
                <w:color w:val="auto"/>
              </w:rPr>
            </w:pPr>
          </w:p>
        </w:tc>
        <w:tc>
          <w:tcPr>
            <w:tcW w:w="2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55.6</w:t>
            </w: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Accrued interest</w:t>
            </w:r>
          </w:p>
        </w:tc>
        <w:tc>
          <w:tcPr>
            <w:tcW w:w="2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189"/>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(none of which is individually significant)</w:t>
            </w:r>
          </w:p>
        </w:tc>
        <w:tc>
          <w:tcPr>
            <w:tcW w:w="210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520" w:type="dxa"/>
            <w:vAlign w:val="bottom"/>
            <w:tcBorders>
              <w:bottom w:val="single" w:sz="8" w:color="auto"/>
            </w:tcBorders>
            <w:shd w:val="clear" w:color="auto" w:fill="CFF0FC"/>
          </w:tcPr>
          <w:p>
            <w:pPr>
              <w:spacing w:after="0"/>
              <w:rPr>
                <w:sz w:val="16"/>
                <w:szCs w:val="16"/>
                <w:color w:val="auto"/>
              </w:rPr>
            </w:pPr>
          </w:p>
        </w:tc>
        <w:tc>
          <w:tcPr>
            <w:tcW w:w="2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50.0</w:t>
            </w:r>
          </w:p>
        </w:tc>
      </w:tr>
      <w:tr>
        <w:trPr>
          <w:trHeight w:val="183"/>
        </w:trPr>
        <w:tc>
          <w:tcPr>
            <w:tcW w:w="5640" w:type="dxa"/>
            <w:vAlign w:val="bottom"/>
          </w:tcPr>
          <w:p>
            <w:pPr>
              <w:ind w:left="120"/>
              <w:spacing w:after="0" w:line="169" w:lineRule="exact"/>
              <w:rPr>
                <w:sz w:val="20"/>
                <w:szCs w:val="20"/>
                <w:color w:val="auto"/>
              </w:rPr>
            </w:pPr>
            <w:r>
              <w:rPr>
                <w:rFonts w:ascii="Arial" w:cs="Arial" w:eastAsia="Arial" w:hAnsi="Arial"/>
                <w:sz w:val="16"/>
                <w:szCs w:val="16"/>
                <w:color w:val="auto"/>
              </w:rPr>
              <w:t>Total accrued liabilities</w:t>
            </w:r>
          </w:p>
        </w:tc>
        <w:tc>
          <w:tcPr>
            <w:tcW w:w="2100" w:type="dxa"/>
            <w:vAlign w:val="bottom"/>
            <w:tcBorders>
              <w:bottom w:val="single" w:sz="8" w:color="auto"/>
            </w:tcBorders>
          </w:tcPr>
          <w:p>
            <w:pPr>
              <w:jc w:val="right"/>
              <w:ind w:right="1942"/>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253.2</w:t>
            </w:r>
          </w:p>
        </w:tc>
        <w:tc>
          <w:tcPr>
            <w:tcW w:w="520" w:type="dxa"/>
            <w:vAlign w:val="bottom"/>
            <w:tcBorders>
              <w:bottom w:val="single" w:sz="8" w:color="auto"/>
            </w:tcBorders>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232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302.2</w:t>
            </w:r>
          </w:p>
        </w:tc>
      </w:tr>
      <w:tr>
        <w:trPr>
          <w:trHeight w:val="20"/>
        </w:trPr>
        <w:tc>
          <w:tcPr>
            <w:tcW w:w="56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94"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0000FF"/>
        </w:rPr>
        <w:t>Note 2</w:t>
      </w:r>
      <w:r>
        <w:rPr>
          <w:rFonts w:ascii="Arial" w:cs="Arial" w:eastAsia="Arial" w:hAnsi="Arial"/>
          <w:sz w:val="16"/>
          <w:szCs w:val="16"/>
          <w:color w:val="auto"/>
        </w:rPr>
        <w:t>, there have been no events subsequent to March 31, 2025,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-136525</wp:posOffset>
            </wp:positionV>
            <wp:extent cx="302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our 2024 Annual Report on Form 10-K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1.35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—build a team that wins together, </w:t>
      </w:r>
      <w:r>
        <w:rPr>
          <w:rFonts w:ascii="Arial" w:cs="Arial" w:eastAsia="Arial" w:hAnsi="Arial"/>
          <w:sz w:val="16"/>
          <w:szCs w:val="16"/>
          <w:i w:val="1"/>
          <w:iCs w:val="1"/>
          <w:color w:val="auto"/>
        </w:rPr>
        <w:t>Operational Excellence—</w:t>
      </w:r>
      <w:r>
        <w:rPr>
          <w:rFonts w:ascii="Arial" w:cs="Arial" w:eastAsia="Arial" w:hAnsi="Arial"/>
          <w:sz w:val="16"/>
          <w:szCs w:val="16"/>
          <w:color w:val="auto"/>
        </w:rPr>
        <w:t>relentlessly deliver on our commitment to serve our customers,</w:t>
      </w:r>
      <w:r>
        <w:rPr>
          <w:rFonts w:ascii="Arial" w:cs="Arial" w:eastAsia="Arial" w:hAnsi="Arial"/>
          <w:sz w:val="16"/>
          <w:szCs w:val="16"/>
          <w:i w:val="1"/>
          <w:iCs w:val="1"/>
          <w:color w:val="auto"/>
        </w:rPr>
        <w:t xml:space="preserve"> Transformation</w:t>
      </w:r>
      <w:r>
        <w:rPr>
          <w:rFonts w:ascii="Arial" w:cs="Arial" w:eastAsia="Arial" w:hAnsi="Arial"/>
          <w:sz w:val="16"/>
          <w:szCs w:val="16"/>
          <w:color w:val="auto"/>
        </w:rPr>
        <w:t>—be a simple and connected company and</w:t>
      </w:r>
      <w:r>
        <w:rPr>
          <w:rFonts w:ascii="Arial" w:cs="Arial" w:eastAsia="Arial" w:hAnsi="Arial"/>
          <w:sz w:val="16"/>
          <w:szCs w:val="16"/>
          <w:i w:val="1"/>
          <w:iCs w:val="1"/>
          <w:color w:val="auto"/>
        </w:rPr>
        <w:t xml:space="preserve"> Growth —</w:t>
      </w:r>
      <w:r>
        <w:rPr>
          <w:rFonts w:ascii="Arial" w:cs="Arial" w:eastAsia="Arial" w:hAnsi="Arial"/>
          <w:sz w:val="16"/>
          <w:szCs w:val="16"/>
          <w:color w:val="auto"/>
        </w:rPr>
        <w:t>grow to be a dominant long-term energy provider.</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have provided energy and served customers for 141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Electric.</w:t>
      </w:r>
    </w:p>
    <w:p>
      <w:pPr>
        <w:spacing w:after="0" w:line="206" w:lineRule="exact"/>
        <w:rPr>
          <w:rFonts w:ascii="Times New Roman" w:cs="Times New Roman" w:eastAsia="Times New Roman" w:hAnsi="Times New Roman"/>
          <w:sz w:val="16"/>
          <w:szCs w:val="16"/>
          <w:color w:val="auto"/>
        </w:rPr>
      </w:pPr>
    </w:p>
    <w:p>
      <w:pPr>
        <w:jc w:val="both"/>
        <w:ind w:left="1020" w:right="40" w:hanging="503"/>
        <w:spacing w:after="0" w:line="266"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On March 6, 2025, the state of Wyoming enacted comprehensive wildfire mitigation legislation (HB192), effective July 1, 2025. The legislation provides material liability protections for a utility that complies with its commission-approved wildfire mitigation plan. The legislation provides a utility a presumption of reasonableness and prudency for compliance with an approved wildfire mitigation plan.</w:t>
      </w:r>
    </w:p>
    <w:p>
      <w:pPr>
        <w:spacing w:after="0" w:line="143"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On February 12, 2025, Wyoming Electric set a new all-time and winter peak load of 344 MW, surpassing the previous all-time and winter peak of 318 MW set on January 20, 2025. Prior to 2025, the previous all-time and winter peak was 314 MW set on January 11, 2024.</w:t>
      </w:r>
    </w:p>
    <w:p>
      <w:pPr>
        <w:spacing w:after="0" w:line="156" w:lineRule="exact"/>
        <w:rPr>
          <w:rFonts w:ascii="Times New Roman" w:cs="Times New Roman" w:eastAsia="Times New Roman" w:hAnsi="Times New Roman"/>
          <w:sz w:val="16"/>
          <w:szCs w:val="16"/>
          <w:color w:val="auto"/>
        </w:rPr>
      </w:pPr>
    </w:p>
    <w:p>
      <w:pPr>
        <w:ind w:left="1020" w:right="100" w:hanging="503"/>
        <w:spacing w:after="0" w:line="256"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2025, Wyoming Electric continued construction of its approximately 260-mile, $350 million Ready Wyoming electric transmission expansion project, which is expected to be completed and in service by year-end 2025. Wyoming Electric has procured all required regulatory approvals and land rights-of-way and is constructing the project in multiple segments. The first 12-mile transmission line segment and two substations near Cheyenne, Wyoming, were completed and energized in 2024, adding approximately $40 million of rate base being recovered through the TCAM.</w:t>
      </w:r>
    </w:p>
    <w:p>
      <w:pPr>
        <w:spacing w:after="0" w:line="151"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2025, South Dakota Electric continued its Lange II construction project, which is planned to be in-service by the second half of 2026. On March 28, 2025, South Dakota Electric filed a request with the WPSC for the Lange II project.</w:t>
      </w:r>
    </w:p>
    <w:p>
      <w:pPr>
        <w:spacing w:after="0" w:line="129" w:lineRule="exact"/>
        <w:rPr>
          <w:rFonts w:ascii="Times New Roman" w:cs="Times New Roman" w:eastAsia="Times New Roman" w:hAnsi="Times New Roman"/>
          <w:sz w:val="16"/>
          <w:szCs w:val="16"/>
          <w:color w:val="auto"/>
        </w:rPr>
      </w:pPr>
    </w:p>
    <w:p>
      <w:pPr>
        <w:jc w:val="both"/>
        <w:ind w:left="1020" w:right="380" w:hanging="503"/>
        <w:spacing w:after="0" w:line="253"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first quarter of 2025, Colorado Electric continued to pursue the addition of 350 MW of new renewable generation resources in support of its Clean Energy Plan. In 2024, the CPUC approved the addition of a 100-MW utility-owned solar project, 50-MW utility-owned battery storage project and a 200-MW solar PPA. Colorado Electric plans to file a CPCN for the battery storage project by mid-2025.</w:t>
      </w:r>
    </w:p>
    <w:p>
      <w:pPr>
        <w:ind w:left="10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Negotiations with counterparties for the other two projects are ongoing, which will drive final cost and timing of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-2560320</wp:posOffset>
            </wp:positionV>
            <wp:extent cx="302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46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Iowa Gas, Kansas Gas and Nebraska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ATM program activity.</w:t>
      </w:r>
    </w:p>
    <w:p>
      <w:pPr>
        <w:spacing w:after="0" w:line="206" w:lineRule="exact"/>
        <w:rPr>
          <w:rFonts w:ascii="Times New Roman" w:cs="Times New Roman" w:eastAsia="Times New Roman" w:hAnsi="Times New Roman"/>
          <w:sz w:val="16"/>
          <w:szCs w:val="16"/>
          <w:color w:val="auto"/>
        </w:rPr>
      </w:pPr>
    </w:p>
    <w:p>
      <w:pPr>
        <w:ind w:left="1020" w:right="44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January 17, 2025, Fitch affirmed BHC's long-term issuer rating at BBB+ with a negative outlook. Following the affirmation, the parties jointly withdrew the rating. See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section below for additional information on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-414020</wp:posOffset>
            </wp:positionV>
            <wp:extent cx="302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-45720</wp:posOffset>
            </wp:positionV>
            <wp:extent cx="14465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2025, and 2024, and our financial condition as of March 31, 2025, and December 31, 2024, are not necessarily indicative of the results of operations and financial condition to be expected as of or for any other period or for the entire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44"/>
        </w:trPr>
        <w:tc>
          <w:tcPr>
            <w:tcW w:w="5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rPr>
              <w:t>Three Months Ended March 31,</w:t>
            </w:r>
          </w:p>
        </w:tc>
        <w:tc>
          <w:tcPr>
            <w:tcW w:w="1020" w:type="dxa"/>
            <w:vAlign w:val="bottom"/>
          </w:tcPr>
          <w:p>
            <w:pPr>
              <w:spacing w:after="0"/>
              <w:rPr>
                <w:sz w:val="24"/>
                <w:szCs w:val="24"/>
                <w:color w:val="auto"/>
              </w:rPr>
            </w:pPr>
          </w:p>
        </w:tc>
      </w:tr>
      <w:tr>
        <w:trPr>
          <w:trHeight w:val="203"/>
        </w:trPr>
        <w:tc>
          <w:tcPr>
            <w:tcW w:w="5520" w:type="dxa"/>
            <w:vAlign w:val="bottom"/>
          </w:tcPr>
          <w:p>
            <w:pPr>
              <w:spacing w:after="0"/>
              <w:rPr>
                <w:sz w:val="17"/>
                <w:szCs w:val="17"/>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2025 vs 2024 Variance</w:t>
            </w:r>
          </w:p>
        </w:tc>
      </w:tr>
      <w:tr>
        <w:trPr>
          <w:trHeight w:val="183"/>
        </w:trPr>
        <w:tc>
          <w:tcPr>
            <w:tcW w:w="55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4"/>
          </w:tcPr>
          <w:p>
            <w:pPr>
              <w:jc w:val="center"/>
              <w:ind w:right="279"/>
              <w:spacing w:after="0" w:line="183" w:lineRule="exact"/>
              <w:rPr>
                <w:sz w:val="20"/>
                <w:szCs w:val="20"/>
                <w:color w:val="auto"/>
              </w:rPr>
            </w:pPr>
            <w:r>
              <w:rPr>
                <w:rFonts w:ascii="Arial" w:cs="Arial" w:eastAsia="Arial" w:hAnsi="Arial"/>
                <w:sz w:val="16"/>
                <w:szCs w:val="16"/>
                <w:color w:val="auto"/>
              </w:rPr>
              <w:t>(in millions, except per share amounts)</w:t>
            </w:r>
          </w:p>
        </w:tc>
        <w:tc>
          <w:tcPr>
            <w:tcW w:w="1020" w:type="dxa"/>
            <w:vAlign w:val="bottom"/>
            <w:tcBorders>
              <w:bottom w:val="single" w:sz="8" w:color="auto"/>
            </w:tcBorders>
          </w:tcPr>
          <w:p>
            <w:pPr>
              <w:spacing w:after="0"/>
              <w:rPr>
                <w:sz w:val="15"/>
                <w:szCs w:val="15"/>
                <w:color w:val="auto"/>
              </w:rPr>
            </w:pPr>
          </w:p>
        </w:tc>
      </w:tr>
      <w:tr>
        <w:trPr>
          <w:trHeight w:val="183"/>
        </w:trPr>
        <w:tc>
          <w:tcPr>
            <w:tcW w:w="5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income (loss):</w:t>
            </w:r>
          </w:p>
        </w:tc>
        <w:tc>
          <w:tcPr>
            <w:tcW w:w="1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6"/>
                <w:szCs w:val="16"/>
                <w:color w:val="auto"/>
              </w:rPr>
              <w:t>Electric Utilities</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126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64.6</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189"/>
        </w:trPr>
        <w:tc>
          <w:tcPr>
            <w:tcW w:w="5520" w:type="dxa"/>
            <w:vAlign w:val="bottom"/>
            <w:shd w:val="clear" w:color="auto" w:fill="CFF0FC"/>
          </w:tcPr>
          <w:p>
            <w:pPr>
              <w:ind w:left="60"/>
              <w:spacing w:after="0"/>
              <w:rPr>
                <w:sz w:val="20"/>
                <w:szCs w:val="20"/>
                <w:color w:val="auto"/>
              </w:rPr>
            </w:pPr>
            <w:r>
              <w:rPr>
                <w:rFonts w:ascii="Arial" w:cs="Arial" w:eastAsia="Arial" w:hAnsi="Arial"/>
                <w:sz w:val="16"/>
                <w:szCs w:val="16"/>
                <w:color w:val="auto"/>
              </w:rPr>
              <w:t>Gas Utilities</w:t>
            </w:r>
          </w:p>
        </w:tc>
        <w:tc>
          <w:tcPr>
            <w:tcW w:w="1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151.5</w:t>
            </w: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130.8</w:t>
            </w:r>
          </w:p>
        </w:tc>
        <w:tc>
          <w:tcPr>
            <w:tcW w:w="8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20.7</w:t>
            </w:r>
          </w:p>
        </w:tc>
      </w:tr>
      <w:tr>
        <w:trPr>
          <w:trHeight w:val="189"/>
        </w:trPr>
        <w:tc>
          <w:tcPr>
            <w:tcW w:w="552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1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r>
      <w:tr>
        <w:trPr>
          <w:trHeight w:val="183"/>
        </w:trPr>
        <w:tc>
          <w:tcPr>
            <w:tcW w:w="55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Operating income</w:t>
            </w:r>
          </w:p>
        </w:tc>
        <w:tc>
          <w:tcPr>
            <w:tcW w:w="12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205.0</w:t>
            </w:r>
          </w:p>
        </w:tc>
        <w:tc>
          <w:tcPr>
            <w:tcW w:w="12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193.3</w:t>
            </w:r>
          </w:p>
        </w:tc>
        <w:tc>
          <w:tcPr>
            <w:tcW w:w="8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11.7</w:t>
            </w:r>
          </w:p>
        </w:tc>
      </w:tr>
      <w:tr>
        <w:trPr>
          <w:trHeight w:val="183"/>
        </w:trPr>
        <w:tc>
          <w:tcPr>
            <w:tcW w:w="5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2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8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24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88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189"/>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2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8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183"/>
        </w:trPr>
        <w:tc>
          <w:tcPr>
            <w:tcW w:w="552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1240" w:type="dxa"/>
            <w:vAlign w:val="bottom"/>
          </w:tcPr>
          <w:p>
            <w:pPr>
              <w:spacing w:after="0"/>
              <w:rPr>
                <w:sz w:val="15"/>
                <w:szCs w:val="15"/>
                <w:color w:val="auto"/>
              </w:rPr>
            </w:pPr>
          </w:p>
        </w:tc>
        <w:tc>
          <w:tcPr>
            <w:tcW w:w="6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136.4</w:t>
            </w:r>
          </w:p>
        </w:tc>
        <w:tc>
          <w:tcPr>
            <w:tcW w:w="1260" w:type="dxa"/>
            <w:vAlign w:val="bottom"/>
          </w:tcPr>
          <w:p>
            <w:pPr>
              <w:spacing w:after="0"/>
              <w:rPr>
                <w:sz w:val="15"/>
                <w:szCs w:val="15"/>
                <w:color w:val="auto"/>
              </w:rPr>
            </w:pPr>
          </w:p>
        </w:tc>
        <w:tc>
          <w:tcPr>
            <w:tcW w:w="6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131.6</w:t>
            </w:r>
          </w:p>
        </w:tc>
        <w:tc>
          <w:tcPr>
            <w:tcW w:w="880" w:type="dxa"/>
            <w:vAlign w:val="bottom"/>
          </w:tcPr>
          <w:p>
            <w:pPr>
              <w:spacing w:after="0"/>
              <w:rPr>
                <w:sz w:val="15"/>
                <w:szCs w:val="15"/>
                <w:color w:val="auto"/>
              </w:rPr>
            </w:pPr>
          </w:p>
        </w:tc>
        <w:tc>
          <w:tcPr>
            <w:tcW w:w="10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4.8</w:t>
            </w:r>
          </w:p>
        </w:tc>
      </w:tr>
      <w:tr>
        <w:trPr>
          <w:trHeight w:val="189"/>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12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6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8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r>
      <w:tr>
        <w:trPr>
          <w:trHeight w:val="182"/>
        </w:trPr>
        <w:tc>
          <w:tcPr>
            <w:tcW w:w="5520" w:type="dxa"/>
            <w:vAlign w:val="bottom"/>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1240" w:type="dxa"/>
            <w:vAlign w:val="bottom"/>
            <w:tcBorders>
              <w:bottom w:val="single" w:sz="8" w:color="auto"/>
            </w:tcBorders>
          </w:tcPr>
          <w:p>
            <w:pPr>
              <w:jc w:val="right"/>
              <w:ind w:right="1083"/>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134.3</w:t>
            </w:r>
          </w:p>
        </w:tc>
        <w:tc>
          <w:tcPr>
            <w:tcW w:w="1260" w:type="dxa"/>
            <w:vAlign w:val="bottom"/>
            <w:tcBorders>
              <w:bottom w:val="single" w:sz="8" w:color="auto"/>
            </w:tcBorders>
          </w:tcPr>
          <w:p>
            <w:pPr>
              <w:jc w:val="right"/>
              <w:ind w:right="1039"/>
              <w:spacing w:after="0" w:line="169"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127.9</w:t>
            </w:r>
          </w:p>
        </w:tc>
        <w:tc>
          <w:tcPr>
            <w:tcW w:w="88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6.4</w:t>
            </w:r>
          </w:p>
        </w:tc>
      </w:tr>
      <w:tr>
        <w:trPr>
          <w:trHeight w:val="20"/>
        </w:trPr>
        <w:tc>
          <w:tcPr>
            <w:tcW w:w="5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55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Weighted average common shares outstanding, Diluted</w:t>
            </w:r>
          </w:p>
        </w:tc>
        <w:tc>
          <w:tcPr>
            <w:tcW w:w="124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71.8</w:t>
            </w:r>
          </w:p>
        </w:tc>
        <w:tc>
          <w:tcPr>
            <w:tcW w:w="126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68.3</w:t>
            </w:r>
          </w:p>
        </w:tc>
        <w:tc>
          <w:tcPr>
            <w:tcW w:w="88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w:t>
            </w:r>
          </w:p>
        </w:tc>
      </w:tr>
      <w:tr>
        <w:trPr>
          <w:trHeight w:val="229"/>
        </w:trPr>
        <w:tc>
          <w:tcPr>
            <w:tcW w:w="55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earnings per share of common stock, Diluted</w:t>
            </w:r>
          </w:p>
        </w:tc>
        <w:tc>
          <w:tcPr>
            <w:tcW w:w="1240" w:type="dxa"/>
            <w:vAlign w:val="bottom"/>
            <w:tcBorders>
              <w:bottom w:val="single" w:sz="8" w:color="auto"/>
            </w:tcBorders>
            <w:shd w:val="clear" w:color="auto" w:fill="CFF0FC"/>
          </w:tcPr>
          <w:p>
            <w:pPr>
              <w:jc w:val="right"/>
              <w:ind w:right="1083"/>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1.87</w:t>
            </w:r>
          </w:p>
        </w:tc>
        <w:tc>
          <w:tcPr>
            <w:tcW w:w="1260" w:type="dxa"/>
            <w:vAlign w:val="bottom"/>
            <w:tcBorders>
              <w:bottom w:val="single" w:sz="8" w:color="auto"/>
            </w:tcBorders>
            <w:shd w:val="clear" w:color="auto" w:fill="CFF0FC"/>
          </w:tcPr>
          <w:p>
            <w:pPr>
              <w:jc w:val="right"/>
              <w:ind w:right="1039"/>
              <w:spacing w:after="0" w:line="169"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1.87</w:t>
            </w:r>
          </w:p>
        </w:tc>
        <w:tc>
          <w:tcPr>
            <w:tcW w:w="880" w:type="dxa"/>
            <w:vAlign w:val="bottom"/>
            <w:tcBorders>
              <w:bottom w:val="single" w:sz="8" w:color="auto"/>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2025, Compared to the Three Months Ended March 31,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10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$10.3 million primarily due to higher operating expenses and current year unplanned generation outages;</w:t>
      </w:r>
    </w:p>
    <w:p>
      <w:pPr>
        <w:spacing w:after="0" w:line="129"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$20.7 million primarily due to new rates and rider recovery driven by the Arkansas Gas and Colorado Gas rate reviews and favorable winter heating season weather partially offset by higher operating expenses;</w:t>
      </w:r>
    </w:p>
    <w:p>
      <w:pPr>
        <w:spacing w:after="0" w:line="129" w:lineRule="exact"/>
        <w:rPr>
          <w:rFonts w:ascii="Times New Roman" w:cs="Times New Roman" w:eastAsia="Times New Roman" w:hAnsi="Times New Roman"/>
          <w:sz w:val="16"/>
          <w:szCs w:val="16"/>
          <w:color w:val="auto"/>
        </w:rPr>
      </w:pPr>
    </w:p>
    <w:p>
      <w:pPr>
        <w:ind w:left="1020" w:right="28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increased $7.3 million primarily due to higher interest rates and lower interest income on lower cash and cash equivalents balances; and</w:t>
      </w:r>
    </w:p>
    <w:p>
      <w:pPr>
        <w:spacing w:after="0" w:line="129" w:lineRule="exact"/>
        <w:rPr>
          <w:rFonts w:ascii="Times New Roman" w:cs="Times New Roman" w:eastAsia="Times New Roman" w:hAnsi="Times New Roman"/>
          <w:sz w:val="16"/>
          <w:szCs w:val="16"/>
          <w:color w:val="auto"/>
        </w:rPr>
      </w:pPr>
    </w:p>
    <w:p>
      <w:pPr>
        <w:ind w:left="1020" w:right="420" w:hanging="503"/>
        <w:spacing w:after="0" w:line="256"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$1.6 million due to lower net income from Black Hills Colorado IPP primarily driven by unplanned generation outages.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inter-segment eliminations.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We define Electric and Gas Utility margin as operating revenue less cost of fuel, purchased power and cost of natural gas sold. Electric and Gas Utility margin is a non-GAAP financial measure due to the exclusion of operation and maintenance expenses determined to be directly attributable to revenue-producing activities, depreciation and amortization expenses, and taxes other than income taxes from the measure.</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Gas and Electric Utility margin provides a useful basis for evaluating our segment operating results since our Utilities have regulatory mechanisms that allow them to pass prudently incurred costs of energy through to the customer in current rates. As a result, management uses Gas and Electric Utility margin internally when assessing the financial performance of our operating segments as this measure excludes the majority of revenue fluctuations caused by changes in these costs of energy. Similarly, the presentation of Gas and Electric Utility margin is intended to supplement investors’ understanding of operating performance.</w:t>
      </w:r>
    </w:p>
    <w:p>
      <w:pPr>
        <w:spacing w:after="0" w:line="15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The following table includes a reconciliation of Electric and Gas Utility margin to Gross margin, the most directly comparable GAAP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w w:val="98"/>
              </w:rPr>
              <w:t>Electric Utilities</w:t>
            </w: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Gas Utilities</w:t>
            </w:r>
          </w:p>
        </w:tc>
        <w:tc>
          <w:tcPr>
            <w:tcW w:w="1120" w:type="dxa"/>
            <w:vAlign w:val="bottom"/>
            <w:tcBorders>
              <w:bottom w:val="single" w:sz="8" w:color="auto"/>
            </w:tcBorders>
          </w:tcPr>
          <w:p>
            <w:pPr>
              <w:spacing w:after="0"/>
              <w:rPr>
                <w:sz w:val="17"/>
                <w:szCs w:val="17"/>
                <w:color w:val="auto"/>
              </w:rPr>
            </w:pPr>
          </w:p>
        </w:tc>
      </w:tr>
      <w:tr>
        <w:trPr>
          <w:trHeight w:val="183"/>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319"/>
              <w:spacing w:after="0" w:line="183" w:lineRule="exact"/>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3"/>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920" w:type="dxa"/>
            <w:vAlign w:val="bottom"/>
            <w:gridSpan w:val="2"/>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236.7</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222.2</w:t>
            </w:r>
          </w:p>
        </w:tc>
        <w:tc>
          <w:tcPr>
            <w:tcW w:w="4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w:t>
            </w:r>
          </w:p>
        </w:tc>
        <w:tc>
          <w:tcPr>
            <w:tcW w:w="5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508.7</w:t>
            </w: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(67.2)</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(292.6)</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(261.9)</w:t>
            </w:r>
          </w:p>
        </w:tc>
      </w:tr>
      <w:tr>
        <w:trPr>
          <w:trHeight w:val="189"/>
        </w:trPr>
        <w:tc>
          <w:tcPr>
            <w:tcW w:w="48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5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(37.1)</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(35.3)</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189"/>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5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r>
      <w:tr>
        <w:trPr>
          <w:trHeight w:val="183"/>
        </w:trPr>
        <w:tc>
          <w:tcPr>
            <w:tcW w:w="4880" w:type="dxa"/>
            <w:vAlign w:val="bottom"/>
          </w:tcPr>
          <w:p>
            <w:pPr>
              <w:ind w:left="60"/>
              <w:spacing w:after="0" w:line="183" w:lineRule="exact"/>
              <w:rPr>
                <w:sz w:val="20"/>
                <w:szCs w:val="20"/>
                <w:color w:val="auto"/>
              </w:rPr>
            </w:pPr>
            <w:r>
              <w:rPr>
                <w:rFonts w:ascii="Arial" w:cs="Arial" w:eastAsia="Arial" w:hAnsi="Arial"/>
                <w:sz w:val="16"/>
                <w:szCs w:val="16"/>
                <w:color w:val="auto"/>
              </w:rPr>
              <w:t>Gross margin (GAAP)</w:t>
            </w:r>
          </w:p>
        </w:tc>
        <w:tc>
          <w:tcPr>
            <w:tcW w:w="920" w:type="dxa"/>
            <w:vAlign w:val="bottom"/>
            <w:gridSpan w:val="2"/>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81.2</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86.1</w:t>
            </w:r>
          </w:p>
        </w:tc>
        <w:tc>
          <w:tcPr>
            <w:tcW w:w="48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193.2</w:t>
            </w:r>
          </w:p>
        </w:tc>
        <w:tc>
          <w:tcPr>
            <w:tcW w:w="520" w:type="dxa"/>
            <w:vAlign w:val="bottom"/>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166.6</w:t>
            </w:r>
          </w:p>
        </w:tc>
      </w:tr>
      <w:tr>
        <w:trPr>
          <w:trHeight w:val="183"/>
        </w:trPr>
        <w:tc>
          <w:tcPr>
            <w:tcW w:w="4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2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41.9</w:t>
            </w:r>
          </w:p>
        </w:tc>
        <w:tc>
          <w:tcPr>
            <w:tcW w:w="24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36.0</w:t>
            </w:r>
          </w:p>
        </w:tc>
        <w:tc>
          <w:tcPr>
            <w:tcW w:w="48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46.2</w:t>
            </w:r>
          </w:p>
        </w:tc>
        <w:tc>
          <w:tcPr>
            <w:tcW w:w="5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42.8</w:t>
            </w:r>
          </w:p>
        </w:tc>
      </w:tr>
      <w:tr>
        <w:trPr>
          <w:trHeight w:val="189"/>
        </w:trPr>
        <w:tc>
          <w:tcPr>
            <w:tcW w:w="48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2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32.1</w:t>
            </w:r>
          </w:p>
        </w:tc>
        <w:tc>
          <w:tcPr>
            <w:tcW w:w="5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30.4</w:t>
            </w:r>
          </w:p>
        </w:tc>
      </w:tr>
      <w:tr>
        <w:trPr>
          <w:trHeight w:val="189"/>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5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w:t>
            </w:r>
          </w:p>
        </w:tc>
      </w:tr>
      <w:tr>
        <w:trPr>
          <w:trHeight w:val="183"/>
        </w:trPr>
        <w:tc>
          <w:tcPr>
            <w:tcW w:w="4880" w:type="dxa"/>
            <w:vAlign w:val="bottom"/>
          </w:tcPr>
          <w:p>
            <w:pPr>
              <w:ind w:left="60"/>
              <w:spacing w:after="0" w:line="183" w:lineRule="exact"/>
              <w:rPr>
                <w:sz w:val="20"/>
                <w:szCs w:val="20"/>
                <w:color w:val="auto"/>
              </w:rPr>
            </w:pPr>
            <w:r>
              <w:rPr>
                <w:rFonts w:ascii="Arial" w:cs="Arial" w:eastAsia="Arial" w:hAnsi="Arial"/>
                <w:sz w:val="16"/>
                <w:szCs w:val="16"/>
                <w:color w:val="auto"/>
              </w:rPr>
              <w:t>Electric and Gas Utility margin (non-GAAP)</w:t>
            </w:r>
          </w:p>
        </w:tc>
        <w:tc>
          <w:tcPr>
            <w:tcW w:w="920" w:type="dxa"/>
            <w:vAlign w:val="bottom"/>
            <w:tcBorders>
              <w:bottom w:val="single" w:sz="8" w:color="auto"/>
            </w:tcBorders>
            <w:gridSpan w:val="2"/>
          </w:tcPr>
          <w:p>
            <w:pPr>
              <w:jc w:val="right"/>
              <w:ind w:right="7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169.5</w:t>
            </w:r>
          </w:p>
        </w:tc>
        <w:tc>
          <w:tcPr>
            <w:tcW w:w="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167.4</w:t>
            </w:r>
          </w:p>
        </w:tc>
        <w:tc>
          <w:tcPr>
            <w:tcW w:w="48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279.8</w:t>
            </w:r>
          </w:p>
        </w:tc>
        <w:tc>
          <w:tcPr>
            <w:tcW w:w="5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 w:hanging="512"/>
        <w:spacing w:after="0" w:line="252"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Operations and maintenance expenses which are deemed to be directly attributable to revenue-producing activities include plant operations and maintenance expenses at our electric generation facilities, operations and maintenance expenses at our WRDC coal mine, and electric and gas transmission and distribution expenses. These amounts are included in the table above to calculate gross margin in accordance with GAAP. These amounts excluded operations and maintenance expenses not directly attributable to revenue-producing activities of $26.9 million and $21.5 million for the three months ended March 31, 2025 and 2024, respectively, for the Electric Utilities and $41.7 and $35.8 million for the three months ended 2025 and 2024, respectively, for the Gas Utilities.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Electric Utilities</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000" w:type="dxa"/>
            <w:vAlign w:val="bottom"/>
          </w:tcPr>
          <w:p>
            <w:pPr>
              <w:spacing w:after="0"/>
              <w:rPr>
                <w:sz w:val="20"/>
                <w:szCs w:val="20"/>
                <w:color w:val="auto"/>
              </w:rPr>
            </w:pPr>
            <w:r>
              <w:rPr>
                <w:rFonts w:ascii="Arial" w:cs="Arial" w:eastAsia="Arial" w:hAnsi="Arial"/>
                <w:sz w:val="16"/>
                <w:szCs w:val="16"/>
                <w:color w:val="auto"/>
              </w:rPr>
              <w:t>Operating results for the Electric Utilities were as follows: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gridSpan w:val="4"/>
          </w:tcPr>
          <w:p>
            <w:pPr>
              <w:jc w:val="center"/>
              <w:ind w:left="89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155"/>
        </w:trPr>
        <w:tc>
          <w:tcPr>
            <w:tcW w:w="6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3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236.7</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222.2</w:t>
            </w:r>
          </w:p>
        </w:tc>
        <w:tc>
          <w:tcPr>
            <w:tcW w:w="34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Fuel and purchased power</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Electric Utility margin (non-GAAP) </w:t>
            </w:r>
            <w:r>
              <w:rPr>
                <w:rFonts w:ascii="Arial" w:cs="Arial" w:eastAsia="Arial" w:hAnsi="Arial"/>
                <w:sz w:val="21"/>
                <w:szCs w:val="21"/>
                <w:color w:val="auto"/>
                <w:vertAlign w:val="superscript"/>
              </w:rPr>
              <w:t>(a)</w:t>
            </w: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169.5</w:t>
            </w:r>
          </w:p>
        </w:tc>
        <w:tc>
          <w:tcPr>
            <w:tcW w:w="3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167.4</w:t>
            </w: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w:t>
            </w:r>
          </w:p>
        </w:tc>
        <w:tc>
          <w:tcPr>
            <w:tcW w:w="3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3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37.1</w:t>
            </w: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w:t>
            </w:r>
          </w:p>
        </w:tc>
        <w:tc>
          <w:tcPr>
            <w:tcW w:w="3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3"/>
        </w:trPr>
        <w:tc>
          <w:tcPr>
            <w:tcW w:w="6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115.2</w:t>
            </w: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102.8</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54.3</w:t>
            </w:r>
          </w:p>
        </w:tc>
        <w:tc>
          <w:tcPr>
            <w:tcW w:w="3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64.6</w:t>
            </w:r>
          </w:p>
        </w:tc>
        <w:tc>
          <w:tcPr>
            <w:tcW w:w="34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Non-GAAP Financial Measures section above for reconciliation to Gross margin, the most directly comparable GAAP measure.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Three Months Ended March 31, 2025, Compared to the Three Months Ended March 31, 2024:</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58"/>
        </w:trPr>
        <w:tc>
          <w:tcPr>
            <w:tcW w:w="6760" w:type="dxa"/>
            <w:vAlign w:val="bottom"/>
            <w:gridSpan w:val="2"/>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52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r>
      <w:tr>
        <w:trPr>
          <w:trHeight w:val="183"/>
        </w:trPr>
        <w:tc>
          <w:tcPr>
            <w:tcW w:w="67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Retail customer growth and usage</w:t>
            </w:r>
          </w:p>
        </w:tc>
        <w:tc>
          <w:tcPr>
            <w:tcW w:w="30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w:t>
            </w:r>
          </w:p>
        </w:tc>
      </w:tr>
      <w:tr>
        <w:trPr>
          <w:trHeight w:val="189"/>
        </w:trPr>
        <w:tc>
          <w:tcPr>
            <w:tcW w:w="6760" w:type="dxa"/>
            <w:vAlign w:val="bottom"/>
            <w:gridSpan w:val="2"/>
          </w:tcPr>
          <w:p>
            <w:pPr>
              <w:spacing w:after="0"/>
              <w:rPr>
                <w:sz w:val="20"/>
                <w:szCs w:val="20"/>
                <w:color w:val="auto"/>
              </w:rPr>
            </w:pPr>
            <w:r>
              <w:rPr>
                <w:rFonts w:ascii="Arial" w:cs="Arial" w:eastAsia="Arial" w:hAnsi="Arial"/>
                <w:sz w:val="16"/>
                <w:szCs w:val="16"/>
                <w:color w:val="auto"/>
              </w:rPr>
              <w:t>New rates and rider recovery</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189"/>
        </w:trPr>
        <w:tc>
          <w:tcPr>
            <w:tcW w:w="6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Weather</w:t>
            </w:r>
          </w:p>
        </w:tc>
        <w:tc>
          <w:tcPr>
            <w:tcW w:w="2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r>
      <w:tr>
        <w:trPr>
          <w:trHeight w:val="189"/>
        </w:trPr>
        <w:tc>
          <w:tcPr>
            <w:tcW w:w="6760" w:type="dxa"/>
            <w:vAlign w:val="bottom"/>
            <w:gridSpan w:val="2"/>
          </w:tcPr>
          <w:p>
            <w:pPr>
              <w:spacing w:after="0"/>
              <w:rPr>
                <w:sz w:val="20"/>
                <w:szCs w:val="20"/>
                <w:color w:val="auto"/>
              </w:rPr>
            </w:pPr>
            <w:r>
              <w:rPr>
                <w:rFonts w:ascii="Arial" w:cs="Arial" w:eastAsia="Arial" w:hAnsi="Arial"/>
                <w:sz w:val="16"/>
                <w:szCs w:val="16"/>
                <w:color w:val="auto"/>
              </w:rPr>
              <w:t>Unplanned generation outages</w:t>
            </w: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6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Off-system excess energy sales</w:t>
            </w:r>
          </w:p>
        </w:tc>
        <w:tc>
          <w:tcPr>
            <w:tcW w:w="2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6760" w:type="dxa"/>
            <w:vAlign w:val="bottom"/>
            <w:gridSpan w:val="2"/>
          </w:tcPr>
          <w:p>
            <w:pPr>
              <w:spacing w:after="0"/>
              <w:rPr>
                <w:sz w:val="20"/>
                <w:szCs w:val="20"/>
                <w:color w:val="auto"/>
              </w:rPr>
            </w:pPr>
            <w:r>
              <w:rPr>
                <w:rFonts w:ascii="Arial" w:cs="Arial" w:eastAsia="Arial" w:hAnsi="Arial"/>
                <w:sz w:val="16"/>
                <w:szCs w:val="16"/>
                <w:color w:val="auto"/>
              </w:rPr>
              <w:t>Other</w:t>
            </w:r>
          </w:p>
        </w:tc>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03"/>
        </w:trPr>
        <w:tc>
          <w:tcPr>
            <w:tcW w:w="1520" w:type="dxa"/>
            <w:vAlign w:val="bottom"/>
            <w:shd w:val="clear" w:color="auto" w:fill="CFF0FC"/>
          </w:tcPr>
          <w:p>
            <w:pPr>
              <w:spacing w:after="0"/>
              <w:rPr>
                <w:sz w:val="17"/>
                <w:szCs w:val="17"/>
                <w:color w:val="auto"/>
              </w:rPr>
            </w:pPr>
          </w:p>
        </w:tc>
        <w:tc>
          <w:tcPr>
            <w:tcW w:w="5240" w:type="dxa"/>
            <w:vAlign w:val="bottom"/>
            <w:shd w:val="clear" w:color="auto" w:fill="CFF0FC"/>
          </w:tcPr>
          <w:p>
            <w:pPr>
              <w:spacing w:after="0"/>
              <w:rPr>
                <w:sz w:val="17"/>
                <w:szCs w:val="17"/>
                <w:color w:val="auto"/>
              </w:rPr>
            </w:pPr>
          </w:p>
        </w:tc>
        <w:tc>
          <w:tcPr>
            <w:tcW w:w="30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2.1</w:t>
            </w:r>
          </w:p>
        </w:tc>
      </w:tr>
      <w:tr>
        <w:trPr>
          <w:trHeight w:val="20"/>
        </w:trPr>
        <w:tc>
          <w:tcPr>
            <w:tcW w:w="1520" w:type="dxa"/>
            <w:vAlign w:val="bottom"/>
            <w:tcBorders>
              <w:top w:val="single" w:sz="8" w:color="CFF0FC"/>
            </w:tcBorders>
            <w:shd w:val="clear" w:color="auto" w:fill="CFF0FC"/>
          </w:tcPr>
          <w:p>
            <w:pPr>
              <w:spacing w:after="0" w:line="20" w:lineRule="exact"/>
              <w:rPr>
                <w:sz w:val="1"/>
                <w:szCs w:val="1"/>
                <w:color w:val="auto"/>
              </w:rPr>
            </w:pPr>
          </w:p>
        </w:tc>
        <w:tc>
          <w:tcPr>
            <w:tcW w:w="5240" w:type="dxa"/>
            <w:vAlign w:val="bottom"/>
            <w:tcBorders>
              <w:top w:val="single" w:sz="8" w:color="CFF0FC"/>
            </w:tcBorders>
            <w:shd w:val="clear" w:color="auto" w:fill="CFF0FC"/>
          </w:tcPr>
          <w:p>
            <w:pPr>
              <w:spacing w:after="0" w:line="20" w:lineRule="exact"/>
              <w:rPr>
                <w:sz w:val="1"/>
                <w:szCs w:val="1"/>
                <w:color w:val="auto"/>
              </w:rPr>
            </w:pPr>
          </w:p>
        </w:tc>
        <w:tc>
          <w:tcPr>
            <w:tcW w:w="2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$2.8 million of expenses related to unplanned generation outages, $2.8 million of higher outside services expenses; $1.9 million of higher employee-related expenses and $1.3 million of higher insurance expense.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was comparable to the same period in the prior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7"/>
        </w:trPr>
        <w:tc>
          <w:tcPr>
            <w:tcW w:w="4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Revenue</w:t>
            </w:r>
          </w:p>
        </w:tc>
        <w:tc>
          <w:tcPr>
            <w:tcW w:w="1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Quantities Sold</w:t>
            </w:r>
          </w:p>
        </w:tc>
      </w:tr>
      <w:tr>
        <w:trPr>
          <w:trHeight w:val="168"/>
        </w:trPr>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4"/>
          </w:tcPr>
          <w:p>
            <w:pPr>
              <w:jc w:val="center"/>
              <w:ind w:right="3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3020" w:type="dxa"/>
            <w:vAlign w:val="bottom"/>
            <w:gridSpan w:val="2"/>
          </w:tcPr>
          <w:p>
            <w:pPr>
              <w:jc w:val="center"/>
              <w:ind w:right="1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40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8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2025</w:t>
            </w: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183"/>
        </w:trPr>
        <w:tc>
          <w:tcPr>
            <w:tcW w:w="40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shd w:val="clear" w:color="auto" w:fill="CFF0FC"/>
          </w:tcPr>
          <w:p>
            <w:pPr>
              <w:spacing w:after="0"/>
              <w:rPr>
                <w:sz w:val="15"/>
                <w:szCs w:val="15"/>
                <w:color w:val="auto"/>
              </w:rPr>
            </w:pPr>
          </w:p>
        </w:tc>
        <w:tc>
          <w:tcPr>
            <w:tcW w:w="1880" w:type="dxa"/>
            <w:vAlign w:val="bottom"/>
            <w:tcBorders>
              <w:bottom w:val="single" w:sz="8" w:color="auto"/>
            </w:tcBorders>
            <w:shd w:val="clear" w:color="auto" w:fill="CFF0FC"/>
          </w:tcPr>
          <w:p>
            <w:pPr>
              <w:jc w:val="center"/>
              <w:ind w:left="959"/>
              <w:spacing w:after="0" w:line="183" w:lineRule="exact"/>
              <w:rPr>
                <w:sz w:val="20"/>
                <w:szCs w:val="20"/>
                <w:color w:val="auto"/>
              </w:rPr>
            </w:pPr>
            <w:r>
              <w:rPr>
                <w:rFonts w:ascii="Arial" w:cs="Arial" w:eastAsia="Arial" w:hAnsi="Arial"/>
                <w:sz w:val="16"/>
                <w:szCs w:val="16"/>
                <w:color w:val="auto"/>
                <w:w w:val="99"/>
              </w:rPr>
              <w:t>(in GWh)</w:t>
            </w:r>
          </w:p>
        </w:tc>
        <w:tc>
          <w:tcPr>
            <w:tcW w:w="1140" w:type="dxa"/>
            <w:vAlign w:val="bottom"/>
            <w:tcBorders>
              <w:bottom w:val="single" w:sz="8" w:color="auto"/>
            </w:tcBorders>
            <w:shd w:val="clear" w:color="auto" w:fill="CFF0FC"/>
          </w:tcPr>
          <w:p>
            <w:pPr>
              <w:spacing w:after="0"/>
              <w:rPr>
                <w:sz w:val="15"/>
                <w:szCs w:val="15"/>
                <w:color w:val="auto"/>
              </w:rPr>
            </w:pPr>
          </w:p>
        </w:tc>
      </w:tr>
      <w:tr>
        <w:trPr>
          <w:trHeight w:val="183"/>
        </w:trPr>
        <w:tc>
          <w:tcPr>
            <w:tcW w:w="404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9"/>
        </w:trPr>
        <w:tc>
          <w:tcPr>
            <w:tcW w:w="404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Residential</w:t>
            </w:r>
          </w:p>
        </w:tc>
        <w:tc>
          <w:tcPr>
            <w:tcW w:w="2020" w:type="dxa"/>
            <w:vAlign w:val="bottom"/>
            <w:gridSpan w:val="2"/>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62.5</w:t>
            </w:r>
          </w:p>
        </w:tc>
        <w:tc>
          <w:tcPr>
            <w:tcW w:w="18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406.4</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388.8</w:t>
            </w:r>
          </w:p>
        </w:tc>
      </w:tr>
      <w:tr>
        <w:trPr>
          <w:trHeight w:val="189"/>
        </w:trPr>
        <w:tc>
          <w:tcPr>
            <w:tcW w:w="4040" w:type="dxa"/>
            <w:vAlign w:val="bottom"/>
          </w:tcPr>
          <w:p>
            <w:pPr>
              <w:ind w:left="60"/>
              <w:spacing w:after="0"/>
              <w:rPr>
                <w:sz w:val="20"/>
                <w:szCs w:val="20"/>
                <w:color w:val="auto"/>
              </w:rPr>
            </w:pPr>
            <w:r>
              <w:rPr>
                <w:rFonts w:ascii="Arial" w:cs="Arial" w:eastAsia="Arial" w:hAnsi="Arial"/>
                <w:sz w:val="16"/>
                <w:szCs w:val="16"/>
                <w:color w:val="auto"/>
              </w:rPr>
              <w:t>Commercial</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68.8</w:t>
            </w:r>
          </w:p>
        </w:tc>
        <w:tc>
          <w:tcPr>
            <w:tcW w:w="5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517.2</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511.8</w:t>
            </w:r>
          </w:p>
        </w:tc>
      </w:tr>
      <w:tr>
        <w:trPr>
          <w:trHeight w:val="189"/>
        </w:trPr>
        <w:tc>
          <w:tcPr>
            <w:tcW w:w="404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Industrial</w:t>
            </w:r>
          </w:p>
        </w:tc>
        <w:tc>
          <w:tcPr>
            <w:tcW w:w="10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43.5</w:t>
            </w:r>
          </w:p>
        </w:tc>
        <w:tc>
          <w:tcPr>
            <w:tcW w:w="18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609.8</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553.6</w:t>
            </w:r>
          </w:p>
        </w:tc>
      </w:tr>
      <w:tr>
        <w:trPr>
          <w:trHeight w:val="189"/>
        </w:trPr>
        <w:tc>
          <w:tcPr>
            <w:tcW w:w="4040" w:type="dxa"/>
            <w:vAlign w:val="bottom"/>
          </w:tcPr>
          <w:p>
            <w:pPr>
              <w:ind w:left="60"/>
              <w:spacing w:after="0"/>
              <w:rPr>
                <w:sz w:val="20"/>
                <w:szCs w:val="20"/>
                <w:color w:val="auto"/>
              </w:rPr>
            </w:pPr>
            <w:r>
              <w:rPr>
                <w:rFonts w:ascii="Arial" w:cs="Arial" w:eastAsia="Arial" w:hAnsi="Arial"/>
                <w:sz w:val="16"/>
                <w:szCs w:val="16"/>
                <w:color w:val="auto"/>
              </w:rPr>
              <w:t>Municipal</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w:t>
            </w:r>
          </w:p>
        </w:tc>
        <w:tc>
          <w:tcPr>
            <w:tcW w:w="5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34.6</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34.2</w:t>
            </w:r>
          </w:p>
        </w:tc>
      </w:tr>
      <w:tr>
        <w:trPr>
          <w:trHeight w:val="189"/>
        </w:trPr>
        <w:tc>
          <w:tcPr>
            <w:tcW w:w="40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Other Retail</w:t>
            </w:r>
          </w:p>
        </w:tc>
        <w:tc>
          <w:tcPr>
            <w:tcW w:w="10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5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c>
          <w:tcPr>
            <w:tcW w:w="188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Pr>
          <w:p>
            <w:pPr>
              <w:ind w:left="100"/>
              <w:spacing w:after="0" w:line="183" w:lineRule="exact"/>
              <w:rPr>
                <w:sz w:val="20"/>
                <w:szCs w:val="20"/>
                <w:color w:val="auto"/>
              </w:rPr>
            </w:pPr>
            <w:r>
              <w:rPr>
                <w:rFonts w:ascii="Arial" w:cs="Arial" w:eastAsia="Arial" w:hAnsi="Arial"/>
                <w:sz w:val="16"/>
                <w:szCs w:val="16"/>
                <w:color w:val="auto"/>
              </w:rPr>
              <w:t>Subtotal Retail Revenue - Electric</w:t>
            </w:r>
          </w:p>
        </w:tc>
        <w:tc>
          <w:tcPr>
            <w:tcW w:w="10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191.3</w:t>
            </w: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179.7</w:t>
            </w:r>
          </w:p>
        </w:tc>
        <w:tc>
          <w:tcPr>
            <w:tcW w:w="18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1,568.0</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1,488.4</w:t>
            </w: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Wholesale</w:t>
            </w:r>
          </w:p>
        </w:tc>
        <w:tc>
          <w:tcPr>
            <w:tcW w:w="10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w:t>
            </w:r>
          </w:p>
        </w:tc>
        <w:tc>
          <w:tcPr>
            <w:tcW w:w="5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8.5</w:t>
            </w:r>
          </w:p>
        </w:tc>
        <w:tc>
          <w:tcPr>
            <w:tcW w:w="1880" w:type="dxa"/>
            <w:vAlign w:val="bottom"/>
            <w:shd w:val="clear" w:color="auto" w:fill="CFF0FC"/>
          </w:tcPr>
          <w:p>
            <w:pPr>
              <w:jc w:val="right"/>
              <w:ind w:right="459"/>
              <w:spacing w:after="0" w:line="183" w:lineRule="exact"/>
              <w:rPr>
                <w:sz w:val="20"/>
                <w:szCs w:val="20"/>
                <w:color w:val="auto"/>
              </w:rPr>
            </w:pPr>
            <w:r>
              <w:rPr>
                <w:rFonts w:ascii="Arial" w:cs="Arial" w:eastAsia="Arial" w:hAnsi="Arial"/>
                <w:sz w:val="16"/>
                <w:szCs w:val="16"/>
                <w:color w:val="auto"/>
              </w:rPr>
              <w:t>147.8</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176.0</w:t>
            </w:r>
          </w:p>
        </w:tc>
      </w:tr>
      <w:tr>
        <w:trPr>
          <w:trHeight w:val="189"/>
        </w:trPr>
        <w:tc>
          <w:tcPr>
            <w:tcW w:w="4040" w:type="dxa"/>
            <w:vAlign w:val="bottom"/>
          </w:tcPr>
          <w:p>
            <w:pPr>
              <w:spacing w:after="0"/>
              <w:rPr>
                <w:sz w:val="20"/>
                <w:szCs w:val="20"/>
                <w:color w:val="auto"/>
              </w:rPr>
            </w:pPr>
            <w:r>
              <w:rPr>
                <w:rFonts w:ascii="Arial" w:cs="Arial" w:eastAsia="Arial" w:hAnsi="Arial"/>
                <w:sz w:val="16"/>
                <w:szCs w:val="16"/>
                <w:color w:val="auto"/>
              </w:rPr>
              <w:t>Market - off-system sales</w:t>
            </w: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c>
          <w:tcPr>
            <w:tcW w:w="5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880" w:type="dxa"/>
            <w:vAlign w:val="bottom"/>
          </w:tcPr>
          <w:p>
            <w:pPr>
              <w:jc w:val="right"/>
              <w:ind w:right="459"/>
              <w:spacing w:after="0"/>
              <w:rPr>
                <w:sz w:val="20"/>
                <w:szCs w:val="20"/>
                <w:color w:val="auto"/>
              </w:rPr>
            </w:pPr>
            <w:r>
              <w:rPr>
                <w:rFonts w:ascii="Arial" w:cs="Arial" w:eastAsia="Arial" w:hAnsi="Arial"/>
                <w:sz w:val="16"/>
                <w:szCs w:val="16"/>
                <w:color w:val="auto"/>
              </w:rPr>
              <w:t>173.6</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115.6</w:t>
            </w: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Transmission</w:t>
            </w:r>
          </w:p>
        </w:tc>
        <w:tc>
          <w:tcPr>
            <w:tcW w:w="10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12.6</w:t>
            </w:r>
          </w:p>
        </w:tc>
        <w:tc>
          <w:tcPr>
            <w:tcW w:w="188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040" w:type="dxa"/>
            <w:vAlign w:val="bottom"/>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1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w:t>
            </w:r>
          </w:p>
        </w:tc>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4040" w:type="dxa"/>
            <w:vAlign w:val="bottom"/>
            <w:shd w:val="clear" w:color="auto" w:fill="CFF0FC"/>
          </w:tcPr>
          <w:p>
            <w:pPr>
              <w:ind w:left="60"/>
              <w:spacing w:after="0" w:line="169" w:lineRule="exact"/>
              <w:rPr>
                <w:sz w:val="20"/>
                <w:szCs w:val="20"/>
                <w:color w:val="auto"/>
              </w:rPr>
            </w:pPr>
            <w:r>
              <w:rPr>
                <w:rFonts w:ascii="Arial" w:cs="Arial" w:eastAsia="Arial" w:hAnsi="Arial"/>
                <w:sz w:val="16"/>
                <w:szCs w:val="16"/>
                <w:color w:val="auto"/>
              </w:rPr>
              <w:t>Total Revenue and Quantities Sold</w:t>
            </w:r>
          </w:p>
        </w:tc>
        <w:tc>
          <w:tcPr>
            <w:tcW w:w="2020" w:type="dxa"/>
            <w:vAlign w:val="bottom"/>
            <w:gridSpan w:val="2"/>
            <w:shd w:val="clear" w:color="auto" w:fill="CFF0FC"/>
          </w:tcPr>
          <w:p>
            <w:pPr>
              <w:jc w:val="right"/>
              <w:ind w:right="819"/>
              <w:spacing w:after="0" w:line="169"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236.7</w:t>
            </w:r>
          </w:p>
        </w:tc>
        <w:tc>
          <w:tcPr>
            <w:tcW w:w="500" w:type="dxa"/>
            <w:vAlign w:val="bottom"/>
            <w:shd w:val="clear" w:color="auto" w:fill="CFF0FC"/>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222.2</w:t>
            </w:r>
          </w:p>
        </w:tc>
        <w:tc>
          <w:tcPr>
            <w:tcW w:w="1880" w:type="dxa"/>
            <w:vAlign w:val="bottom"/>
            <w:shd w:val="clear" w:color="auto" w:fill="CFF0FC"/>
          </w:tcPr>
          <w:p>
            <w:pPr>
              <w:jc w:val="right"/>
              <w:ind w:right="459"/>
              <w:spacing w:after="0" w:line="169" w:lineRule="exact"/>
              <w:rPr>
                <w:sz w:val="20"/>
                <w:szCs w:val="20"/>
                <w:color w:val="auto"/>
              </w:rPr>
            </w:pPr>
            <w:r>
              <w:rPr>
                <w:rFonts w:ascii="Arial" w:cs="Arial" w:eastAsia="Arial" w:hAnsi="Arial"/>
                <w:sz w:val="16"/>
                <w:szCs w:val="16"/>
                <w:color w:val="auto"/>
              </w:rPr>
              <w:t>1,889.4</w:t>
            </w:r>
          </w:p>
        </w:tc>
        <w:tc>
          <w:tcPr>
            <w:tcW w:w="11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1,780.0</w:t>
            </w:r>
          </w:p>
        </w:tc>
      </w:tr>
      <w:tr>
        <w:trPr>
          <w:trHeight w:val="169"/>
        </w:trPr>
        <w:tc>
          <w:tcPr>
            <w:tcW w:w="4040" w:type="dxa"/>
            <w:vAlign w:val="bottom"/>
            <w:tcBorders>
              <w:top w:val="single" w:sz="8" w:color="CFF0FC"/>
            </w:tcBorders>
          </w:tcPr>
          <w:p>
            <w:pPr>
              <w:spacing w:after="0" w:line="170" w:lineRule="exact"/>
              <w:rPr>
                <w:sz w:val="20"/>
                <w:szCs w:val="20"/>
                <w:color w:val="auto"/>
              </w:rPr>
            </w:pPr>
            <w:r>
              <w:rPr>
                <w:rFonts w:ascii="Arial" w:cs="Arial" w:eastAsia="Arial" w:hAnsi="Arial"/>
                <w:sz w:val="15"/>
                <w:szCs w:val="15"/>
                <w:color w:val="auto"/>
              </w:rPr>
              <w:t xml:space="preserve">Other Uses, Losses, or Generation, net </w:t>
            </w:r>
            <w:r>
              <w:rPr>
                <w:rFonts w:ascii="Arial" w:cs="Arial" w:eastAsia="Arial" w:hAnsi="Arial"/>
                <w:sz w:val="19"/>
                <w:szCs w:val="19"/>
                <w:color w:val="auto"/>
                <w:vertAlign w:val="superscript"/>
              </w:rPr>
              <w:t>(b)</w:t>
            </w:r>
          </w:p>
        </w:tc>
        <w:tc>
          <w:tcPr>
            <w:tcW w:w="104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459"/>
              <w:spacing w:after="0" w:line="170" w:lineRule="exact"/>
              <w:rPr>
                <w:sz w:val="20"/>
                <w:szCs w:val="20"/>
                <w:color w:val="auto"/>
              </w:rPr>
            </w:pPr>
            <w:r>
              <w:rPr>
                <w:rFonts w:ascii="Arial" w:cs="Arial" w:eastAsia="Arial" w:hAnsi="Arial"/>
                <w:sz w:val="16"/>
                <w:szCs w:val="16"/>
                <w:color w:val="auto"/>
              </w:rPr>
              <w:t>94.1</w:t>
            </w:r>
          </w:p>
        </w:tc>
        <w:tc>
          <w:tcPr>
            <w:tcW w:w="1140" w:type="dxa"/>
            <w:vAlign w:val="bottom"/>
            <w:tcBorders>
              <w:top w:val="single" w:sz="8" w:color="auto"/>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101.8</w:t>
            </w:r>
          </w:p>
        </w:tc>
      </w:tr>
      <w:tr>
        <w:trPr>
          <w:trHeight w:val="223"/>
        </w:trPr>
        <w:tc>
          <w:tcPr>
            <w:tcW w:w="404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Total Energy</w:t>
            </w:r>
          </w:p>
        </w:tc>
        <w:tc>
          <w:tcPr>
            <w:tcW w:w="104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459"/>
              <w:spacing w:after="0" w:line="169" w:lineRule="exact"/>
              <w:rPr>
                <w:sz w:val="20"/>
                <w:szCs w:val="20"/>
                <w:color w:val="auto"/>
              </w:rPr>
            </w:pPr>
            <w:r>
              <w:rPr>
                <w:rFonts w:ascii="Arial" w:cs="Arial" w:eastAsia="Arial" w:hAnsi="Arial"/>
                <w:sz w:val="16"/>
                <w:szCs w:val="16"/>
                <w:color w:val="auto"/>
              </w:rPr>
              <w:t>1,983.5</w:t>
            </w:r>
          </w:p>
        </w:tc>
        <w:tc>
          <w:tcPr>
            <w:tcW w:w="11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Integrated Generation, inter-segment rent, and non-regulated services to our retail customers under the Service Guard Comfort Plan and Tech Services.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Revenue</w:t>
            </w:r>
          </w:p>
        </w:tc>
        <w:tc>
          <w:tcPr>
            <w:tcW w:w="1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2"/>
          </w:tcPr>
          <w:p>
            <w:pPr>
              <w:jc w:val="center"/>
              <w:ind w:right="119"/>
              <w:spacing w:after="0"/>
              <w:rPr>
                <w:sz w:val="20"/>
                <w:szCs w:val="20"/>
                <w:color w:val="auto"/>
              </w:rPr>
            </w:pPr>
            <w:r>
              <w:rPr>
                <w:rFonts w:ascii="Arial" w:cs="Arial" w:eastAsia="Arial" w:hAnsi="Arial"/>
                <w:sz w:val="16"/>
                <w:szCs w:val="16"/>
                <w:b w:val="1"/>
                <w:bCs w:val="1"/>
                <w:color w:val="auto"/>
              </w:rPr>
              <w:t>Quantities Sold</w:t>
            </w:r>
          </w:p>
        </w:tc>
      </w:tr>
      <w:tr>
        <w:trPr>
          <w:trHeight w:val="168"/>
        </w:trPr>
        <w:tc>
          <w:tcPr>
            <w:tcW w:w="3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60" w:type="dxa"/>
            <w:vAlign w:val="bottom"/>
            <w:gridSpan w:val="4"/>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2980" w:type="dxa"/>
            <w:vAlign w:val="bottom"/>
            <w:gridSpan w:val="2"/>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39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8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2025</w:t>
            </w: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183"/>
        </w:trPr>
        <w:tc>
          <w:tcPr>
            <w:tcW w:w="3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millions)</w:t>
            </w:r>
          </w:p>
        </w:tc>
        <w:tc>
          <w:tcPr>
            <w:tcW w:w="1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left="879"/>
              <w:spacing w:after="0" w:line="183" w:lineRule="exact"/>
              <w:rPr>
                <w:sz w:val="20"/>
                <w:szCs w:val="20"/>
                <w:color w:val="auto"/>
              </w:rPr>
            </w:pPr>
            <w:r>
              <w:rPr>
                <w:rFonts w:ascii="Arial" w:cs="Arial" w:eastAsia="Arial" w:hAnsi="Arial"/>
                <w:sz w:val="16"/>
                <w:szCs w:val="16"/>
                <w:color w:val="auto"/>
                <w:w w:val="99"/>
              </w:rPr>
              <w:t>(in GWh)</w:t>
            </w:r>
          </w:p>
        </w:tc>
        <w:tc>
          <w:tcPr>
            <w:tcW w:w="1140" w:type="dxa"/>
            <w:vAlign w:val="bottom"/>
            <w:tcBorders>
              <w:bottom w:val="single" w:sz="8" w:color="auto"/>
            </w:tcBorders>
          </w:tcPr>
          <w:p>
            <w:pPr>
              <w:spacing w:after="0"/>
              <w:rPr>
                <w:sz w:val="15"/>
                <w:szCs w:val="15"/>
                <w:color w:val="auto"/>
              </w:rPr>
            </w:pPr>
          </w:p>
        </w:tc>
      </w:tr>
      <w:tr>
        <w:trPr>
          <w:trHeight w:val="183"/>
        </w:trPr>
        <w:tc>
          <w:tcPr>
            <w:tcW w:w="3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2220" w:type="dxa"/>
            <w:vAlign w:val="bottom"/>
            <w:gridSpan w:val="2"/>
            <w:shd w:val="clear" w:color="auto" w:fill="CFF0FC"/>
          </w:tcPr>
          <w:p>
            <w:pPr>
              <w:jc w:val="right"/>
              <w:ind w:right="75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72.4</w:t>
            </w:r>
          </w:p>
        </w:tc>
        <w:tc>
          <w:tcPr>
            <w:tcW w:w="46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69.7</w:t>
            </w:r>
          </w:p>
        </w:tc>
        <w:tc>
          <w:tcPr>
            <w:tcW w:w="1840" w:type="dxa"/>
            <w:vAlign w:val="bottom"/>
            <w:shd w:val="clear" w:color="auto" w:fill="CFF0FC"/>
          </w:tcPr>
          <w:p>
            <w:pPr>
              <w:jc w:val="right"/>
              <w:ind w:right="459"/>
              <w:spacing w:after="0" w:line="183" w:lineRule="exact"/>
              <w:rPr>
                <w:sz w:val="20"/>
                <w:szCs w:val="20"/>
                <w:color w:val="auto"/>
              </w:rPr>
            </w:pPr>
            <w:r>
              <w:rPr>
                <w:rFonts w:ascii="Arial" w:cs="Arial" w:eastAsia="Arial" w:hAnsi="Arial"/>
                <w:sz w:val="16"/>
                <w:szCs w:val="16"/>
                <w:color w:val="auto"/>
              </w:rPr>
              <w:t>532.3</w:t>
            </w:r>
          </w:p>
        </w:tc>
        <w:tc>
          <w:tcPr>
            <w:tcW w:w="1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555.7</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South Dakota Electric</w:t>
            </w:r>
          </w:p>
        </w:tc>
        <w:tc>
          <w:tcPr>
            <w:tcW w:w="1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86.9</w:t>
            </w:r>
          </w:p>
        </w:tc>
        <w:tc>
          <w:tcPr>
            <w:tcW w:w="46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80.6</w:t>
            </w:r>
          </w:p>
        </w:tc>
        <w:tc>
          <w:tcPr>
            <w:tcW w:w="1840" w:type="dxa"/>
            <w:vAlign w:val="bottom"/>
          </w:tcPr>
          <w:p>
            <w:pPr>
              <w:jc w:val="right"/>
              <w:ind w:right="459"/>
              <w:spacing w:after="0"/>
              <w:rPr>
                <w:sz w:val="20"/>
                <w:szCs w:val="20"/>
                <w:color w:val="auto"/>
              </w:rPr>
            </w:pPr>
            <w:r>
              <w:rPr>
                <w:rFonts w:ascii="Arial" w:cs="Arial" w:eastAsia="Arial" w:hAnsi="Arial"/>
                <w:sz w:val="16"/>
                <w:szCs w:val="16"/>
                <w:color w:val="auto"/>
              </w:rPr>
              <w:t>682.0</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621.1</w:t>
            </w:r>
          </w:p>
        </w:tc>
      </w:tr>
      <w:tr>
        <w:trPr>
          <w:trHeight w:val="189"/>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1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4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60.8</w:t>
            </w:r>
          </w:p>
        </w:tc>
        <w:tc>
          <w:tcPr>
            <w:tcW w:w="18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645.8</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575.2</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Integrated Generation</w:t>
            </w:r>
          </w:p>
        </w:tc>
        <w:tc>
          <w:tcPr>
            <w:tcW w:w="1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w:t>
            </w:r>
          </w:p>
        </w:tc>
        <w:tc>
          <w:tcPr>
            <w:tcW w:w="18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29.3</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w:t>
            </w:r>
          </w:p>
        </w:tc>
      </w:tr>
      <w:tr>
        <w:trPr>
          <w:trHeight w:val="223"/>
        </w:trPr>
        <w:tc>
          <w:tcPr>
            <w:tcW w:w="392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Total Revenue and Quantities Sold</w:t>
            </w:r>
          </w:p>
        </w:tc>
        <w:tc>
          <w:tcPr>
            <w:tcW w:w="1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line="169"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236.7</w:t>
            </w:r>
          </w:p>
        </w:tc>
        <w:tc>
          <w:tcPr>
            <w:tcW w:w="460" w:type="dxa"/>
            <w:vAlign w:val="bottom"/>
            <w:tcBorders>
              <w:bottom w:val="single" w:sz="8" w:color="auto"/>
            </w:tcBorders>
            <w:shd w:val="clear" w:color="auto" w:fill="CFF0FC"/>
          </w:tcPr>
          <w:p>
            <w:pPr>
              <w:jc w:val="right"/>
              <w:ind w:right="219"/>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rPr>
              <w:t>222.2</w:t>
            </w:r>
          </w:p>
        </w:tc>
        <w:tc>
          <w:tcPr>
            <w:tcW w:w="1840" w:type="dxa"/>
            <w:vAlign w:val="bottom"/>
            <w:tcBorders>
              <w:bottom w:val="single" w:sz="8" w:color="auto"/>
            </w:tcBorders>
            <w:shd w:val="clear" w:color="auto" w:fill="CFF0FC"/>
          </w:tcPr>
          <w:p>
            <w:pPr>
              <w:jc w:val="right"/>
              <w:ind w:right="459"/>
              <w:spacing w:after="0" w:line="169" w:lineRule="exact"/>
              <w:rPr>
                <w:sz w:val="20"/>
                <w:szCs w:val="20"/>
                <w:color w:val="auto"/>
              </w:rPr>
            </w:pPr>
            <w:r>
              <w:rPr>
                <w:rFonts w:ascii="Arial" w:cs="Arial" w:eastAsia="Arial" w:hAnsi="Arial"/>
                <w:sz w:val="16"/>
                <w:szCs w:val="16"/>
                <w:color w:val="auto"/>
              </w:rPr>
              <w:t>1,889.4</w:t>
            </w:r>
          </w:p>
        </w:tc>
        <w:tc>
          <w:tcPr>
            <w:tcW w:w="11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1,780.0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4820" w:type="dxa"/>
            <w:vAlign w:val="bottom"/>
            <w:gridSpan w:val="2"/>
          </w:tcPr>
          <w:p>
            <w:pPr>
              <w:jc w:val="right"/>
              <w:ind w:right="1199"/>
              <w:spacing w:after="0"/>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Quantities Generated and Purchased by Fuel Type</w:t>
            </w:r>
          </w:p>
        </w:tc>
        <w:tc>
          <w:tcPr>
            <w:tcW w:w="302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2025</w:t>
            </w:r>
          </w:p>
        </w:tc>
        <w:tc>
          <w:tcPr>
            <w:tcW w:w="18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2024</w:t>
            </w:r>
          </w:p>
        </w:tc>
      </w:tr>
      <w:tr>
        <w:trPr>
          <w:trHeight w:val="183"/>
        </w:trPr>
        <w:tc>
          <w:tcPr>
            <w:tcW w:w="6420" w:type="dxa"/>
            <w:vAlign w:val="bottom"/>
          </w:tcPr>
          <w:p>
            <w:pPr>
              <w:spacing w:after="0"/>
              <w:rPr>
                <w:sz w:val="15"/>
                <w:szCs w:val="15"/>
                <w:color w:val="auto"/>
              </w:rPr>
            </w:pPr>
          </w:p>
        </w:tc>
        <w:tc>
          <w:tcPr>
            <w:tcW w:w="30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(in GWh)</w:t>
            </w:r>
          </w:p>
        </w:tc>
        <w:tc>
          <w:tcPr>
            <w:tcW w:w="1800" w:type="dxa"/>
            <w:vAlign w:val="bottom"/>
            <w:tcBorders>
              <w:bottom w:val="single" w:sz="8" w:color="auto"/>
            </w:tcBorders>
          </w:tcPr>
          <w:p>
            <w:pPr>
              <w:spacing w:after="0"/>
              <w:rPr>
                <w:sz w:val="15"/>
                <w:szCs w:val="15"/>
                <w:color w:val="auto"/>
              </w:rPr>
            </w:pPr>
          </w:p>
        </w:tc>
      </w:tr>
      <w:tr>
        <w:trPr>
          <w:trHeight w:val="183"/>
        </w:trPr>
        <w:tc>
          <w:tcPr>
            <w:tcW w:w="64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302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r>
      <w:tr>
        <w:trPr>
          <w:trHeight w:val="189"/>
        </w:trPr>
        <w:tc>
          <w:tcPr>
            <w:tcW w:w="642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(a)</w:t>
            </w:r>
          </w:p>
        </w:tc>
        <w:tc>
          <w:tcPr>
            <w:tcW w:w="3020" w:type="dxa"/>
            <w:vAlign w:val="bottom"/>
          </w:tcPr>
          <w:p>
            <w:pPr>
              <w:jc w:val="right"/>
              <w:ind w:right="699"/>
              <w:spacing w:after="0"/>
              <w:rPr>
                <w:sz w:val="20"/>
                <w:szCs w:val="20"/>
                <w:color w:val="auto"/>
              </w:rPr>
            </w:pPr>
            <w:r>
              <w:rPr>
                <w:rFonts w:ascii="Arial" w:cs="Arial" w:eastAsia="Arial" w:hAnsi="Arial"/>
                <w:sz w:val="16"/>
                <w:szCs w:val="16"/>
                <w:color w:val="auto"/>
              </w:rPr>
              <w:t>599.9</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680.7</w:t>
            </w:r>
          </w:p>
        </w:tc>
      </w:tr>
      <w:tr>
        <w:trPr>
          <w:trHeight w:val="189"/>
        </w:trPr>
        <w:tc>
          <w:tcPr>
            <w:tcW w:w="6420" w:type="dxa"/>
            <w:vAlign w:val="bottom"/>
            <w:shd w:val="clear" w:color="auto" w:fill="CFF0FC"/>
          </w:tcPr>
          <w:p>
            <w:pPr>
              <w:ind w:left="60"/>
              <w:spacing w:after="0"/>
              <w:rPr>
                <w:sz w:val="20"/>
                <w:szCs w:val="20"/>
                <w:color w:val="auto"/>
              </w:rPr>
            </w:pPr>
            <w:r>
              <w:rPr>
                <w:rFonts w:ascii="Arial" w:cs="Arial" w:eastAsia="Arial" w:hAnsi="Arial"/>
                <w:sz w:val="16"/>
                <w:szCs w:val="16"/>
                <w:color w:val="auto"/>
              </w:rPr>
              <w:t>Natural Gas and Oil</w:t>
            </w:r>
          </w:p>
        </w:tc>
        <w:tc>
          <w:tcPr>
            <w:tcW w:w="302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rPr>
              <w:t>512.1</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523.4</w:t>
            </w:r>
          </w:p>
        </w:tc>
      </w:tr>
      <w:tr>
        <w:trPr>
          <w:trHeight w:val="189"/>
        </w:trPr>
        <w:tc>
          <w:tcPr>
            <w:tcW w:w="6420" w:type="dxa"/>
            <w:vAlign w:val="bottom"/>
          </w:tcPr>
          <w:p>
            <w:pPr>
              <w:ind w:left="60"/>
              <w:spacing w:after="0"/>
              <w:rPr>
                <w:sz w:val="20"/>
                <w:szCs w:val="20"/>
                <w:color w:val="auto"/>
              </w:rPr>
            </w:pPr>
            <w:r>
              <w:rPr>
                <w:rFonts w:ascii="Arial" w:cs="Arial" w:eastAsia="Arial" w:hAnsi="Arial"/>
                <w:sz w:val="16"/>
                <w:szCs w:val="16"/>
                <w:color w:val="auto"/>
              </w:rPr>
              <w:t>Wind</w:t>
            </w:r>
          </w:p>
        </w:tc>
        <w:tc>
          <w:tcPr>
            <w:tcW w:w="30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175.4</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174.0</w:t>
            </w:r>
          </w:p>
        </w:tc>
      </w:tr>
      <w:tr>
        <w:trPr>
          <w:trHeight w:val="183"/>
        </w:trPr>
        <w:tc>
          <w:tcPr>
            <w:tcW w:w="64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Generated</w:t>
            </w:r>
          </w:p>
        </w:tc>
        <w:tc>
          <w:tcPr>
            <w:tcW w:w="3020" w:type="dxa"/>
            <w:vAlign w:val="bottom"/>
            <w:tcBorders>
              <w:bottom w:val="single" w:sz="8" w:color="auto"/>
            </w:tcBorders>
            <w:shd w:val="clear" w:color="auto" w:fill="CFF0FC"/>
          </w:tcPr>
          <w:p>
            <w:pPr>
              <w:jc w:val="right"/>
              <w:ind w:right="699"/>
              <w:spacing w:after="0" w:line="183" w:lineRule="exact"/>
              <w:rPr>
                <w:sz w:val="20"/>
                <w:szCs w:val="20"/>
                <w:color w:val="auto"/>
              </w:rPr>
            </w:pPr>
            <w:r>
              <w:rPr>
                <w:rFonts w:ascii="Arial" w:cs="Arial" w:eastAsia="Arial" w:hAnsi="Arial"/>
                <w:sz w:val="16"/>
                <w:szCs w:val="16"/>
                <w:color w:val="auto"/>
              </w:rPr>
              <w:t>1,287.4</w:t>
            </w:r>
          </w:p>
        </w:tc>
        <w:tc>
          <w:tcPr>
            <w:tcW w:w="18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1,378.1</w:t>
            </w:r>
          </w:p>
        </w:tc>
      </w:tr>
      <w:tr>
        <w:trPr>
          <w:trHeight w:val="183"/>
        </w:trPr>
        <w:tc>
          <w:tcPr>
            <w:tcW w:w="6420" w:type="dxa"/>
            <w:vAlign w:val="bottom"/>
          </w:tcPr>
          <w:p>
            <w:pPr>
              <w:spacing w:after="0" w:line="183" w:lineRule="exact"/>
              <w:rPr>
                <w:sz w:val="20"/>
                <w:szCs w:val="20"/>
                <w:color w:val="auto"/>
              </w:rPr>
            </w:pPr>
            <w:r>
              <w:rPr>
                <w:rFonts w:ascii="Arial" w:cs="Arial" w:eastAsia="Arial" w:hAnsi="Arial"/>
                <w:sz w:val="16"/>
                <w:szCs w:val="16"/>
                <w:color w:val="auto"/>
              </w:rPr>
              <w:t>Purchased:</w:t>
            </w:r>
          </w:p>
        </w:tc>
        <w:tc>
          <w:tcPr>
            <w:tcW w:w="30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9"/>
        </w:trPr>
        <w:tc>
          <w:tcPr>
            <w:tcW w:w="642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Coal, Natural Gas, Oil, and Other Market Purchases </w:t>
            </w:r>
            <w:r>
              <w:rPr>
                <w:rFonts w:ascii="Arial" w:cs="Arial" w:eastAsia="Arial" w:hAnsi="Arial"/>
                <w:sz w:val="21"/>
                <w:szCs w:val="21"/>
                <w:color w:val="auto"/>
                <w:vertAlign w:val="superscript"/>
              </w:rPr>
              <w:t>(a)</w:t>
            </w:r>
          </w:p>
        </w:tc>
        <w:tc>
          <w:tcPr>
            <w:tcW w:w="3020" w:type="dxa"/>
            <w:vAlign w:val="bottom"/>
            <w:shd w:val="clear" w:color="auto" w:fill="CFF0FC"/>
          </w:tcPr>
          <w:p>
            <w:pPr>
              <w:jc w:val="right"/>
              <w:ind w:right="699"/>
              <w:spacing w:after="0"/>
              <w:rPr>
                <w:sz w:val="20"/>
                <w:szCs w:val="20"/>
                <w:color w:val="auto"/>
              </w:rPr>
            </w:pPr>
            <w:r>
              <w:rPr>
                <w:rFonts w:ascii="Arial" w:cs="Arial" w:eastAsia="Arial" w:hAnsi="Arial"/>
                <w:sz w:val="16"/>
                <w:szCs w:val="16"/>
                <w:color w:val="auto"/>
              </w:rPr>
              <w:t>375.7</w:t>
            </w:r>
          </w:p>
        </w:tc>
        <w:tc>
          <w:tcPr>
            <w:tcW w:w="1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288.9</w:t>
            </w:r>
          </w:p>
        </w:tc>
      </w:tr>
      <w:tr>
        <w:trPr>
          <w:trHeight w:val="189"/>
        </w:trPr>
        <w:tc>
          <w:tcPr>
            <w:tcW w:w="642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Wind and Solar </w:t>
            </w:r>
            <w:r>
              <w:rPr>
                <w:rFonts w:ascii="Arial" w:cs="Arial" w:eastAsia="Arial" w:hAnsi="Arial"/>
                <w:sz w:val="21"/>
                <w:szCs w:val="21"/>
                <w:color w:val="auto"/>
                <w:vertAlign w:val="superscript"/>
              </w:rPr>
              <w:t>(b)</w:t>
            </w:r>
          </w:p>
        </w:tc>
        <w:tc>
          <w:tcPr>
            <w:tcW w:w="30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320.4</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214.8</w:t>
            </w:r>
          </w:p>
        </w:tc>
      </w:tr>
      <w:tr>
        <w:trPr>
          <w:trHeight w:val="183"/>
        </w:trPr>
        <w:tc>
          <w:tcPr>
            <w:tcW w:w="64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Total Purchased</w:t>
            </w:r>
          </w:p>
        </w:tc>
        <w:tc>
          <w:tcPr>
            <w:tcW w:w="3020" w:type="dxa"/>
            <w:vAlign w:val="bottom"/>
            <w:tcBorders>
              <w:bottom w:val="single" w:sz="8" w:color="auto"/>
            </w:tcBorders>
            <w:shd w:val="clear" w:color="auto" w:fill="CFF0FC"/>
          </w:tcPr>
          <w:p>
            <w:pPr>
              <w:jc w:val="right"/>
              <w:ind w:right="699"/>
              <w:spacing w:after="0" w:line="183" w:lineRule="exact"/>
              <w:rPr>
                <w:sz w:val="20"/>
                <w:szCs w:val="20"/>
                <w:color w:val="auto"/>
              </w:rPr>
            </w:pPr>
            <w:r>
              <w:rPr>
                <w:rFonts w:ascii="Arial" w:cs="Arial" w:eastAsia="Arial" w:hAnsi="Arial"/>
                <w:sz w:val="16"/>
                <w:szCs w:val="16"/>
                <w:color w:val="auto"/>
              </w:rPr>
              <w:t>696.1</w:t>
            </w:r>
          </w:p>
        </w:tc>
        <w:tc>
          <w:tcPr>
            <w:tcW w:w="18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503.7</w:t>
            </w:r>
          </w:p>
        </w:tc>
      </w:tr>
      <w:tr>
        <w:trPr>
          <w:trHeight w:val="183"/>
        </w:trPr>
        <w:tc>
          <w:tcPr>
            <w:tcW w:w="64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29"/>
        </w:trPr>
        <w:tc>
          <w:tcPr>
            <w:tcW w:w="64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3020" w:type="dxa"/>
            <w:vAlign w:val="bottom"/>
            <w:tcBorders>
              <w:bottom w:val="single" w:sz="8" w:color="auto"/>
            </w:tcBorders>
            <w:shd w:val="clear" w:color="auto" w:fill="CFF0FC"/>
          </w:tcPr>
          <w:p>
            <w:pPr>
              <w:jc w:val="right"/>
              <w:ind w:right="699"/>
              <w:spacing w:after="0" w:line="169" w:lineRule="exact"/>
              <w:rPr>
                <w:sz w:val="20"/>
                <w:szCs w:val="20"/>
                <w:color w:val="auto"/>
              </w:rPr>
            </w:pPr>
            <w:r>
              <w:rPr>
                <w:rFonts w:ascii="Arial" w:cs="Arial" w:eastAsia="Arial" w:hAnsi="Arial"/>
                <w:sz w:val="16"/>
                <w:szCs w:val="16"/>
                <w:color w:val="auto"/>
              </w:rPr>
              <w:t>1,983.5</w:t>
            </w:r>
          </w:p>
        </w:tc>
        <w:tc>
          <w:tcPr>
            <w:tcW w:w="18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1,881.8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260" w:hanging="512"/>
        <w:spacing w:after="0" w:line="251"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shift between coal generation and coal, natural gas, oil and other market purchases for the three months ended March 31, 2025 compared to the same period in 2024 was primarily due to unplanned outages at Wygen III.</w:t>
      </w:r>
    </w:p>
    <w:p>
      <w:pPr>
        <w:spacing w:after="0" w:line="1" w:lineRule="exact"/>
        <w:rPr>
          <w:rFonts w:ascii="Arial" w:cs="Arial" w:eastAsia="Arial" w:hAnsi="Arial"/>
          <w:sz w:val="14"/>
          <w:szCs w:val="14"/>
          <w:color w:val="auto"/>
        </w:rPr>
      </w:pPr>
    </w:p>
    <w:p>
      <w:pPr>
        <w:ind w:left="520" w:right="280" w:hanging="512"/>
        <w:spacing w:after="0" w:line="249"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increase in wind and solar GWh purchased for the three months ended March 31, 2025, compared to the same period in 2024 was primarily due to a new solar PPA. In 2022, Wyoming Electric entered into a new solar PPA with third party to purchase up to 150 MW of solar energy, upon construction of new renewable generation facility (owned by third party). The solar facility was placed in service in March 2024. The renewable energy from the PPA is used to serve our expanding partnerships with LPCS customers.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472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Quantities Generated and Purchased</w:t>
            </w:r>
          </w:p>
        </w:tc>
        <w:tc>
          <w:tcPr>
            <w:tcW w:w="2960" w:type="dxa"/>
            <w:vAlign w:val="bottom"/>
            <w:tcBorders>
              <w:bottom w:val="single" w:sz="8" w:color="auto"/>
            </w:tcBorders>
          </w:tcPr>
          <w:p>
            <w:pPr>
              <w:jc w:val="right"/>
              <w:ind w:right="1599"/>
              <w:spacing w:after="0"/>
              <w:rPr>
                <w:sz w:val="20"/>
                <w:szCs w:val="20"/>
                <w:color w:val="auto"/>
              </w:rPr>
            </w:pPr>
            <w:r>
              <w:rPr>
                <w:rFonts w:ascii="Arial" w:cs="Arial" w:eastAsia="Arial" w:hAnsi="Arial"/>
                <w:sz w:val="16"/>
                <w:szCs w:val="16"/>
                <w:b w:val="1"/>
                <w:bCs w:val="1"/>
                <w:color w:val="auto"/>
              </w:rPr>
              <w:t>2025</w:t>
            </w:r>
          </w:p>
        </w:tc>
        <w:tc>
          <w:tcPr>
            <w:tcW w:w="17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2024</w:t>
            </w:r>
          </w:p>
        </w:tc>
      </w:tr>
      <w:tr>
        <w:trPr>
          <w:trHeight w:val="183"/>
        </w:trPr>
        <w:tc>
          <w:tcPr>
            <w:tcW w:w="6520" w:type="dxa"/>
            <w:vAlign w:val="bottom"/>
          </w:tcPr>
          <w:p>
            <w:pPr>
              <w:spacing w:after="0"/>
              <w:rPr>
                <w:sz w:val="15"/>
                <w:szCs w:val="15"/>
                <w:color w:val="auto"/>
              </w:rPr>
            </w:pPr>
          </w:p>
        </w:tc>
        <w:tc>
          <w:tcPr>
            <w:tcW w:w="29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(in GWh)</w:t>
            </w:r>
          </w:p>
        </w:tc>
        <w:tc>
          <w:tcPr>
            <w:tcW w:w="1760" w:type="dxa"/>
            <w:vAlign w:val="bottom"/>
            <w:tcBorders>
              <w:bottom w:val="single" w:sz="8" w:color="auto"/>
            </w:tcBorders>
          </w:tcPr>
          <w:p>
            <w:pPr>
              <w:spacing w:after="0"/>
              <w:rPr>
                <w:sz w:val="15"/>
                <w:szCs w:val="15"/>
                <w:color w:val="auto"/>
              </w:rPr>
            </w:pPr>
          </w:p>
        </w:tc>
      </w:tr>
      <w:tr>
        <w:trPr>
          <w:trHeight w:val="183"/>
        </w:trPr>
        <w:tc>
          <w:tcPr>
            <w:tcW w:w="6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29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r>
      <w:tr>
        <w:trPr>
          <w:trHeight w:val="189"/>
        </w:trPr>
        <w:tc>
          <w:tcPr>
            <w:tcW w:w="6520" w:type="dxa"/>
            <w:vAlign w:val="bottom"/>
          </w:tcPr>
          <w:p>
            <w:pPr>
              <w:ind w:left="60"/>
              <w:spacing w:after="0"/>
              <w:rPr>
                <w:sz w:val="20"/>
                <w:szCs w:val="20"/>
                <w:color w:val="auto"/>
              </w:rPr>
            </w:pPr>
            <w:r>
              <w:rPr>
                <w:rFonts w:ascii="Arial" w:cs="Arial" w:eastAsia="Arial" w:hAnsi="Arial"/>
                <w:sz w:val="16"/>
                <w:szCs w:val="16"/>
                <w:color w:val="auto"/>
              </w:rPr>
              <w:t>Colorado Electric</w:t>
            </w:r>
          </w:p>
        </w:tc>
        <w:tc>
          <w:tcPr>
            <w:tcW w:w="2960" w:type="dxa"/>
            <w:vAlign w:val="bottom"/>
          </w:tcPr>
          <w:p>
            <w:pPr>
              <w:jc w:val="right"/>
              <w:ind w:right="659"/>
              <w:spacing w:after="0"/>
              <w:rPr>
                <w:sz w:val="20"/>
                <w:szCs w:val="20"/>
                <w:color w:val="auto"/>
              </w:rPr>
            </w:pPr>
            <w:r>
              <w:rPr>
                <w:rFonts w:ascii="Arial" w:cs="Arial" w:eastAsia="Arial" w:hAnsi="Arial"/>
                <w:sz w:val="16"/>
                <w:szCs w:val="16"/>
                <w:color w:val="auto"/>
              </w:rPr>
              <w:t>184.3</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161.6</w:t>
            </w:r>
          </w:p>
        </w:tc>
      </w:tr>
      <w:tr>
        <w:trPr>
          <w:trHeight w:val="189"/>
        </w:trPr>
        <w:tc>
          <w:tcPr>
            <w:tcW w:w="652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96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478.9</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534.6</w:t>
            </w:r>
          </w:p>
        </w:tc>
      </w:tr>
      <w:tr>
        <w:trPr>
          <w:trHeight w:val="189"/>
        </w:trPr>
        <w:tc>
          <w:tcPr>
            <w:tcW w:w="6520" w:type="dxa"/>
            <w:vAlign w:val="bottom"/>
          </w:tcPr>
          <w:p>
            <w:pPr>
              <w:ind w:left="60"/>
              <w:spacing w:after="0"/>
              <w:rPr>
                <w:sz w:val="20"/>
                <w:szCs w:val="20"/>
                <w:color w:val="auto"/>
              </w:rPr>
            </w:pPr>
            <w:r>
              <w:rPr>
                <w:rFonts w:ascii="Arial" w:cs="Arial" w:eastAsia="Arial" w:hAnsi="Arial"/>
                <w:sz w:val="16"/>
                <w:szCs w:val="16"/>
                <w:color w:val="auto"/>
              </w:rPr>
              <w:t>Wyoming Electric</w:t>
            </w:r>
          </w:p>
        </w:tc>
        <w:tc>
          <w:tcPr>
            <w:tcW w:w="2960" w:type="dxa"/>
            <w:vAlign w:val="bottom"/>
          </w:tcPr>
          <w:p>
            <w:pPr>
              <w:jc w:val="right"/>
              <w:ind w:right="659"/>
              <w:spacing w:after="0"/>
              <w:rPr>
                <w:sz w:val="20"/>
                <w:szCs w:val="20"/>
                <w:color w:val="auto"/>
              </w:rPr>
            </w:pPr>
            <w:r>
              <w:rPr>
                <w:rFonts w:ascii="Arial" w:cs="Arial" w:eastAsia="Arial" w:hAnsi="Arial"/>
                <w:sz w:val="16"/>
                <w:szCs w:val="16"/>
                <w:color w:val="auto"/>
              </w:rPr>
              <w:t>219.3</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215.2</w:t>
            </w:r>
          </w:p>
        </w:tc>
      </w:tr>
      <w:tr>
        <w:trPr>
          <w:trHeight w:val="189"/>
        </w:trPr>
        <w:tc>
          <w:tcPr>
            <w:tcW w:w="65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Integrated Generation</w:t>
            </w:r>
          </w:p>
        </w:tc>
        <w:tc>
          <w:tcPr>
            <w:tcW w:w="29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rPr>
              <w:t>404.9</w:t>
            </w: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466.7</w:t>
            </w:r>
          </w:p>
        </w:tc>
      </w:tr>
      <w:tr>
        <w:trPr>
          <w:trHeight w:val="183"/>
        </w:trPr>
        <w:tc>
          <w:tcPr>
            <w:tcW w:w="6520" w:type="dxa"/>
            <w:vAlign w:val="bottom"/>
          </w:tcPr>
          <w:p>
            <w:pPr>
              <w:ind w:left="120"/>
              <w:spacing w:after="0" w:line="183" w:lineRule="exact"/>
              <w:rPr>
                <w:sz w:val="20"/>
                <w:szCs w:val="20"/>
                <w:color w:val="auto"/>
              </w:rPr>
            </w:pPr>
            <w:r>
              <w:rPr>
                <w:rFonts w:ascii="Arial" w:cs="Arial" w:eastAsia="Arial" w:hAnsi="Arial"/>
                <w:sz w:val="16"/>
                <w:szCs w:val="16"/>
                <w:color w:val="auto"/>
              </w:rPr>
              <w:t>Total Generated</w:t>
            </w:r>
          </w:p>
        </w:tc>
        <w:tc>
          <w:tcPr>
            <w:tcW w:w="296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color w:val="auto"/>
              </w:rPr>
              <w:t>1,287.4</w:t>
            </w:r>
          </w:p>
        </w:tc>
        <w:tc>
          <w:tcPr>
            <w:tcW w:w="17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1,378.1</w:t>
            </w:r>
          </w:p>
        </w:tc>
      </w:tr>
      <w:tr>
        <w:trPr>
          <w:trHeight w:val="183"/>
        </w:trPr>
        <w:tc>
          <w:tcPr>
            <w:tcW w:w="6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Purchased:</w:t>
            </w:r>
          </w:p>
        </w:tc>
        <w:tc>
          <w:tcPr>
            <w:tcW w:w="29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r>
      <w:tr>
        <w:trPr>
          <w:trHeight w:val="189"/>
        </w:trPr>
        <w:tc>
          <w:tcPr>
            <w:tcW w:w="6520" w:type="dxa"/>
            <w:vAlign w:val="bottom"/>
          </w:tcPr>
          <w:p>
            <w:pPr>
              <w:ind w:left="60"/>
              <w:spacing w:after="0"/>
              <w:rPr>
                <w:sz w:val="20"/>
                <w:szCs w:val="20"/>
                <w:color w:val="auto"/>
              </w:rPr>
            </w:pPr>
            <w:r>
              <w:rPr>
                <w:rFonts w:ascii="Arial" w:cs="Arial" w:eastAsia="Arial" w:hAnsi="Arial"/>
                <w:sz w:val="16"/>
                <w:szCs w:val="16"/>
                <w:color w:val="auto"/>
              </w:rPr>
              <w:t>Colorado Electric</w:t>
            </w:r>
          </w:p>
        </w:tc>
        <w:tc>
          <w:tcPr>
            <w:tcW w:w="2960" w:type="dxa"/>
            <w:vAlign w:val="bottom"/>
          </w:tcPr>
          <w:p>
            <w:pPr>
              <w:jc w:val="right"/>
              <w:ind w:right="659"/>
              <w:spacing w:after="0"/>
              <w:rPr>
                <w:sz w:val="20"/>
                <w:szCs w:val="20"/>
                <w:color w:val="auto"/>
              </w:rPr>
            </w:pPr>
            <w:r>
              <w:rPr>
                <w:rFonts w:ascii="Arial" w:cs="Arial" w:eastAsia="Arial" w:hAnsi="Arial"/>
                <w:sz w:val="16"/>
                <w:szCs w:val="16"/>
                <w:color w:val="auto"/>
              </w:rPr>
              <w:t>90.2</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90.2</w:t>
            </w:r>
          </w:p>
        </w:tc>
      </w:tr>
      <w:tr>
        <w:trPr>
          <w:trHeight w:val="189"/>
        </w:trPr>
        <w:tc>
          <w:tcPr>
            <w:tcW w:w="652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96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211.3</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100.6</w:t>
            </w:r>
          </w:p>
        </w:tc>
      </w:tr>
      <w:tr>
        <w:trPr>
          <w:trHeight w:val="189"/>
        </w:trPr>
        <w:tc>
          <w:tcPr>
            <w:tcW w:w="652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(b)</w:t>
            </w:r>
          </w:p>
        </w:tc>
        <w:tc>
          <w:tcPr>
            <w:tcW w:w="2960" w:type="dxa"/>
            <w:vAlign w:val="bottom"/>
          </w:tcPr>
          <w:p>
            <w:pPr>
              <w:jc w:val="right"/>
              <w:ind w:right="659"/>
              <w:spacing w:after="0"/>
              <w:rPr>
                <w:sz w:val="20"/>
                <w:szCs w:val="20"/>
                <w:color w:val="auto"/>
              </w:rPr>
            </w:pPr>
            <w:r>
              <w:rPr>
                <w:rFonts w:ascii="Arial" w:cs="Arial" w:eastAsia="Arial" w:hAnsi="Arial"/>
                <w:sz w:val="16"/>
                <w:szCs w:val="16"/>
                <w:color w:val="auto"/>
              </w:rPr>
              <w:t>376.1</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295.7</w:t>
            </w:r>
          </w:p>
        </w:tc>
      </w:tr>
      <w:tr>
        <w:trPr>
          <w:trHeight w:val="189"/>
        </w:trPr>
        <w:tc>
          <w:tcPr>
            <w:tcW w:w="65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Integrated Generation</w:t>
            </w:r>
          </w:p>
        </w:tc>
        <w:tc>
          <w:tcPr>
            <w:tcW w:w="29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6"/>
                <w:szCs w:val="16"/>
                <w:color w:val="auto"/>
              </w:rPr>
              <w:t>18.5</w:t>
            </w: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17.2</w:t>
            </w:r>
          </w:p>
        </w:tc>
      </w:tr>
      <w:tr>
        <w:trPr>
          <w:trHeight w:val="183"/>
        </w:trPr>
        <w:tc>
          <w:tcPr>
            <w:tcW w:w="6520" w:type="dxa"/>
            <w:vAlign w:val="bottom"/>
          </w:tcPr>
          <w:p>
            <w:pPr>
              <w:ind w:left="120"/>
              <w:spacing w:after="0" w:line="183" w:lineRule="exact"/>
              <w:rPr>
                <w:sz w:val="20"/>
                <w:szCs w:val="20"/>
                <w:color w:val="auto"/>
              </w:rPr>
            </w:pPr>
            <w:r>
              <w:rPr>
                <w:rFonts w:ascii="Arial" w:cs="Arial" w:eastAsia="Arial" w:hAnsi="Arial"/>
                <w:sz w:val="16"/>
                <w:szCs w:val="16"/>
                <w:color w:val="auto"/>
              </w:rPr>
              <w:t>Total Purchased</w:t>
            </w:r>
          </w:p>
        </w:tc>
        <w:tc>
          <w:tcPr>
            <w:tcW w:w="296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color w:val="auto"/>
              </w:rPr>
              <w:t>696.1</w:t>
            </w:r>
          </w:p>
        </w:tc>
        <w:tc>
          <w:tcPr>
            <w:tcW w:w="17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503.7</w:t>
            </w:r>
          </w:p>
        </w:tc>
      </w:tr>
      <w:tr>
        <w:trPr>
          <w:trHeight w:val="183"/>
        </w:trPr>
        <w:tc>
          <w:tcPr>
            <w:tcW w:w="6520" w:type="dxa"/>
            <w:vAlign w:val="bottom"/>
            <w:shd w:val="clear" w:color="auto" w:fill="CFF0FC"/>
          </w:tcPr>
          <w:p>
            <w:pPr>
              <w:spacing w:after="0"/>
              <w:rPr>
                <w:sz w:val="15"/>
                <w:szCs w:val="15"/>
                <w:color w:val="auto"/>
              </w:rPr>
            </w:pPr>
          </w:p>
        </w:tc>
        <w:tc>
          <w:tcPr>
            <w:tcW w:w="296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r>
      <w:tr>
        <w:trPr>
          <w:trHeight w:val="189"/>
        </w:trPr>
        <w:tc>
          <w:tcPr>
            <w:tcW w:w="6520" w:type="dxa"/>
            <w:vAlign w:val="bottom"/>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2960" w:type="dxa"/>
            <w:vAlign w:val="bottom"/>
            <w:tcBorders>
              <w:bottom w:val="single" w:sz="8" w:color="auto"/>
            </w:tcBorders>
          </w:tcPr>
          <w:p>
            <w:pPr>
              <w:jc w:val="right"/>
              <w:ind w:right="659"/>
              <w:spacing w:after="0" w:line="169" w:lineRule="exact"/>
              <w:rPr>
                <w:sz w:val="20"/>
                <w:szCs w:val="20"/>
                <w:color w:val="auto"/>
              </w:rPr>
            </w:pPr>
            <w:r>
              <w:rPr>
                <w:rFonts w:ascii="Arial" w:cs="Arial" w:eastAsia="Arial" w:hAnsi="Arial"/>
                <w:sz w:val="16"/>
                <w:szCs w:val="16"/>
                <w:color w:val="auto"/>
              </w:rPr>
              <w:t>1,983.5</w:t>
            </w:r>
          </w:p>
        </w:tc>
        <w:tc>
          <w:tcPr>
            <w:tcW w:w="17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1,881.8</w:t>
            </w:r>
          </w:p>
        </w:tc>
      </w:tr>
      <w:tr>
        <w:trPr>
          <w:trHeight w:val="20"/>
        </w:trPr>
        <w:tc>
          <w:tcPr>
            <w:tcW w:w="65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20" w:hanging="512"/>
        <w:spacing w:after="0" w:line="251"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shift between South Dakota Electric's generated and purchased GWh for the three months ended March 31, 2025, compared to the same period in 2024 is primarily due to unplanned outages at Wygen III.</w:t>
      </w:r>
    </w:p>
    <w:p>
      <w:pPr>
        <w:spacing w:after="0" w:line="1" w:lineRule="exact"/>
        <w:rPr>
          <w:rFonts w:ascii="Arial" w:cs="Arial" w:eastAsia="Arial" w:hAnsi="Arial"/>
          <w:sz w:val="14"/>
          <w:szCs w:val="14"/>
          <w:color w:val="auto"/>
        </w:rPr>
      </w:pPr>
    </w:p>
    <w:p>
      <w:pPr>
        <w:ind w:left="520" w:right="160" w:hanging="512"/>
        <w:spacing w:after="0" w:line="264"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discussed in footnote (b) in the Quantities Generated and Purchased by Fuel Type table above, the increase in Wyoming Electric's purchases is primarily driven by its solar PPA from the facility that was placed in service in March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80" w:type="dxa"/>
            <w:vAlign w:val="bottom"/>
            <w:gridSpan w:val="2"/>
          </w:tcPr>
          <w:p>
            <w:pPr>
              <w:ind w:left="920"/>
              <w:spacing w:after="0"/>
              <w:rPr>
                <w:sz w:val="20"/>
                <w:szCs w:val="20"/>
                <w:color w:val="auto"/>
              </w:rPr>
            </w:pPr>
            <w:r>
              <w:rPr>
                <w:rFonts w:ascii="Arial" w:cs="Arial" w:eastAsia="Arial" w:hAnsi="Arial"/>
                <w:sz w:val="16"/>
                <w:szCs w:val="16"/>
                <w:b w:val="1"/>
                <w:bCs w:val="1"/>
                <w:color w:val="auto"/>
              </w:rPr>
              <w:t>Three Months Ended March 31,</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vMerge w:val="restart"/>
          </w:tcPr>
          <w:p>
            <w:pPr>
              <w:spacing w:after="0"/>
              <w:rPr>
                <w:sz w:val="20"/>
                <w:szCs w:val="20"/>
                <w:color w:val="auto"/>
              </w:rPr>
            </w:pPr>
            <w:r>
              <w:rPr>
                <w:rFonts w:ascii="Arial" w:cs="Arial" w:eastAsia="Arial" w:hAnsi="Arial"/>
                <w:sz w:val="16"/>
                <w:szCs w:val="16"/>
                <w:b w:val="1"/>
                <w:bCs w:val="1"/>
                <w:color w:val="auto"/>
              </w:rPr>
              <w:t>Heating Degree Days</w:t>
            </w:r>
          </w:p>
        </w:tc>
        <w:tc>
          <w:tcPr>
            <w:tcW w:w="13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right"/>
              <w:ind w:right="1739"/>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center"/>
              <w:ind w:left="299"/>
              <w:spacing w:after="0" w:line="183" w:lineRule="exact"/>
              <w:rPr>
                <w:sz w:val="20"/>
                <w:szCs w:val="20"/>
                <w:color w:val="auto"/>
              </w:rPr>
            </w:pPr>
            <w:r>
              <w:rPr>
                <w:rFonts w:ascii="Arial" w:cs="Arial" w:eastAsia="Arial" w:hAnsi="Arial"/>
                <w:sz w:val="16"/>
                <w:szCs w:val="16"/>
                <w:b w:val="1"/>
                <w:bCs w:val="1"/>
                <w:color w:val="auto"/>
                <w:w w:val="98"/>
              </w:rPr>
              <w:t>Actual</w:t>
            </w:r>
          </w:p>
        </w:tc>
        <w:tc>
          <w:tcPr>
            <w:tcW w:w="24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Variance from Normal</w:t>
            </w:r>
          </w:p>
        </w:tc>
        <w:tc>
          <w:tcPr>
            <w:tcW w:w="10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98"/>
              </w:rPr>
              <w:t>Actual</w:t>
            </w:r>
          </w:p>
        </w:tc>
        <w:tc>
          <w:tcPr>
            <w:tcW w:w="2060" w:type="dxa"/>
            <w:vAlign w:val="bottom"/>
            <w:tcBorders>
              <w:bottom w:val="single" w:sz="8" w:color="auto"/>
            </w:tcBorders>
          </w:tcPr>
          <w:p>
            <w:pPr>
              <w:jc w:val="center"/>
              <w:ind w:left="259"/>
              <w:spacing w:after="0" w:line="183" w:lineRule="exact"/>
              <w:rPr>
                <w:sz w:val="20"/>
                <w:szCs w:val="20"/>
                <w:color w:val="auto"/>
              </w:rPr>
            </w:pPr>
            <w:r>
              <w:rPr>
                <w:rFonts w:ascii="Arial" w:cs="Arial" w:eastAsia="Arial" w:hAnsi="Arial"/>
                <w:sz w:val="16"/>
                <w:szCs w:val="16"/>
                <w:b w:val="1"/>
                <w:bCs w:val="1"/>
                <w:color w:val="auto"/>
              </w:rPr>
              <w:t>Variance from Normal</w:t>
            </w:r>
          </w:p>
        </w:tc>
        <w:tc>
          <w:tcPr>
            <w:tcW w:w="0" w:type="dxa"/>
            <w:vAlign w:val="bottom"/>
          </w:tcPr>
          <w:p>
            <w:pPr>
              <w:spacing w:after="0"/>
              <w:rPr>
                <w:sz w:val="1"/>
                <w:szCs w:val="1"/>
                <w:color w:val="auto"/>
              </w:rPr>
            </w:pPr>
          </w:p>
        </w:tc>
      </w:tr>
      <w:tr>
        <w:trPr>
          <w:trHeight w:val="183"/>
        </w:trPr>
        <w:tc>
          <w:tcPr>
            <w:tcW w:w="440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Colorado Electric</w:t>
            </w:r>
          </w:p>
        </w:tc>
        <w:tc>
          <w:tcPr>
            <w:tcW w:w="1300" w:type="dxa"/>
            <w:vAlign w:val="bottom"/>
            <w:shd w:val="clear" w:color="auto" w:fill="CFF0FC"/>
          </w:tcPr>
          <w:p>
            <w:pPr>
              <w:jc w:val="center"/>
              <w:ind w:left="299"/>
              <w:spacing w:after="0" w:line="183" w:lineRule="exact"/>
              <w:rPr>
                <w:sz w:val="20"/>
                <w:szCs w:val="20"/>
                <w:color w:val="auto"/>
              </w:rPr>
            </w:pPr>
            <w:r>
              <w:rPr>
                <w:rFonts w:ascii="Arial" w:cs="Arial" w:eastAsia="Arial" w:hAnsi="Arial"/>
                <w:sz w:val="16"/>
                <w:szCs w:val="16"/>
                <w:color w:val="auto"/>
                <w:w w:val="99"/>
              </w:rPr>
              <w:t>2,733</w:t>
            </w:r>
          </w:p>
        </w:tc>
        <w:tc>
          <w:tcPr>
            <w:tcW w:w="240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4"/>
              </w:rPr>
              <w:t>9%</w:t>
            </w:r>
          </w:p>
        </w:tc>
        <w:tc>
          <w:tcPr>
            <w:tcW w:w="10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2,507</w:t>
            </w:r>
          </w:p>
        </w:tc>
        <w:tc>
          <w:tcPr>
            <w:tcW w:w="2060" w:type="dxa"/>
            <w:vAlign w:val="bottom"/>
            <w:shd w:val="clear" w:color="auto" w:fill="CFF0FC"/>
          </w:tcPr>
          <w:p>
            <w:pPr>
              <w:jc w:val="center"/>
              <w:ind w:left="239"/>
              <w:spacing w:after="0" w:line="18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4400" w:type="dxa"/>
            <w:vAlign w:val="bottom"/>
          </w:tcPr>
          <w:p>
            <w:pPr>
              <w:ind w:left="40"/>
              <w:spacing w:after="0"/>
              <w:rPr>
                <w:sz w:val="20"/>
                <w:szCs w:val="20"/>
                <w:color w:val="auto"/>
              </w:rPr>
            </w:pPr>
            <w:r>
              <w:rPr>
                <w:rFonts w:ascii="Arial" w:cs="Arial" w:eastAsia="Arial" w:hAnsi="Arial"/>
                <w:sz w:val="16"/>
                <w:szCs w:val="16"/>
                <w:color w:val="auto"/>
              </w:rPr>
              <w:t>South Dakota Electric</w:t>
            </w:r>
          </w:p>
        </w:tc>
        <w:tc>
          <w:tcPr>
            <w:tcW w:w="1300" w:type="dxa"/>
            <w:vAlign w:val="bottom"/>
          </w:tcPr>
          <w:p>
            <w:pPr>
              <w:jc w:val="center"/>
              <w:ind w:left="299"/>
              <w:spacing w:after="0"/>
              <w:rPr>
                <w:sz w:val="20"/>
                <w:szCs w:val="20"/>
                <w:color w:val="auto"/>
              </w:rPr>
            </w:pPr>
            <w:r>
              <w:rPr>
                <w:rFonts w:ascii="Arial" w:cs="Arial" w:eastAsia="Arial" w:hAnsi="Arial"/>
                <w:sz w:val="16"/>
                <w:szCs w:val="16"/>
                <w:color w:val="auto"/>
                <w:w w:val="99"/>
              </w:rPr>
              <w:t>3,438</w:t>
            </w:r>
          </w:p>
        </w:tc>
        <w:tc>
          <w:tcPr>
            <w:tcW w:w="2400" w:type="dxa"/>
            <w:vAlign w:val="bottom"/>
          </w:tcPr>
          <w:p>
            <w:pPr>
              <w:jc w:val="center"/>
              <w:ind w:left="19"/>
              <w:spacing w:after="0"/>
              <w:rPr>
                <w:sz w:val="20"/>
                <w:szCs w:val="20"/>
                <w:color w:val="auto"/>
              </w:rPr>
            </w:pPr>
            <w:r>
              <w:rPr>
                <w:rFonts w:ascii="Arial" w:cs="Arial" w:eastAsia="Arial" w:hAnsi="Arial"/>
                <w:sz w:val="16"/>
                <w:szCs w:val="16"/>
                <w:color w:val="auto"/>
                <w:w w:val="94"/>
              </w:rPr>
              <w:t>5%</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3,134</w:t>
            </w:r>
          </w:p>
        </w:tc>
        <w:tc>
          <w:tcPr>
            <w:tcW w:w="2060" w:type="dxa"/>
            <w:vAlign w:val="bottom"/>
          </w:tcPr>
          <w:p>
            <w:pPr>
              <w:jc w:val="center"/>
              <w:ind w:left="23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4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Wyoming Electric</w:t>
            </w:r>
          </w:p>
        </w:tc>
        <w:tc>
          <w:tcPr>
            <w:tcW w:w="130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w w:val="99"/>
              </w:rPr>
              <w:t>3,140</w:t>
            </w:r>
          </w:p>
        </w:tc>
        <w:tc>
          <w:tcPr>
            <w:tcW w:w="24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4"/>
              </w:rPr>
              <w:t>5%</w:t>
            </w:r>
          </w:p>
        </w:tc>
        <w:tc>
          <w:tcPr>
            <w:tcW w:w="1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2,986</w:t>
            </w:r>
          </w:p>
        </w:tc>
        <w:tc>
          <w:tcPr>
            <w:tcW w:w="2060" w:type="dxa"/>
            <w:vAlign w:val="bottom"/>
            <w:shd w:val="clear" w:color="auto" w:fill="CFF0FC"/>
          </w:tcPr>
          <w:p>
            <w:pPr>
              <w:jc w:val="center"/>
              <w:ind w:left="2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90"/>
        </w:trPr>
        <w:tc>
          <w:tcPr>
            <w:tcW w:w="4400" w:type="dxa"/>
            <w:vAlign w:val="bottom"/>
          </w:tcPr>
          <w:p>
            <w:pPr>
              <w:ind w:left="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300" w:type="dxa"/>
            <w:vAlign w:val="bottom"/>
          </w:tcPr>
          <w:p>
            <w:pPr>
              <w:jc w:val="center"/>
              <w:ind w:left="299"/>
              <w:spacing w:after="0"/>
              <w:rPr>
                <w:sz w:val="20"/>
                <w:szCs w:val="20"/>
                <w:color w:val="auto"/>
              </w:rPr>
            </w:pPr>
            <w:r>
              <w:rPr>
                <w:rFonts w:ascii="Arial" w:cs="Arial" w:eastAsia="Arial" w:hAnsi="Arial"/>
                <w:sz w:val="16"/>
                <w:szCs w:val="16"/>
                <w:color w:val="auto"/>
                <w:w w:val="99"/>
              </w:rPr>
              <w:t>3,060</w:t>
            </w:r>
          </w:p>
        </w:tc>
        <w:tc>
          <w:tcPr>
            <w:tcW w:w="2400" w:type="dxa"/>
            <w:vAlign w:val="bottom"/>
          </w:tcPr>
          <w:p>
            <w:pPr>
              <w:jc w:val="center"/>
              <w:ind w:left="19"/>
              <w:spacing w:after="0"/>
              <w:rPr>
                <w:sz w:val="20"/>
                <w:szCs w:val="20"/>
                <w:color w:val="auto"/>
              </w:rPr>
            </w:pPr>
            <w:r>
              <w:rPr>
                <w:rFonts w:ascii="Arial" w:cs="Arial" w:eastAsia="Arial" w:hAnsi="Arial"/>
                <w:sz w:val="16"/>
                <w:szCs w:val="16"/>
                <w:color w:val="auto"/>
                <w:w w:val="94"/>
              </w:rPr>
              <w:t>7%</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2,820</w:t>
            </w:r>
          </w:p>
        </w:tc>
        <w:tc>
          <w:tcPr>
            <w:tcW w:w="2060" w:type="dxa"/>
            <w:vAlign w:val="bottom"/>
          </w:tcPr>
          <w:p>
            <w:pPr>
              <w:jc w:val="center"/>
              <w:ind w:left="2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45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2"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Contracted generating facilities Availability</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4860" w:type="dxa"/>
            <w:vAlign w:val="bottom"/>
            <w:gridSpan w:val="2"/>
          </w:tcPr>
          <w:p>
            <w:pPr>
              <w:ind w:left="19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auto"/>
            </w:tcBorders>
            <w:vMerge w:val="continue"/>
          </w:tcPr>
          <w:p>
            <w:pPr>
              <w:spacing w:after="0"/>
              <w:rPr>
                <w:sz w:val="17"/>
                <w:szCs w:val="17"/>
                <w:color w:val="auto"/>
              </w:rPr>
            </w:pPr>
          </w:p>
        </w:tc>
        <w:tc>
          <w:tcPr>
            <w:tcW w:w="3200" w:type="dxa"/>
            <w:vAlign w:val="bottom"/>
            <w:tcBorders>
              <w:bottom w:val="single" w:sz="8" w:color="auto"/>
            </w:tcBorders>
          </w:tcPr>
          <w:p>
            <w:pPr>
              <w:jc w:val="center"/>
              <w:ind w:left="1439"/>
              <w:spacing w:after="0"/>
              <w:rPr>
                <w:sz w:val="20"/>
                <w:szCs w:val="20"/>
                <w:color w:val="auto"/>
              </w:rPr>
            </w:pPr>
            <w:r>
              <w:rPr>
                <w:rFonts w:ascii="Arial" w:cs="Arial" w:eastAsia="Arial" w:hAnsi="Arial"/>
                <w:sz w:val="16"/>
                <w:szCs w:val="16"/>
                <w:b w:val="1"/>
                <w:bCs w:val="1"/>
                <w:color w:val="auto"/>
              </w:rPr>
              <w:t>2025</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3200" w:type="dxa"/>
            <w:vAlign w:val="bottom"/>
            <w:shd w:val="clear" w:color="auto" w:fill="CFF0FC"/>
          </w:tcPr>
          <w:p>
            <w:pPr>
              <w:jc w:val="center"/>
              <w:ind w:left="1459"/>
              <w:spacing w:after="0" w:line="183" w:lineRule="exact"/>
              <w:rPr>
                <w:sz w:val="20"/>
                <w:szCs w:val="20"/>
                <w:color w:val="auto"/>
              </w:rPr>
            </w:pPr>
            <w:r>
              <w:rPr>
                <w:rFonts w:ascii="Arial" w:cs="Arial" w:eastAsia="Arial" w:hAnsi="Arial"/>
                <w:sz w:val="16"/>
                <w:szCs w:val="16"/>
                <w:color w:val="auto"/>
              </w:rPr>
              <w:t>86.3%</w:t>
            </w:r>
          </w:p>
        </w:tc>
        <w:tc>
          <w:tcPr>
            <w:tcW w:w="1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189"/>
        </w:trPr>
        <w:tc>
          <w:tcPr>
            <w:tcW w:w="638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3200" w:type="dxa"/>
            <w:vAlign w:val="bottom"/>
          </w:tcPr>
          <w:p>
            <w:pPr>
              <w:jc w:val="center"/>
              <w:ind w:left="1459"/>
              <w:spacing w:after="0"/>
              <w:rPr>
                <w:sz w:val="20"/>
                <w:szCs w:val="20"/>
                <w:color w:val="auto"/>
              </w:rPr>
            </w:pPr>
            <w:r>
              <w:rPr>
                <w:rFonts w:ascii="Arial" w:cs="Arial" w:eastAsia="Arial" w:hAnsi="Arial"/>
                <w:sz w:val="16"/>
                <w:szCs w:val="16"/>
                <w:color w:val="auto"/>
              </w:rPr>
              <w:t>91.6%</w:t>
            </w:r>
          </w:p>
        </w:tc>
        <w:tc>
          <w:tcPr>
            <w:tcW w:w="1660" w:type="dxa"/>
            <w:vAlign w:val="bottom"/>
          </w:tcPr>
          <w:p>
            <w:pPr>
              <w:jc w:val="center"/>
              <w:spacing w:after="0"/>
              <w:rPr>
                <w:sz w:val="20"/>
                <w:szCs w:val="20"/>
                <w:color w:val="auto"/>
              </w:rPr>
            </w:pPr>
            <w:r>
              <w:rPr>
                <w:rFonts w:ascii="Arial" w:cs="Arial" w:eastAsia="Arial" w:hAnsi="Arial"/>
                <w:sz w:val="16"/>
                <w:szCs w:val="16"/>
                <w:color w:val="auto"/>
              </w:rPr>
              <w:t>96.7%</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Wind </w:t>
            </w:r>
            <w:r>
              <w:rPr>
                <w:rFonts w:ascii="Arial" w:cs="Arial" w:eastAsia="Arial" w:hAnsi="Arial"/>
                <w:sz w:val="21"/>
                <w:szCs w:val="21"/>
                <w:color w:val="auto"/>
                <w:vertAlign w:val="superscript"/>
              </w:rPr>
              <w:t>(b)</w:t>
            </w:r>
          </w:p>
        </w:tc>
        <w:tc>
          <w:tcPr>
            <w:tcW w:w="3200" w:type="dxa"/>
            <w:vAlign w:val="bottom"/>
            <w:shd w:val="clear" w:color="auto" w:fill="CFF0FC"/>
          </w:tcPr>
          <w:p>
            <w:pPr>
              <w:jc w:val="center"/>
              <w:ind w:left="1459"/>
              <w:spacing w:after="0"/>
              <w:rPr>
                <w:sz w:val="20"/>
                <w:szCs w:val="20"/>
                <w:color w:val="auto"/>
              </w:rPr>
            </w:pPr>
            <w:r>
              <w:rPr>
                <w:rFonts w:ascii="Arial" w:cs="Arial" w:eastAsia="Arial" w:hAnsi="Arial"/>
                <w:sz w:val="16"/>
                <w:szCs w:val="16"/>
                <w:color w:val="auto"/>
              </w:rPr>
              <w:t>86.3%</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89"/>
        </w:trPr>
        <w:tc>
          <w:tcPr>
            <w:tcW w:w="6380" w:type="dxa"/>
            <w:vAlign w:val="bottom"/>
          </w:tcPr>
          <w:p>
            <w:pPr>
              <w:spacing w:after="0"/>
              <w:rPr>
                <w:sz w:val="20"/>
                <w:szCs w:val="20"/>
                <w:color w:val="auto"/>
              </w:rPr>
            </w:pPr>
            <w:r>
              <w:rPr>
                <w:rFonts w:ascii="Arial" w:cs="Arial" w:eastAsia="Arial" w:hAnsi="Arial"/>
                <w:sz w:val="16"/>
                <w:szCs w:val="16"/>
                <w:color w:val="auto"/>
              </w:rPr>
              <w:t>Total Availability</w:t>
            </w:r>
          </w:p>
        </w:tc>
        <w:tc>
          <w:tcPr>
            <w:tcW w:w="3200" w:type="dxa"/>
            <w:vAlign w:val="bottom"/>
          </w:tcPr>
          <w:p>
            <w:pPr>
              <w:jc w:val="center"/>
              <w:ind w:left="1459"/>
              <w:spacing w:after="0"/>
              <w:rPr>
                <w:sz w:val="20"/>
                <w:szCs w:val="20"/>
                <w:color w:val="auto"/>
              </w:rPr>
            </w:pPr>
            <w:r>
              <w:rPr>
                <w:rFonts w:ascii="Arial" w:cs="Arial" w:eastAsia="Arial" w:hAnsi="Arial"/>
                <w:sz w:val="16"/>
                <w:szCs w:val="16"/>
                <w:color w:val="auto"/>
              </w:rPr>
              <w:t>89.3%</w:t>
            </w:r>
          </w:p>
        </w:tc>
        <w:tc>
          <w:tcPr>
            <w:tcW w:w="1660" w:type="dxa"/>
            <w:vAlign w:val="bottom"/>
          </w:tcPr>
          <w:p>
            <w:pPr>
              <w:jc w:val="center"/>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189"/>
        </w:trPr>
        <w:tc>
          <w:tcPr>
            <w:tcW w:w="6380" w:type="dxa"/>
            <w:vAlign w:val="bottom"/>
            <w:shd w:val="clear" w:color="auto" w:fill="CFF0FC"/>
          </w:tcPr>
          <w:p>
            <w:pPr>
              <w:spacing w:after="0"/>
              <w:rPr>
                <w:sz w:val="16"/>
                <w:szCs w:val="16"/>
                <w:color w:val="auto"/>
              </w:rPr>
            </w:pPr>
          </w:p>
        </w:tc>
        <w:tc>
          <w:tcPr>
            <w:tcW w:w="320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6380" w:type="dxa"/>
            <w:vAlign w:val="bottom"/>
          </w:tcPr>
          <w:p>
            <w:pPr>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3200" w:type="dxa"/>
            <w:vAlign w:val="bottom"/>
          </w:tcPr>
          <w:p>
            <w:pPr>
              <w:jc w:val="center"/>
              <w:ind w:left="1459"/>
              <w:spacing w:after="0"/>
              <w:rPr>
                <w:sz w:val="20"/>
                <w:szCs w:val="20"/>
                <w:color w:val="auto"/>
              </w:rPr>
            </w:pPr>
            <w:r>
              <w:rPr>
                <w:rFonts w:ascii="Arial" w:cs="Arial" w:eastAsia="Arial" w:hAnsi="Arial"/>
                <w:sz w:val="16"/>
                <w:szCs w:val="16"/>
                <w:color w:val="auto"/>
              </w:rPr>
              <w:t>40.0%</w:t>
            </w:r>
          </w:p>
        </w:tc>
        <w:tc>
          <w:tcPr>
            <w:tcW w:w="1660" w:type="dxa"/>
            <w:vAlign w:val="bottom"/>
          </w:tcPr>
          <w:p>
            <w:pPr>
              <w:jc w:val="center"/>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045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2025 included unplanned outages at Wygen III, Pueblo Airport Generation #4-5 and Busch Ranch I and II.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spacing w:after="0"/>
              <w:rPr>
                <w:sz w:val="20"/>
                <w:szCs w:val="20"/>
                <w:color w:val="auto"/>
              </w:rPr>
            </w:pPr>
            <w:r>
              <w:rPr>
                <w:rFonts w:ascii="Arial" w:cs="Arial" w:eastAsia="Arial" w:hAnsi="Arial"/>
                <w:sz w:val="16"/>
                <w:szCs w:val="16"/>
                <w:b w:val="1"/>
                <w:bCs w:val="1"/>
                <w:color w:val="auto"/>
              </w:rPr>
              <w:t>Gas Utilities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70"/>
        </w:trPr>
        <w:tc>
          <w:tcPr>
            <w:tcW w:w="5440" w:type="dxa"/>
            <w:vAlign w:val="bottom"/>
          </w:tcPr>
          <w:p>
            <w:pPr>
              <w:spacing w:after="0"/>
              <w:rPr>
                <w:sz w:val="20"/>
                <w:szCs w:val="20"/>
                <w:color w:val="auto"/>
              </w:rPr>
            </w:pPr>
            <w:r>
              <w:rPr>
                <w:rFonts w:ascii="Arial" w:cs="Arial" w:eastAsia="Arial" w:hAnsi="Arial"/>
                <w:sz w:val="16"/>
                <w:szCs w:val="16"/>
                <w:color w:val="auto"/>
              </w:rPr>
              <w:t>Operating results for the Gas Utilities were as follows: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67"/>
        </w:trPr>
        <w:tc>
          <w:tcPr>
            <w:tcW w:w="5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5"/>
          </w:tcPr>
          <w:p>
            <w:pPr>
              <w:jc w:val="right"/>
              <w:ind w:right="167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2025 vs 2024 Variance</w:t>
            </w:r>
          </w:p>
        </w:tc>
      </w:tr>
      <w:tr>
        <w:trPr>
          <w:trHeight w:val="183"/>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38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572.4</w:t>
            </w:r>
          </w:p>
        </w:tc>
        <w:tc>
          <w:tcPr>
            <w:tcW w:w="42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508.7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63.7</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Cost of natural gas sold</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w:t>
            </w: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w:t>
            </w:r>
          </w:p>
        </w:tc>
      </w:tr>
      <w:tr>
        <w:trPr>
          <w:trHeight w:val="183"/>
        </w:trPr>
        <w:tc>
          <w:tcPr>
            <w:tcW w:w="54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Gas Utility margin (non-GAAP) </w:t>
            </w:r>
            <w:r>
              <w:rPr>
                <w:rFonts w:ascii="Arial" w:cs="Arial" w:eastAsia="Arial" w:hAnsi="Arial"/>
                <w:sz w:val="21"/>
                <w:szCs w:val="21"/>
                <w:color w:val="auto"/>
                <w:vertAlign w:val="superscript"/>
              </w:rPr>
              <w:t>(a)</w:t>
            </w:r>
          </w:p>
        </w:tc>
        <w:tc>
          <w:tcPr>
            <w:tcW w:w="3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279.8</w:t>
            </w: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246.8</w:t>
            </w:r>
          </w:p>
        </w:tc>
        <w:tc>
          <w:tcPr>
            <w:tcW w:w="180" w:type="dxa"/>
            <w:vAlign w:val="bottom"/>
            <w:tcBorders>
              <w:bottom w:val="single" w:sz="8" w:color="auto"/>
            </w:tcBorders>
            <w:shd w:val="clear" w:color="auto" w:fill="CFF0FC"/>
          </w:tcPr>
          <w:p>
            <w:pPr>
              <w:spacing w:after="0"/>
              <w:rPr>
                <w:sz w:val="15"/>
                <w:szCs w:val="15"/>
                <w:color w:val="auto"/>
              </w:rPr>
            </w:pPr>
          </w:p>
        </w:tc>
        <w:tc>
          <w:tcPr>
            <w:tcW w:w="20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33.0</w:t>
            </w:r>
          </w:p>
        </w:tc>
      </w:tr>
      <w:tr>
        <w:trPr>
          <w:trHeight w:val="183"/>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w:t>
            </w:r>
          </w:p>
        </w:tc>
        <w:tc>
          <w:tcPr>
            <w:tcW w:w="4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w:t>
            </w:r>
          </w:p>
        </w:tc>
        <w:tc>
          <w:tcPr>
            <w:tcW w:w="180" w:type="dxa"/>
            <w:vAlign w:val="bottom"/>
            <w:shd w:val="clear" w:color="auto" w:fill="CFF0FC"/>
          </w:tcPr>
          <w:p>
            <w:pPr>
              <w:spacing w:after="0"/>
              <w:rPr>
                <w:sz w:val="16"/>
                <w:szCs w:val="16"/>
                <w:color w:val="auto"/>
              </w:rPr>
            </w:pPr>
          </w:p>
        </w:tc>
        <w:tc>
          <w:tcPr>
            <w:tcW w:w="2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32.1</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Pr>
          <w:p>
            <w:pPr>
              <w:spacing w:after="0"/>
              <w:rPr>
                <w:sz w:val="16"/>
                <w:szCs w:val="16"/>
                <w:color w:val="auto"/>
              </w:rPr>
            </w:pPr>
          </w:p>
        </w:tc>
        <w:tc>
          <w:tcPr>
            <w:tcW w:w="2060" w:type="dxa"/>
            <w:vAlign w:val="bottom"/>
          </w:tcPr>
          <w:p>
            <w:pPr>
              <w:jc w:val="right"/>
              <w:ind w:right="39"/>
              <w:spacing w:after="0"/>
              <w:rPr>
                <w:sz w:val="20"/>
                <w:szCs w:val="20"/>
                <w:color w:val="auto"/>
              </w:rPr>
            </w:pPr>
            <w:r>
              <w:rPr>
                <w:rFonts w:ascii="Arial" w:cs="Arial" w:eastAsia="Arial" w:hAnsi="Arial"/>
                <w:sz w:val="16"/>
                <w:szCs w:val="16"/>
                <w:color w:val="auto"/>
              </w:rPr>
              <w:t>1.7</w:t>
            </w:r>
          </w:p>
        </w:tc>
      </w:tr>
      <w:tr>
        <w:trPr>
          <w:trHeight w:val="189"/>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4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80" w:type="dxa"/>
            <w:vAlign w:val="bottom"/>
            <w:tcBorders>
              <w:bottom w:val="single" w:sz="8" w:color="auto"/>
            </w:tcBorders>
            <w:shd w:val="clear" w:color="auto" w:fill="CFF0FC"/>
          </w:tcPr>
          <w:p>
            <w:pPr>
              <w:spacing w:after="0"/>
              <w:rPr>
                <w:sz w:val="16"/>
                <w:szCs w:val="16"/>
                <w:color w:val="auto"/>
              </w:rPr>
            </w:pPr>
          </w:p>
        </w:tc>
        <w:tc>
          <w:tcPr>
            <w:tcW w:w="2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w:t>
            </w:r>
          </w:p>
        </w:tc>
      </w:tr>
      <w:tr>
        <w:trPr>
          <w:trHeight w:val="183"/>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128.3</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116.0</w:t>
            </w: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12.3</w:t>
            </w:r>
          </w:p>
        </w:tc>
      </w:tr>
      <w:tr>
        <w:trPr>
          <w:trHeight w:val="183"/>
        </w:trPr>
        <w:tc>
          <w:tcPr>
            <w:tcW w:w="54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2060" w:type="dxa"/>
            <w:vAlign w:val="bottom"/>
            <w:tcBorders>
              <w:bottom w:val="single" w:sz="8" w:color="auto"/>
            </w:tcBorders>
            <w:shd w:val="clear" w:color="auto" w:fill="CFF0FC"/>
          </w:tcPr>
          <w:p>
            <w:pPr>
              <w:spacing w:after="0"/>
              <w:rPr>
                <w:sz w:val="15"/>
                <w:szCs w:val="15"/>
                <w:color w:val="auto"/>
              </w:rPr>
            </w:pPr>
          </w:p>
        </w:tc>
      </w:tr>
      <w:tr>
        <w:trPr>
          <w:trHeight w:val="183"/>
        </w:trPr>
        <w:tc>
          <w:tcPr>
            <w:tcW w:w="544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38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151.5</w:t>
            </w:r>
          </w:p>
        </w:tc>
        <w:tc>
          <w:tcPr>
            <w:tcW w:w="42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130.8</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20.7</w:t>
            </w:r>
          </w:p>
        </w:tc>
      </w:tr>
      <w:tr>
        <w:trPr>
          <w:trHeight w:val="20"/>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Non-GAAP Financial Measures section above for reconciliation to Gross margin, the most directly comparable GAAP measure.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60" w:type="dxa"/>
            <w:vAlign w:val="bottom"/>
            <w:gridSpan w:val="3"/>
          </w:tcPr>
          <w:p>
            <w:pPr>
              <w:spacing w:after="0"/>
              <w:rPr>
                <w:sz w:val="20"/>
                <w:szCs w:val="20"/>
                <w:color w:val="auto"/>
              </w:rPr>
            </w:pPr>
            <w:r>
              <w:rPr>
                <w:rFonts w:ascii="Arial" w:cs="Arial" w:eastAsia="Arial" w:hAnsi="Arial"/>
                <w:sz w:val="16"/>
                <w:szCs w:val="16"/>
                <w:color w:val="auto"/>
              </w:rPr>
              <w:t>Three Months Ended March 31, 2025, Compared to the Three Months Ended March 31, 2024:</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58"/>
        </w:trPr>
        <w:tc>
          <w:tcPr>
            <w:tcW w:w="67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Gas Utility margin increased as a result of the following:</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85"/>
        </w:trPr>
        <w:tc>
          <w:tcPr>
            <w:tcW w:w="1280" w:type="dxa"/>
            <w:vAlign w:val="bottom"/>
            <w:tcBorders>
              <w:top w:val="single" w:sz="8" w:color="auto"/>
            </w:tcBorders>
          </w:tcPr>
          <w:p>
            <w:pPr>
              <w:spacing w:after="0"/>
              <w:rPr>
                <w:sz w:val="24"/>
                <w:szCs w:val="24"/>
                <w:color w:val="auto"/>
              </w:rPr>
            </w:pPr>
          </w:p>
        </w:tc>
        <w:tc>
          <w:tcPr>
            <w:tcW w:w="5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183"/>
        </w:trPr>
        <w:tc>
          <w:tcPr>
            <w:tcW w:w="9460" w:type="dxa"/>
            <w:vAlign w:val="bottom"/>
            <w:gridSpan w:val="3"/>
            <w:shd w:val="clear" w:color="auto" w:fill="CFF0FC"/>
          </w:tcPr>
          <w:p>
            <w:pPr>
              <w:spacing w:after="0" w:line="183" w:lineRule="exact"/>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21.5</w:t>
            </w:r>
          </w:p>
        </w:tc>
      </w:tr>
      <w:tr>
        <w:trPr>
          <w:trHeight w:val="189"/>
        </w:trPr>
        <w:tc>
          <w:tcPr>
            <w:tcW w:w="9460" w:type="dxa"/>
            <w:vAlign w:val="bottom"/>
            <w:gridSpan w:val="3"/>
          </w:tcPr>
          <w:p>
            <w:pPr>
              <w:spacing w:after="0"/>
              <w:rPr>
                <w:sz w:val="20"/>
                <w:szCs w:val="20"/>
                <w:color w:val="auto"/>
              </w:rPr>
            </w:pPr>
            <w:r>
              <w:rPr>
                <w:rFonts w:ascii="Arial" w:cs="Arial" w:eastAsia="Arial" w:hAnsi="Arial"/>
                <w:sz w:val="16"/>
                <w:szCs w:val="16"/>
                <w:color w:val="auto"/>
              </w:rPr>
              <w:t>Weather</w:t>
            </w:r>
          </w:p>
        </w:tc>
        <w:tc>
          <w:tcPr>
            <w:tcW w:w="26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189"/>
        </w:trPr>
        <w:tc>
          <w:tcPr>
            <w:tcW w:w="94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Transport and transmission</w:t>
            </w: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w:t>
            </w:r>
          </w:p>
        </w:tc>
      </w:tr>
      <w:tr>
        <w:trPr>
          <w:trHeight w:val="189"/>
        </w:trPr>
        <w:tc>
          <w:tcPr>
            <w:tcW w:w="9460" w:type="dxa"/>
            <w:vAlign w:val="bottom"/>
            <w:gridSpan w:val="3"/>
          </w:tcPr>
          <w:p>
            <w:pPr>
              <w:spacing w:after="0"/>
              <w:rPr>
                <w:sz w:val="20"/>
                <w:szCs w:val="20"/>
                <w:color w:val="auto"/>
              </w:rPr>
            </w:pPr>
            <w:r>
              <w:rPr>
                <w:rFonts w:ascii="Arial" w:cs="Arial" w:eastAsia="Arial" w:hAnsi="Arial"/>
                <w:sz w:val="16"/>
                <w:szCs w:val="16"/>
                <w:color w:val="auto"/>
              </w:rPr>
              <w:t>Mark-to-market on non-utility natural gas commodity contracts</w:t>
            </w:r>
          </w:p>
        </w:tc>
        <w:tc>
          <w:tcPr>
            <w:tcW w:w="26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189"/>
        </w:trPr>
        <w:tc>
          <w:tcPr>
            <w:tcW w:w="94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r>
      <w:tr>
        <w:trPr>
          <w:trHeight w:val="183"/>
        </w:trPr>
        <w:tc>
          <w:tcPr>
            <w:tcW w:w="128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33.0</w:t>
            </w:r>
          </w:p>
        </w:tc>
      </w:tr>
      <w:tr>
        <w:trPr>
          <w:trHeight w:val="20"/>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$4.1 million of higher employee related expenses, $1.8 million of higher insurance expense, and $1.4 million of higher bad debt expense driven by increased revenues.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was comparable to the same period in the prior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7"/>
        </w:trPr>
        <w:tc>
          <w:tcPr>
            <w:tcW w:w="5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Revenue</w:t>
            </w:r>
          </w:p>
        </w:tc>
        <w:tc>
          <w:tcPr>
            <w:tcW w:w="1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5200" w:type="dxa"/>
            <w:vAlign w:val="bottom"/>
          </w:tcPr>
          <w:p>
            <w:pPr>
              <w:spacing w:after="0"/>
              <w:rPr>
                <w:sz w:val="14"/>
                <w:szCs w:val="14"/>
                <w:color w:val="auto"/>
              </w:rPr>
            </w:pPr>
          </w:p>
        </w:tc>
        <w:tc>
          <w:tcPr>
            <w:tcW w:w="3020" w:type="dxa"/>
            <w:vAlign w:val="bottom"/>
            <w:gridSpan w:val="4"/>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3020" w:type="dxa"/>
            <w:vAlign w:val="bottom"/>
            <w:gridSpan w:val="2"/>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5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9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2025</w:t>
            </w: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r>
      <w:tr>
        <w:trPr>
          <w:trHeight w:val="183"/>
        </w:trPr>
        <w:tc>
          <w:tcPr>
            <w:tcW w:w="5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shd w:val="clear" w:color="auto" w:fill="CFF0FC"/>
          </w:tcPr>
          <w:p>
            <w:pPr>
              <w:spacing w:after="0"/>
              <w:rPr>
                <w:sz w:val="15"/>
                <w:szCs w:val="15"/>
                <w:color w:val="auto"/>
              </w:rPr>
            </w:pPr>
          </w:p>
        </w:tc>
        <w:tc>
          <w:tcPr>
            <w:tcW w:w="1980" w:type="dxa"/>
            <w:vAlign w:val="bottom"/>
            <w:tcBorders>
              <w:bottom w:val="single" w:sz="8" w:color="auto"/>
            </w:tcBorders>
            <w:shd w:val="clear" w:color="auto" w:fill="CFF0FC"/>
          </w:tcPr>
          <w:p>
            <w:pPr>
              <w:jc w:val="center"/>
              <w:ind w:left="779"/>
              <w:spacing w:after="0" w:line="183" w:lineRule="exact"/>
              <w:rPr>
                <w:sz w:val="20"/>
                <w:szCs w:val="20"/>
                <w:color w:val="auto"/>
              </w:rPr>
            </w:pPr>
            <w:r>
              <w:rPr>
                <w:rFonts w:ascii="Arial" w:cs="Arial" w:eastAsia="Arial" w:hAnsi="Arial"/>
                <w:sz w:val="16"/>
                <w:szCs w:val="16"/>
                <w:color w:val="auto"/>
              </w:rPr>
              <w:t>(Dth in millions)</w:t>
            </w:r>
          </w:p>
        </w:tc>
        <w:tc>
          <w:tcPr>
            <w:tcW w:w="1040" w:type="dxa"/>
            <w:vAlign w:val="bottom"/>
            <w:tcBorders>
              <w:bottom w:val="single" w:sz="8" w:color="auto"/>
            </w:tcBorders>
            <w:shd w:val="clear" w:color="auto" w:fill="CFF0FC"/>
          </w:tcPr>
          <w:p>
            <w:pPr>
              <w:spacing w:after="0"/>
              <w:rPr>
                <w:sz w:val="15"/>
                <w:szCs w:val="15"/>
                <w:color w:val="auto"/>
              </w:rPr>
            </w:pPr>
          </w:p>
        </w:tc>
      </w:tr>
      <w:tr>
        <w:trPr>
          <w:trHeight w:val="183"/>
        </w:trPr>
        <w:tc>
          <w:tcPr>
            <w:tcW w:w="520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5200" w:type="dxa"/>
            <w:vAlign w:val="bottom"/>
            <w:shd w:val="clear" w:color="auto" w:fill="CFF0FC"/>
          </w:tcPr>
          <w:p>
            <w:pPr>
              <w:ind w:left="60"/>
              <w:spacing w:after="0"/>
              <w:rPr>
                <w:sz w:val="20"/>
                <w:szCs w:val="20"/>
                <w:color w:val="auto"/>
              </w:rPr>
            </w:pPr>
            <w:r>
              <w:rPr>
                <w:rFonts w:ascii="Arial" w:cs="Arial" w:eastAsia="Arial" w:hAnsi="Arial"/>
                <w:sz w:val="16"/>
                <w:szCs w:val="16"/>
                <w:color w:val="auto"/>
              </w:rPr>
              <w:t>Residential</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344.1</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297.8</w:t>
            </w:r>
          </w:p>
        </w:tc>
        <w:tc>
          <w:tcPr>
            <w:tcW w:w="198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30.7</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27.8</w:t>
            </w:r>
          </w:p>
        </w:tc>
      </w:tr>
      <w:tr>
        <w:trPr>
          <w:trHeight w:val="189"/>
        </w:trPr>
        <w:tc>
          <w:tcPr>
            <w:tcW w:w="5200" w:type="dxa"/>
            <w:vAlign w:val="bottom"/>
          </w:tcPr>
          <w:p>
            <w:pPr>
              <w:ind w:left="60"/>
              <w:spacing w:after="0"/>
              <w:rPr>
                <w:sz w:val="20"/>
                <w:szCs w:val="20"/>
                <w:color w:val="auto"/>
              </w:rPr>
            </w:pPr>
            <w:r>
              <w:rPr>
                <w:rFonts w:ascii="Arial" w:cs="Arial" w:eastAsia="Arial" w:hAnsi="Arial"/>
                <w:sz w:val="16"/>
                <w:szCs w:val="16"/>
                <w:color w:val="auto"/>
              </w:rPr>
              <w:t>Commercial</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134.3</w:t>
            </w:r>
          </w:p>
        </w:tc>
        <w:tc>
          <w:tcPr>
            <w:tcW w:w="4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118.5</w:t>
            </w:r>
          </w:p>
        </w:tc>
        <w:tc>
          <w:tcPr>
            <w:tcW w:w="1980" w:type="dxa"/>
            <w:vAlign w:val="bottom"/>
          </w:tcPr>
          <w:p>
            <w:pPr>
              <w:jc w:val="right"/>
              <w:ind w:right="559"/>
              <w:spacing w:after="0"/>
              <w:rPr>
                <w:sz w:val="20"/>
                <w:szCs w:val="20"/>
                <w:color w:val="auto"/>
              </w:rPr>
            </w:pPr>
            <w:r>
              <w:rPr>
                <w:rFonts w:ascii="Arial" w:cs="Arial" w:eastAsia="Arial" w:hAnsi="Arial"/>
                <w:sz w:val="16"/>
                <w:szCs w:val="16"/>
                <w:color w:val="auto"/>
              </w:rPr>
              <w:t>14.0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13.0</w:t>
            </w:r>
          </w:p>
        </w:tc>
      </w:tr>
      <w:tr>
        <w:trPr>
          <w:trHeight w:val="189"/>
        </w:trPr>
        <w:tc>
          <w:tcPr>
            <w:tcW w:w="520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Industrial</w:t>
            </w:r>
          </w:p>
        </w:tc>
        <w:tc>
          <w:tcPr>
            <w:tcW w:w="9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5.1</w:t>
            </w:r>
          </w:p>
        </w:tc>
        <w:tc>
          <w:tcPr>
            <w:tcW w:w="198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1.0</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0.9</w:t>
            </w:r>
          </w:p>
        </w:tc>
      </w:tr>
      <w:tr>
        <w:trPr>
          <w:trHeight w:val="189"/>
        </w:trPr>
        <w:tc>
          <w:tcPr>
            <w:tcW w:w="520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Other Retail </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16.0</w:t>
            </w:r>
          </w:p>
        </w:tc>
        <w:tc>
          <w:tcPr>
            <w:tcW w:w="19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2"/>
        </w:trPr>
        <w:tc>
          <w:tcPr>
            <w:tcW w:w="52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Subtotal Retail Revenue - Gas</w:t>
            </w:r>
          </w:p>
        </w:tc>
        <w:tc>
          <w:tcPr>
            <w:tcW w:w="9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499.7</w:t>
            </w:r>
          </w:p>
        </w:tc>
        <w:tc>
          <w:tcPr>
            <w:tcW w:w="4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437.4</w:t>
            </w:r>
          </w:p>
        </w:tc>
        <w:tc>
          <w:tcPr>
            <w:tcW w:w="1980" w:type="dxa"/>
            <w:vAlign w:val="bottom"/>
            <w:shd w:val="clear" w:color="auto" w:fill="CFF0FC"/>
          </w:tcPr>
          <w:p>
            <w:pPr>
              <w:jc w:val="right"/>
              <w:ind w:right="559"/>
              <w:spacing w:after="0" w:line="183" w:lineRule="exact"/>
              <w:rPr>
                <w:sz w:val="20"/>
                <w:szCs w:val="20"/>
                <w:color w:val="auto"/>
              </w:rPr>
            </w:pPr>
            <w:r>
              <w:rPr>
                <w:rFonts w:ascii="Arial" w:cs="Arial" w:eastAsia="Arial" w:hAnsi="Arial"/>
                <w:sz w:val="16"/>
                <w:szCs w:val="16"/>
                <w:color w:val="auto"/>
              </w:rPr>
              <w:t>45.7</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41.7</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Transportation</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57.7</w:t>
            </w:r>
          </w:p>
        </w:tc>
        <w:tc>
          <w:tcPr>
            <w:tcW w:w="480" w:type="dxa"/>
            <w:vAlign w:val="bottom"/>
          </w:tcPr>
          <w:p>
            <w:pPr>
              <w:spacing w:after="0"/>
              <w:rPr>
                <w:sz w:val="16"/>
                <w:szCs w:val="16"/>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51.7</w:t>
            </w:r>
          </w:p>
        </w:tc>
        <w:tc>
          <w:tcPr>
            <w:tcW w:w="1980" w:type="dxa"/>
            <w:vAlign w:val="bottom"/>
          </w:tcPr>
          <w:p>
            <w:pPr>
              <w:jc w:val="right"/>
              <w:ind w:right="559"/>
              <w:spacing w:after="0"/>
              <w:rPr>
                <w:sz w:val="20"/>
                <w:szCs w:val="20"/>
                <w:color w:val="auto"/>
              </w:rPr>
            </w:pPr>
            <w:r>
              <w:rPr>
                <w:rFonts w:ascii="Arial" w:cs="Arial" w:eastAsia="Arial" w:hAnsi="Arial"/>
                <w:sz w:val="16"/>
                <w:szCs w:val="16"/>
                <w:color w:val="auto"/>
              </w:rPr>
              <w:t>50.4</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46.7</w:t>
            </w:r>
          </w:p>
        </w:tc>
      </w:tr>
      <w:tr>
        <w:trPr>
          <w:trHeight w:val="189"/>
        </w:trPr>
        <w:tc>
          <w:tcPr>
            <w:tcW w:w="520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92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4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19.6</w:t>
            </w:r>
          </w:p>
        </w:tc>
        <w:tc>
          <w:tcPr>
            <w:tcW w:w="198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5200" w:type="dxa"/>
            <w:vAlign w:val="bottom"/>
          </w:tcPr>
          <w:p>
            <w:pPr>
              <w:ind w:left="60"/>
              <w:spacing w:after="0" w:line="169" w:lineRule="exact"/>
              <w:rPr>
                <w:sz w:val="20"/>
                <w:szCs w:val="20"/>
                <w:color w:val="auto"/>
              </w:rPr>
            </w:pPr>
            <w:r>
              <w:rPr>
                <w:rFonts w:ascii="Arial" w:cs="Arial" w:eastAsia="Arial" w:hAnsi="Arial"/>
                <w:sz w:val="16"/>
                <w:szCs w:val="16"/>
                <w:color w:val="auto"/>
              </w:rPr>
              <w:t>Total Revenue and Quantities Sold</w:t>
            </w:r>
          </w:p>
        </w:tc>
        <w:tc>
          <w:tcPr>
            <w:tcW w:w="920" w:type="dxa"/>
            <w:vAlign w:val="bottom"/>
            <w:tcBorders>
              <w:bottom w:val="single" w:sz="8" w:color="auto"/>
            </w:tcBorders>
          </w:tcPr>
          <w:p>
            <w:pPr>
              <w:jc w:val="right"/>
              <w:ind w:right="739"/>
              <w:spacing w:after="0" w:line="169" w:lineRule="exact"/>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572.4</w:t>
            </w:r>
          </w:p>
        </w:tc>
        <w:tc>
          <w:tcPr>
            <w:tcW w:w="48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508.7</w:t>
            </w:r>
          </w:p>
        </w:tc>
        <w:tc>
          <w:tcPr>
            <w:tcW w:w="1980" w:type="dxa"/>
            <w:vAlign w:val="bottom"/>
            <w:tcBorders>
              <w:bottom w:val="single" w:sz="8" w:color="auto"/>
            </w:tcBorders>
          </w:tcPr>
          <w:p>
            <w:pPr>
              <w:jc w:val="right"/>
              <w:ind w:right="559"/>
              <w:spacing w:after="0" w:line="169" w:lineRule="exact"/>
              <w:rPr>
                <w:sz w:val="20"/>
                <w:szCs w:val="20"/>
                <w:color w:val="auto"/>
              </w:rPr>
            </w:pPr>
            <w:r>
              <w:rPr>
                <w:rFonts w:ascii="Arial" w:cs="Arial" w:eastAsia="Arial" w:hAnsi="Arial"/>
                <w:sz w:val="16"/>
                <w:szCs w:val="16"/>
                <w:color w:val="auto"/>
              </w:rPr>
              <w:t>96.1</w:t>
            </w:r>
          </w:p>
        </w:tc>
        <w:tc>
          <w:tcPr>
            <w:tcW w:w="10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88.4</w:t>
            </w: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458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Black Hills Energy Services revenue under the Choice Gas Program.</w:t>
      </w:r>
    </w:p>
    <w:p>
      <w:pPr>
        <w:spacing w:after="0" w:line="15" w:lineRule="exact"/>
        <w:rPr>
          <w:rFonts w:ascii="Arial" w:cs="Arial" w:eastAsia="Arial" w:hAnsi="Arial"/>
          <w:sz w:val="14"/>
          <w:szCs w:val="14"/>
          <w:color w:val="auto"/>
        </w:rPr>
      </w:pPr>
    </w:p>
    <w:p>
      <w:pPr>
        <w:ind w:left="520" w:hanging="512"/>
        <w:spacing w:after="0" w:line="237"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inter-segment rent and non-regulated services under the Service Guard Comfort Plan, Tech Services, and HomeServe.</w:t>
      </w:r>
    </w:p>
    <w:p>
      <w:pPr>
        <w:ind w:left="5540"/>
        <w:spacing w:after="0"/>
        <w:rPr>
          <w:rFonts w:ascii="Arial" w:cs="Arial" w:eastAsia="Arial" w:hAnsi="Arial"/>
          <w:sz w:val="14"/>
          <w:szCs w:val="14"/>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Revenue</w:t>
            </w:r>
          </w:p>
        </w:tc>
        <w:tc>
          <w:tcPr>
            <w:tcW w:w="10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center"/>
              <w:ind w:right="9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20" w:type="dxa"/>
            <w:vAlign w:val="bottom"/>
            <w:gridSpan w:val="4"/>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c>
          <w:tcPr>
            <w:tcW w:w="3020" w:type="dxa"/>
            <w:vAlign w:val="bottom"/>
            <w:gridSpan w:val="2"/>
          </w:tcPr>
          <w:p>
            <w:pPr>
              <w:jc w:val="center"/>
              <w:ind w:right="99"/>
              <w:spacing w:after="0" w:line="168" w:lineRule="exact"/>
              <w:rPr>
                <w:sz w:val="20"/>
                <w:szCs w:val="20"/>
                <w:color w:val="auto"/>
              </w:rPr>
            </w:pPr>
            <w:r>
              <w:rPr>
                <w:rFonts w:ascii="Arial" w:cs="Arial" w:eastAsia="Arial" w:hAnsi="Arial"/>
                <w:sz w:val="16"/>
                <w:szCs w:val="16"/>
                <w:b w:val="1"/>
                <w:bCs w:val="1"/>
                <w:color w:val="auto"/>
              </w:rPr>
              <w:t>Three Months Ended March 31,</w:t>
            </w:r>
          </w:p>
        </w:tc>
      </w:tr>
      <w:tr>
        <w:trPr>
          <w:trHeight w:val="203"/>
        </w:trPr>
        <w:tc>
          <w:tcPr>
            <w:tcW w:w="4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14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2024</w:t>
            </w:r>
          </w:p>
        </w:tc>
      </w:tr>
      <w:tr>
        <w:trPr>
          <w:trHeight w:val="183"/>
        </w:trPr>
        <w:tc>
          <w:tcPr>
            <w:tcW w:w="4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2"/>
          </w:tcPr>
          <w:p>
            <w:pPr>
              <w:jc w:val="center"/>
              <w:ind w:right="99"/>
              <w:spacing w:after="0" w:line="183" w:lineRule="exact"/>
              <w:rPr>
                <w:sz w:val="20"/>
                <w:szCs w:val="20"/>
                <w:color w:val="auto"/>
              </w:rPr>
            </w:pPr>
            <w:r>
              <w:rPr>
                <w:rFonts w:ascii="Arial" w:cs="Arial" w:eastAsia="Arial" w:hAnsi="Arial"/>
                <w:sz w:val="16"/>
                <w:szCs w:val="16"/>
                <w:color w:val="auto"/>
              </w:rPr>
              <w:t>(Dth in millions)</w:t>
            </w: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1620" w:type="dxa"/>
            <w:vAlign w:val="bottom"/>
            <w:gridSpan w:val="2"/>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124.8</w:t>
            </w:r>
          </w:p>
        </w:tc>
        <w:tc>
          <w:tcPr>
            <w:tcW w:w="56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110.7</w:t>
            </w:r>
          </w:p>
        </w:tc>
        <w:tc>
          <w:tcPr>
            <w:tcW w:w="156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13.2</w:t>
            </w:r>
          </w:p>
        </w:tc>
        <w:tc>
          <w:tcPr>
            <w:tcW w:w="14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12.0</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Colorado Gas</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115.8</w:t>
            </w:r>
          </w:p>
        </w:tc>
        <w:tc>
          <w:tcPr>
            <w:tcW w:w="5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117.7</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13.2</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12.9</w:t>
            </w: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w:t>
            </w: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61.8</w:t>
            </w:r>
          </w:p>
        </w:tc>
        <w:tc>
          <w:tcPr>
            <w:tcW w:w="15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15.2</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Kansas Gas</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66.1</w:t>
            </w:r>
          </w:p>
        </w:tc>
        <w:tc>
          <w:tcPr>
            <w:tcW w:w="5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50.3</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11.7</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9.7</w:t>
            </w: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7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5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114.3</w:t>
            </w:r>
          </w:p>
        </w:tc>
        <w:tc>
          <w:tcPr>
            <w:tcW w:w="15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29.6</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Wyoming Gas</w:t>
            </w:r>
          </w:p>
        </w:tc>
        <w:tc>
          <w:tcPr>
            <w:tcW w:w="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53.9</w:t>
            </w: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13.2</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w:t>
            </w:r>
          </w:p>
        </w:tc>
      </w:tr>
      <w:tr>
        <w:trPr>
          <w:trHeight w:val="223"/>
        </w:trPr>
        <w:tc>
          <w:tcPr>
            <w:tcW w:w="4500" w:type="dxa"/>
            <w:vAlign w:val="bottom"/>
            <w:shd w:val="clear" w:color="auto" w:fill="CFF0FC"/>
          </w:tcPr>
          <w:p>
            <w:pPr>
              <w:ind w:left="60"/>
              <w:spacing w:after="0" w:line="169" w:lineRule="exact"/>
              <w:rPr>
                <w:sz w:val="20"/>
                <w:szCs w:val="20"/>
                <w:color w:val="auto"/>
              </w:rPr>
            </w:pPr>
            <w:r>
              <w:rPr>
                <w:rFonts w:ascii="Arial" w:cs="Arial" w:eastAsia="Arial" w:hAnsi="Arial"/>
                <w:sz w:val="16"/>
                <w:szCs w:val="16"/>
                <w:color w:val="auto"/>
              </w:rPr>
              <w:t>Total Revenue and Quantities Sold</w:t>
            </w:r>
          </w:p>
        </w:tc>
        <w:tc>
          <w:tcPr>
            <w:tcW w:w="1620" w:type="dxa"/>
            <w:vAlign w:val="bottom"/>
            <w:gridSpan w:val="2"/>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572.4</w:t>
            </w:r>
          </w:p>
        </w:tc>
        <w:tc>
          <w:tcPr>
            <w:tcW w:w="560" w:type="dxa"/>
            <w:vAlign w:val="bottom"/>
            <w:shd w:val="clear" w:color="auto" w:fill="CFF0FC"/>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508.7</w:t>
            </w:r>
          </w:p>
        </w:tc>
        <w:tc>
          <w:tcPr>
            <w:tcW w:w="1560" w:type="dxa"/>
            <w:vAlign w:val="bottom"/>
            <w:shd w:val="clear" w:color="auto" w:fill="CFF0FC"/>
          </w:tcPr>
          <w:p>
            <w:pPr>
              <w:jc w:val="right"/>
              <w:ind w:right="139"/>
              <w:spacing w:after="0" w:line="169" w:lineRule="exact"/>
              <w:rPr>
                <w:sz w:val="20"/>
                <w:szCs w:val="20"/>
                <w:color w:val="auto"/>
              </w:rPr>
            </w:pPr>
            <w:r>
              <w:rPr>
                <w:rFonts w:ascii="Arial" w:cs="Arial" w:eastAsia="Arial" w:hAnsi="Arial"/>
                <w:sz w:val="16"/>
                <w:szCs w:val="16"/>
                <w:color w:val="auto"/>
              </w:rPr>
              <w:t>96.1</w:t>
            </w:r>
          </w:p>
        </w:tc>
        <w:tc>
          <w:tcPr>
            <w:tcW w:w="146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88.4</w:t>
            </w:r>
          </w:p>
        </w:tc>
      </w:tr>
      <w:tr>
        <w:trPr>
          <w:trHeight w:val="344"/>
        </w:trPr>
        <w:tc>
          <w:tcPr>
            <w:tcW w:w="450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Borders>
              <w:top w:val="single" w:sz="8" w:color="auto"/>
            </w:tcBorders>
          </w:tcPr>
          <w:p>
            <w:pPr>
              <w:spacing w:after="0"/>
              <w:rPr>
                <w:sz w:val="24"/>
                <w:szCs w:val="24"/>
                <w:color w:val="auto"/>
              </w:rPr>
            </w:pPr>
          </w:p>
        </w:tc>
      </w:tr>
      <w:tr>
        <w:trPr>
          <w:trHeight w:val="203"/>
        </w:trPr>
        <w:tc>
          <w:tcPr>
            <w:tcW w:w="4500" w:type="dxa"/>
            <w:vAlign w:val="bottom"/>
          </w:tcPr>
          <w:p>
            <w:pPr>
              <w:spacing w:after="0"/>
              <w:rPr>
                <w:sz w:val="17"/>
                <w:szCs w:val="17"/>
                <w:color w:val="auto"/>
              </w:rPr>
            </w:pPr>
          </w:p>
        </w:tc>
        <w:tc>
          <w:tcPr>
            <w:tcW w:w="212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460" w:type="dxa"/>
            <w:vAlign w:val="bottom"/>
            <w:tcBorders>
              <w:bottom w:val="single" w:sz="8" w:color="auto"/>
            </w:tcBorders>
          </w:tcPr>
          <w:p>
            <w:pPr>
              <w:spacing w:after="0"/>
              <w:rPr>
                <w:sz w:val="17"/>
                <w:szCs w:val="17"/>
                <w:color w:val="auto"/>
              </w:rPr>
            </w:pPr>
          </w:p>
        </w:tc>
      </w:tr>
      <w:tr>
        <w:trPr>
          <w:trHeight w:val="168"/>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60" w:type="dxa"/>
            <w:vAlign w:val="bottom"/>
          </w:tcPr>
          <w:p>
            <w:pPr>
              <w:jc w:val="center"/>
              <w:ind w:right="17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4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Heating Degree Days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Actual</w:t>
            </w:r>
          </w:p>
        </w:tc>
        <w:tc>
          <w:tcPr>
            <w:tcW w:w="21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Variance from Normal</w:t>
            </w:r>
          </w:p>
        </w:tc>
        <w:tc>
          <w:tcPr>
            <w:tcW w:w="156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Actual</w:t>
            </w:r>
          </w:p>
        </w:tc>
        <w:tc>
          <w:tcPr>
            <w:tcW w:w="14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7"/>
              </w:rPr>
              <w:t>Normal</w:t>
            </w: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62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1,957</w:t>
            </w:r>
          </w:p>
        </w:tc>
        <w:tc>
          <w:tcPr>
            <w:tcW w:w="500" w:type="dxa"/>
            <w:vAlign w:val="bottom"/>
            <w:shd w:val="clear" w:color="auto" w:fill="CFF0FC"/>
          </w:tcPr>
          <w:p>
            <w:pPr>
              <w:spacing w:after="0"/>
              <w:rPr>
                <w:sz w:val="15"/>
                <w:szCs w:val="15"/>
                <w:color w:val="auto"/>
              </w:rPr>
            </w:pPr>
          </w:p>
        </w:tc>
        <w:tc>
          <w:tcPr>
            <w:tcW w:w="56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rPr>
              <w:t>2%</w:t>
            </w:r>
          </w:p>
        </w:tc>
        <w:tc>
          <w:tcPr>
            <w:tcW w:w="1040" w:type="dxa"/>
            <w:vAlign w:val="bottom"/>
            <w:shd w:val="clear" w:color="auto" w:fill="CFF0FC"/>
          </w:tcPr>
          <w:p>
            <w:pPr>
              <w:spacing w:after="0"/>
              <w:rPr>
                <w:sz w:val="15"/>
                <w:szCs w:val="15"/>
                <w:color w:val="auto"/>
              </w:rPr>
            </w:pPr>
          </w:p>
        </w:tc>
        <w:tc>
          <w:tcPr>
            <w:tcW w:w="1560" w:type="dxa"/>
            <w:vAlign w:val="bottom"/>
            <w:shd w:val="clear" w:color="auto" w:fill="CFF0FC"/>
          </w:tcPr>
          <w:p>
            <w:pPr>
              <w:jc w:val="center"/>
              <w:ind w:right="479"/>
              <w:spacing w:after="0" w:line="183" w:lineRule="exact"/>
              <w:rPr>
                <w:sz w:val="20"/>
                <w:szCs w:val="20"/>
                <w:color w:val="auto"/>
              </w:rPr>
            </w:pPr>
            <w:r>
              <w:rPr>
                <w:rFonts w:ascii="Arial" w:cs="Arial" w:eastAsia="Arial" w:hAnsi="Arial"/>
                <w:sz w:val="16"/>
                <w:szCs w:val="16"/>
                <w:color w:val="auto"/>
                <w:w w:val="99"/>
              </w:rPr>
              <w:t>1,772</w:t>
            </w:r>
          </w:p>
        </w:tc>
        <w:tc>
          <w:tcPr>
            <w:tcW w:w="1460" w:type="dxa"/>
            <w:vAlign w:val="bottom"/>
            <w:shd w:val="clear" w:color="auto" w:fill="CFF0FC"/>
          </w:tcPr>
          <w:p>
            <w:pPr>
              <w:jc w:val="center"/>
              <w:ind w:right="119"/>
              <w:spacing w:after="0" w:line="183" w:lineRule="exact"/>
              <w:rPr>
                <w:sz w:val="20"/>
                <w:szCs w:val="20"/>
                <w:color w:val="auto"/>
              </w:rPr>
            </w:pPr>
            <w:r>
              <w:rPr>
                <w:rFonts w:ascii="Arial" w:cs="Arial" w:eastAsia="Arial" w:hAnsi="Arial"/>
                <w:sz w:val="16"/>
                <w:szCs w:val="16"/>
                <w:color w:val="auto"/>
                <w:w w:val="98"/>
              </w:rPr>
              <w:t>(12)%</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Colorado Gas</w:t>
            </w: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9"/>
              </w:rPr>
              <w:t>2,837</w:t>
            </w:r>
          </w:p>
        </w:tc>
        <w:tc>
          <w:tcPr>
            <w:tcW w:w="500" w:type="dxa"/>
            <w:vAlign w:val="bottom"/>
          </w:tcPr>
          <w:p>
            <w:pPr>
              <w:spacing w:after="0"/>
              <w:rPr>
                <w:sz w:val="16"/>
                <w:szCs w:val="16"/>
                <w:color w:val="auto"/>
              </w:rPr>
            </w:pPr>
          </w:p>
        </w:tc>
        <w:tc>
          <w:tcPr>
            <w:tcW w:w="560" w:type="dxa"/>
            <w:vAlign w:val="bottom"/>
          </w:tcPr>
          <w:p>
            <w:pPr>
              <w:jc w:val="center"/>
              <w:ind w:left="119"/>
              <w:spacing w:after="0"/>
              <w:rPr>
                <w:sz w:val="20"/>
                <w:szCs w:val="20"/>
                <w:color w:val="auto"/>
              </w:rPr>
            </w:pPr>
            <w:r>
              <w:rPr>
                <w:rFonts w:ascii="Arial" w:cs="Arial" w:eastAsia="Arial" w:hAnsi="Arial"/>
                <w:sz w:val="16"/>
                <w:szCs w:val="16"/>
                <w:color w:val="auto"/>
              </w:rPr>
              <w:t>2%</w:t>
            </w:r>
          </w:p>
        </w:tc>
        <w:tc>
          <w:tcPr>
            <w:tcW w:w="1040" w:type="dxa"/>
            <w:vAlign w:val="bottom"/>
          </w:tcPr>
          <w:p>
            <w:pPr>
              <w:spacing w:after="0"/>
              <w:rPr>
                <w:sz w:val="16"/>
                <w:szCs w:val="16"/>
                <w:color w:val="auto"/>
              </w:rPr>
            </w:pPr>
          </w:p>
        </w:tc>
        <w:tc>
          <w:tcPr>
            <w:tcW w:w="1560" w:type="dxa"/>
            <w:vAlign w:val="bottom"/>
          </w:tcPr>
          <w:p>
            <w:pPr>
              <w:jc w:val="center"/>
              <w:ind w:right="479"/>
              <w:spacing w:after="0"/>
              <w:rPr>
                <w:sz w:val="20"/>
                <w:szCs w:val="20"/>
                <w:color w:val="auto"/>
              </w:rPr>
            </w:pPr>
            <w:r>
              <w:rPr>
                <w:rFonts w:ascii="Arial" w:cs="Arial" w:eastAsia="Arial" w:hAnsi="Arial"/>
                <w:sz w:val="16"/>
                <w:szCs w:val="16"/>
                <w:color w:val="auto"/>
                <w:w w:val="99"/>
              </w:rPr>
              <w:t>2,743</w:t>
            </w:r>
          </w:p>
        </w:tc>
        <w:tc>
          <w:tcPr>
            <w:tcW w:w="1460" w:type="dxa"/>
            <w:vAlign w:val="bottom"/>
          </w:tcPr>
          <w:p>
            <w:pPr>
              <w:jc w:val="center"/>
              <w:ind w:right="119"/>
              <w:spacing w:after="0"/>
              <w:rPr>
                <w:sz w:val="20"/>
                <w:szCs w:val="20"/>
                <w:color w:val="auto"/>
              </w:rPr>
            </w:pPr>
            <w:r>
              <w:rPr>
                <w:rFonts w:ascii="Arial" w:cs="Arial" w:eastAsia="Arial" w:hAnsi="Arial"/>
                <w:sz w:val="16"/>
                <w:szCs w:val="16"/>
                <w:color w:val="auto"/>
              </w:rPr>
              <w:t>(3)%</w:t>
            </w: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3,288</w:t>
            </w:r>
          </w:p>
        </w:tc>
        <w:tc>
          <w:tcPr>
            <w:tcW w:w="500" w:type="dxa"/>
            <w:vAlign w:val="bottom"/>
            <w:shd w:val="clear" w:color="auto" w:fill="CFF0FC"/>
          </w:tcPr>
          <w:p>
            <w:pPr>
              <w:spacing w:after="0"/>
              <w:rPr>
                <w:sz w:val="16"/>
                <w:szCs w:val="16"/>
                <w:color w:val="auto"/>
              </w:rPr>
            </w:pPr>
          </w:p>
        </w:tc>
        <w:tc>
          <w:tcPr>
            <w:tcW w:w="5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spacing w:after="0"/>
              <w:rPr>
                <w:sz w:val="16"/>
                <w:szCs w:val="16"/>
                <w:color w:val="auto"/>
              </w:rPr>
            </w:pPr>
          </w:p>
        </w:tc>
        <w:tc>
          <w:tcPr>
            <w:tcW w:w="1560" w:type="dxa"/>
            <w:vAlign w:val="bottom"/>
            <w:shd w:val="clear" w:color="auto" w:fill="CFF0FC"/>
          </w:tcPr>
          <w:p>
            <w:pPr>
              <w:jc w:val="center"/>
              <w:ind w:right="479"/>
              <w:spacing w:after="0"/>
              <w:rPr>
                <w:sz w:val="20"/>
                <w:szCs w:val="20"/>
                <w:color w:val="auto"/>
              </w:rPr>
            </w:pPr>
            <w:r>
              <w:rPr>
                <w:rFonts w:ascii="Arial" w:cs="Arial" w:eastAsia="Arial" w:hAnsi="Arial"/>
                <w:sz w:val="16"/>
                <w:szCs w:val="16"/>
                <w:color w:val="auto"/>
                <w:w w:val="99"/>
              </w:rPr>
              <w:t>2,898</w:t>
            </w:r>
          </w:p>
        </w:tc>
        <w:tc>
          <w:tcPr>
            <w:tcW w:w="1460" w:type="dxa"/>
            <w:vAlign w:val="bottom"/>
            <w:shd w:val="clear" w:color="auto" w:fill="CFF0FC"/>
          </w:tcPr>
          <w:p>
            <w:pPr>
              <w:jc w:val="center"/>
              <w:ind w:right="119"/>
              <w:spacing w:after="0"/>
              <w:rPr>
                <w:sz w:val="20"/>
                <w:szCs w:val="20"/>
                <w:color w:val="auto"/>
              </w:rPr>
            </w:pPr>
            <w:r>
              <w:rPr>
                <w:rFonts w:ascii="Arial" w:cs="Arial" w:eastAsia="Arial" w:hAnsi="Arial"/>
                <w:sz w:val="16"/>
                <w:szCs w:val="16"/>
                <w:color w:val="auto"/>
                <w:w w:val="98"/>
              </w:rPr>
              <w:t>(16)%</w:t>
            </w:r>
          </w:p>
        </w:tc>
      </w:tr>
      <w:tr>
        <w:trPr>
          <w:trHeight w:val="189"/>
        </w:trPr>
        <w:tc>
          <w:tcPr>
            <w:tcW w:w="4500" w:type="dxa"/>
            <w:vAlign w:val="bottom"/>
          </w:tcPr>
          <w:p>
            <w:pPr>
              <w:spacing w:after="0" w:line="189"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9"/>
              </w:rPr>
              <w:t>2,616</w:t>
            </w:r>
          </w:p>
        </w:tc>
        <w:tc>
          <w:tcPr>
            <w:tcW w:w="500" w:type="dxa"/>
            <w:vAlign w:val="bottom"/>
          </w:tcPr>
          <w:p>
            <w:pPr>
              <w:spacing w:after="0"/>
              <w:rPr>
                <w:sz w:val="16"/>
                <w:szCs w:val="16"/>
                <w:color w:val="auto"/>
              </w:rPr>
            </w:pPr>
          </w:p>
        </w:tc>
        <w:tc>
          <w:tcPr>
            <w:tcW w:w="560" w:type="dxa"/>
            <w:vAlign w:val="bottom"/>
          </w:tcPr>
          <w:p>
            <w:pPr>
              <w:jc w:val="center"/>
              <w:ind w:left="119"/>
              <w:spacing w:after="0"/>
              <w:rPr>
                <w:sz w:val="20"/>
                <w:szCs w:val="20"/>
                <w:color w:val="auto"/>
              </w:rPr>
            </w:pPr>
            <w:r>
              <w:rPr>
                <w:rFonts w:ascii="Arial" w:cs="Arial" w:eastAsia="Arial" w:hAnsi="Arial"/>
                <w:sz w:val="16"/>
                <w:szCs w:val="16"/>
                <w:color w:val="auto"/>
                <w:w w:val="99"/>
              </w:rPr>
              <w:t>10%</w:t>
            </w:r>
          </w:p>
        </w:tc>
        <w:tc>
          <w:tcPr>
            <w:tcW w:w="1040" w:type="dxa"/>
            <w:vAlign w:val="bottom"/>
          </w:tcPr>
          <w:p>
            <w:pPr>
              <w:spacing w:after="0"/>
              <w:rPr>
                <w:sz w:val="16"/>
                <w:szCs w:val="16"/>
                <w:color w:val="auto"/>
              </w:rPr>
            </w:pPr>
          </w:p>
        </w:tc>
        <w:tc>
          <w:tcPr>
            <w:tcW w:w="1560" w:type="dxa"/>
            <w:vAlign w:val="bottom"/>
          </w:tcPr>
          <w:p>
            <w:pPr>
              <w:jc w:val="center"/>
              <w:ind w:right="479"/>
              <w:spacing w:after="0"/>
              <w:rPr>
                <w:sz w:val="20"/>
                <w:szCs w:val="20"/>
                <w:color w:val="auto"/>
              </w:rPr>
            </w:pPr>
            <w:r>
              <w:rPr>
                <w:rFonts w:ascii="Arial" w:cs="Arial" w:eastAsia="Arial" w:hAnsi="Arial"/>
                <w:sz w:val="16"/>
                <w:szCs w:val="16"/>
                <w:color w:val="auto"/>
                <w:w w:val="99"/>
              </w:rPr>
              <w:t>2,291</w:t>
            </w:r>
          </w:p>
        </w:tc>
        <w:tc>
          <w:tcPr>
            <w:tcW w:w="1460" w:type="dxa"/>
            <w:vAlign w:val="bottom"/>
          </w:tcPr>
          <w:p>
            <w:pPr>
              <w:jc w:val="center"/>
              <w:ind w:right="119"/>
              <w:spacing w:after="0"/>
              <w:rPr>
                <w:sz w:val="20"/>
                <w:szCs w:val="20"/>
                <w:color w:val="auto"/>
              </w:rPr>
            </w:pPr>
            <w:r>
              <w:rPr>
                <w:rFonts w:ascii="Arial" w:cs="Arial" w:eastAsia="Arial" w:hAnsi="Arial"/>
                <w:sz w:val="16"/>
                <w:szCs w:val="16"/>
                <w:color w:val="auto"/>
              </w:rPr>
              <w:t>(7)%</w:t>
            </w: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3,039</w:t>
            </w:r>
          </w:p>
        </w:tc>
        <w:tc>
          <w:tcPr>
            <w:tcW w:w="500" w:type="dxa"/>
            <w:vAlign w:val="bottom"/>
            <w:shd w:val="clear" w:color="auto" w:fill="CFF0FC"/>
          </w:tcPr>
          <w:p>
            <w:pPr>
              <w:spacing w:after="0"/>
              <w:rPr>
                <w:sz w:val="16"/>
                <w:szCs w:val="16"/>
                <w:color w:val="auto"/>
              </w:rPr>
            </w:pPr>
          </w:p>
        </w:tc>
        <w:tc>
          <w:tcPr>
            <w:tcW w:w="5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2%</w:t>
            </w:r>
          </w:p>
        </w:tc>
        <w:tc>
          <w:tcPr>
            <w:tcW w:w="1040" w:type="dxa"/>
            <w:vAlign w:val="bottom"/>
            <w:shd w:val="clear" w:color="auto" w:fill="CFF0FC"/>
          </w:tcPr>
          <w:p>
            <w:pPr>
              <w:spacing w:after="0"/>
              <w:rPr>
                <w:sz w:val="16"/>
                <w:szCs w:val="16"/>
                <w:color w:val="auto"/>
              </w:rPr>
            </w:pPr>
          </w:p>
        </w:tc>
        <w:tc>
          <w:tcPr>
            <w:tcW w:w="1560" w:type="dxa"/>
            <w:vAlign w:val="bottom"/>
            <w:shd w:val="clear" w:color="auto" w:fill="CFF0FC"/>
          </w:tcPr>
          <w:p>
            <w:pPr>
              <w:jc w:val="center"/>
              <w:ind w:right="479"/>
              <w:spacing w:after="0"/>
              <w:rPr>
                <w:sz w:val="20"/>
                <w:szCs w:val="20"/>
                <w:color w:val="auto"/>
              </w:rPr>
            </w:pPr>
            <w:r>
              <w:rPr>
                <w:rFonts w:ascii="Arial" w:cs="Arial" w:eastAsia="Arial" w:hAnsi="Arial"/>
                <w:sz w:val="16"/>
                <w:szCs w:val="16"/>
                <w:color w:val="auto"/>
                <w:w w:val="99"/>
              </w:rPr>
              <w:t>2,802</w:t>
            </w:r>
          </w:p>
        </w:tc>
        <w:tc>
          <w:tcPr>
            <w:tcW w:w="1460" w:type="dxa"/>
            <w:vAlign w:val="bottom"/>
            <w:shd w:val="clear" w:color="auto" w:fill="CFF0FC"/>
          </w:tcPr>
          <w:p>
            <w:pPr>
              <w:jc w:val="center"/>
              <w:ind w:right="119"/>
              <w:spacing w:after="0"/>
              <w:rPr>
                <w:sz w:val="20"/>
                <w:szCs w:val="20"/>
                <w:color w:val="auto"/>
              </w:rPr>
            </w:pPr>
            <w:r>
              <w:rPr>
                <w:rFonts w:ascii="Arial" w:cs="Arial" w:eastAsia="Arial" w:hAnsi="Arial"/>
                <w:sz w:val="16"/>
                <w:szCs w:val="16"/>
                <w:color w:val="auto"/>
              </w:rPr>
              <w:t>(9)%</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Wyoming Gas</w:t>
            </w:r>
          </w:p>
        </w:tc>
        <w:tc>
          <w:tcPr>
            <w:tcW w:w="1620" w:type="dxa"/>
            <w:vAlign w:val="bottom"/>
            <w:gridSpan w:val="2"/>
          </w:tcPr>
          <w:p>
            <w:pPr>
              <w:jc w:val="center"/>
              <w:spacing w:after="0"/>
              <w:rPr>
                <w:sz w:val="20"/>
                <w:szCs w:val="20"/>
                <w:color w:val="auto"/>
              </w:rPr>
            </w:pPr>
            <w:r>
              <w:rPr>
                <w:rFonts w:ascii="Arial" w:cs="Arial" w:eastAsia="Arial" w:hAnsi="Arial"/>
                <w:sz w:val="16"/>
                <w:szCs w:val="16"/>
                <w:color w:val="auto"/>
                <w:w w:val="99"/>
              </w:rPr>
              <w:t>3,323</w:t>
            </w:r>
          </w:p>
        </w:tc>
        <w:tc>
          <w:tcPr>
            <w:tcW w:w="500" w:type="dxa"/>
            <w:vAlign w:val="bottom"/>
          </w:tcPr>
          <w:p>
            <w:pPr>
              <w:spacing w:after="0"/>
              <w:rPr>
                <w:sz w:val="16"/>
                <w:szCs w:val="16"/>
                <w:color w:val="auto"/>
              </w:rPr>
            </w:pPr>
          </w:p>
        </w:tc>
        <w:tc>
          <w:tcPr>
            <w:tcW w:w="560" w:type="dxa"/>
            <w:vAlign w:val="bottom"/>
          </w:tcPr>
          <w:p>
            <w:pPr>
              <w:jc w:val="center"/>
              <w:ind w:left="119"/>
              <w:spacing w:after="0"/>
              <w:rPr>
                <w:sz w:val="20"/>
                <w:szCs w:val="20"/>
                <w:color w:val="auto"/>
              </w:rPr>
            </w:pPr>
            <w:r>
              <w:rPr>
                <w:rFonts w:ascii="Arial" w:cs="Arial" w:eastAsia="Arial" w:hAnsi="Arial"/>
                <w:sz w:val="16"/>
                <w:szCs w:val="16"/>
                <w:color w:val="auto"/>
              </w:rPr>
              <w:t>3%</w:t>
            </w:r>
          </w:p>
        </w:tc>
        <w:tc>
          <w:tcPr>
            <w:tcW w:w="1040" w:type="dxa"/>
            <w:vAlign w:val="bottom"/>
          </w:tcPr>
          <w:p>
            <w:pPr>
              <w:spacing w:after="0"/>
              <w:rPr>
                <w:sz w:val="16"/>
                <w:szCs w:val="16"/>
                <w:color w:val="auto"/>
              </w:rPr>
            </w:pPr>
          </w:p>
        </w:tc>
        <w:tc>
          <w:tcPr>
            <w:tcW w:w="1560" w:type="dxa"/>
            <w:vAlign w:val="bottom"/>
          </w:tcPr>
          <w:p>
            <w:pPr>
              <w:jc w:val="center"/>
              <w:ind w:right="479"/>
              <w:spacing w:after="0"/>
              <w:rPr>
                <w:sz w:val="20"/>
                <w:szCs w:val="20"/>
                <w:color w:val="auto"/>
              </w:rPr>
            </w:pPr>
            <w:r>
              <w:rPr>
                <w:rFonts w:ascii="Arial" w:cs="Arial" w:eastAsia="Arial" w:hAnsi="Arial"/>
                <w:sz w:val="16"/>
                <w:szCs w:val="16"/>
                <w:color w:val="auto"/>
                <w:w w:val="99"/>
              </w:rPr>
              <w:t>3,156</w:t>
            </w:r>
          </w:p>
        </w:tc>
        <w:tc>
          <w:tcPr>
            <w:tcW w:w="1460" w:type="dxa"/>
            <w:vAlign w:val="bottom"/>
          </w:tcPr>
          <w:p>
            <w:pPr>
              <w:jc w:val="center"/>
              <w:ind w:right="119"/>
              <w:spacing w:after="0"/>
              <w:rPr>
                <w:sz w:val="20"/>
                <w:szCs w:val="20"/>
                <w:color w:val="auto"/>
              </w:rPr>
            </w:pPr>
            <w:r>
              <w:rPr>
                <w:rFonts w:ascii="Arial" w:cs="Arial" w:eastAsia="Arial" w:hAnsi="Arial"/>
                <w:sz w:val="16"/>
                <w:szCs w:val="16"/>
                <w:color w:val="auto"/>
              </w:rPr>
              <w:t>(3)%</w:t>
            </w:r>
          </w:p>
        </w:tc>
      </w:tr>
      <w:tr>
        <w:trPr>
          <w:trHeight w:val="189"/>
        </w:trPr>
        <w:tc>
          <w:tcPr>
            <w:tcW w:w="450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3,082</w:t>
            </w:r>
          </w:p>
        </w:tc>
        <w:tc>
          <w:tcPr>
            <w:tcW w:w="500" w:type="dxa"/>
            <w:vAlign w:val="bottom"/>
            <w:shd w:val="clear" w:color="auto" w:fill="CFF0FC"/>
          </w:tcPr>
          <w:p>
            <w:pPr>
              <w:spacing w:after="0"/>
              <w:rPr>
                <w:sz w:val="16"/>
                <w:szCs w:val="16"/>
                <w:color w:val="auto"/>
              </w:rPr>
            </w:pPr>
          </w:p>
        </w:tc>
        <w:tc>
          <w:tcPr>
            <w:tcW w:w="5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spacing w:after="0"/>
              <w:rPr>
                <w:sz w:val="16"/>
                <w:szCs w:val="16"/>
                <w:color w:val="auto"/>
              </w:rPr>
            </w:pPr>
          </w:p>
        </w:tc>
        <w:tc>
          <w:tcPr>
            <w:tcW w:w="1560" w:type="dxa"/>
            <w:vAlign w:val="bottom"/>
            <w:shd w:val="clear" w:color="auto" w:fill="CFF0FC"/>
          </w:tcPr>
          <w:p>
            <w:pPr>
              <w:jc w:val="center"/>
              <w:ind w:right="479"/>
              <w:spacing w:after="0"/>
              <w:rPr>
                <w:sz w:val="20"/>
                <w:szCs w:val="20"/>
                <w:color w:val="auto"/>
              </w:rPr>
            </w:pPr>
            <w:r>
              <w:rPr>
                <w:rFonts w:ascii="Arial" w:cs="Arial" w:eastAsia="Arial" w:hAnsi="Arial"/>
                <w:sz w:val="16"/>
                <w:szCs w:val="16"/>
                <w:color w:val="auto"/>
                <w:w w:val="99"/>
              </w:rPr>
              <w:t>2,865</w:t>
            </w:r>
          </w:p>
        </w:tc>
        <w:tc>
          <w:tcPr>
            <w:tcW w:w="1460" w:type="dxa"/>
            <w:vAlign w:val="bottom"/>
            <w:shd w:val="clear" w:color="auto" w:fill="CFF0FC"/>
          </w:tcPr>
          <w:p>
            <w:pPr>
              <w:jc w:val="center"/>
              <w:ind w:right="119"/>
              <w:spacing w:after="0"/>
              <w:rPr>
                <w:sz w:val="20"/>
                <w:szCs w:val="20"/>
                <w:color w:val="auto"/>
              </w:rPr>
            </w:pPr>
            <w:r>
              <w:rPr>
                <w:rFonts w:ascii="Arial" w:cs="Arial" w:eastAsia="Arial" w:hAnsi="Arial"/>
                <w:sz w:val="16"/>
                <w:szCs w:val="16"/>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revenue.</w:t>
      </w:r>
    </w:p>
    <w:p>
      <w:pPr>
        <w:spacing w:after="0" w:line="15" w:lineRule="exact"/>
        <w:rPr>
          <w:rFonts w:ascii="Arial" w:cs="Arial" w:eastAsia="Arial" w:hAnsi="Arial"/>
          <w:sz w:val="14"/>
          <w:szCs w:val="14"/>
          <w:color w:val="auto"/>
        </w:rPr>
      </w:pPr>
    </w:p>
    <w:p>
      <w:pPr>
        <w:ind w:left="520" w:right="340" w:hanging="512"/>
        <w:spacing w:after="0" w:line="264"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16"/>
                <w:szCs w:val="16"/>
                <w:color w:val="auto"/>
              </w:rPr>
            </w:pPr>
          </w:p>
        </w:tc>
      </w:tr>
      <w:tr>
        <w:trPr>
          <w:trHeight w:val="203"/>
        </w:trPr>
        <w:tc>
          <w:tcPr>
            <w:tcW w:w="5400" w:type="dxa"/>
            <w:vAlign w:val="bottom"/>
          </w:tcPr>
          <w:p>
            <w:pPr>
              <w:spacing w:after="0"/>
              <w:rPr>
                <w:sz w:val="17"/>
                <w:szCs w:val="17"/>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25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2025 vs 2024 Variance</w:t>
            </w:r>
          </w:p>
        </w:tc>
      </w:tr>
      <w:tr>
        <w:trPr>
          <w:trHeight w:val="183"/>
        </w:trPr>
        <w:tc>
          <w:tcPr>
            <w:tcW w:w="54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400"/>
              <w:spacing w:after="0" w:line="183" w:lineRule="exact"/>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23"/>
        </w:trPr>
        <w:tc>
          <w:tcPr>
            <w:tcW w:w="54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Operating income (loss)</w:t>
            </w:r>
          </w:p>
        </w:tc>
        <w:tc>
          <w:tcPr>
            <w:tcW w:w="1360" w:type="dxa"/>
            <w:vAlign w:val="bottom"/>
            <w:tcBorders>
              <w:bottom w:val="single" w:sz="8" w:color="auto"/>
            </w:tcBorders>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(0.8)</w:t>
            </w:r>
          </w:p>
        </w:tc>
        <w:tc>
          <w:tcPr>
            <w:tcW w:w="1380" w:type="dxa"/>
            <w:vAlign w:val="bottom"/>
            <w:tcBorders>
              <w:bottom w:val="single" w:sz="8" w:color="auto"/>
            </w:tcBorders>
            <w:shd w:val="clear" w:color="auto" w:fill="CFF0FC"/>
          </w:tcPr>
          <w:p>
            <w:pPr>
              <w:jc w:val="right"/>
              <w:ind w:right="1160"/>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659"/>
              <w:spacing w:after="0" w:line="169" w:lineRule="exact"/>
              <w:rPr>
                <w:sz w:val="20"/>
                <w:szCs w:val="20"/>
                <w:color w:val="auto"/>
              </w:rPr>
            </w:pPr>
            <w:r>
              <w:rPr>
                <w:rFonts w:ascii="Arial" w:cs="Arial" w:eastAsia="Arial" w:hAnsi="Arial"/>
                <w:sz w:val="16"/>
                <w:szCs w:val="16"/>
                <w:color w:val="auto"/>
              </w:rPr>
              <w:t>(2.1) $</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1.3</w:t>
            </w:r>
          </w:p>
        </w:tc>
      </w:tr>
      <w:tr>
        <w:trPr>
          <w:trHeight w:val="332"/>
        </w:trPr>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Three Months Ended March 31, 2025, Compared to the Three Months Ended March 31, 2024:</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6"/>
        </w:trPr>
        <w:tc>
          <w:tcPr>
            <w:tcW w:w="5400" w:type="dxa"/>
            <w:vAlign w:val="bottom"/>
          </w:tcPr>
          <w:p>
            <w:pPr>
              <w:spacing w:after="0"/>
              <w:rPr>
                <w:sz w:val="20"/>
                <w:szCs w:val="20"/>
                <w:color w:val="auto"/>
              </w:rPr>
            </w:pPr>
            <w:r>
              <w:rPr>
                <w:rFonts w:ascii="Arial" w:cs="Arial" w:eastAsia="Arial" w:hAnsi="Arial"/>
                <w:sz w:val="16"/>
                <w:szCs w:val="16"/>
                <w:color w:val="auto"/>
              </w:rPr>
              <w:t>Operating loss was comparable to the same period in the prior year.</w:t>
            </w: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75"/>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5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rPr>
              <w:t>Three Months Ended March 31,</w:t>
            </w:r>
          </w:p>
        </w:tc>
        <w:tc>
          <w:tcPr>
            <w:tcW w:w="1080" w:type="dxa"/>
            <w:vAlign w:val="bottom"/>
          </w:tcPr>
          <w:p>
            <w:pPr>
              <w:spacing w:after="0"/>
              <w:rPr>
                <w:sz w:val="24"/>
                <w:szCs w:val="24"/>
                <w:color w:val="auto"/>
              </w:rPr>
            </w:pPr>
          </w:p>
        </w:tc>
      </w:tr>
      <w:tr>
        <w:trPr>
          <w:trHeight w:val="203"/>
        </w:trPr>
        <w:tc>
          <w:tcPr>
            <w:tcW w:w="5400" w:type="dxa"/>
            <w:vAlign w:val="bottom"/>
          </w:tcPr>
          <w:p>
            <w:pPr>
              <w:spacing w:after="0"/>
              <w:rPr>
                <w:sz w:val="17"/>
                <w:szCs w:val="17"/>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25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2025 vs 2024 Variance</w:t>
            </w:r>
          </w:p>
        </w:tc>
      </w:tr>
      <w:tr>
        <w:trPr>
          <w:trHeight w:val="183"/>
        </w:trPr>
        <w:tc>
          <w:tcPr>
            <w:tcW w:w="54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400"/>
              <w:spacing w:after="0" w:line="183" w:lineRule="exact"/>
              <w:rPr>
                <w:sz w:val="20"/>
                <w:szCs w:val="20"/>
                <w:color w:val="auto"/>
              </w:rPr>
            </w:pPr>
            <w:r>
              <w:rPr>
                <w:rFonts w:ascii="Arial" w:cs="Arial" w:eastAsia="Arial" w:hAnsi="Arial"/>
                <w:sz w:val="16"/>
                <w:szCs w:val="16"/>
                <w:color w:val="auto"/>
              </w:rPr>
              <w:t>(in millions)</w:t>
            </w:r>
          </w:p>
        </w:tc>
        <w:tc>
          <w:tcPr>
            <w:tcW w:w="1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 net</w:t>
            </w:r>
          </w:p>
        </w:tc>
        <w:tc>
          <w:tcPr>
            <w:tcW w:w="1360" w:type="dxa"/>
            <w:vAlign w:val="bottom"/>
            <w:shd w:val="clear" w:color="auto" w:fill="CFF0FC"/>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(51.3)</w:t>
            </w:r>
          </w:p>
        </w:tc>
        <w:tc>
          <w:tcPr>
            <w:tcW w:w="1380" w:type="dxa"/>
            <w:vAlign w:val="bottom"/>
            <w:shd w:val="clear" w:color="auto" w:fill="CFF0FC"/>
          </w:tcPr>
          <w:p>
            <w:pPr>
              <w:jc w:val="right"/>
              <w:ind w:right="122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rPr>
              <w:t>(44.0) $</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(7.3)</w:t>
            </w: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360" w:type="dxa"/>
            <w:vAlign w:val="bottom"/>
          </w:tcPr>
          <w:p>
            <w:pPr>
              <w:spacing w:after="0"/>
              <w:rPr>
                <w:sz w:val="16"/>
                <w:szCs w:val="16"/>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1380" w:type="dxa"/>
            <w:vAlign w:val="bottom"/>
          </w:tcPr>
          <w:p>
            <w:pPr>
              <w:spacing w:after="0"/>
              <w:rPr>
                <w:sz w:val="16"/>
                <w:szCs w:val="16"/>
                <w:color w:val="auto"/>
              </w:rPr>
            </w:pPr>
          </w:p>
        </w:tc>
        <w:tc>
          <w:tcPr>
            <w:tcW w:w="1440" w:type="dxa"/>
            <w:vAlign w:val="bottom"/>
          </w:tcPr>
          <w:p>
            <w:pPr>
              <w:jc w:val="right"/>
              <w:ind w:right="899"/>
              <w:spacing w:after="0"/>
              <w:rPr>
                <w:sz w:val="20"/>
                <w:szCs w:val="20"/>
                <w:color w:val="auto"/>
              </w:rPr>
            </w:pPr>
            <w:r>
              <w:rPr>
                <w:rFonts w:ascii="Arial" w:cs="Arial" w:eastAsia="Arial" w:hAnsi="Arial"/>
                <w:sz w:val="16"/>
                <w:szCs w:val="16"/>
                <w:color w:val="auto"/>
              </w:rPr>
              <w:t>(0.8)</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3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138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(16.9)</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417"/>
        </w:trPr>
        <w:tc>
          <w:tcPr>
            <w:tcW w:w="5400" w:type="dxa"/>
            <w:vAlign w:val="bottom"/>
          </w:tcPr>
          <w:p>
            <w:pPr>
              <w:spacing w:after="0"/>
              <w:rPr>
                <w:sz w:val="24"/>
                <w:szCs w:val="24"/>
                <w:color w:val="auto"/>
              </w:rPr>
            </w:pPr>
          </w:p>
        </w:tc>
        <w:tc>
          <w:tcPr>
            <w:tcW w:w="1360" w:type="dxa"/>
            <w:vAlign w:val="bottom"/>
          </w:tcPr>
          <w:p>
            <w:pPr>
              <w:jc w:val="right"/>
              <w:ind w:right="959"/>
              <w:spacing w:after="0"/>
              <w:rPr>
                <w:sz w:val="20"/>
                <w:szCs w:val="20"/>
                <w:color w:val="auto"/>
              </w:rPr>
            </w:pPr>
            <w:r>
              <w:rPr>
                <w:rFonts w:ascii="Arial" w:cs="Arial" w:eastAsia="Arial" w:hAnsi="Arial"/>
                <w:sz w:val="16"/>
                <w:szCs w:val="16"/>
                <w:color w:val="auto"/>
              </w:rPr>
              <w:t>36</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51"/>
        </w:trPr>
        <w:tc>
          <w:tcPr>
            <w:tcW w:w="5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2025, Compared to the Three Months Ended March 31,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primarily due to higher interest rates and lower interest income on lower cash and cash equivalents balances.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was comparable to the same period in the prior year. For the three months ended March 31, 2025, the effective tax rate was 11.7%, which was comparable to 11.4% for the same period in 2024.</w:t>
      </w:r>
    </w:p>
    <w:p>
      <w:pPr>
        <w:sectPr>
          <w:pgSz w:w="11900" w:h="16838" w:orient="portrait"/>
          <w:cols w:equalWidth="0" w:num="1">
            <w:col w:w="11240"/>
          </w:cols>
          <w:pgMar w:left="320" w:top="125" w:right="339" w:bottom="1440" w:gutter="0" w:footer="0" w:header="0"/>
        </w:sectPr>
      </w:pPr>
    </w:p>
    <w:p>
      <w:pPr>
        <w:spacing w:after="0" w:line="318"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liquidity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Long-term debt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stockholders' equity (excludes non-controlling interest)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Debt to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to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9030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2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3"/>
          </w:tcPr>
          <w:p>
            <w:pPr>
              <w:jc w:val="right"/>
              <w:ind w:right="1399"/>
              <w:spacing w:after="0" w:line="183" w:lineRule="exact"/>
              <w:rPr>
                <w:sz w:val="20"/>
                <w:szCs w:val="20"/>
                <w:color w:val="auto"/>
              </w:rPr>
            </w:pPr>
            <w:r>
              <w:rPr>
                <w:rFonts w:ascii="Arial" w:cs="Arial" w:eastAsia="Arial" w:hAnsi="Arial"/>
                <w:sz w:val="16"/>
                <w:szCs w:val="16"/>
                <w:color w:val="auto"/>
              </w:rPr>
              <w:t>(dollars in millions)</w:t>
            </w:r>
          </w:p>
        </w:tc>
      </w:tr>
      <w:tr>
        <w:trPr>
          <w:trHeight w:val="168"/>
        </w:trPr>
        <w:tc>
          <w:tcPr>
            <w:tcW w:w="240" w:type="dxa"/>
            <w:vAlign w:val="bottom"/>
          </w:tcPr>
          <w:p>
            <w:pPr>
              <w:jc w:val="right"/>
              <w:ind w:right="59"/>
              <w:spacing w:after="0" w:line="168" w:lineRule="exact"/>
              <w:rPr>
                <w:sz w:val="20"/>
                <w:szCs w:val="20"/>
                <w:color w:val="auto"/>
              </w:rPr>
            </w:pPr>
            <w:r>
              <w:rPr>
                <w:rFonts w:ascii="Arial" w:cs="Arial" w:eastAsia="Arial" w:hAnsi="Arial"/>
                <w:sz w:val="16"/>
                <w:szCs w:val="16"/>
                <w:color w:val="auto"/>
                <w:w w:val="89"/>
              </w:rPr>
              <w:t>$</w:t>
            </w:r>
          </w:p>
        </w:tc>
        <w:tc>
          <w:tcPr>
            <w:tcW w:w="18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6.6</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16.1</w:t>
            </w:r>
          </w:p>
        </w:tc>
      </w:tr>
      <w:tr>
        <w:trPr>
          <w:trHeight w:val="203"/>
        </w:trPr>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686.6</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612.7</w:t>
            </w:r>
          </w:p>
        </w:tc>
      </w:tr>
      <w:tr>
        <w:trPr>
          <w:trHeight w:val="208"/>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693.2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628.8</w:t>
            </w:r>
          </w:p>
        </w:tc>
      </w:tr>
      <w:tr>
        <w:trPr>
          <w:trHeight w:val="527"/>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359.9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133.8</w:t>
            </w:r>
          </w:p>
        </w:tc>
      </w:tr>
      <w:tr>
        <w:trPr>
          <w:trHeight w:val="203"/>
        </w:trPr>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3,951.6</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4,250.2</w:t>
            </w:r>
          </w:p>
        </w:tc>
      </w:tr>
      <w:tr>
        <w:trPr>
          <w:trHeight w:val="168"/>
        </w:trPr>
        <w:tc>
          <w:tcPr>
            <w:tcW w:w="240" w:type="dxa"/>
            <w:vAlign w:val="bottom"/>
          </w:tcPr>
          <w:p>
            <w:pPr>
              <w:spacing w:after="0"/>
              <w:rPr>
                <w:sz w:val="14"/>
                <w:szCs w:val="14"/>
                <w:color w:val="auto"/>
              </w:rPr>
            </w:pPr>
          </w:p>
        </w:tc>
        <w:tc>
          <w:tcPr>
            <w:tcW w:w="18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4,311.5</w:t>
            </w:r>
          </w:p>
        </w:tc>
        <w:tc>
          <w:tcPr>
            <w:tcW w:w="160" w:type="dxa"/>
            <w:vAlign w:val="bottom"/>
          </w:tcPr>
          <w:p>
            <w:pPr>
              <w:spacing w:after="0"/>
              <w:rPr>
                <w:sz w:val="14"/>
                <w:szCs w:val="14"/>
                <w:color w:val="auto"/>
              </w:rPr>
            </w:pPr>
          </w:p>
        </w:tc>
        <w:tc>
          <w:tcPr>
            <w:tcW w:w="1920" w:type="dxa"/>
            <w:vAlign w:val="bottom"/>
          </w:tcPr>
          <w:p>
            <w:pPr>
              <w:jc w:val="right"/>
              <w:ind w:right="99"/>
              <w:spacing w:after="0" w:line="168" w:lineRule="exact"/>
              <w:rPr>
                <w:sz w:val="20"/>
                <w:szCs w:val="20"/>
                <w:color w:val="auto"/>
              </w:rPr>
            </w:pPr>
            <w:r>
              <w:rPr>
                <w:rFonts w:ascii="Arial" w:cs="Arial" w:eastAsia="Arial" w:hAnsi="Arial"/>
                <w:sz w:val="16"/>
                <w:szCs w:val="16"/>
                <w:color w:val="auto"/>
              </w:rPr>
              <w:t>4,384.0</w:t>
            </w:r>
          </w:p>
        </w:tc>
      </w:tr>
      <w:tr>
        <w:trPr>
          <w:trHeight w:val="203"/>
        </w:trPr>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3,635.1</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3,501.5</w:t>
            </w:r>
          </w:p>
        </w:tc>
      </w:tr>
      <w:tr>
        <w:trPr>
          <w:trHeight w:val="208"/>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7,946.6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7,885.5</w:t>
            </w:r>
          </w:p>
        </w:tc>
      </w:tr>
      <w:tr>
        <w:trPr>
          <w:trHeight w:val="338"/>
        </w:trPr>
        <w:tc>
          <w:tcPr>
            <w:tcW w:w="2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54.3%</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15"/>
        </w:trPr>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91.7%</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96.9%</w:t>
            </w:r>
          </w:p>
        </w:tc>
      </w:tr>
    </w:tbl>
    <w:p>
      <w:pPr>
        <w:spacing w:after="0" w:line="168" w:lineRule="exact"/>
        <w:rPr>
          <w:sz w:val="20"/>
          <w:szCs w:val="20"/>
          <w:color w:val="auto"/>
        </w:rPr>
      </w:pPr>
    </w:p>
    <w:p>
      <w:pPr>
        <w:sectPr>
          <w:pgSz w:w="11900" w:h="16838" w:orient="portrait"/>
          <w:cols w:equalWidth="0" w:num="2">
            <w:col w:w="6920" w:space="180"/>
            <w:col w:w="4140"/>
          </w:cols>
          <w:pgMar w:left="320" w:top="125" w:right="339" w:bottom="1440" w:gutter="0" w:footer="0" w:header="0"/>
          <w:type w:val="continuous"/>
        </w:sectPr>
      </w:pPr>
    </w:p>
    <w:p>
      <w:pPr>
        <w:ind w:left="520" w:right="100" w:hanging="512"/>
        <w:spacing w:after="0" w:line="285"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Consolidated Financial Statements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-39370</wp:posOffset>
            </wp:positionV>
            <wp:extent cx="2692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plan to fund our capital plan and strategic objectives by using cash generated from operating activities and various financing alternatives, which could include our Revolving Credit Facility, our CP Program, and the issuance of common stock under our ATM program or in an opportunistic block trade. In 2025, we plan to renew our Equity Distribution Sales Agreement, which allows us to sell shares of common stock, from time to time, through our ATM program utilizing our shelf registration statement. We also plan to re-finance our $300 million, 3.95%, senior unsecured notes due January 2026, at or before maturity date.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three months ended March 31,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94" w:lineRule="exact"/>
        <w:rPr>
          <w:sz w:val="20"/>
          <w:szCs w:val="20"/>
          <w:color w:val="auto"/>
        </w:rPr>
      </w:pPr>
    </w:p>
    <w:tbl>
      <w:tblPr>
        <w:tblLayout w:type="fixed"/>
        <w:tblInd w:w="688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3480" w:type="dxa"/>
            <w:vAlign w:val="bottom"/>
            <w:gridSpan w:val="2"/>
          </w:tcPr>
          <w:p>
            <w:pPr>
              <w:ind w:left="140"/>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5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60" w:type="dxa"/>
            <w:vAlign w:val="bottom"/>
          </w:tcPr>
          <w:p>
            <w:pPr>
              <w:jc w:val="center"/>
              <w:ind w:left="379"/>
              <w:spacing w:after="0"/>
              <w:rPr>
                <w:sz w:val="20"/>
                <w:szCs w:val="20"/>
                <w:color w:val="auto"/>
              </w:rPr>
            </w:pPr>
            <w:r>
              <w:rPr>
                <w:rFonts w:ascii="Arial" w:cs="Arial" w:eastAsia="Arial" w:hAnsi="Arial"/>
                <w:sz w:val="16"/>
                <w:szCs w:val="16"/>
                <w:b w:val="1"/>
                <w:bCs w:val="1"/>
                <w:color w:val="auto"/>
              </w:rPr>
              <w:t>2025 vs 2024</w:t>
            </w:r>
          </w:p>
        </w:tc>
      </w:tr>
      <w:tr>
        <w:trPr>
          <w:trHeight w:val="218"/>
        </w:trPr>
        <w:tc>
          <w:tcPr>
            <w:tcW w:w="50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2025</w:t>
            </w:r>
          </w:p>
        </w:tc>
        <w:tc>
          <w:tcPr>
            <w:tcW w:w="2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460" w:type="dxa"/>
            <w:vAlign w:val="bottom"/>
          </w:tcPr>
          <w:p>
            <w:pPr>
              <w:jc w:val="center"/>
              <w:ind w:left="419"/>
              <w:spacing w:after="0"/>
              <w:rPr>
                <w:sz w:val="20"/>
                <w:szCs w:val="20"/>
                <w:color w:val="auto"/>
              </w:rPr>
            </w:pPr>
            <w:r>
              <w:rPr>
                <w:rFonts w:ascii="Arial" w:cs="Arial" w:eastAsia="Arial" w:hAnsi="Arial"/>
                <w:sz w:val="16"/>
                <w:szCs w:val="16"/>
                <w:b w:val="1"/>
                <w:bCs w:val="1"/>
                <w:color w:val="auto"/>
              </w:rPr>
              <w:t>Variance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right="2120"/>
        <w:spacing w:after="0"/>
        <w:rPr>
          <w:sz w:val="20"/>
          <w:szCs w:val="20"/>
          <w:color w:val="auto"/>
        </w:rPr>
      </w:pPr>
      <w:r>
        <w:rPr>
          <w:rFonts w:ascii="Arial" w:cs="Arial" w:eastAsia="Arial" w:hAnsi="Arial"/>
          <w:sz w:val="16"/>
          <w:szCs w:val="16"/>
          <w:color w:val="auto"/>
        </w:rPr>
        <w:t>(in millions)</w:t>
      </w:r>
    </w:p>
    <w:p>
      <w:pPr>
        <w:sectPr>
          <w:pgSz w:w="11900" w:h="16838" w:orient="portrait"/>
          <w:cols w:equalWidth="0" w:num="1">
            <w:col w:w="11240"/>
          </w:cols>
          <w:pgMar w:left="320" w:top="125"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Non-cash adjustments to Net income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2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right="140"/>
        <w:spacing w:after="0" w:line="248" w:lineRule="auto"/>
        <w:rPr>
          <w:sz w:val="20"/>
          <w:szCs w:val="20"/>
          <w:color w:val="auto"/>
        </w:rPr>
      </w:pPr>
      <w:r>
        <w:rPr>
          <w:rFonts w:ascii="Arial" w:cs="Arial" w:eastAsia="Arial" w:hAnsi="Arial"/>
          <w:sz w:val="16"/>
          <w:szCs w:val="16"/>
          <w:color w:val="auto"/>
        </w:rPr>
        <w:t>Materials, supplies and fuel, Accounts receivable and other current assets Accounts payable and other 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top w:val="single" w:sz="8" w:color="auto"/>
            </w:tcBorders>
            <w:gridSpan w:val="2"/>
          </w:tcPr>
          <w:p>
            <w:pPr>
              <w:jc w:val="right"/>
              <w:ind w:right="464"/>
              <w:spacing w:after="0" w:line="168"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136.4</w:t>
            </w:r>
          </w:p>
        </w:tc>
        <w:tc>
          <w:tcPr>
            <w:tcW w:w="660" w:type="dxa"/>
            <w:vAlign w:val="bottom"/>
            <w:tcBorders>
              <w:top w:val="single" w:sz="8" w:color="auto"/>
            </w:tcBorders>
          </w:tcPr>
          <w:p>
            <w:pPr>
              <w:jc w:val="right"/>
              <w:ind w:right="45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131.6</w:t>
            </w:r>
          </w:p>
        </w:tc>
        <w:tc>
          <w:tcPr>
            <w:tcW w:w="640" w:type="dxa"/>
            <w:vAlign w:val="bottom"/>
            <w:tcBorders>
              <w:top w:val="single" w:sz="8" w:color="auto"/>
            </w:tcBorders>
          </w:tcPr>
          <w:p>
            <w:pPr>
              <w:jc w:val="right"/>
              <w:ind w:right="43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line="168" w:lineRule="exact"/>
              <w:rPr>
                <w:sz w:val="20"/>
                <w:szCs w:val="20"/>
                <w:color w:val="auto"/>
              </w:rPr>
            </w:pPr>
            <w:r>
              <w:rPr>
                <w:rFonts w:ascii="Arial" w:cs="Arial" w:eastAsia="Arial" w:hAnsi="Arial"/>
                <w:sz w:val="16"/>
                <w:szCs w:val="16"/>
                <w:color w:val="auto"/>
              </w:rPr>
              <w:t>4.8</w:t>
            </w:r>
          </w:p>
        </w:tc>
      </w:tr>
      <w:tr>
        <w:trPr>
          <w:trHeight w:val="203"/>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r>
      <w:tr>
        <w:trPr>
          <w:trHeight w:val="183"/>
        </w:trPr>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249.3</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222.0</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27.3</w:t>
            </w:r>
          </w:p>
        </w:tc>
      </w:tr>
      <w:tr>
        <w:trPr>
          <w:trHeight w:val="3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w:t>
            </w:r>
          </w:p>
        </w:tc>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w:t>
            </w:r>
          </w:p>
        </w:tc>
        <w:tc>
          <w:tcPr>
            <w:tcW w:w="6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w:t>
            </w:r>
          </w:p>
        </w:tc>
      </w:tr>
    </w:tbl>
    <w:p>
      <w:pPr>
        <w:spacing w:after="0" w:line="7"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Regulatory assets</w:t>
            </w:r>
          </w:p>
        </w:tc>
        <w:tc>
          <w:tcPr>
            <w:tcW w:w="6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6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w:t>
            </w:r>
          </w:p>
        </w:tc>
        <w:tc>
          <w:tcPr>
            <w:tcW w:w="6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r>
      <w:tr>
        <w:trPr>
          <w:trHeight w:val="183"/>
        </w:trPr>
        <w:tc>
          <w:tcPr>
            <w:tcW w:w="6280" w:type="dxa"/>
            <w:vAlign w:val="bottom"/>
          </w:tcPr>
          <w:p>
            <w:pPr>
              <w:ind w:left="60"/>
              <w:spacing w:after="0" w:line="183" w:lineRule="exact"/>
              <w:rPr>
                <w:sz w:val="20"/>
                <w:szCs w:val="20"/>
                <w:color w:val="auto"/>
              </w:rPr>
            </w:pPr>
            <w:r>
              <w:rPr>
                <w:rFonts w:ascii="Arial" w:cs="Arial" w:eastAsia="Arial" w:hAnsi="Arial"/>
                <w:sz w:val="16"/>
                <w:szCs w:val="16"/>
                <w:color w:val="auto"/>
              </w:rPr>
              <w:t>Net inflow (outflow) from changes in certain operating assets and liabilities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(20.7)</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14.3</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(35.0)</w:t>
            </w:r>
          </w:p>
        </w:tc>
      </w:tr>
      <w:tr>
        <w:trPr>
          <w:trHeight w:val="183"/>
        </w:trPr>
        <w:tc>
          <w:tcPr>
            <w:tcW w:w="62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operating activities</w:t>
            </w:r>
          </w:p>
        </w:tc>
        <w:tc>
          <w:tcPr>
            <w:tcW w:w="6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6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6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2.1</w:t>
            </w: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227.8</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233.4</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w:t>
            </w:r>
          </w:p>
        </w:tc>
      </w:tr>
      <w:tr>
        <w:trPr>
          <w:trHeight w:val="20"/>
        </w:trPr>
        <w:tc>
          <w:tcPr>
            <w:tcW w:w="6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2025, Compared to the Three Months Ended March 31,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$5.6 million lower than the same period in 2024. The variance to the prior year was primarily attributable to:</w:t>
      </w:r>
    </w:p>
    <w:p>
      <w:pPr>
        <w:spacing w:after="0" w:line="194" w:lineRule="exact"/>
        <w:rPr>
          <w:sz w:val="20"/>
          <w:szCs w:val="20"/>
          <w:color w:val="auto"/>
        </w:rPr>
      </w:pPr>
    </w:p>
    <w:p>
      <w:pPr>
        <w:ind w:left="1020" w:hanging="503"/>
        <w:spacing w:after="0" w:line="285" w:lineRule="auto"/>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$27.3 million higher for the three months ended March 31, 2025, compared to the same period in the prior year primarily due the sale of our 2024 PTCs in January 2025.</w:t>
      </w:r>
    </w:p>
    <w:p>
      <w:pPr>
        <w:spacing w:after="0" w:line="129"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Net outflows from changes in certain operating assets and liabilities were $35.0 million higher, primarily attributable to changes in materials, supplies, fuel, accounts receivable, and other current assets driven by fluctuations in commodity prices and weather conditions.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4"/>
        </w:trPr>
        <w:tc>
          <w:tcPr>
            <w:tcW w:w="6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0" w:type="dxa"/>
            <w:vAlign w:val="bottom"/>
            <w:gridSpan w:val="5"/>
          </w:tcPr>
          <w:p>
            <w:pPr>
              <w:jc w:val="center"/>
              <w:ind w:right="107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6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(152.9)</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(176.2)</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23.3</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62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(155.2)</w:t>
            </w:r>
          </w:p>
        </w:tc>
        <w:tc>
          <w:tcPr>
            <w:tcW w:w="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(176.9)</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21.7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2025, Compared to the Three Months Ended March 31, 2024</w:t>
      </w:r>
    </w:p>
    <w:p>
      <w:pPr>
        <w:spacing w:after="0" w:line="19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Net cash used in investing activities was $21.7 million lower than the same period in 2024. The variance to the prior year was primarily attributable to lower capital expenditures which were primarily driven by timing of projects and the prior year Black Hills Energy Renewable Resources' acquisition of a RNG production facility at a landfill in Dubuque, Iowa.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4"/>
        </w:trPr>
        <w:tc>
          <w:tcPr>
            <w:tcW w:w="6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60" w:type="dxa"/>
            <w:vAlign w:val="bottom"/>
            <w:gridSpan w:val="5"/>
          </w:tcPr>
          <w:p>
            <w:pPr>
              <w:jc w:val="center"/>
              <w:ind w:right="1119"/>
              <w:spacing w:after="0"/>
              <w:rPr>
                <w:sz w:val="20"/>
                <w:szCs w:val="20"/>
                <w:color w:val="auto"/>
              </w:rPr>
            </w:pPr>
            <w:r>
              <w:rPr>
                <w:rFonts w:ascii="Arial" w:cs="Arial" w:eastAsia="Arial" w:hAnsi="Arial"/>
                <w:sz w:val="16"/>
                <w:szCs w:val="16"/>
                <w:b w:val="1"/>
                <w:bCs w:val="1"/>
                <w:color w:val="auto"/>
              </w:rPr>
              <w:t>Three Months Ended March 31,</w:t>
            </w:r>
          </w:p>
        </w:tc>
      </w:tr>
      <w:tr>
        <w:trPr>
          <w:trHeight w:val="189"/>
        </w:trPr>
        <w:tc>
          <w:tcPr>
            <w:tcW w:w="6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6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6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7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 on common stock</w:t>
            </w: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(48.6)</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(44.4)</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Common stock issued</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45.6</w:t>
            </w:r>
          </w:p>
        </w:tc>
        <w:tc>
          <w:tcPr>
            <w:tcW w:w="2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20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14.4</w:t>
            </w:r>
          </w:p>
        </w:tc>
      </w:tr>
      <w:tr>
        <w:trPr>
          <w:trHeight w:val="189"/>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Short-term and long-term debt borrowings (repayments), net</w:t>
            </w:r>
          </w:p>
        </w:tc>
        <w:tc>
          <w:tcPr>
            <w:tcW w:w="10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189"/>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financing activities</w:t>
            </w:r>
          </w:p>
        </w:tc>
        <w:tc>
          <w:tcPr>
            <w:tcW w:w="10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183"/>
        </w:trPr>
        <w:tc>
          <w:tcPr>
            <w:tcW w:w="6200" w:type="dxa"/>
            <w:vAlign w:val="bottom"/>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1080" w:type="dxa"/>
            <w:vAlign w:val="bottom"/>
            <w:tcBorders>
              <w:bottom w:val="single" w:sz="8" w:color="auto"/>
            </w:tcBorders>
          </w:tcPr>
          <w:p>
            <w:pPr>
              <w:jc w:val="right"/>
              <w:ind w:right="92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(81.9)</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(62.1)</w:t>
            </w: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2025, Compared to the Three Months Ended March 31,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$62.1 million higher than the same period in 2024. The variance to the prior year was primarily attributable to:</w:t>
      </w:r>
    </w:p>
    <w:p>
      <w:pPr>
        <w:spacing w:after="0" w:line="194"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$73.9 million as a result of repayments of debt in excess of proceeds from debt offerings.</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$14.4 million due to higher issuances of common stock; and</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$4.2 million due to increased dividends paid on common stock.</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 and financial covenants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Rating Agency</w:t>
            </w:r>
          </w:p>
        </w:tc>
        <w:tc>
          <w:tcPr>
            <w:tcW w:w="294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rPr>
              <w:t>Senior Unsecured Rating</w:t>
            </w:r>
          </w:p>
        </w:tc>
        <w:tc>
          <w:tcPr>
            <w:tcW w:w="27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Outlook</w:t>
            </w:r>
          </w:p>
        </w:tc>
      </w:tr>
      <w:tr>
        <w:trPr>
          <w:trHeight w:val="182"/>
        </w:trPr>
        <w:tc>
          <w:tcPr>
            <w:tcW w:w="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w w:val="93"/>
              </w:rPr>
              <w:t xml:space="preserve">S&amp;P </w:t>
            </w:r>
            <w:r>
              <w:rPr>
                <w:rFonts w:ascii="Arial" w:cs="Arial" w:eastAsia="Arial" w:hAnsi="Arial"/>
                <w:sz w:val="21"/>
                <w:szCs w:val="21"/>
                <w:color w:val="auto"/>
                <w:w w:val="93"/>
                <w:vertAlign w:val="superscript"/>
              </w:rPr>
              <w:t>(a)</w:t>
            </w:r>
          </w:p>
        </w:tc>
        <w:tc>
          <w:tcPr>
            <w:tcW w:w="1140" w:type="dxa"/>
            <w:vAlign w:val="bottom"/>
            <w:shd w:val="clear" w:color="auto" w:fill="CFF0FC"/>
          </w:tcPr>
          <w:p>
            <w:pPr>
              <w:spacing w:after="0"/>
              <w:rPr>
                <w:sz w:val="15"/>
                <w:szCs w:val="15"/>
                <w:color w:val="auto"/>
              </w:rPr>
            </w:pPr>
          </w:p>
        </w:tc>
        <w:tc>
          <w:tcPr>
            <w:tcW w:w="3880" w:type="dxa"/>
            <w:vAlign w:val="bottom"/>
            <w:shd w:val="clear" w:color="auto" w:fill="CFF0FC"/>
          </w:tcPr>
          <w:p>
            <w:pPr>
              <w:spacing w:after="0"/>
              <w:rPr>
                <w:sz w:val="15"/>
                <w:szCs w:val="15"/>
                <w:color w:val="auto"/>
              </w:rPr>
            </w:pPr>
          </w:p>
        </w:tc>
        <w:tc>
          <w:tcPr>
            <w:tcW w:w="2940" w:type="dxa"/>
            <w:vAlign w:val="bottom"/>
            <w:shd w:val="clear" w:color="auto" w:fill="CFF0FC"/>
          </w:tcPr>
          <w:p>
            <w:pPr>
              <w:jc w:val="center"/>
              <w:ind w:right="679"/>
              <w:spacing w:after="0" w:line="183" w:lineRule="exact"/>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59"/>
              <w:spacing w:after="0" w:line="183" w:lineRule="exact"/>
              <w:rPr>
                <w:sz w:val="20"/>
                <w:szCs w:val="20"/>
                <w:color w:val="auto"/>
              </w:rPr>
            </w:pPr>
            <w:r>
              <w:rPr>
                <w:rFonts w:ascii="Arial" w:cs="Arial" w:eastAsia="Arial" w:hAnsi="Arial"/>
                <w:sz w:val="16"/>
                <w:szCs w:val="16"/>
                <w:color w:val="auto"/>
              </w:rPr>
              <w:t>Stable</w:t>
            </w:r>
          </w:p>
        </w:tc>
      </w:tr>
      <w:tr>
        <w:trPr>
          <w:trHeight w:val="290"/>
        </w:trPr>
        <w:tc>
          <w:tcPr>
            <w:tcW w:w="5540" w:type="dxa"/>
            <w:vAlign w:val="bottom"/>
            <w:gridSpan w:val="3"/>
          </w:tcPr>
          <w:p>
            <w:pPr>
              <w:spacing w:after="0"/>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2940" w:type="dxa"/>
            <w:vAlign w:val="bottom"/>
          </w:tcPr>
          <w:p>
            <w:pPr>
              <w:jc w:val="center"/>
              <w:ind w:right="679"/>
              <w:spacing w:after="0"/>
              <w:rPr>
                <w:sz w:val="20"/>
                <w:szCs w:val="20"/>
                <w:color w:val="auto"/>
              </w:rPr>
            </w:pPr>
            <w:r>
              <w:rPr>
                <w:rFonts w:ascii="Arial" w:cs="Arial" w:eastAsia="Arial" w:hAnsi="Arial"/>
                <w:sz w:val="16"/>
                <w:szCs w:val="16"/>
                <w:color w:val="auto"/>
              </w:rPr>
              <w:t>Baa2</w:t>
            </w:r>
          </w:p>
        </w:tc>
        <w:tc>
          <w:tcPr>
            <w:tcW w:w="2760" w:type="dxa"/>
            <w:vAlign w:val="bottom"/>
          </w:tcPr>
          <w:p>
            <w:pPr>
              <w:jc w:val="center"/>
              <w:ind w:right="259"/>
              <w:spacing w:after="0"/>
              <w:rPr>
                <w:sz w:val="20"/>
                <w:szCs w:val="20"/>
                <w:color w:val="auto"/>
              </w:rPr>
            </w:pPr>
            <w:r>
              <w:rPr>
                <w:rFonts w:ascii="Arial" w:cs="Arial" w:eastAsia="Arial" w:hAnsi="Arial"/>
                <w:sz w:val="16"/>
                <w:szCs w:val="16"/>
                <w:color w:val="auto"/>
              </w:rPr>
              <w:t>Stable</w:t>
            </w:r>
          </w:p>
        </w:tc>
      </w:tr>
      <w:tr>
        <w:trPr>
          <w:trHeight w:val="34"/>
        </w:trPr>
        <w:tc>
          <w:tcPr>
            <w:tcW w:w="52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29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146"/>
        </w:trPr>
        <w:tc>
          <w:tcPr>
            <w:tcW w:w="5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(a)</w:t>
            </w:r>
          </w:p>
        </w:tc>
        <w:tc>
          <w:tcPr>
            <w:tcW w:w="11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On May 9, 2024,</w:t>
            </w:r>
          </w:p>
        </w:tc>
        <w:tc>
          <w:tcPr>
            <w:tcW w:w="3880" w:type="dxa"/>
            <w:vAlign w:val="bottom"/>
          </w:tcPr>
          <w:p>
            <w:pPr>
              <w:spacing w:after="0" w:line="147" w:lineRule="exact"/>
              <w:rPr>
                <w:sz w:val="20"/>
                <w:szCs w:val="20"/>
                <w:color w:val="auto"/>
              </w:rPr>
            </w:pPr>
            <w:r>
              <w:rPr>
                <w:rFonts w:ascii="Arial" w:cs="Arial" w:eastAsia="Arial" w:hAnsi="Arial"/>
                <w:sz w:val="14"/>
                <w:szCs w:val="14"/>
                <w:color w:val="auto"/>
              </w:rPr>
              <w:t>S&amp;P affirmed BBB+ rating and maintained a Stable outlook.</w:t>
            </w:r>
          </w:p>
        </w:tc>
        <w:tc>
          <w:tcPr>
            <w:tcW w:w="294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90"/>
        </w:trPr>
        <w:tc>
          <w:tcPr>
            <w:tcW w:w="520" w:type="dxa"/>
            <w:vAlign w:val="bottom"/>
          </w:tcPr>
          <w:p>
            <w:pPr>
              <w:spacing w:after="0"/>
              <w:rPr>
                <w:sz w:val="20"/>
                <w:szCs w:val="20"/>
                <w:color w:val="auto"/>
              </w:rPr>
            </w:pPr>
            <w:r>
              <w:rPr>
                <w:rFonts w:ascii="Arial" w:cs="Arial" w:eastAsia="Arial" w:hAnsi="Arial"/>
                <w:sz w:val="14"/>
                <w:szCs w:val="14"/>
                <w:color w:val="auto"/>
              </w:rPr>
              <w:t>(b)</w:t>
            </w:r>
          </w:p>
        </w:tc>
        <w:tc>
          <w:tcPr>
            <w:tcW w:w="7960" w:type="dxa"/>
            <w:vAlign w:val="bottom"/>
            <w:gridSpan w:val="3"/>
          </w:tcPr>
          <w:p>
            <w:pPr>
              <w:spacing w:after="0"/>
              <w:rPr>
                <w:sz w:val="20"/>
                <w:szCs w:val="20"/>
                <w:color w:val="auto"/>
              </w:rPr>
            </w:pPr>
            <w:r>
              <w:rPr>
                <w:rFonts w:ascii="Arial" w:cs="Arial" w:eastAsia="Arial" w:hAnsi="Arial"/>
                <w:sz w:val="14"/>
                <w:szCs w:val="14"/>
                <w:color w:val="auto"/>
              </w:rPr>
              <w:t>On March 5, 2025, Moody's affirmed our Baa2 rating and maintained a Stable outlook.</w:t>
            </w:r>
          </w:p>
        </w:tc>
        <w:tc>
          <w:tcPr>
            <w:tcW w:w="2760" w:type="dxa"/>
            <w:vAlign w:val="bottom"/>
          </w:tcPr>
          <w:p>
            <w:pPr>
              <w:spacing w:after="0"/>
              <w:rPr>
                <w:sz w:val="16"/>
                <w:szCs w:val="16"/>
                <w:color w:val="auto"/>
              </w:rPr>
            </w:pPr>
          </w:p>
        </w:tc>
      </w:tr>
      <w:tr>
        <w:trPr>
          <w:trHeight w:val="371"/>
        </w:trPr>
        <w:tc>
          <w:tcPr>
            <w:tcW w:w="8480" w:type="dxa"/>
            <w:vAlign w:val="bottom"/>
            <w:gridSpan w:val="4"/>
          </w:tcPr>
          <w:p>
            <w:pPr>
              <w:spacing w:after="0"/>
              <w:rPr>
                <w:sz w:val="20"/>
                <w:szCs w:val="20"/>
                <w:color w:val="auto"/>
              </w:rPr>
            </w:pPr>
            <w:r>
              <w:rPr>
                <w:rFonts w:ascii="Arial" w:cs="Arial" w:eastAsia="Arial" w:hAnsi="Arial"/>
                <w:sz w:val="16"/>
                <w:szCs w:val="16"/>
                <w:color w:val="auto"/>
              </w:rPr>
              <w:t>The following table represents the credit rating of South Dakota Electric as of the date of this report:</w:t>
            </w:r>
          </w:p>
        </w:tc>
        <w:tc>
          <w:tcPr>
            <w:tcW w:w="2760" w:type="dxa"/>
            <w:vAlign w:val="bottom"/>
          </w:tcPr>
          <w:p>
            <w:pPr>
              <w:spacing w:after="0"/>
              <w:rPr>
                <w:sz w:val="24"/>
                <w:szCs w:val="24"/>
                <w:color w:val="auto"/>
              </w:rPr>
            </w:pP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Rating Agency</w:t>
            </w:r>
          </w:p>
        </w:tc>
        <w:tc>
          <w:tcPr>
            <w:tcW w:w="660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rPr>
              <w:t>Senior Secured Rating</w:t>
            </w:r>
          </w:p>
        </w:tc>
      </w:tr>
      <w:tr>
        <w:trPr>
          <w:trHeight w:val="183"/>
        </w:trPr>
        <w:tc>
          <w:tcPr>
            <w:tcW w:w="4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S&amp;P</w:t>
            </w:r>
          </w:p>
        </w:tc>
        <w:tc>
          <w:tcPr>
            <w:tcW w:w="6600" w:type="dxa"/>
            <w:vAlign w:val="bottom"/>
            <w:shd w:val="clear" w:color="auto" w:fill="CFF0FC"/>
          </w:tcPr>
          <w:p>
            <w:pPr>
              <w:jc w:val="center"/>
              <w:ind w:left="2019"/>
              <w:spacing w:after="0" w:line="183" w:lineRule="exact"/>
              <w:rPr>
                <w:sz w:val="20"/>
                <w:szCs w:val="20"/>
                <w:color w:val="auto"/>
              </w:rPr>
            </w:pPr>
            <w:r>
              <w:rPr>
                <w:rFonts w:ascii="Arial" w:cs="Arial" w:eastAsia="Arial" w:hAnsi="Arial"/>
                <w:sz w:val="16"/>
                <w:szCs w:val="16"/>
                <w:color w:val="auto"/>
                <w:w w:val="93"/>
              </w:rPr>
              <w:t>A</w:t>
            </w:r>
          </w:p>
        </w:tc>
      </w:tr>
    </w:tbl>
    <w:p>
      <w:pPr>
        <w:spacing w:after="0" w:line="17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have not had any triggering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xml:space="preserve">Actual </w:t>
            </w:r>
            <w:r>
              <w:rPr>
                <w:rFonts w:ascii="Arial" w:cs="Arial" w:eastAsia="Arial" w:hAnsi="Arial"/>
                <w:sz w:val="21"/>
                <w:szCs w:val="21"/>
                <w:b w:val="1"/>
                <w:bCs w:val="1"/>
                <w:color w:val="auto"/>
                <w:w w:val="93"/>
                <w:vertAlign w:val="superscript"/>
              </w:rPr>
              <w:t>(a)</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4"/>
              </w:rPr>
              <w:t xml:space="preserve">Forecasted </w:t>
            </w:r>
            <w:r>
              <w:rPr>
                <w:rFonts w:ascii="Arial" w:cs="Arial" w:eastAsia="Arial" w:hAnsi="Arial"/>
                <w:sz w:val="21"/>
                <w:szCs w:val="21"/>
                <w:b w:val="1"/>
                <w:bCs w:val="1"/>
                <w:color w:val="auto"/>
                <w:w w:val="94"/>
                <w:vertAlign w:val="superscript"/>
              </w:rPr>
              <w:t>(b)</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b w:val="1"/>
                <w:bCs w:val="1"/>
                <w:color w:val="auto"/>
              </w:rPr>
              <w:t>Capital Expenditures by Segment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5"/>
                <w:szCs w:val="15"/>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xml:space="preserve">2025 </w:t>
            </w:r>
            <w:r>
              <w:rPr>
                <w:rFonts w:ascii="Arial" w:cs="Arial" w:eastAsia="Arial" w:hAnsi="Arial"/>
                <w:sz w:val="21"/>
                <w:szCs w:val="21"/>
                <w:b w:val="1"/>
                <w:bCs w:val="1"/>
                <w:color w:val="auto"/>
                <w:vertAlign w:val="superscript"/>
              </w:rPr>
              <w:t>(c)</w:t>
            </w:r>
          </w:p>
        </w:tc>
        <w:tc>
          <w:tcPr>
            <w:tcW w:w="160" w:type="dxa"/>
            <w:vAlign w:val="bottom"/>
          </w:tcPr>
          <w:p>
            <w:pPr>
              <w:spacing w:after="0"/>
              <w:rPr>
                <w:sz w:val="15"/>
                <w:szCs w:val="15"/>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300" w:type="dxa"/>
            <w:vAlign w:val="bottom"/>
          </w:tcPr>
          <w:p>
            <w:pPr>
              <w:spacing w:after="0"/>
              <w:rPr>
                <w:sz w:val="15"/>
                <w:szCs w:val="15"/>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2027</w:t>
            </w:r>
          </w:p>
        </w:tc>
        <w:tc>
          <w:tcPr>
            <w:tcW w:w="260" w:type="dxa"/>
            <w:vAlign w:val="bottom"/>
          </w:tcPr>
          <w:p>
            <w:pPr>
              <w:spacing w:after="0"/>
              <w:rPr>
                <w:sz w:val="15"/>
                <w:szCs w:val="15"/>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2028</w:t>
            </w:r>
          </w:p>
        </w:tc>
        <w:tc>
          <w:tcPr>
            <w:tcW w:w="240" w:type="dxa"/>
            <w:vAlign w:val="bottom"/>
          </w:tcPr>
          <w:p>
            <w:pPr>
              <w:spacing w:after="0"/>
              <w:rPr>
                <w:sz w:val="15"/>
                <w:szCs w:val="15"/>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2029</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(minor differences may result due to rounding)</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2025</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98"/>
              </w:rPr>
              <w:t>(in millions)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1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102</w:t>
            </w: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432</w:t>
            </w:r>
          </w:p>
        </w:tc>
        <w:tc>
          <w:tcPr>
            <w:tcW w:w="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383</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615</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Gas Utilities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447</w:t>
            </w:r>
          </w:p>
        </w:tc>
        <w:tc>
          <w:tcPr>
            <w:tcW w:w="24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162</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1,002</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859</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822</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800" w:hanging="512"/>
        <w:spacing w:after="0" w:line="25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actual capital expenditures 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-318770</wp:posOffset>
            </wp:positionV>
            <wp:extent cx="16249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Dividends paid on our common stock totaled $48.6 million for the three months ended March 31, 2025, or $0.676 per share. On April 22, 2025, our board of directors declared a quarterly dividend of $0.676 per share payable June 1, 2025, equivalent to an annual dividend of $2.704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 summary of our critical accounting estimates is included in our 2024 Annual Report on Form 10-K. There were no material changes made as of March 31, 2025.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for a description of recent accounting pronouncements, if any, and our expectation of their impact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2024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March 31, 2025. Based on their evaluation, they have concluded that our disclosure controls and procedures were effective at March 31, 2025.</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During the quarter ended March 31, 2025, there have been no changes in our internal controls over financial reporting that have materially affected, or are reasonably likely, to materially affect our internal control over financial reporting.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legal proceedings, see Note 3 in Item 8 of our 2024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2024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March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May Yet Be Purchased</w:t>
            </w:r>
          </w:p>
        </w:tc>
      </w:tr>
      <w:tr>
        <w:trPr>
          <w:trHeight w:val="163"/>
        </w:trPr>
        <w:tc>
          <w:tcPr>
            <w:tcW w:w="3840" w:type="dxa"/>
            <w:vAlign w:val="bottom"/>
          </w:tcPr>
          <w:p>
            <w:pPr>
              <w:spacing w:after="0"/>
              <w:rPr>
                <w:sz w:val="14"/>
                <w:szCs w:val="14"/>
                <w:color w:val="auto"/>
              </w:rPr>
            </w:pPr>
          </w:p>
        </w:tc>
        <w:tc>
          <w:tcPr>
            <w:tcW w:w="192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w w:val="99"/>
              </w:rPr>
              <w:t>Total Number of Shares</w:t>
            </w:r>
          </w:p>
        </w:tc>
        <w:tc>
          <w:tcPr>
            <w:tcW w:w="1420" w:type="dxa"/>
            <w:vAlign w:val="bottom"/>
            <w:gridSpan w:val="2"/>
          </w:tcPr>
          <w:p>
            <w:pPr>
              <w:ind w:left="140"/>
              <w:spacing w:after="0" w:line="163" w:lineRule="exact"/>
              <w:rPr>
                <w:sz w:val="20"/>
                <w:szCs w:val="20"/>
                <w:color w:val="auto"/>
              </w:rPr>
            </w:pPr>
            <w:r>
              <w:rPr>
                <w:rFonts w:ascii="Arial" w:cs="Arial" w:eastAsia="Arial" w:hAnsi="Arial"/>
                <w:sz w:val="16"/>
                <w:szCs w:val="16"/>
                <w:b w:val="1"/>
                <w:bCs w:val="1"/>
                <w:color w:val="auto"/>
              </w:rPr>
              <w:t>Average Price</w:t>
            </w:r>
          </w:p>
        </w:tc>
        <w:tc>
          <w:tcPr>
            <w:tcW w:w="21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Publicly Announced</w:t>
            </w:r>
          </w:p>
        </w:tc>
        <w:tc>
          <w:tcPr>
            <w:tcW w:w="19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Under the Plans or</w:t>
            </w:r>
          </w:p>
        </w:tc>
      </w:tr>
      <w:tr>
        <w:trPr>
          <w:trHeight w:val="229"/>
        </w:trPr>
        <w:tc>
          <w:tcPr>
            <w:tcW w:w="384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Period</w:t>
            </w:r>
          </w:p>
        </w:tc>
        <w:tc>
          <w:tcPr>
            <w:tcW w:w="1920" w:type="dxa"/>
            <w:vAlign w:val="bottom"/>
            <w:tcBorders>
              <w:bottom w:val="single" w:sz="8" w:color="auto"/>
            </w:tcBorders>
          </w:tcPr>
          <w:p>
            <w:pPr>
              <w:jc w:val="right"/>
              <w:ind w:right="399"/>
              <w:spacing w:after="0" w:line="230"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Paid per 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r>
      <w:tr>
        <w:trPr>
          <w:trHeight w:val="183"/>
        </w:trPr>
        <w:tc>
          <w:tcPr>
            <w:tcW w:w="3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January 1, 2025 - January 31, 2025</w:t>
            </w:r>
          </w:p>
        </w:tc>
        <w:tc>
          <w:tcPr>
            <w:tcW w:w="1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54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58.56</w:t>
            </w:r>
          </w:p>
        </w:tc>
        <w:tc>
          <w:tcPr>
            <w:tcW w:w="2100" w:type="dxa"/>
            <w:vAlign w:val="bottom"/>
            <w:shd w:val="clear" w:color="auto" w:fill="CFF0FC"/>
          </w:tcPr>
          <w:p>
            <w:pPr>
              <w:ind w:left="1880"/>
              <w:spacing w:after="0" w:line="183" w:lineRule="exact"/>
              <w:rPr>
                <w:sz w:val="20"/>
                <w:szCs w:val="20"/>
                <w:color w:val="auto"/>
              </w:rPr>
            </w:pPr>
            <w:r>
              <w:rPr>
                <w:rFonts w:ascii="Arial" w:cs="Arial" w:eastAsia="Arial" w:hAnsi="Arial"/>
                <w:sz w:val="16"/>
                <w:szCs w:val="16"/>
                <w:color w:val="auto"/>
              </w:rPr>
              <w:t>—</w:t>
            </w:r>
          </w:p>
        </w:tc>
        <w:tc>
          <w:tcPr>
            <w:tcW w:w="1960" w:type="dxa"/>
            <w:vAlign w:val="bottom"/>
            <w:shd w:val="clear" w:color="auto" w:fill="CFF0FC"/>
          </w:tcPr>
          <w:p>
            <w:pPr>
              <w:ind w:left="1680"/>
              <w:spacing w:after="0" w:line="183" w:lineRule="exact"/>
              <w:rPr>
                <w:sz w:val="20"/>
                <w:szCs w:val="20"/>
                <w:color w:val="auto"/>
              </w:rPr>
            </w:pPr>
            <w:r>
              <w:rPr>
                <w:rFonts w:ascii="Arial" w:cs="Arial" w:eastAsia="Arial" w:hAnsi="Arial"/>
                <w:sz w:val="16"/>
                <w:szCs w:val="16"/>
                <w:color w:val="auto"/>
              </w:rPr>
              <w:t>—</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February 1, 2025 - February 28, 2025</w:t>
            </w:r>
          </w:p>
        </w:tc>
        <w:tc>
          <w:tcPr>
            <w:tcW w:w="1920" w:type="dxa"/>
            <w:vAlign w:val="bottom"/>
          </w:tcPr>
          <w:p>
            <w:pPr>
              <w:jc w:val="right"/>
              <w:spacing w:after="0"/>
              <w:rPr>
                <w:sz w:val="20"/>
                <w:szCs w:val="20"/>
                <w:color w:val="auto"/>
              </w:rPr>
            </w:pPr>
            <w:r>
              <w:rPr>
                <w:rFonts w:ascii="Arial" w:cs="Arial" w:eastAsia="Arial" w:hAnsi="Arial"/>
                <w:sz w:val="16"/>
                <w:szCs w:val="16"/>
                <w:color w:val="auto"/>
              </w:rPr>
              <w:t>19,925</w:t>
            </w:r>
          </w:p>
        </w:tc>
        <w:tc>
          <w:tcPr>
            <w:tcW w:w="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59.61</w:t>
            </w:r>
          </w:p>
        </w:tc>
        <w:tc>
          <w:tcPr>
            <w:tcW w:w="2100" w:type="dxa"/>
            <w:vAlign w:val="bottom"/>
          </w:tcPr>
          <w:p>
            <w:pPr>
              <w:ind w:left="1880"/>
              <w:spacing w:after="0"/>
              <w:rPr>
                <w:sz w:val="20"/>
                <w:szCs w:val="20"/>
                <w:color w:val="auto"/>
              </w:rPr>
            </w:pPr>
            <w:r>
              <w:rPr>
                <w:rFonts w:ascii="Arial" w:cs="Arial" w:eastAsia="Arial" w:hAnsi="Arial"/>
                <w:sz w:val="16"/>
                <w:szCs w:val="16"/>
                <w:color w:val="auto"/>
              </w:rPr>
              <w:t>—</w:t>
            </w:r>
          </w:p>
        </w:tc>
        <w:tc>
          <w:tcPr>
            <w:tcW w:w="1960" w:type="dxa"/>
            <w:vAlign w:val="bottom"/>
          </w:tcPr>
          <w:p>
            <w:pPr>
              <w:ind w:left="1680"/>
              <w:spacing w:after="0"/>
              <w:rPr>
                <w:sz w:val="20"/>
                <w:szCs w:val="20"/>
                <w:color w:val="auto"/>
              </w:rPr>
            </w:pPr>
            <w:r>
              <w:rPr>
                <w:rFonts w:ascii="Arial" w:cs="Arial" w:eastAsia="Arial" w:hAnsi="Arial"/>
                <w:sz w:val="16"/>
                <w:szCs w:val="16"/>
                <w:color w:val="auto"/>
              </w:rPr>
              <w:t>—</w:t>
            </w:r>
          </w:p>
        </w:tc>
      </w:tr>
      <w:tr>
        <w:trPr>
          <w:trHeight w:val="189"/>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March 1, 2025 - March 31, 2025</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61.16</w:t>
            </w:r>
          </w:p>
        </w:tc>
        <w:tc>
          <w:tcPr>
            <w:tcW w:w="2100" w:type="dxa"/>
            <w:vAlign w:val="bottom"/>
            <w:tcBorders>
              <w:bottom w:val="single" w:sz="8" w:color="auto"/>
            </w:tcBorders>
            <w:shd w:val="clear" w:color="auto" w:fill="CFF0FC"/>
          </w:tcPr>
          <w:p>
            <w:pPr>
              <w:ind w:left="188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FF0FC"/>
          </w:tcPr>
          <w:p>
            <w:pPr>
              <w:ind w:left="1680"/>
              <w:spacing w:after="0"/>
              <w:rPr>
                <w:sz w:val="20"/>
                <w:szCs w:val="20"/>
                <w:color w:val="auto"/>
              </w:rPr>
            </w:pPr>
            <w:r>
              <w:rPr>
                <w:rFonts w:ascii="Arial" w:cs="Arial" w:eastAsia="Arial" w:hAnsi="Arial"/>
                <w:sz w:val="16"/>
                <w:szCs w:val="16"/>
                <w:color w:val="auto"/>
              </w:rPr>
              <w:t>—</w:t>
            </w:r>
          </w:p>
        </w:tc>
      </w:tr>
      <w:tr>
        <w:trPr>
          <w:trHeight w:val="183"/>
        </w:trPr>
        <w:tc>
          <w:tcPr>
            <w:tcW w:w="3840" w:type="dxa"/>
            <w:vAlign w:val="bottom"/>
          </w:tcPr>
          <w:p>
            <w:pPr>
              <w:ind w:left="120"/>
              <w:spacing w:after="0" w:line="169" w:lineRule="exact"/>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19,927</w:t>
            </w:r>
          </w:p>
        </w:tc>
        <w:tc>
          <w:tcPr>
            <w:tcW w:w="540" w:type="dxa"/>
            <w:vAlign w:val="bottom"/>
            <w:tcBorders>
              <w:bottom w:val="single" w:sz="8" w:color="auto"/>
            </w:tcBorders>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59.61</w:t>
            </w:r>
          </w:p>
        </w:tc>
        <w:tc>
          <w:tcPr>
            <w:tcW w:w="2100" w:type="dxa"/>
            <w:vAlign w:val="bottom"/>
            <w:tcBorders>
              <w:bottom w:val="single" w:sz="8" w:color="auto"/>
            </w:tcBorders>
          </w:tcPr>
          <w:p>
            <w:pPr>
              <w:ind w:left="1880"/>
              <w:spacing w:after="0" w:line="169"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ind w:left="1680"/>
              <w:spacing w:after="0" w:line="169" w:lineRule="exact"/>
              <w:rPr>
                <w:sz w:val="20"/>
                <w:szCs w:val="20"/>
                <w:color w:val="auto"/>
              </w:rPr>
            </w:pPr>
            <w:r>
              <w:rPr>
                <w:rFonts w:ascii="Arial" w:cs="Arial" w:eastAsia="Arial" w:hAnsi="Arial"/>
                <w:sz w:val="16"/>
                <w:szCs w:val="16"/>
                <w:color w:val="auto"/>
              </w:rPr>
              <w:t>—</w:t>
            </w:r>
          </w:p>
        </w:tc>
      </w:tr>
      <w:tr>
        <w:trPr>
          <w:trHeight w:val="20"/>
        </w:trPr>
        <w:tc>
          <w:tcPr>
            <w:tcW w:w="38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March 31,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5"/>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28"/>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4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120"/>
              <w:spacing w:after="0" w:line="155" w:lineRule="exact"/>
              <w:rPr>
                <w:sz w:val="20"/>
                <w:szCs w:val="20"/>
                <w:color w:val="auto"/>
              </w:rPr>
            </w:pPr>
            <w:r>
              <w:rPr>
                <w:rFonts w:ascii="Arial" w:cs="Arial" w:eastAsia="Arial" w:hAnsi="Arial"/>
                <w:sz w:val="16"/>
                <w:szCs w:val="16"/>
                <w:color w:val="auto"/>
              </w:rPr>
              <w:t>31.1*</w:t>
            </w:r>
          </w:p>
        </w:tc>
        <w:tc>
          <w:tcPr>
            <w:tcW w:w="9800" w:type="dxa"/>
            <w:vAlign w:val="bottom"/>
            <w:gridSpan w:val="9"/>
          </w:tcPr>
          <w:p>
            <w:pPr>
              <w:spacing w:after="0" w:line="155" w:lineRule="exact"/>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31.2*</w:t>
            </w:r>
          </w:p>
        </w:tc>
        <w:tc>
          <w:tcPr>
            <w:tcW w:w="942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350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9"/>
              </w:rPr>
              <w:t>Certification of Chief Financial Officer pursuant to</w:t>
            </w:r>
          </w:p>
        </w:tc>
        <w:tc>
          <w:tcPr>
            <w:tcW w:w="6300" w:type="dxa"/>
            <w:vAlign w:val="bottom"/>
            <w:gridSpan w:val="6"/>
          </w:tcPr>
          <w:p>
            <w:pPr>
              <w:ind w:left="60"/>
              <w:spacing w:after="0" w:line="169" w:lineRule="exact"/>
              <w:rPr>
                <w:sz w:val="20"/>
                <w:szCs w:val="20"/>
                <w:color w:val="auto"/>
              </w:rPr>
            </w:pPr>
            <w:r>
              <w:rPr>
                <w:rFonts w:ascii="Arial" w:cs="Arial" w:eastAsia="Arial" w:hAnsi="Arial"/>
                <w:sz w:val="16"/>
                <w:szCs w:val="16"/>
                <w:color w:val="0000FF"/>
              </w:rPr>
              <w:t>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32.1*</w:t>
            </w:r>
          </w:p>
        </w:tc>
        <w:tc>
          <w:tcPr>
            <w:tcW w:w="93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9"/>
          </w:tcPr>
          <w:p>
            <w:pPr>
              <w:spacing w:after="0" w:line="169"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32.2*</w:t>
            </w:r>
          </w:p>
        </w:tc>
        <w:tc>
          <w:tcPr>
            <w:tcW w:w="13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3"/>
          </w:tcPr>
          <w:p>
            <w:pPr>
              <w:spacing w:after="0"/>
              <w:rPr>
                <w:sz w:val="14"/>
                <w:szCs w:val="14"/>
                <w:color w:val="auto"/>
              </w:rPr>
            </w:pPr>
          </w:p>
        </w:tc>
        <w:tc>
          <w:tcPr>
            <w:tcW w:w="4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9"/>
          </w:tcPr>
          <w:p>
            <w:pPr>
              <w:spacing w:after="0" w:line="169"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95*</w:t>
            </w:r>
          </w:p>
        </w:tc>
        <w:tc>
          <w:tcPr>
            <w:tcW w:w="97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Act of 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60" w:type="dxa"/>
            <w:vAlign w:val="bottom"/>
            <w:tcBorders>
              <w:top w:val="single" w:sz="8" w:color="0000FF"/>
            </w:tcBorders>
          </w:tcPr>
          <w:p>
            <w:pPr>
              <w:spacing w:after="0" w:line="169" w:lineRule="exact"/>
              <w:rPr>
                <w:sz w:val="20"/>
                <w:szCs w:val="20"/>
                <w:color w:val="auto"/>
              </w:rPr>
            </w:pPr>
            <w:r>
              <w:rPr>
                <w:rFonts w:ascii="Arial" w:cs="Arial" w:eastAsia="Arial" w:hAnsi="Arial"/>
                <w:sz w:val="16"/>
                <w:szCs w:val="16"/>
                <w:color w:val="0000FF"/>
                <w:w w:val="99"/>
              </w:rPr>
              <w:t>Mine Safety</w:t>
            </w:r>
          </w:p>
        </w:tc>
        <w:tc>
          <w:tcPr>
            <w:tcW w:w="8940" w:type="dxa"/>
            <w:vAlign w:val="bottom"/>
            <w:gridSpan w:val="8"/>
          </w:tcPr>
          <w:p>
            <w:pPr>
              <w:ind w:left="40"/>
              <w:spacing w:after="0" w:line="169" w:lineRule="exact"/>
              <w:rPr>
                <w:sz w:val="20"/>
                <w:szCs w:val="20"/>
                <w:color w:val="auto"/>
              </w:rPr>
            </w:pPr>
            <w:r>
              <w:rPr>
                <w:rFonts w:ascii="Arial" w:cs="Arial" w:eastAsia="Arial" w:hAnsi="Arial"/>
                <w:sz w:val="16"/>
                <w:szCs w:val="16"/>
                <w:color w:val="0000FF"/>
              </w:rPr>
              <w:t>and Health Administration Safety Data.</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101.INS*</w:t>
            </w: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vMerge w:val="continue"/>
          </w:tcPr>
          <w:p>
            <w:pPr>
              <w:spacing w:after="0"/>
              <w:rPr>
                <w:sz w:val="15"/>
                <w:szCs w:val="15"/>
                <w:color w:val="auto"/>
              </w:rPr>
            </w:pPr>
          </w:p>
        </w:tc>
        <w:tc>
          <w:tcPr>
            <w:tcW w:w="9800" w:type="dxa"/>
            <w:vAlign w:val="bottom"/>
            <w:gridSpan w:val="9"/>
          </w:tcPr>
          <w:p>
            <w:pPr>
              <w:spacing w:after="0" w:line="182"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800" w:type="dxa"/>
            <w:vAlign w:val="bottom"/>
            <w:gridSpan w:val="9"/>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189"/>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15"/>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9"/>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9300" w:type="dxa"/>
            <w:vAlign w:val="bottom"/>
            <w:gridSpan w:val="5"/>
          </w:tcPr>
          <w:p>
            <w:pPr>
              <w:ind w:left="410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48"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Linden R. Evans,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2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Kimberly F. Nooney, Senior Vice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20"/>
                <w:szCs w:val="20"/>
                <w:color w:val="auto"/>
              </w:rPr>
            </w:pPr>
            <w:r>
              <w:rPr>
                <w:rFonts w:ascii="Arial" w:cs="Arial" w:eastAsia="Arial" w:hAnsi="Arial"/>
                <w:sz w:val="16"/>
                <w:szCs w:val="16"/>
                <w:color w:val="auto"/>
              </w:rPr>
              <w:t>Dated:</w:t>
            </w:r>
          </w:p>
        </w:tc>
        <w:tc>
          <w:tcPr>
            <w:tcW w:w="1060" w:type="dxa"/>
            <w:vAlign w:val="bottom"/>
          </w:tcPr>
          <w:p>
            <w:pPr>
              <w:ind w:left="160"/>
              <w:spacing w:after="0"/>
              <w:rPr>
                <w:sz w:val="20"/>
                <w:szCs w:val="20"/>
                <w:color w:val="auto"/>
              </w:rPr>
            </w:pPr>
            <w:r>
              <w:rPr>
                <w:rFonts w:ascii="Arial" w:cs="Arial" w:eastAsia="Arial" w:hAnsi="Arial"/>
                <w:sz w:val="16"/>
                <w:szCs w:val="16"/>
                <w:color w:val="auto"/>
                <w:w w:val="99"/>
              </w:rPr>
              <w:t>May 8, 2025</w:t>
            </w:r>
          </w:p>
        </w:tc>
      </w:tr>
    </w:tbl>
    <w:p>
      <w:pPr>
        <w:spacing w:after="0" w:line="21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25" w:right="1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8, 2025</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May 8, 2025</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2025,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May 8, 2025</w:t>
      </w:r>
    </w:p>
    <w:p>
      <w:pPr>
        <w:spacing w:after="0" w:line="22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2025,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May 8, 2025</w:t>
      </w:r>
    </w:p>
    <w:p>
      <w:pPr>
        <w:spacing w:after="0" w:line="194"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2025.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40" w:hanging="518"/>
        <w:spacing w:after="0" w:line="256" w:lineRule="auto"/>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00" w:hanging="518"/>
        <w:spacing w:after="0" w:line="256" w:lineRule="auto"/>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Wyodak Mine under the indicated provisions of the Mine Act, together with the total dollar value of proposed MSHA assessments received during the three months ended March 31, 2025, and legal actions pending before the Federal Mine Safety and Health Review Commission (FMSHRC), together with the Administrative Law Judges thereof, for Wyodak Mine, our only mining complex. All citations were abated within 24 hours of issue.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240" w:type="dxa"/>
            <w:vAlign w:val="bottom"/>
          </w:tcPr>
          <w:p>
            <w:pPr>
              <w:jc w:val="center"/>
              <w:ind w:left="16"/>
              <w:spacing w:after="0"/>
              <w:rPr>
                <w:sz w:val="20"/>
                <w:szCs w:val="20"/>
                <w:color w:val="auto"/>
              </w:rPr>
            </w:pPr>
            <w:r>
              <w:rPr>
                <w:rFonts w:ascii="Arial" w:cs="Arial" w:eastAsia="Arial" w:hAnsi="Arial"/>
                <w:sz w:val="13"/>
                <w:szCs w:val="13"/>
                <w:b w:val="1"/>
                <w:bCs w:val="1"/>
                <w:color w:val="auto"/>
                <w:w w:val="95"/>
              </w:rPr>
              <w:t>Mine Act Section</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4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4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5"/>
              </w:rPr>
              <w:t>104 S&amp;S Citations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106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8"/>
              </w:rPr>
              <w:t>Mine/ MSHA</w:t>
            </w:r>
          </w:p>
        </w:tc>
        <w:tc>
          <w:tcPr>
            <w:tcW w:w="124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8"/>
              </w:rPr>
              <w:t>issued during</w:t>
            </w:r>
          </w:p>
        </w:tc>
        <w:tc>
          <w:tcPr>
            <w:tcW w:w="6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900" w:type="dxa"/>
            <w:vAlign w:val="bottom"/>
            <w:vMerge w:val="continue"/>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40" w:type="dxa"/>
            <w:vAlign w:val="bottom"/>
          </w:tcPr>
          <w:p>
            <w:pPr>
              <w:jc w:val="center"/>
              <w:ind w:right="16"/>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three months</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1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5"/>
              </w:rPr>
              <w:t>Section 104(d) Section 110(b)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4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12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8"/>
              </w:rPr>
              <w:t>ended March 31,</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(2) Violations</w:t>
            </w:r>
          </w:p>
        </w:tc>
        <w:tc>
          <w:tcPr>
            <w:tcW w:w="21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Danger Orders of Proposed MSHA</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Period (#)</w:t>
            </w:r>
          </w:p>
        </w:tc>
        <w:tc>
          <w:tcPr>
            <w:tcW w:w="74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53"/>
        </w:trPr>
        <w:tc>
          <w:tcPr>
            <w:tcW w:w="112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Number</w:t>
            </w:r>
          </w:p>
        </w:tc>
        <w:tc>
          <w:tcPr>
            <w:tcW w:w="124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2025</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0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29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Wyodak Mine -</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4"/>
                <w:szCs w:val="14"/>
                <w:color w:val="auto"/>
              </w:rPr>
              <w:t>4800083</w:t>
            </w:r>
          </w:p>
        </w:tc>
        <w:tc>
          <w:tcPr>
            <w:tcW w:w="1240" w:type="dxa"/>
            <w:vAlign w:val="bottom"/>
          </w:tcPr>
          <w:p>
            <w:pPr>
              <w:jc w:val="right"/>
              <w:ind w:right="516"/>
              <w:spacing w:after="0"/>
              <w:rPr>
                <w:sz w:val="20"/>
                <w:szCs w:val="20"/>
                <w:color w:val="auto"/>
              </w:rPr>
            </w:pPr>
            <w:r>
              <w:rPr>
                <w:rFonts w:ascii="Arial" w:cs="Arial" w:eastAsia="Arial" w:hAnsi="Arial"/>
                <w:sz w:val="14"/>
                <w:szCs w:val="14"/>
                <w:color w:val="auto"/>
              </w:rPr>
              <w:t>0</w:t>
            </w: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36"/>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33"/>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jc w:val="right"/>
              <w:ind w:right="376"/>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9030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81" w:lineRule="exact"/>
        <w:rPr>
          <w:sz w:val="20"/>
          <w:szCs w:val="20"/>
          <w:color w:val="auto"/>
        </w:rPr>
      </w:pPr>
    </w:p>
    <w:p>
      <w:pPr>
        <w:ind w:left="520" w:right="80" w:hanging="512"/>
        <w:spacing w:after="0" w:line="262" w:lineRule="auto"/>
        <w:tabs>
          <w:tab w:leader="none" w:pos="520" w:val="left"/>
        </w:tabs>
        <w:numPr>
          <w:ilvl w:val="0"/>
          <w:numId w:val="49"/>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5"/>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decimal"/>
      <w:start w:val="6"/>
    </w:lvl>
  </w:abstractNum>
  <w:abstractNum w:abstractNumId="10">
    <w:nsid w:val="8138641"/>
    <w:multiLevelType w:val="hybridMultilevel"/>
    <w:lvl w:ilvl="0">
      <w:lvlJc w:val="left"/>
      <w:lvlText w:val="(%1)"/>
      <w:numFmt w:val="decimal"/>
      <w:start w:val="7"/>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8"/>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decimal"/>
      <w:start w:val="9"/>
    </w:lvl>
  </w:abstractNum>
  <w:abstractNum w:abstractNumId="18">
    <w:nsid w:val="614FD4A1"/>
    <w:multiLevelType w:val="hybridMultilevel"/>
    <w:lvl w:ilvl="0">
      <w:lvlJc w:val="left"/>
      <w:lvlText w:val="(%1)"/>
      <w:numFmt w:val="decimal"/>
      <w:start w:val="10"/>
    </w:lvl>
  </w:abstractNum>
  <w:abstractNum w:abstractNumId="19">
    <w:nsid w:val="419AC241"/>
    <w:multiLevelType w:val="hybridMultilevel"/>
    <w:lvl w:ilvl="0">
      <w:lvlJc w:val="left"/>
      <w:lvlText w:val="(%1)"/>
      <w:numFmt w:val="decimal"/>
      <w:start w:val="12"/>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decimal"/>
      <w:start w:val="13"/>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2025-05-08T10:57:56Z</dcterms:created>
  <dcterms:modified xsi:type="dcterms:W3CDTF">2025-05-08T10:57:56Z</dcterms:modified>
</cp:coreProperties>
</file>