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UNITED STATES</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Washington, DC 20549</w:t>
      </w:r>
    </w:p>
    <w:p>
      <w:pPr>
        <w:spacing w:after="0" w:line="5"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Form 10-K</w:t>
      </w:r>
    </w:p>
    <w:p>
      <w:pPr>
        <w:spacing w:after="0" w:line="75" w:lineRule="exact"/>
        <w:rPr>
          <w:sz w:val="24"/>
          <w:szCs w:val="24"/>
          <w:color w:val="auto"/>
        </w:rPr>
      </w:pPr>
    </w:p>
    <w:p>
      <w:pPr>
        <w:ind w:left="2180" w:hanging="169"/>
        <w:spacing w:after="0"/>
        <w:tabs>
          <w:tab w:leader="none" w:pos="2180" w:val="left"/>
        </w:tabs>
        <w:numPr>
          <w:ilvl w:val="0"/>
          <w:numId w:val="1"/>
        </w:numPr>
        <w:rPr>
          <w:rFonts w:ascii="Arial" w:cs="Arial" w:eastAsia="Arial" w:hAnsi="Arial"/>
          <w:sz w:val="14"/>
          <w:szCs w:val="14"/>
          <w:color w:val="auto"/>
        </w:rPr>
      </w:pPr>
      <w:r>
        <w:rPr>
          <w:rFonts w:ascii="Arial" w:cs="Arial" w:eastAsia="Arial" w:hAnsi="Arial"/>
          <w:sz w:val="14"/>
          <w:szCs w:val="14"/>
          <w:color w:val="auto"/>
        </w:rPr>
        <w:t>ANNUAL REPORT PURSUANT TO SECTION 13 OR 15(d) OF THE SECURITIES EXCHANGE ACT OF 1934</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For the fiscal year ended December 31, 2024</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Or</w:t>
      </w:r>
    </w:p>
    <w:p>
      <w:pPr>
        <w:spacing w:after="0" w:line="68" w:lineRule="exact"/>
        <w:rPr>
          <w:sz w:val="24"/>
          <w:szCs w:val="24"/>
          <w:color w:val="auto"/>
        </w:rPr>
      </w:pPr>
    </w:p>
    <w:p>
      <w:pPr>
        <w:ind w:left="3380" w:right="1760" w:hanging="1513"/>
        <w:spacing w:after="0" w:line="265" w:lineRule="auto"/>
        <w:tabs>
          <w:tab w:leader="none" w:pos="2042" w:val="left"/>
        </w:tabs>
        <w:numPr>
          <w:ilvl w:val="0"/>
          <w:numId w:val="2"/>
        </w:numPr>
        <w:rPr>
          <w:rFonts w:ascii="Arial" w:cs="Arial" w:eastAsia="Arial" w:hAnsi="Arial"/>
          <w:sz w:val="14"/>
          <w:szCs w:val="14"/>
          <w:color w:val="auto"/>
        </w:rPr>
      </w:pPr>
      <w:r>
        <w:rPr>
          <w:rFonts w:ascii="Arial" w:cs="Arial" w:eastAsia="Arial" w:hAnsi="Arial"/>
          <w:sz w:val="14"/>
          <w:szCs w:val="14"/>
          <w:color w:val="auto"/>
        </w:rPr>
        <w:t>TRANSITION REPORT PURSUANT TO SECTION 13 OR 15(d) OF THE SECURITIES EXCHANGE ACT OF 1934 For the transition period from _______________ to _______________</w:t>
      </w:r>
    </w:p>
    <w:p>
      <w:pPr>
        <w:spacing w:after="0" w:line="34"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Commission File Number 001-31303</w:t>
      </w:r>
    </w:p>
    <w:p>
      <w:pPr>
        <w:spacing w:after="0" w:line="77"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BLACK HILLS CORPORATION</w:t>
      </w:r>
    </w:p>
    <w:p>
      <w:pPr>
        <w:sectPr>
          <w:pgSz w:w="11900" w:h="16838" w:orient="portrait"/>
          <w:cols w:equalWidth="0" w:num="1">
            <w:col w:w="11140"/>
          </w:cols>
          <w:pgMar w:left="320" w:top="233" w:right="439" w:bottom="1440" w:gutter="0" w:footer="0" w:header="0"/>
        </w:sectPr>
      </w:pPr>
    </w:p>
    <w:p>
      <w:pPr>
        <w:spacing w:after="0" w:line="91" w:lineRule="exact"/>
        <w:rPr>
          <w:sz w:val="24"/>
          <w:szCs w:val="24"/>
          <w:color w:val="auto"/>
        </w:rPr>
      </w:pPr>
    </w:p>
    <w:p>
      <w:pPr>
        <w:ind w:left="3220"/>
        <w:spacing w:after="0"/>
        <w:rPr>
          <w:sz w:val="20"/>
          <w:szCs w:val="20"/>
          <w:color w:val="auto"/>
        </w:rPr>
      </w:pPr>
      <w:r>
        <w:rPr>
          <w:rFonts w:ascii="Arial" w:cs="Arial" w:eastAsia="Arial" w:hAnsi="Arial"/>
          <w:sz w:val="14"/>
          <w:szCs w:val="14"/>
          <w:b w:val="1"/>
          <w:bCs w:val="1"/>
          <w:color w:val="auto"/>
        </w:rPr>
        <w:t>Incorporated in South Dakota</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IRS Identification Number 46-0458824</w:t>
      </w:r>
    </w:p>
    <w:p>
      <w:pPr>
        <w:spacing w:after="0" w:line="82" w:lineRule="exact"/>
        <w:rPr>
          <w:sz w:val="24"/>
          <w:szCs w:val="24"/>
          <w:color w:val="auto"/>
        </w:rPr>
      </w:pPr>
    </w:p>
    <w:p>
      <w:pPr>
        <w:sectPr>
          <w:pgSz w:w="11900" w:h="16838" w:orient="portrait"/>
          <w:cols w:equalWidth="0" w:num="2">
            <w:col w:w="5240" w:space="220"/>
            <w:col w:w="5680"/>
          </w:cols>
          <w:pgMar w:left="320" w:top="233" w:right="439" w:bottom="1440" w:gutter="0" w:footer="0" w:header="0"/>
          <w:type w:val="continuous"/>
        </w:sectPr>
      </w:pPr>
    </w:p>
    <w:p>
      <w:pPr>
        <w:jc w:val="center"/>
        <w:ind w:right="-119"/>
        <w:spacing w:after="0"/>
        <w:rPr>
          <w:sz w:val="20"/>
          <w:szCs w:val="20"/>
          <w:color w:val="auto"/>
        </w:rPr>
      </w:pPr>
      <w:r>
        <w:rPr>
          <w:rFonts w:ascii="Arial" w:cs="Arial" w:eastAsia="Arial" w:hAnsi="Arial"/>
          <w:sz w:val="14"/>
          <w:szCs w:val="14"/>
          <w:b w:val="1"/>
          <w:bCs w:val="1"/>
          <w:color w:val="auto"/>
        </w:rPr>
        <w:t>7001 Mount Rushmore Road</w:t>
      </w:r>
    </w:p>
    <w:p>
      <w:pPr>
        <w:spacing w:after="0" w:line="15"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Rapid City, South Dakota 57702</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Registrant’s telephone number (605) 721-1700</w:t>
      </w:r>
    </w:p>
    <w:p>
      <w:pPr>
        <w:spacing w:after="0" w:line="136"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Securities registered pursuant to Section 12(b) of the Act:</w:t>
      </w:r>
    </w:p>
    <w:p>
      <w:pPr>
        <w:sectPr>
          <w:pgSz w:w="11900" w:h="16838" w:orient="portrait"/>
          <w:cols w:equalWidth="0" w:num="1">
            <w:col w:w="11140"/>
          </w:cols>
          <w:pgMar w:left="320" w:top="233" w:right="439" w:bottom="1440" w:gutter="0" w:footer="0" w:header="0"/>
          <w:type w:val="continuous"/>
        </w:sectPr>
      </w:pPr>
    </w:p>
    <w:p>
      <w:pPr>
        <w:spacing w:after="0" w:line="69" w:lineRule="exact"/>
        <w:rPr>
          <w:sz w:val="24"/>
          <w:szCs w:val="24"/>
          <w:color w:val="auto"/>
        </w:rPr>
      </w:pPr>
    </w:p>
    <w:p>
      <w:pPr>
        <w:ind w:left="1860"/>
        <w:spacing w:after="0"/>
        <w:rPr>
          <w:sz w:val="20"/>
          <w:szCs w:val="20"/>
          <w:color w:val="auto"/>
        </w:rPr>
      </w:pPr>
      <w:r>
        <w:rPr>
          <w:rFonts w:ascii="Arial" w:cs="Arial" w:eastAsia="Arial" w:hAnsi="Arial"/>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Arial" w:cs="Arial" w:eastAsia="Arial" w:hAnsi="Arial"/>
          <w:sz w:val="14"/>
          <w:szCs w:val="14"/>
          <w:color w:val="auto"/>
        </w:rPr>
        <w:t>Trading Symbol</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Arial" w:cs="Arial" w:eastAsia="Arial" w:hAnsi="Arial"/>
          <w:sz w:val="14"/>
          <w:szCs w:val="14"/>
          <w:color w:val="auto"/>
        </w:rPr>
        <w:t>Name of each exchange on which registered</w:t>
      </w:r>
    </w:p>
    <w:p>
      <w:pPr>
        <w:spacing w:after="0" w:line="69" w:lineRule="exact"/>
        <w:rPr>
          <w:sz w:val="24"/>
          <w:szCs w:val="24"/>
          <w:color w:val="auto"/>
        </w:rPr>
      </w:pPr>
    </w:p>
    <w:p>
      <w:pPr>
        <w:sectPr>
          <w:pgSz w:w="11900" w:h="16838" w:orient="portrait"/>
          <w:cols w:equalWidth="0" w:num="3">
            <w:col w:w="4560" w:space="720"/>
            <w:col w:w="1540" w:space="720"/>
            <w:col w:w="3600"/>
          </w:cols>
          <w:pgMar w:left="320" w:top="233" w:right="439" w:bottom="1440" w:gutter="0" w:footer="0" w:header="0"/>
          <w:type w:val="continuous"/>
        </w:sectPr>
      </w:pPr>
    </w:p>
    <w:p>
      <w:pPr>
        <w:ind w:left="1360"/>
        <w:spacing w:after="0"/>
        <w:rPr>
          <w:sz w:val="20"/>
          <w:szCs w:val="20"/>
          <w:color w:val="auto"/>
        </w:rPr>
      </w:pPr>
      <w:r>
        <w:rPr>
          <w:rFonts w:ascii="Arial" w:cs="Arial" w:eastAsia="Arial" w:hAnsi="Arial"/>
          <w:sz w:val="14"/>
          <w:szCs w:val="14"/>
          <w:color w:val="auto"/>
        </w:rPr>
        <w:t>Common stock of $1.00 par value</w:t>
      </w:r>
    </w:p>
    <w:p>
      <w:pPr>
        <w:spacing w:after="0" w:line="20" w:lineRule="exact"/>
        <w:rPr>
          <w:sz w:val="24"/>
          <w:szCs w:val="24"/>
          <w:color w:val="auto"/>
        </w:rPr>
      </w:pPr>
      <w:r>
        <w:rPr>
          <w:sz w:val="24"/>
          <w:szCs w:val="24"/>
          <w:color w:val="auto"/>
        </w:rPr>
        <w:br w:type="column"/>
      </w:r>
    </w:p>
    <w:p>
      <w:pPr>
        <w:jc w:val="center"/>
        <w:ind w:right="1460"/>
        <w:spacing w:after="0"/>
        <w:rPr>
          <w:sz w:val="20"/>
          <w:szCs w:val="20"/>
          <w:color w:val="auto"/>
        </w:rPr>
      </w:pPr>
      <w:r>
        <w:rPr>
          <w:rFonts w:ascii="Arial" w:cs="Arial" w:eastAsia="Arial" w:hAnsi="Arial"/>
          <w:sz w:val="13"/>
          <w:szCs w:val="13"/>
          <w:color w:val="auto"/>
        </w:rPr>
        <w:t>BKH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New York Stock Exchange</w:t>
      </w:r>
    </w:p>
    <w:p>
      <w:pPr>
        <w:spacing w:after="0" w:line="29" w:lineRule="exact"/>
        <w:rPr>
          <w:sz w:val="24"/>
          <w:szCs w:val="24"/>
          <w:color w:val="auto"/>
        </w:rPr>
      </w:pPr>
    </w:p>
    <w:p>
      <w:pPr>
        <w:sectPr>
          <w:pgSz w:w="11900" w:h="16838" w:orient="portrait"/>
          <w:cols w:equalWidth="0" w:num="3">
            <w:col w:w="4920" w:space="720"/>
            <w:col w:w="1740" w:space="720"/>
            <w:col w:w="3040"/>
          </w:cols>
          <w:pgMar w:left="320" w:top="233" w:right="439" w:bottom="1440" w:gutter="0" w:footer="0" w:header="0"/>
          <w:type w:val="continuous"/>
        </w:sectPr>
      </w:pPr>
    </w:p>
    <w:p>
      <w:pPr>
        <w:ind w:right="2720"/>
        <w:spacing w:after="0" w:line="219"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Section 15(d) of the Act.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7" w:lineRule="exact"/>
        <w:rPr>
          <w:sz w:val="24"/>
          <w:szCs w:val="24"/>
          <w:color w:val="auto"/>
        </w:rPr>
      </w:pPr>
    </w:p>
    <w:p>
      <w:pPr>
        <w:spacing w:after="0" w:line="18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6" w:lineRule="exact"/>
        <w:rPr>
          <w:sz w:val="24"/>
          <w:szCs w:val="24"/>
          <w:color w:val="auto"/>
        </w:rPr>
      </w:pPr>
    </w:p>
    <w:p>
      <w:pPr>
        <w:ind w:right="420"/>
        <w:spacing w:after="0" w:line="18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6" w:lineRule="exact"/>
        <w:rPr>
          <w:sz w:val="24"/>
          <w:szCs w:val="24"/>
          <w:color w:val="auto"/>
        </w:rPr>
      </w:pPr>
    </w:p>
    <w:p>
      <w:pPr>
        <w:ind w:right="100"/>
        <w:spacing w:after="0" w:line="26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360" w:type="dxa"/>
        <w:tblCellMar>
          <w:top w:w="0" w:type="dxa"/>
          <w:left w:w="0" w:type="dxa"/>
          <w:bottom w:w="0" w:type="dxa"/>
          <w:right w:w="0" w:type="dxa"/>
        </w:tblCellMar>
      </w:tblPr>
      <w:tr>
        <w:trPr>
          <w:trHeight w:val="242"/>
        </w:trPr>
        <w:tc>
          <w:tcPr>
            <w:tcW w:w="21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020" w:type="dxa"/>
            <w:vAlign w:val="bottom"/>
          </w:tcPr>
          <w:p>
            <w:pPr>
              <w:ind w:left="68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2460" w:type="dxa"/>
            <w:vAlign w:val="bottom"/>
          </w:tcPr>
          <w:p>
            <w:pPr>
              <w:ind w:left="220"/>
              <w:spacing w:after="0"/>
              <w:rPr>
                <w:sz w:val="20"/>
                <w:szCs w:val="20"/>
                <w:color w:val="auto"/>
              </w:rPr>
            </w:pPr>
            <w:r>
              <w:rPr>
                <w:rFonts w:ascii="Arial" w:cs="Arial" w:eastAsia="Arial" w:hAnsi="Arial"/>
                <w:sz w:val="14"/>
                <w:szCs w:val="14"/>
                <w:color w:val="auto"/>
              </w:rPr>
              <w:t>Accelerated filer</w:t>
            </w:r>
          </w:p>
        </w:tc>
        <w:tc>
          <w:tcPr>
            <w:tcW w:w="660" w:type="dxa"/>
            <w:vAlign w:val="bottom"/>
          </w:tcPr>
          <w:p>
            <w:pPr>
              <w:ind w:left="54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r>
        <w:trPr>
          <w:trHeight w:val="392"/>
        </w:trPr>
        <w:tc>
          <w:tcPr>
            <w:tcW w:w="2100" w:type="dxa"/>
            <w:vAlign w:val="bottom"/>
          </w:tcPr>
          <w:p>
            <w:pPr>
              <w:spacing w:after="0"/>
              <w:rPr>
                <w:sz w:val="20"/>
                <w:szCs w:val="20"/>
                <w:color w:val="auto"/>
              </w:rPr>
            </w:pPr>
            <w:r>
              <w:rPr>
                <w:rFonts w:ascii="Arial" w:cs="Arial" w:eastAsia="Arial" w:hAnsi="Arial"/>
                <w:sz w:val="14"/>
                <w:szCs w:val="14"/>
                <w:color w:val="auto"/>
              </w:rPr>
              <w:t>Non-accelerated filer</w:t>
            </w:r>
          </w:p>
        </w:tc>
        <w:tc>
          <w:tcPr>
            <w:tcW w:w="1020" w:type="dxa"/>
            <w:vAlign w:val="bottom"/>
          </w:tcPr>
          <w:p>
            <w:pPr>
              <w:ind w:left="68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2460" w:type="dxa"/>
            <w:vAlign w:val="bottom"/>
          </w:tcPr>
          <w:p>
            <w:pPr>
              <w:ind w:left="220"/>
              <w:spacing w:after="0"/>
              <w:rPr>
                <w:sz w:val="20"/>
                <w:szCs w:val="20"/>
                <w:color w:val="auto"/>
              </w:rPr>
            </w:pPr>
            <w:r>
              <w:rPr>
                <w:rFonts w:ascii="Arial" w:cs="Arial" w:eastAsia="Arial" w:hAnsi="Arial"/>
                <w:sz w:val="14"/>
                <w:szCs w:val="14"/>
                <w:color w:val="auto"/>
              </w:rPr>
              <w:t>Smaller reporting company</w:t>
            </w:r>
          </w:p>
        </w:tc>
        <w:tc>
          <w:tcPr>
            <w:tcW w:w="660" w:type="dxa"/>
            <w:vAlign w:val="bottom"/>
          </w:tcPr>
          <w:p>
            <w:pPr>
              <w:ind w:left="54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r>
        <w:trPr>
          <w:trHeight w:val="391"/>
        </w:trPr>
        <w:tc>
          <w:tcPr>
            <w:tcW w:w="2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60" w:type="dxa"/>
            <w:vAlign w:val="bottom"/>
          </w:tcPr>
          <w:p>
            <w:pPr>
              <w:ind w:left="220"/>
              <w:spacing w:after="0"/>
              <w:rPr>
                <w:sz w:val="20"/>
                <w:szCs w:val="20"/>
                <w:color w:val="auto"/>
              </w:rPr>
            </w:pPr>
            <w:r>
              <w:rPr>
                <w:rFonts w:ascii="Arial" w:cs="Arial" w:eastAsia="Arial" w:hAnsi="Arial"/>
                <w:sz w:val="14"/>
                <w:szCs w:val="14"/>
                <w:color w:val="auto"/>
              </w:rPr>
              <w:t>Emerging growth company</w:t>
            </w:r>
          </w:p>
        </w:tc>
        <w:tc>
          <w:tcPr>
            <w:tcW w:w="660" w:type="dxa"/>
            <w:vAlign w:val="bottom"/>
          </w:tcPr>
          <w:p>
            <w:pPr>
              <w:ind w:left="54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bl>
    <w:p>
      <w:pPr>
        <w:spacing w:after="0" w:line="46" w:lineRule="exact"/>
        <w:rPr>
          <w:sz w:val="24"/>
          <w:szCs w:val="24"/>
          <w:color w:val="auto"/>
        </w:rPr>
      </w:pPr>
    </w:p>
    <w:p>
      <w:pPr>
        <w:ind w:right="140"/>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6" w:lineRule="exact"/>
        <w:rPr>
          <w:sz w:val="24"/>
          <w:szCs w:val="24"/>
          <w:color w:val="auto"/>
        </w:rPr>
      </w:pPr>
    </w:p>
    <w:p>
      <w:pPr>
        <w:ind w:right="300"/>
        <w:spacing w:after="0" w:line="186"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Arial Unicode MS" w:cs="Arial Unicode MS" w:eastAsia="Arial Unicode MS" w:hAnsi="Arial Unicode MS"/>
          <w:sz w:val="14"/>
          <w:szCs w:val="14"/>
          <w:color w:val="auto"/>
        </w:rPr>
        <w:t>☒</w:t>
      </w:r>
    </w:p>
    <w:p>
      <w:pPr>
        <w:spacing w:after="0" w:line="6" w:lineRule="exact"/>
        <w:rPr>
          <w:sz w:val="24"/>
          <w:szCs w:val="24"/>
          <w:color w:val="auto"/>
        </w:rPr>
      </w:pPr>
    </w:p>
    <w:p>
      <w:pPr>
        <w:ind w:right="520"/>
        <w:spacing w:after="0" w:line="186" w:lineRule="exact"/>
        <w:rPr>
          <w:sz w:val="20"/>
          <w:szCs w:val="20"/>
          <w:color w:val="auto"/>
        </w:rPr>
      </w:pPr>
      <w:r>
        <w:rPr>
          <w:rFonts w:ascii="Arial" w:cs="Arial" w:eastAsia="Arial" w:hAnsi="Arial"/>
          <w:sz w:val="14"/>
          <w:szCs w:val="14"/>
          <w:color w:val="auto"/>
        </w:rPr>
        <w:t>If securities are registered pursuant to Section 12(b) of the Act, indicate by check mark whether the financial statements of the registrant included in the filing reflect the correction of an error to previously issued financial statements</w:t>
      </w:r>
      <w:r>
        <w:rPr>
          <w:rFonts w:ascii="Arial" w:cs="Arial" w:eastAsia="Arial" w:hAnsi="Arial"/>
          <w:sz w:val="14"/>
          <w:szCs w:val="14"/>
          <w:color w:val="231F20"/>
        </w:rPr>
        <w:t>.</w:t>
      </w:r>
      <w:r>
        <w:rPr>
          <w:rFonts w:ascii="Arial" w:cs="Arial" w:eastAsia="Arial" w:hAnsi="Arial"/>
          <w:sz w:val="14"/>
          <w:szCs w:val="14"/>
          <w:color w:val="auto"/>
        </w:rPr>
        <w:t xml:space="preserve"> </w:t>
      </w:r>
      <w:r>
        <w:rPr>
          <w:rFonts w:ascii="Arial Unicode MS" w:cs="Arial Unicode MS" w:eastAsia="Arial Unicode MS" w:hAnsi="Arial Unicode MS"/>
          <w:sz w:val="14"/>
          <w:szCs w:val="14"/>
          <w:color w:val="auto"/>
        </w:rPr>
        <w:t>☐</w:t>
      </w:r>
    </w:p>
    <w:p>
      <w:pPr>
        <w:spacing w:after="0" w:line="6" w:lineRule="exact"/>
        <w:rPr>
          <w:sz w:val="24"/>
          <w:szCs w:val="24"/>
          <w:color w:val="auto"/>
        </w:rPr>
      </w:pPr>
    </w:p>
    <w:p>
      <w:pPr>
        <w:ind w:right="360"/>
        <w:spacing w:after="0" w:line="186" w:lineRule="exact"/>
        <w:rPr>
          <w:sz w:val="20"/>
          <w:szCs w:val="20"/>
          <w:color w:val="auto"/>
        </w:rPr>
      </w:pPr>
      <w:r>
        <w:rPr>
          <w:rFonts w:ascii="Arial" w:cs="Arial" w:eastAsia="Arial" w:hAnsi="Arial"/>
          <w:sz w:val="14"/>
          <w:szCs w:val="14"/>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4"/>
          <w:szCs w:val="14"/>
          <w:color w:val="auto"/>
        </w:rPr>
        <w:t>ﬃ</w:t>
      </w:r>
      <w:r>
        <w:rPr>
          <w:rFonts w:ascii="Arial" w:cs="Arial" w:eastAsia="Arial" w:hAnsi="Arial"/>
          <w:sz w:val="14"/>
          <w:szCs w:val="14"/>
          <w:color w:val="auto"/>
        </w:rPr>
        <w:t>cers during the relevant recovery period pursuant to §240.10D-1(b)</w:t>
      </w:r>
      <w:r>
        <w:rPr>
          <w:rFonts w:ascii="Arial" w:cs="Arial" w:eastAsia="Arial" w:hAnsi="Arial"/>
          <w:sz w:val="14"/>
          <w:szCs w:val="14"/>
          <w:color w:val="231F20"/>
        </w:rPr>
        <w:t>.</w:t>
      </w:r>
      <w:r>
        <w:rPr>
          <w:rFonts w:ascii="Arial" w:cs="Arial" w:eastAsia="Arial" w:hAnsi="Arial"/>
          <w:sz w:val="14"/>
          <w:szCs w:val="14"/>
          <w:color w:val="auto"/>
        </w:rPr>
        <w:t xml:space="preserve"> </w:t>
      </w:r>
      <w:r>
        <w:rPr>
          <w:rFonts w:ascii="Arial Unicode MS" w:cs="Arial Unicode MS" w:eastAsia="Arial Unicode MS" w:hAnsi="Arial Unicode MS"/>
          <w:sz w:val="14"/>
          <w:szCs w:val="14"/>
          <w:color w:val="auto"/>
        </w:rPr>
        <w:t>☐</w:t>
      </w:r>
    </w:p>
    <w:p>
      <w:pPr>
        <w:spacing w:after="0" w:line="188"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34" w:lineRule="exact"/>
        <w:rPr>
          <w:sz w:val="24"/>
          <w:szCs w:val="24"/>
          <w:color w:val="auto"/>
        </w:rPr>
      </w:pPr>
    </w:p>
    <w:p>
      <w:pPr>
        <w:ind w:right="260"/>
        <w:spacing w:after="0" w:line="285" w:lineRule="auto"/>
        <w:rPr>
          <w:sz w:val="20"/>
          <w:szCs w:val="20"/>
          <w:color w:val="auto"/>
        </w:rPr>
      </w:pPr>
      <w:r>
        <w:rPr>
          <w:rFonts w:ascii="Arial" w:cs="Arial" w:eastAsia="Arial" w:hAnsi="Arial"/>
          <w:sz w:val="14"/>
          <w:szCs w:val="14"/>
          <w:color w:val="auto"/>
        </w:rPr>
        <w:t>The aggregate market value of the voting common equity held by non-affiliates of the registrant on the last business day of the registrant’s most recently completed second fiscal quarter, June 28, 2024, was $3,763,633,082</w:t>
      </w:r>
    </w:p>
    <w:p>
      <w:pPr>
        <w:spacing w:after="0" w:line="23" w:lineRule="exact"/>
        <w:rPr>
          <w:sz w:val="24"/>
          <w:szCs w:val="24"/>
          <w:color w:val="auto"/>
        </w:rPr>
      </w:pPr>
    </w:p>
    <w:p>
      <w:pPr>
        <w:ind w:left="120"/>
        <w:spacing w:after="0"/>
        <w:rPr>
          <w:sz w:val="20"/>
          <w:szCs w:val="20"/>
          <w:color w:val="auto"/>
        </w:rPr>
      </w:pPr>
      <w:r>
        <w:rPr>
          <w:rFonts w:ascii="Arial" w:cs="Arial" w:eastAsia="Arial" w:hAnsi="Arial"/>
          <w:sz w:val="14"/>
          <w:szCs w:val="14"/>
          <w:color w:val="auto"/>
        </w:rPr>
        <w:t>Indicate the number of shares outstanding of each of the registrant’s classes of common stock, as of the latest practicable date.</w:t>
      </w:r>
    </w:p>
    <w:p>
      <w:pPr>
        <w:spacing w:after="0" w:line="119" w:lineRule="exact"/>
        <w:rPr>
          <w:sz w:val="24"/>
          <w:szCs w:val="24"/>
          <w:color w:val="auto"/>
        </w:rPr>
      </w:pPr>
    </w:p>
    <w:tbl>
      <w:tblPr>
        <w:tblLayout w:type="fixed"/>
        <w:tblInd w:w="178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Class</w:t>
            </w:r>
          </w:p>
        </w:tc>
        <w:tc>
          <w:tcPr>
            <w:tcW w:w="3260" w:type="dxa"/>
            <w:vAlign w:val="bottom"/>
          </w:tcPr>
          <w:p>
            <w:pPr>
              <w:spacing w:after="0"/>
              <w:rPr>
                <w:sz w:val="14"/>
                <w:szCs w:val="14"/>
                <w:color w:val="auto"/>
              </w:rPr>
            </w:pPr>
          </w:p>
        </w:tc>
        <w:tc>
          <w:tcPr>
            <w:tcW w:w="2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Outstanding at January 31, 2025</w:t>
            </w:r>
          </w:p>
        </w:tc>
      </w:tr>
      <w:tr>
        <w:trPr>
          <w:trHeight w:val="255"/>
        </w:trPr>
        <w:tc>
          <w:tcPr>
            <w:tcW w:w="4460" w:type="dxa"/>
            <w:vAlign w:val="bottom"/>
            <w:gridSpan w:val="3"/>
          </w:tcPr>
          <w:p>
            <w:pPr>
              <w:jc w:val="center"/>
              <w:ind w:right="2420"/>
              <w:spacing w:after="0"/>
              <w:rPr>
                <w:sz w:val="20"/>
                <w:szCs w:val="20"/>
                <w:color w:val="auto"/>
              </w:rPr>
            </w:pPr>
            <w:r>
              <w:rPr>
                <w:rFonts w:ascii="Arial" w:cs="Arial" w:eastAsia="Arial" w:hAnsi="Arial"/>
                <w:sz w:val="14"/>
                <w:szCs w:val="14"/>
                <w:color w:val="auto"/>
              </w:rPr>
              <w:t>Common stock, $1.00 par value</w:t>
            </w:r>
          </w:p>
        </w:tc>
        <w:tc>
          <w:tcPr>
            <w:tcW w:w="2100" w:type="dxa"/>
            <w:vAlign w:val="bottom"/>
          </w:tcPr>
          <w:p>
            <w:pPr>
              <w:ind w:left="460"/>
              <w:spacing w:after="0"/>
              <w:rPr>
                <w:sz w:val="20"/>
                <w:szCs w:val="20"/>
                <w:color w:val="auto"/>
              </w:rPr>
            </w:pPr>
            <w:r>
              <w:rPr>
                <w:rFonts w:ascii="Arial" w:cs="Arial" w:eastAsia="Arial" w:hAnsi="Arial"/>
                <w:sz w:val="14"/>
                <w:szCs w:val="14"/>
                <w:color w:val="auto"/>
              </w:rPr>
              <w:t>71,617,490 shares</w:t>
            </w:r>
          </w:p>
        </w:tc>
      </w:tr>
    </w:tbl>
    <w:p>
      <w:pPr>
        <w:spacing w:after="0" w:line="17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Documents Incorporated by Reference</w:t>
      </w:r>
    </w:p>
    <w:p>
      <w:pPr>
        <w:spacing w:after="0" w:line="15" w:lineRule="exact"/>
        <w:rPr>
          <w:sz w:val="24"/>
          <w:szCs w:val="24"/>
          <w:color w:val="auto"/>
        </w:rPr>
      </w:pPr>
    </w:p>
    <w:p>
      <w:pPr>
        <w:ind w:right="160"/>
        <w:spacing w:after="0" w:line="264" w:lineRule="auto"/>
        <w:rPr>
          <w:sz w:val="20"/>
          <w:szCs w:val="20"/>
          <w:color w:val="auto"/>
        </w:rPr>
      </w:pPr>
      <w:r>
        <w:rPr>
          <w:rFonts w:ascii="Arial" w:cs="Arial" w:eastAsia="Arial" w:hAnsi="Arial"/>
          <w:sz w:val="14"/>
          <w:szCs w:val="14"/>
          <w:color w:val="auto"/>
        </w:rPr>
        <w:t>Portions of the registrant’s Definitive Proxy Statement being prepared for the solicitation of proxies in connection with the 2025 Annual Meeting of Stockholders to be held on April 23, 2025, are incorporated by reference in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582295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33"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TABLE OF CONTENTS</w:t>
      </w:r>
    </w:p>
    <w:p>
      <w:pPr>
        <w:spacing w:after="0" w:line="248" w:lineRule="exact"/>
        <w:rPr>
          <w:sz w:val="20"/>
          <w:szCs w:val="20"/>
          <w:color w:val="auto"/>
        </w:rPr>
      </w:pPr>
    </w:p>
    <w:p>
      <w:pPr>
        <w:jc w:val="right"/>
        <w:ind w:right="360"/>
        <w:spacing w:after="0"/>
        <w:rPr>
          <w:sz w:val="20"/>
          <w:szCs w:val="20"/>
          <w:color w:val="auto"/>
        </w:rPr>
      </w:pPr>
      <w:r>
        <w:rPr>
          <w:rFonts w:ascii="Arial" w:cs="Arial" w:eastAsia="Arial" w:hAnsi="Arial"/>
          <w:sz w:val="16"/>
          <w:szCs w:val="16"/>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631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u w:val="single" w:color="auto"/>
          <w:color w:val="0000FF"/>
        </w:rPr>
        <w:t>GLOSSARY OF TERMS AND ABBREVIATIONS</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6"/>
          <w:szCs w:val="16"/>
          <w:u w:val="single" w:color="auto"/>
          <w:color w:val="0000FF"/>
        </w:rPr>
        <w:t>WEBSITE ACCESS TO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-4445</wp:posOffset>
            </wp:positionV>
            <wp:extent cx="16116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116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u w:val="single" w:color="auto"/>
          <w:color w:val="0000FF"/>
        </w:rPr>
        <w:t>FORWARD-LOOKING INFORMATION</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6"/>
          <w:szCs w:val="16"/>
          <w:b w:val="1"/>
          <w:bCs w:val="1"/>
          <w:u w:val="single" w:color="auto"/>
          <w:color w:val="0000FF"/>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-4445</wp:posOffset>
            </wp:positionV>
            <wp:extent cx="257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4</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1143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11</w:t>
      </w:r>
    </w:p>
    <w:p>
      <w:pPr>
        <w:spacing w:after="0" w:line="329" w:lineRule="exact"/>
        <w:rPr>
          <w:sz w:val="20"/>
          <w:szCs w:val="20"/>
          <w:color w:val="auto"/>
        </w:rPr>
      </w:pPr>
    </w:p>
    <w:p>
      <w:pPr>
        <w:sectPr>
          <w:pgSz w:w="11900" w:h="16838" w:orient="portrait"/>
          <w:cols w:equalWidth="0" w:num="2">
            <w:col w:w="9880" w:space="720"/>
            <w:col w:w="64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120" w:type="dxa"/>
            <w:vAlign w:val="bottom"/>
            <w:shd w:val="clear" w:color="auto" w:fill="CFF0FC"/>
          </w:tcPr>
          <w:p>
            <w:pPr>
              <w:spacing w:after="0"/>
              <w:rPr>
                <w:sz w:val="17"/>
                <w:szCs w:val="17"/>
                <w:color w:val="auto"/>
              </w:rPr>
            </w:pPr>
          </w:p>
        </w:tc>
        <w:tc>
          <w:tcPr>
            <w:tcW w:w="560" w:type="dxa"/>
            <w:vAlign w:val="bottom"/>
            <w:gridSpan w:val="2"/>
            <w:shd w:val="clear" w:color="auto" w:fill="CFF0FC"/>
          </w:tcPr>
          <w:p>
            <w:pPr>
              <w:spacing w:after="0"/>
              <w:rPr>
                <w:sz w:val="20"/>
                <w:szCs w:val="20"/>
                <w:color w:val="auto"/>
              </w:rPr>
            </w:pPr>
            <w:r>
              <w:rPr>
                <w:rFonts w:ascii="Arial" w:cs="Arial" w:eastAsia="Arial" w:hAnsi="Arial"/>
                <w:sz w:val="16"/>
                <w:szCs w:val="16"/>
                <w:color w:val="0000FF"/>
                <w:w w:val="96"/>
              </w:rPr>
              <w:t>ITEM 1.</w:t>
            </w:r>
          </w:p>
        </w:tc>
        <w:tc>
          <w:tcPr>
            <w:tcW w:w="1160" w:type="dxa"/>
            <w:vAlign w:val="bottom"/>
            <w:gridSpan w:val="3"/>
            <w:shd w:val="clear" w:color="auto" w:fill="CFF0FC"/>
          </w:tcPr>
          <w:p>
            <w:pPr>
              <w:spacing w:after="0"/>
              <w:rPr>
                <w:sz w:val="17"/>
                <w:szCs w:val="17"/>
                <w:color w:val="auto"/>
              </w:rPr>
            </w:pPr>
          </w:p>
        </w:tc>
        <w:tc>
          <w:tcPr>
            <w:tcW w:w="820" w:type="dxa"/>
            <w:vAlign w:val="bottom"/>
            <w:gridSpan w:val="3"/>
            <w:shd w:val="clear" w:color="auto" w:fill="CFF0FC"/>
          </w:tcPr>
          <w:p>
            <w:pPr>
              <w:spacing w:after="0"/>
              <w:rPr>
                <w:sz w:val="20"/>
                <w:szCs w:val="20"/>
                <w:color w:val="auto"/>
              </w:rPr>
            </w:pPr>
            <w:r>
              <w:rPr>
                <w:rFonts w:ascii="Arial" w:cs="Arial" w:eastAsia="Arial" w:hAnsi="Arial"/>
                <w:sz w:val="16"/>
                <w:szCs w:val="16"/>
                <w:color w:val="0000FF"/>
                <w:w w:val="98"/>
              </w:rPr>
              <w:t>BUSINESS</w:t>
            </w:r>
          </w:p>
        </w:tc>
        <w:tc>
          <w:tcPr>
            <w:tcW w:w="7940" w:type="dxa"/>
            <w:vAlign w:val="bottom"/>
            <w:gridSpan w:val="30"/>
            <w:shd w:val="clear" w:color="auto" w:fill="CFF0FC"/>
          </w:tcPr>
          <w:p>
            <w:pPr>
              <w:spacing w:after="0"/>
              <w:rPr>
                <w:sz w:val="17"/>
                <w:szCs w:val="17"/>
                <w:color w:val="auto"/>
              </w:rPr>
            </w:pPr>
          </w:p>
        </w:tc>
        <w:tc>
          <w:tcPr>
            <w:tcW w:w="640" w:type="dxa"/>
            <w:vAlign w:val="bottom"/>
            <w:gridSpan w:val="2"/>
            <w:shd w:val="clear" w:color="auto" w:fill="CFF0FC"/>
          </w:tcPr>
          <w:p>
            <w:pPr>
              <w:jc w:val="right"/>
              <w:ind w:right="460"/>
              <w:spacing w:after="0"/>
              <w:rPr>
                <w:sz w:val="20"/>
                <w:szCs w:val="20"/>
                <w:color w:val="auto"/>
              </w:rPr>
            </w:pPr>
            <w:r>
              <w:rPr>
                <w:rFonts w:ascii="Arial" w:cs="Arial" w:eastAsia="Arial" w:hAnsi="Arial"/>
                <w:sz w:val="16"/>
                <w:szCs w:val="16"/>
                <w:color w:val="0000FF"/>
                <w:w w:val="89"/>
              </w:rPr>
              <w:t>12</w:t>
            </w:r>
          </w:p>
        </w:tc>
      </w:tr>
      <w:tr>
        <w:trPr>
          <w:trHeight w:val="34"/>
        </w:trPr>
        <w:tc>
          <w:tcPr>
            <w:tcW w:w="12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40" w:type="dxa"/>
            <w:vAlign w:val="bottom"/>
            <w:tcBorders>
              <w:top w:val="single" w:sz="8" w:color="CFF0FC"/>
            </w:tcBorders>
            <w:shd w:val="clear" w:color="auto" w:fill="CFF0FC"/>
          </w:tcPr>
          <w:p>
            <w:pPr>
              <w:spacing w:after="0"/>
              <w:rPr>
                <w:sz w:val="2"/>
                <w:szCs w:val="2"/>
                <w:color w:val="auto"/>
              </w:rPr>
            </w:pPr>
          </w:p>
        </w:tc>
        <w:tc>
          <w:tcPr>
            <w:tcW w:w="3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48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480" w:type="dxa"/>
            <w:vAlign w:val="bottom"/>
            <w:tcBorders>
              <w:top w:val="single" w:sz="8" w:color="CFF0FC"/>
            </w:tcBorders>
            <w:shd w:val="clear" w:color="auto" w:fill="CFF0FC"/>
          </w:tcPr>
          <w:p>
            <w:pPr>
              <w:spacing w:after="0"/>
              <w:rPr>
                <w:sz w:val="2"/>
                <w:szCs w:val="2"/>
                <w:color w:val="auto"/>
              </w:rPr>
            </w:pPr>
          </w:p>
        </w:tc>
        <w:tc>
          <w:tcPr>
            <w:tcW w:w="1200" w:type="dxa"/>
            <w:vAlign w:val="bottom"/>
            <w:tcBorders>
              <w:top w:val="single" w:sz="8" w:color="CFF0FC"/>
            </w:tcBorders>
            <w:shd w:val="clear" w:color="auto" w:fill="CFF0FC"/>
          </w:tcPr>
          <w:p>
            <w:pPr>
              <w:spacing w:after="0"/>
              <w:rPr>
                <w:sz w:val="2"/>
                <w:szCs w:val="2"/>
                <w:color w:val="auto"/>
              </w:rPr>
            </w:pPr>
          </w:p>
        </w:tc>
        <w:tc>
          <w:tcPr>
            <w:tcW w:w="130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100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460" w:type="dxa"/>
            <w:vAlign w:val="bottom"/>
            <w:tcBorders>
              <w:top w:val="single" w:sz="8" w:color="CFF0FC"/>
            </w:tcBorders>
            <w:shd w:val="clear" w:color="auto" w:fill="CFF0FC"/>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40" w:type="dxa"/>
            <w:vAlign w:val="bottom"/>
            <w:gridSpan w:val="32"/>
          </w:tcPr>
          <w:p>
            <w:pPr>
              <w:spacing w:after="0"/>
              <w:rPr>
                <w:sz w:val="20"/>
                <w:szCs w:val="20"/>
                <w:color w:val="auto"/>
              </w:rPr>
            </w:pPr>
            <w:r>
              <w:rPr>
                <w:rFonts w:ascii="Arial" w:cs="Arial" w:eastAsia="Arial" w:hAnsi="Arial"/>
                <w:sz w:val="16"/>
                <w:szCs w:val="16"/>
                <w:color w:val="0000FF"/>
              </w:rPr>
              <w:t>History and Organization</w:t>
            </w:r>
          </w:p>
        </w:tc>
        <w:tc>
          <w:tcPr>
            <w:tcW w:w="640" w:type="dxa"/>
            <w:vAlign w:val="bottom"/>
            <w:gridSpan w:val="2"/>
          </w:tcPr>
          <w:p>
            <w:pPr>
              <w:jc w:val="right"/>
              <w:ind w:right="460"/>
              <w:spacing w:after="0"/>
              <w:rPr>
                <w:sz w:val="20"/>
                <w:szCs w:val="20"/>
                <w:color w:val="auto"/>
              </w:rPr>
            </w:pPr>
            <w:r>
              <w:rPr>
                <w:rFonts w:ascii="Arial" w:cs="Arial" w:eastAsia="Arial" w:hAnsi="Arial"/>
                <w:sz w:val="16"/>
                <w:szCs w:val="16"/>
                <w:color w:val="0000FF"/>
                <w:w w:val="89"/>
              </w:rPr>
              <w:t>12</w:t>
            </w:r>
          </w:p>
        </w:tc>
      </w:tr>
      <w:tr>
        <w:trPr>
          <w:trHeight w:val="34"/>
        </w:trPr>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60" w:type="dxa"/>
            <w:vAlign w:val="bottom"/>
          </w:tcPr>
          <w:p>
            <w:pPr>
              <w:spacing w:after="0"/>
              <w:rPr>
                <w:sz w:val="2"/>
                <w:szCs w:val="2"/>
                <w:color w:val="auto"/>
              </w:rPr>
            </w:pPr>
          </w:p>
        </w:tc>
      </w:tr>
      <w:tr>
        <w:trPr>
          <w:trHeight w:val="216"/>
        </w:trPr>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40" w:type="dxa"/>
            <w:vAlign w:val="bottom"/>
            <w:gridSpan w:val="32"/>
            <w:shd w:val="clear" w:color="auto" w:fill="CFF0FC"/>
          </w:tcPr>
          <w:p>
            <w:pPr>
              <w:spacing w:after="0"/>
              <w:rPr>
                <w:sz w:val="20"/>
                <w:szCs w:val="20"/>
                <w:color w:val="auto"/>
              </w:rPr>
            </w:pPr>
            <w:r>
              <w:rPr>
                <w:rFonts w:ascii="Arial" w:cs="Arial" w:eastAsia="Arial" w:hAnsi="Arial"/>
                <w:sz w:val="16"/>
                <w:szCs w:val="16"/>
                <w:color w:val="0000FF"/>
              </w:rPr>
              <w:t>Electric Utilities</w:t>
            </w:r>
          </w:p>
        </w:tc>
        <w:tc>
          <w:tcPr>
            <w:tcW w:w="640" w:type="dxa"/>
            <w:vAlign w:val="bottom"/>
            <w:gridSpan w:val="2"/>
            <w:shd w:val="clear" w:color="auto" w:fill="CFF0FC"/>
          </w:tcPr>
          <w:p>
            <w:pPr>
              <w:jc w:val="right"/>
              <w:ind w:right="460"/>
              <w:spacing w:after="0"/>
              <w:rPr>
                <w:sz w:val="20"/>
                <w:szCs w:val="20"/>
                <w:color w:val="auto"/>
              </w:rPr>
            </w:pPr>
            <w:r>
              <w:rPr>
                <w:rFonts w:ascii="Arial" w:cs="Arial" w:eastAsia="Arial" w:hAnsi="Arial"/>
                <w:sz w:val="16"/>
                <w:szCs w:val="16"/>
                <w:color w:val="0000FF"/>
                <w:w w:val="89"/>
              </w:rPr>
              <w:t>12</w:t>
            </w:r>
          </w:p>
        </w:tc>
      </w:tr>
      <w:tr>
        <w:trPr>
          <w:trHeight w:val="34"/>
        </w:trPr>
        <w:tc>
          <w:tcPr>
            <w:tcW w:w="12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40" w:type="dxa"/>
            <w:vAlign w:val="bottom"/>
            <w:tcBorders>
              <w:top w:val="single" w:sz="8" w:color="CFF0FC"/>
            </w:tcBorders>
            <w:shd w:val="clear" w:color="auto" w:fill="CFF0FC"/>
          </w:tcPr>
          <w:p>
            <w:pPr>
              <w:spacing w:after="0"/>
              <w:rPr>
                <w:sz w:val="2"/>
                <w:szCs w:val="2"/>
                <w:color w:val="auto"/>
              </w:rPr>
            </w:pPr>
          </w:p>
        </w:tc>
        <w:tc>
          <w:tcPr>
            <w:tcW w:w="3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48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480" w:type="dxa"/>
            <w:vAlign w:val="bottom"/>
            <w:tcBorders>
              <w:top w:val="single" w:sz="8" w:color="CFF0FC"/>
            </w:tcBorders>
            <w:shd w:val="clear" w:color="auto" w:fill="CFF0FC"/>
          </w:tcPr>
          <w:p>
            <w:pPr>
              <w:spacing w:after="0"/>
              <w:rPr>
                <w:sz w:val="2"/>
                <w:szCs w:val="2"/>
                <w:color w:val="auto"/>
              </w:rPr>
            </w:pPr>
          </w:p>
        </w:tc>
        <w:tc>
          <w:tcPr>
            <w:tcW w:w="1200" w:type="dxa"/>
            <w:vAlign w:val="bottom"/>
            <w:tcBorders>
              <w:top w:val="single" w:sz="8" w:color="CFF0FC"/>
            </w:tcBorders>
            <w:shd w:val="clear" w:color="auto" w:fill="CFF0FC"/>
          </w:tcPr>
          <w:p>
            <w:pPr>
              <w:spacing w:after="0"/>
              <w:rPr>
                <w:sz w:val="2"/>
                <w:szCs w:val="2"/>
                <w:color w:val="auto"/>
              </w:rPr>
            </w:pPr>
          </w:p>
        </w:tc>
        <w:tc>
          <w:tcPr>
            <w:tcW w:w="130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100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460" w:type="dxa"/>
            <w:vAlign w:val="bottom"/>
            <w:tcBorders>
              <w:top w:val="single" w:sz="8" w:color="CFF0FC"/>
            </w:tcBorders>
            <w:shd w:val="clear" w:color="auto" w:fill="CFF0FC"/>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10"/>
          </w:tcPr>
          <w:p>
            <w:pPr>
              <w:spacing w:after="0"/>
              <w:rPr>
                <w:sz w:val="20"/>
                <w:szCs w:val="20"/>
                <w:color w:val="auto"/>
              </w:rPr>
            </w:pPr>
            <w:r>
              <w:rPr>
                <w:rFonts w:ascii="Arial" w:cs="Arial" w:eastAsia="Arial" w:hAnsi="Arial"/>
                <w:sz w:val="16"/>
                <w:szCs w:val="16"/>
                <w:color w:val="0000FF"/>
              </w:rPr>
              <w:t>Gas Utilities</w:t>
            </w:r>
          </w:p>
        </w:tc>
        <w:tc>
          <w:tcPr>
            <w:tcW w:w="7340" w:type="dxa"/>
            <w:vAlign w:val="bottom"/>
            <w:gridSpan w:val="22"/>
          </w:tcPr>
          <w:p>
            <w:pPr>
              <w:spacing w:after="0"/>
              <w:rPr>
                <w:sz w:val="18"/>
                <w:szCs w:val="18"/>
                <w:color w:val="auto"/>
              </w:rPr>
            </w:pPr>
          </w:p>
        </w:tc>
        <w:tc>
          <w:tcPr>
            <w:tcW w:w="640" w:type="dxa"/>
            <w:vAlign w:val="bottom"/>
            <w:gridSpan w:val="2"/>
          </w:tcPr>
          <w:p>
            <w:pPr>
              <w:jc w:val="right"/>
              <w:ind w:right="460"/>
              <w:spacing w:after="0"/>
              <w:rPr>
                <w:sz w:val="20"/>
                <w:szCs w:val="20"/>
                <w:color w:val="auto"/>
              </w:rPr>
            </w:pPr>
            <w:r>
              <w:rPr>
                <w:rFonts w:ascii="Arial" w:cs="Arial" w:eastAsia="Arial" w:hAnsi="Arial"/>
                <w:sz w:val="16"/>
                <w:szCs w:val="16"/>
                <w:color w:val="0000FF"/>
                <w:w w:val="89"/>
              </w:rPr>
              <w:t>15</w:t>
            </w:r>
          </w:p>
        </w:tc>
      </w:tr>
      <w:tr>
        <w:trPr>
          <w:trHeight w:val="34"/>
        </w:trPr>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60" w:type="dxa"/>
            <w:vAlign w:val="bottom"/>
          </w:tcPr>
          <w:p>
            <w:pPr>
              <w:spacing w:after="0"/>
              <w:rPr>
                <w:sz w:val="2"/>
                <w:szCs w:val="2"/>
                <w:color w:val="auto"/>
              </w:rPr>
            </w:pPr>
          </w:p>
        </w:tc>
      </w:tr>
      <w:tr>
        <w:trPr>
          <w:trHeight w:val="216"/>
        </w:trPr>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340" w:type="dxa"/>
            <w:vAlign w:val="bottom"/>
            <w:gridSpan w:val="24"/>
            <w:shd w:val="clear" w:color="auto" w:fill="CFF0FC"/>
          </w:tcPr>
          <w:p>
            <w:pPr>
              <w:spacing w:after="0"/>
              <w:rPr>
                <w:sz w:val="20"/>
                <w:szCs w:val="20"/>
                <w:color w:val="auto"/>
              </w:rPr>
            </w:pPr>
            <w:r>
              <w:rPr>
                <w:rFonts w:ascii="Arial" w:cs="Arial" w:eastAsia="Arial" w:hAnsi="Arial"/>
                <w:sz w:val="16"/>
                <w:szCs w:val="16"/>
                <w:color w:val="0000FF"/>
              </w:rPr>
              <w:t>Utility Regulation Characteristics</w:t>
            </w:r>
          </w:p>
        </w:tc>
        <w:tc>
          <w:tcPr>
            <w:tcW w:w="6100" w:type="dxa"/>
            <w:vAlign w:val="bottom"/>
            <w:gridSpan w:val="8"/>
            <w:shd w:val="clear" w:color="auto" w:fill="CFF0FC"/>
          </w:tcPr>
          <w:p>
            <w:pPr>
              <w:spacing w:after="0"/>
              <w:rPr>
                <w:sz w:val="18"/>
                <w:szCs w:val="18"/>
                <w:color w:val="auto"/>
              </w:rPr>
            </w:pPr>
          </w:p>
        </w:tc>
        <w:tc>
          <w:tcPr>
            <w:tcW w:w="640" w:type="dxa"/>
            <w:vAlign w:val="bottom"/>
            <w:gridSpan w:val="2"/>
            <w:shd w:val="clear" w:color="auto" w:fill="CFF0FC"/>
          </w:tcPr>
          <w:p>
            <w:pPr>
              <w:jc w:val="right"/>
              <w:ind w:right="460"/>
              <w:spacing w:after="0"/>
              <w:rPr>
                <w:sz w:val="20"/>
                <w:szCs w:val="20"/>
                <w:color w:val="auto"/>
              </w:rPr>
            </w:pPr>
            <w:r>
              <w:rPr>
                <w:rFonts w:ascii="Arial" w:cs="Arial" w:eastAsia="Arial" w:hAnsi="Arial"/>
                <w:sz w:val="16"/>
                <w:szCs w:val="16"/>
                <w:color w:val="0000FF"/>
                <w:w w:val="89"/>
              </w:rPr>
              <w:t>17</w:t>
            </w:r>
          </w:p>
        </w:tc>
      </w:tr>
      <w:tr>
        <w:trPr>
          <w:trHeight w:val="34"/>
        </w:trPr>
        <w:tc>
          <w:tcPr>
            <w:tcW w:w="12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40" w:type="dxa"/>
            <w:vAlign w:val="bottom"/>
            <w:tcBorders>
              <w:top w:val="single" w:sz="8" w:color="CFF0FC"/>
            </w:tcBorders>
            <w:shd w:val="clear" w:color="auto" w:fill="CFF0FC"/>
          </w:tcPr>
          <w:p>
            <w:pPr>
              <w:spacing w:after="0"/>
              <w:rPr>
                <w:sz w:val="2"/>
                <w:szCs w:val="2"/>
                <w:color w:val="auto"/>
              </w:rPr>
            </w:pPr>
          </w:p>
        </w:tc>
        <w:tc>
          <w:tcPr>
            <w:tcW w:w="3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48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480" w:type="dxa"/>
            <w:vAlign w:val="bottom"/>
            <w:tcBorders>
              <w:top w:val="single" w:sz="8" w:color="CFF0FC"/>
            </w:tcBorders>
            <w:shd w:val="clear" w:color="auto" w:fill="CFF0FC"/>
          </w:tcPr>
          <w:p>
            <w:pPr>
              <w:spacing w:after="0"/>
              <w:rPr>
                <w:sz w:val="2"/>
                <w:szCs w:val="2"/>
                <w:color w:val="auto"/>
              </w:rPr>
            </w:pPr>
          </w:p>
        </w:tc>
        <w:tc>
          <w:tcPr>
            <w:tcW w:w="1200" w:type="dxa"/>
            <w:vAlign w:val="bottom"/>
            <w:tcBorders>
              <w:top w:val="single" w:sz="8" w:color="CFF0FC"/>
            </w:tcBorders>
            <w:shd w:val="clear" w:color="auto" w:fill="CFF0FC"/>
          </w:tcPr>
          <w:p>
            <w:pPr>
              <w:spacing w:after="0"/>
              <w:rPr>
                <w:sz w:val="2"/>
                <w:szCs w:val="2"/>
                <w:color w:val="auto"/>
              </w:rPr>
            </w:pPr>
          </w:p>
        </w:tc>
        <w:tc>
          <w:tcPr>
            <w:tcW w:w="130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100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460" w:type="dxa"/>
            <w:vAlign w:val="bottom"/>
            <w:tcBorders>
              <w:top w:val="single" w:sz="8" w:color="CFF0FC"/>
            </w:tcBorders>
            <w:shd w:val="clear" w:color="auto" w:fill="CFF0FC"/>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40" w:type="dxa"/>
            <w:vAlign w:val="bottom"/>
            <w:gridSpan w:val="24"/>
          </w:tcPr>
          <w:p>
            <w:pPr>
              <w:spacing w:after="0"/>
              <w:rPr>
                <w:sz w:val="20"/>
                <w:szCs w:val="20"/>
                <w:color w:val="auto"/>
              </w:rPr>
            </w:pPr>
            <w:r>
              <w:rPr>
                <w:rFonts w:ascii="Arial" w:cs="Arial" w:eastAsia="Arial" w:hAnsi="Arial"/>
                <w:sz w:val="16"/>
                <w:szCs w:val="16"/>
                <w:color w:val="0000FF"/>
              </w:rPr>
              <w:t>Environmental Matters</w:t>
            </w:r>
          </w:p>
        </w:tc>
        <w:tc>
          <w:tcPr>
            <w:tcW w:w="6100" w:type="dxa"/>
            <w:vAlign w:val="bottom"/>
            <w:gridSpan w:val="8"/>
          </w:tcPr>
          <w:p>
            <w:pPr>
              <w:spacing w:after="0"/>
              <w:rPr>
                <w:sz w:val="18"/>
                <w:szCs w:val="18"/>
                <w:color w:val="auto"/>
              </w:rPr>
            </w:pPr>
          </w:p>
        </w:tc>
        <w:tc>
          <w:tcPr>
            <w:tcW w:w="640" w:type="dxa"/>
            <w:vAlign w:val="bottom"/>
            <w:gridSpan w:val="2"/>
          </w:tcPr>
          <w:p>
            <w:pPr>
              <w:jc w:val="right"/>
              <w:ind w:right="460"/>
              <w:spacing w:after="0"/>
              <w:rPr>
                <w:sz w:val="20"/>
                <w:szCs w:val="20"/>
                <w:color w:val="auto"/>
              </w:rPr>
            </w:pPr>
            <w:r>
              <w:rPr>
                <w:rFonts w:ascii="Arial" w:cs="Arial" w:eastAsia="Arial" w:hAnsi="Arial"/>
                <w:sz w:val="16"/>
                <w:szCs w:val="16"/>
                <w:color w:val="0000FF"/>
                <w:w w:val="89"/>
              </w:rPr>
              <w:t>20</w:t>
            </w:r>
          </w:p>
        </w:tc>
      </w:tr>
      <w:tr>
        <w:trPr>
          <w:trHeight w:val="34"/>
        </w:trPr>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60" w:type="dxa"/>
            <w:vAlign w:val="bottom"/>
          </w:tcPr>
          <w:p>
            <w:pPr>
              <w:spacing w:after="0"/>
              <w:rPr>
                <w:sz w:val="2"/>
                <w:szCs w:val="2"/>
                <w:color w:val="auto"/>
              </w:rPr>
            </w:pPr>
          </w:p>
        </w:tc>
      </w:tr>
      <w:tr>
        <w:trPr>
          <w:trHeight w:val="216"/>
        </w:trPr>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900" w:type="dxa"/>
            <w:vAlign w:val="bottom"/>
            <w:gridSpan w:val="20"/>
            <w:shd w:val="clear" w:color="auto" w:fill="CFF0FC"/>
          </w:tcPr>
          <w:p>
            <w:pPr>
              <w:spacing w:after="0"/>
              <w:rPr>
                <w:sz w:val="20"/>
                <w:szCs w:val="20"/>
                <w:color w:val="auto"/>
              </w:rPr>
            </w:pPr>
            <w:r>
              <w:rPr>
                <w:rFonts w:ascii="Arial" w:cs="Arial" w:eastAsia="Arial" w:hAnsi="Arial"/>
                <w:sz w:val="16"/>
                <w:szCs w:val="16"/>
                <w:color w:val="0000FF"/>
              </w:rPr>
              <w:t>Human Capital Resources</w:t>
            </w:r>
          </w:p>
        </w:tc>
        <w:tc>
          <w:tcPr>
            <w:tcW w:w="6540" w:type="dxa"/>
            <w:vAlign w:val="bottom"/>
            <w:gridSpan w:val="12"/>
            <w:shd w:val="clear" w:color="auto" w:fill="CFF0FC"/>
          </w:tcPr>
          <w:p>
            <w:pPr>
              <w:spacing w:after="0"/>
              <w:rPr>
                <w:sz w:val="18"/>
                <w:szCs w:val="18"/>
                <w:color w:val="auto"/>
              </w:rPr>
            </w:pPr>
          </w:p>
        </w:tc>
        <w:tc>
          <w:tcPr>
            <w:tcW w:w="640" w:type="dxa"/>
            <w:vAlign w:val="bottom"/>
            <w:gridSpan w:val="2"/>
            <w:shd w:val="clear" w:color="auto" w:fill="CFF0FC"/>
          </w:tcPr>
          <w:p>
            <w:pPr>
              <w:jc w:val="right"/>
              <w:ind w:right="460"/>
              <w:spacing w:after="0"/>
              <w:rPr>
                <w:sz w:val="20"/>
                <w:szCs w:val="20"/>
                <w:color w:val="auto"/>
              </w:rPr>
            </w:pPr>
            <w:r>
              <w:rPr>
                <w:rFonts w:ascii="Arial" w:cs="Arial" w:eastAsia="Arial" w:hAnsi="Arial"/>
                <w:sz w:val="16"/>
                <w:szCs w:val="16"/>
                <w:color w:val="0000FF"/>
                <w:w w:val="89"/>
              </w:rPr>
              <w:t>21</w:t>
            </w:r>
          </w:p>
        </w:tc>
      </w:tr>
      <w:tr>
        <w:trPr>
          <w:trHeight w:val="34"/>
        </w:trPr>
        <w:tc>
          <w:tcPr>
            <w:tcW w:w="12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40" w:type="dxa"/>
            <w:vAlign w:val="bottom"/>
            <w:tcBorders>
              <w:top w:val="single" w:sz="8" w:color="CFF0FC"/>
            </w:tcBorders>
            <w:shd w:val="clear" w:color="auto" w:fill="CFF0FC"/>
          </w:tcPr>
          <w:p>
            <w:pPr>
              <w:spacing w:after="0"/>
              <w:rPr>
                <w:sz w:val="2"/>
                <w:szCs w:val="2"/>
                <w:color w:val="auto"/>
              </w:rPr>
            </w:pPr>
          </w:p>
        </w:tc>
        <w:tc>
          <w:tcPr>
            <w:tcW w:w="3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48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480" w:type="dxa"/>
            <w:vAlign w:val="bottom"/>
            <w:tcBorders>
              <w:top w:val="single" w:sz="8" w:color="CFF0FC"/>
            </w:tcBorders>
            <w:shd w:val="clear" w:color="auto" w:fill="CFF0FC"/>
          </w:tcPr>
          <w:p>
            <w:pPr>
              <w:spacing w:after="0"/>
              <w:rPr>
                <w:sz w:val="2"/>
                <w:szCs w:val="2"/>
                <w:color w:val="auto"/>
              </w:rPr>
            </w:pPr>
          </w:p>
        </w:tc>
        <w:tc>
          <w:tcPr>
            <w:tcW w:w="1200" w:type="dxa"/>
            <w:vAlign w:val="bottom"/>
            <w:tcBorders>
              <w:top w:val="single" w:sz="8" w:color="CFF0FC"/>
            </w:tcBorders>
            <w:shd w:val="clear" w:color="auto" w:fill="CFF0FC"/>
          </w:tcPr>
          <w:p>
            <w:pPr>
              <w:spacing w:after="0"/>
              <w:rPr>
                <w:sz w:val="2"/>
                <w:szCs w:val="2"/>
                <w:color w:val="auto"/>
              </w:rPr>
            </w:pPr>
          </w:p>
        </w:tc>
        <w:tc>
          <w:tcPr>
            <w:tcW w:w="130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100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460" w:type="dxa"/>
            <w:vAlign w:val="bottom"/>
            <w:tcBorders>
              <w:top w:val="single" w:sz="8" w:color="CFF0FC"/>
            </w:tcBorders>
            <w:shd w:val="clear" w:color="auto" w:fill="CFF0FC"/>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1720" w:type="dxa"/>
            <w:vAlign w:val="bottom"/>
            <w:gridSpan w:val="5"/>
          </w:tcPr>
          <w:p>
            <w:pPr>
              <w:spacing w:after="0"/>
              <w:rPr>
                <w:sz w:val="20"/>
                <w:szCs w:val="20"/>
                <w:color w:val="auto"/>
              </w:rPr>
            </w:pPr>
            <w:r>
              <w:rPr>
                <w:rFonts w:ascii="Arial" w:cs="Arial" w:eastAsia="Arial" w:hAnsi="Arial"/>
                <w:sz w:val="16"/>
                <w:szCs w:val="16"/>
                <w:color w:val="0000FF"/>
              </w:rPr>
              <w:t>ITEM 1A.</w:t>
            </w:r>
          </w:p>
        </w:tc>
        <w:tc>
          <w:tcPr>
            <w:tcW w:w="8760" w:type="dxa"/>
            <w:vAlign w:val="bottom"/>
            <w:gridSpan w:val="33"/>
          </w:tcPr>
          <w:p>
            <w:pPr>
              <w:spacing w:after="0"/>
              <w:rPr>
                <w:sz w:val="20"/>
                <w:szCs w:val="20"/>
                <w:color w:val="auto"/>
              </w:rPr>
            </w:pPr>
            <w:r>
              <w:rPr>
                <w:rFonts w:ascii="Arial" w:cs="Arial" w:eastAsia="Arial" w:hAnsi="Arial"/>
                <w:sz w:val="16"/>
                <w:szCs w:val="16"/>
                <w:color w:val="0000FF"/>
              </w:rPr>
              <w:t>RISK FACTORS</w:t>
            </w:r>
          </w:p>
        </w:tc>
        <w:tc>
          <w:tcPr>
            <w:tcW w:w="640" w:type="dxa"/>
            <w:vAlign w:val="bottom"/>
            <w:gridSpan w:val="2"/>
          </w:tcPr>
          <w:p>
            <w:pPr>
              <w:jc w:val="right"/>
              <w:ind w:right="460"/>
              <w:spacing w:after="0"/>
              <w:rPr>
                <w:sz w:val="20"/>
                <w:szCs w:val="20"/>
                <w:color w:val="auto"/>
              </w:rPr>
            </w:pPr>
            <w:r>
              <w:rPr>
                <w:rFonts w:ascii="Arial" w:cs="Arial" w:eastAsia="Arial" w:hAnsi="Arial"/>
                <w:sz w:val="16"/>
                <w:szCs w:val="16"/>
                <w:color w:val="0000FF"/>
                <w:w w:val="89"/>
              </w:rPr>
              <w:t>23</w:t>
            </w:r>
          </w:p>
        </w:tc>
      </w:tr>
      <w:tr>
        <w:trPr>
          <w:trHeight w:val="34"/>
        </w:trPr>
        <w:tc>
          <w:tcPr>
            <w:tcW w:w="120" w:type="dxa"/>
            <w:vAlign w:val="bottom"/>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60" w:type="dxa"/>
            <w:vAlign w:val="bottom"/>
          </w:tcPr>
          <w:p>
            <w:pPr>
              <w:spacing w:after="0"/>
              <w:rPr>
                <w:sz w:val="2"/>
                <w:szCs w:val="2"/>
                <w:color w:val="auto"/>
              </w:rPr>
            </w:pPr>
          </w:p>
        </w:tc>
      </w:tr>
      <w:tr>
        <w:trPr>
          <w:trHeight w:val="216"/>
        </w:trPr>
        <w:tc>
          <w:tcPr>
            <w:tcW w:w="120" w:type="dxa"/>
            <w:vAlign w:val="bottom"/>
            <w:shd w:val="clear" w:color="auto" w:fill="CFF0FC"/>
          </w:tcPr>
          <w:p>
            <w:pPr>
              <w:spacing w:after="0"/>
              <w:rPr>
                <w:sz w:val="18"/>
                <w:szCs w:val="18"/>
                <w:color w:val="auto"/>
              </w:rPr>
            </w:pPr>
          </w:p>
        </w:tc>
        <w:tc>
          <w:tcPr>
            <w:tcW w:w="1720" w:type="dxa"/>
            <w:vAlign w:val="bottom"/>
            <w:gridSpan w:val="5"/>
            <w:shd w:val="clear" w:color="auto" w:fill="CFF0FC"/>
          </w:tcPr>
          <w:p>
            <w:pPr>
              <w:spacing w:after="0"/>
              <w:rPr>
                <w:sz w:val="20"/>
                <w:szCs w:val="20"/>
                <w:color w:val="auto"/>
              </w:rPr>
            </w:pPr>
            <w:r>
              <w:rPr>
                <w:rFonts w:ascii="Arial" w:cs="Arial" w:eastAsia="Arial" w:hAnsi="Arial"/>
                <w:sz w:val="16"/>
                <w:szCs w:val="16"/>
                <w:color w:val="0000FF"/>
              </w:rPr>
              <w:t>ITEM 1B.</w:t>
            </w:r>
          </w:p>
        </w:tc>
        <w:tc>
          <w:tcPr>
            <w:tcW w:w="8760" w:type="dxa"/>
            <w:vAlign w:val="bottom"/>
            <w:gridSpan w:val="33"/>
            <w:shd w:val="clear" w:color="auto" w:fill="CFF0FC"/>
          </w:tcPr>
          <w:p>
            <w:pPr>
              <w:spacing w:after="0"/>
              <w:rPr>
                <w:sz w:val="20"/>
                <w:szCs w:val="20"/>
                <w:color w:val="auto"/>
              </w:rPr>
            </w:pPr>
            <w:r>
              <w:rPr>
                <w:rFonts w:ascii="Arial" w:cs="Arial" w:eastAsia="Arial" w:hAnsi="Arial"/>
                <w:sz w:val="16"/>
                <w:szCs w:val="16"/>
                <w:color w:val="0000FF"/>
              </w:rPr>
              <w:t>UNRESOLVED STAFF COMMENTS</w:t>
            </w:r>
          </w:p>
        </w:tc>
        <w:tc>
          <w:tcPr>
            <w:tcW w:w="640" w:type="dxa"/>
            <w:vAlign w:val="bottom"/>
            <w:gridSpan w:val="2"/>
            <w:shd w:val="clear" w:color="auto" w:fill="CFF0FC"/>
          </w:tcPr>
          <w:p>
            <w:pPr>
              <w:jc w:val="right"/>
              <w:ind w:right="460"/>
              <w:spacing w:after="0"/>
              <w:rPr>
                <w:sz w:val="20"/>
                <w:szCs w:val="20"/>
                <w:color w:val="auto"/>
              </w:rPr>
            </w:pPr>
            <w:r>
              <w:rPr>
                <w:rFonts w:ascii="Arial" w:cs="Arial" w:eastAsia="Arial" w:hAnsi="Arial"/>
                <w:sz w:val="16"/>
                <w:szCs w:val="16"/>
                <w:color w:val="0000FF"/>
                <w:w w:val="89"/>
              </w:rPr>
              <w:t>30</w:t>
            </w:r>
          </w:p>
        </w:tc>
      </w:tr>
      <w:tr>
        <w:trPr>
          <w:trHeight w:val="34"/>
        </w:trPr>
        <w:tc>
          <w:tcPr>
            <w:tcW w:w="12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40" w:type="dxa"/>
            <w:vAlign w:val="bottom"/>
            <w:tcBorders>
              <w:top w:val="single" w:sz="8" w:color="CFF0FC"/>
            </w:tcBorders>
            <w:shd w:val="clear" w:color="auto" w:fill="CFF0FC"/>
          </w:tcPr>
          <w:p>
            <w:pPr>
              <w:spacing w:after="0"/>
              <w:rPr>
                <w:sz w:val="2"/>
                <w:szCs w:val="2"/>
                <w:color w:val="auto"/>
              </w:rPr>
            </w:pPr>
          </w:p>
        </w:tc>
        <w:tc>
          <w:tcPr>
            <w:tcW w:w="3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48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480" w:type="dxa"/>
            <w:vAlign w:val="bottom"/>
            <w:tcBorders>
              <w:top w:val="single" w:sz="8" w:color="CFF0FC"/>
            </w:tcBorders>
            <w:shd w:val="clear" w:color="auto" w:fill="CFF0FC"/>
          </w:tcPr>
          <w:p>
            <w:pPr>
              <w:spacing w:after="0"/>
              <w:rPr>
                <w:sz w:val="2"/>
                <w:szCs w:val="2"/>
                <w:color w:val="auto"/>
              </w:rPr>
            </w:pPr>
          </w:p>
        </w:tc>
        <w:tc>
          <w:tcPr>
            <w:tcW w:w="1200" w:type="dxa"/>
            <w:vAlign w:val="bottom"/>
            <w:tcBorders>
              <w:top w:val="single" w:sz="8" w:color="CFF0FC"/>
            </w:tcBorders>
            <w:shd w:val="clear" w:color="auto" w:fill="CFF0FC"/>
          </w:tcPr>
          <w:p>
            <w:pPr>
              <w:spacing w:after="0"/>
              <w:rPr>
                <w:sz w:val="2"/>
                <w:szCs w:val="2"/>
                <w:color w:val="auto"/>
              </w:rPr>
            </w:pPr>
          </w:p>
        </w:tc>
        <w:tc>
          <w:tcPr>
            <w:tcW w:w="130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100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460" w:type="dxa"/>
            <w:vAlign w:val="bottom"/>
            <w:tcBorders>
              <w:top w:val="single" w:sz="8" w:color="CFF0FC"/>
            </w:tcBorders>
            <w:shd w:val="clear" w:color="auto" w:fill="CFF0FC"/>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1720" w:type="dxa"/>
            <w:vAlign w:val="bottom"/>
            <w:gridSpan w:val="5"/>
          </w:tcPr>
          <w:p>
            <w:pPr>
              <w:spacing w:after="0"/>
              <w:rPr>
                <w:sz w:val="20"/>
                <w:szCs w:val="20"/>
                <w:color w:val="auto"/>
              </w:rPr>
            </w:pPr>
            <w:r>
              <w:rPr>
                <w:rFonts w:ascii="Arial" w:cs="Arial" w:eastAsia="Arial" w:hAnsi="Arial"/>
                <w:sz w:val="16"/>
                <w:szCs w:val="16"/>
                <w:color w:val="0000FF"/>
              </w:rPr>
              <w:t>ITEM 1C.</w:t>
            </w:r>
          </w:p>
        </w:tc>
        <w:tc>
          <w:tcPr>
            <w:tcW w:w="8760" w:type="dxa"/>
            <w:vAlign w:val="bottom"/>
            <w:gridSpan w:val="33"/>
          </w:tcPr>
          <w:p>
            <w:pPr>
              <w:spacing w:after="0"/>
              <w:rPr>
                <w:sz w:val="20"/>
                <w:szCs w:val="20"/>
                <w:color w:val="auto"/>
              </w:rPr>
            </w:pPr>
            <w:r>
              <w:rPr>
                <w:rFonts w:ascii="Arial" w:cs="Arial" w:eastAsia="Arial" w:hAnsi="Arial"/>
                <w:sz w:val="16"/>
                <w:szCs w:val="16"/>
                <w:color w:val="0000FF"/>
              </w:rPr>
              <w:t>CYBERSECURITY</w:t>
            </w:r>
          </w:p>
        </w:tc>
        <w:tc>
          <w:tcPr>
            <w:tcW w:w="640" w:type="dxa"/>
            <w:vAlign w:val="bottom"/>
            <w:gridSpan w:val="2"/>
          </w:tcPr>
          <w:p>
            <w:pPr>
              <w:jc w:val="right"/>
              <w:ind w:right="460"/>
              <w:spacing w:after="0"/>
              <w:rPr>
                <w:sz w:val="20"/>
                <w:szCs w:val="20"/>
                <w:color w:val="auto"/>
              </w:rPr>
            </w:pPr>
            <w:r>
              <w:rPr>
                <w:rFonts w:ascii="Arial" w:cs="Arial" w:eastAsia="Arial" w:hAnsi="Arial"/>
                <w:sz w:val="16"/>
                <w:szCs w:val="16"/>
                <w:color w:val="0000FF"/>
                <w:w w:val="89"/>
              </w:rPr>
              <w:t>30</w:t>
            </w:r>
          </w:p>
        </w:tc>
      </w:tr>
      <w:tr>
        <w:trPr>
          <w:trHeight w:val="34"/>
        </w:trPr>
        <w:tc>
          <w:tcPr>
            <w:tcW w:w="120" w:type="dxa"/>
            <w:vAlign w:val="bottom"/>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60" w:type="dxa"/>
            <w:vAlign w:val="bottom"/>
          </w:tcPr>
          <w:p>
            <w:pPr>
              <w:spacing w:after="0"/>
              <w:rPr>
                <w:sz w:val="2"/>
                <w:szCs w:val="2"/>
                <w:color w:val="auto"/>
              </w:rPr>
            </w:pPr>
          </w:p>
        </w:tc>
      </w:tr>
      <w:tr>
        <w:trPr>
          <w:trHeight w:val="216"/>
        </w:trPr>
        <w:tc>
          <w:tcPr>
            <w:tcW w:w="120" w:type="dxa"/>
            <w:vAlign w:val="bottom"/>
            <w:shd w:val="clear" w:color="auto" w:fill="CFF0FC"/>
          </w:tcPr>
          <w:p>
            <w:pPr>
              <w:spacing w:after="0"/>
              <w:rPr>
                <w:sz w:val="18"/>
                <w:szCs w:val="18"/>
                <w:color w:val="auto"/>
              </w:rPr>
            </w:pPr>
          </w:p>
        </w:tc>
        <w:tc>
          <w:tcPr>
            <w:tcW w:w="560" w:type="dxa"/>
            <w:vAlign w:val="bottom"/>
            <w:gridSpan w:val="2"/>
            <w:shd w:val="clear" w:color="auto" w:fill="CFF0FC"/>
          </w:tcPr>
          <w:p>
            <w:pPr>
              <w:spacing w:after="0"/>
              <w:rPr>
                <w:sz w:val="20"/>
                <w:szCs w:val="20"/>
                <w:color w:val="auto"/>
              </w:rPr>
            </w:pPr>
            <w:r>
              <w:rPr>
                <w:rFonts w:ascii="Arial" w:cs="Arial" w:eastAsia="Arial" w:hAnsi="Arial"/>
                <w:sz w:val="16"/>
                <w:szCs w:val="16"/>
                <w:color w:val="0000FF"/>
                <w:w w:val="96"/>
              </w:rPr>
              <w:t>ITEM 2.</w:t>
            </w:r>
          </w:p>
        </w:tc>
        <w:tc>
          <w:tcPr>
            <w:tcW w:w="1160" w:type="dxa"/>
            <w:vAlign w:val="bottom"/>
            <w:gridSpan w:val="3"/>
            <w:shd w:val="clear" w:color="auto" w:fill="CFF0FC"/>
          </w:tcPr>
          <w:p>
            <w:pPr>
              <w:spacing w:after="0"/>
              <w:rPr>
                <w:sz w:val="18"/>
                <w:szCs w:val="18"/>
                <w:color w:val="auto"/>
              </w:rPr>
            </w:pPr>
          </w:p>
        </w:tc>
        <w:tc>
          <w:tcPr>
            <w:tcW w:w="8760" w:type="dxa"/>
            <w:vAlign w:val="bottom"/>
            <w:gridSpan w:val="33"/>
            <w:shd w:val="clear" w:color="auto" w:fill="CFF0FC"/>
          </w:tcPr>
          <w:p>
            <w:pPr>
              <w:spacing w:after="0"/>
              <w:rPr>
                <w:sz w:val="20"/>
                <w:szCs w:val="20"/>
                <w:color w:val="auto"/>
              </w:rPr>
            </w:pPr>
            <w:r>
              <w:rPr>
                <w:rFonts w:ascii="Arial" w:cs="Arial" w:eastAsia="Arial" w:hAnsi="Arial"/>
                <w:sz w:val="16"/>
                <w:szCs w:val="16"/>
                <w:color w:val="0000FF"/>
              </w:rPr>
              <w:t>PROPERTIES</w:t>
            </w:r>
          </w:p>
        </w:tc>
        <w:tc>
          <w:tcPr>
            <w:tcW w:w="640" w:type="dxa"/>
            <w:vAlign w:val="bottom"/>
            <w:gridSpan w:val="2"/>
            <w:shd w:val="clear" w:color="auto" w:fill="CFF0FC"/>
          </w:tcPr>
          <w:p>
            <w:pPr>
              <w:jc w:val="right"/>
              <w:ind w:right="460"/>
              <w:spacing w:after="0"/>
              <w:rPr>
                <w:sz w:val="20"/>
                <w:szCs w:val="20"/>
                <w:color w:val="auto"/>
              </w:rPr>
            </w:pPr>
            <w:r>
              <w:rPr>
                <w:rFonts w:ascii="Arial" w:cs="Arial" w:eastAsia="Arial" w:hAnsi="Arial"/>
                <w:sz w:val="16"/>
                <w:szCs w:val="16"/>
                <w:color w:val="0000FF"/>
                <w:w w:val="89"/>
              </w:rPr>
              <w:t>31</w:t>
            </w:r>
          </w:p>
        </w:tc>
      </w:tr>
      <w:tr>
        <w:trPr>
          <w:trHeight w:val="34"/>
        </w:trPr>
        <w:tc>
          <w:tcPr>
            <w:tcW w:w="12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40" w:type="dxa"/>
            <w:vAlign w:val="bottom"/>
            <w:tcBorders>
              <w:top w:val="single" w:sz="8" w:color="CFF0FC"/>
            </w:tcBorders>
            <w:shd w:val="clear" w:color="auto" w:fill="CFF0FC"/>
          </w:tcPr>
          <w:p>
            <w:pPr>
              <w:spacing w:after="0"/>
              <w:rPr>
                <w:sz w:val="2"/>
                <w:szCs w:val="2"/>
                <w:color w:val="auto"/>
              </w:rPr>
            </w:pPr>
          </w:p>
        </w:tc>
        <w:tc>
          <w:tcPr>
            <w:tcW w:w="3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48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480" w:type="dxa"/>
            <w:vAlign w:val="bottom"/>
            <w:tcBorders>
              <w:top w:val="single" w:sz="8" w:color="CFF0FC"/>
            </w:tcBorders>
            <w:shd w:val="clear" w:color="auto" w:fill="CFF0FC"/>
          </w:tcPr>
          <w:p>
            <w:pPr>
              <w:spacing w:after="0"/>
              <w:rPr>
                <w:sz w:val="2"/>
                <w:szCs w:val="2"/>
                <w:color w:val="auto"/>
              </w:rPr>
            </w:pPr>
          </w:p>
        </w:tc>
        <w:tc>
          <w:tcPr>
            <w:tcW w:w="1200" w:type="dxa"/>
            <w:vAlign w:val="bottom"/>
            <w:tcBorders>
              <w:top w:val="single" w:sz="8" w:color="CFF0FC"/>
            </w:tcBorders>
            <w:shd w:val="clear" w:color="auto" w:fill="CFF0FC"/>
          </w:tcPr>
          <w:p>
            <w:pPr>
              <w:spacing w:after="0"/>
              <w:rPr>
                <w:sz w:val="2"/>
                <w:szCs w:val="2"/>
                <w:color w:val="auto"/>
              </w:rPr>
            </w:pPr>
          </w:p>
        </w:tc>
        <w:tc>
          <w:tcPr>
            <w:tcW w:w="130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100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460" w:type="dxa"/>
            <w:vAlign w:val="bottom"/>
            <w:tcBorders>
              <w:top w:val="single" w:sz="8" w:color="CFF0FC"/>
            </w:tcBorders>
            <w:shd w:val="clear" w:color="auto" w:fill="CFF0FC"/>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560" w:type="dxa"/>
            <w:vAlign w:val="bottom"/>
            <w:gridSpan w:val="2"/>
          </w:tcPr>
          <w:p>
            <w:pPr>
              <w:spacing w:after="0"/>
              <w:rPr>
                <w:sz w:val="20"/>
                <w:szCs w:val="20"/>
                <w:color w:val="auto"/>
              </w:rPr>
            </w:pPr>
            <w:r>
              <w:rPr>
                <w:rFonts w:ascii="Arial" w:cs="Arial" w:eastAsia="Arial" w:hAnsi="Arial"/>
                <w:sz w:val="16"/>
                <w:szCs w:val="16"/>
                <w:color w:val="0000FF"/>
                <w:w w:val="96"/>
              </w:rPr>
              <w:t>ITEM 3.</w:t>
            </w:r>
          </w:p>
        </w:tc>
        <w:tc>
          <w:tcPr>
            <w:tcW w:w="1160" w:type="dxa"/>
            <w:vAlign w:val="bottom"/>
            <w:gridSpan w:val="3"/>
          </w:tcPr>
          <w:p>
            <w:pPr>
              <w:spacing w:after="0"/>
              <w:rPr>
                <w:sz w:val="18"/>
                <w:szCs w:val="18"/>
                <w:color w:val="auto"/>
              </w:rPr>
            </w:pPr>
          </w:p>
        </w:tc>
        <w:tc>
          <w:tcPr>
            <w:tcW w:w="8760" w:type="dxa"/>
            <w:vAlign w:val="bottom"/>
            <w:gridSpan w:val="33"/>
          </w:tcPr>
          <w:p>
            <w:pPr>
              <w:spacing w:after="0"/>
              <w:rPr>
                <w:sz w:val="20"/>
                <w:szCs w:val="20"/>
                <w:color w:val="auto"/>
              </w:rPr>
            </w:pPr>
            <w:r>
              <w:rPr>
                <w:rFonts w:ascii="Arial" w:cs="Arial" w:eastAsia="Arial" w:hAnsi="Arial"/>
                <w:sz w:val="16"/>
                <w:szCs w:val="16"/>
                <w:color w:val="0000FF"/>
              </w:rPr>
              <w:t>LEGAL PROCEEDINGS</w:t>
            </w:r>
          </w:p>
        </w:tc>
        <w:tc>
          <w:tcPr>
            <w:tcW w:w="640" w:type="dxa"/>
            <w:vAlign w:val="bottom"/>
            <w:gridSpan w:val="2"/>
          </w:tcPr>
          <w:p>
            <w:pPr>
              <w:jc w:val="right"/>
              <w:ind w:right="460"/>
              <w:spacing w:after="0"/>
              <w:rPr>
                <w:sz w:val="20"/>
                <w:szCs w:val="20"/>
                <w:color w:val="auto"/>
              </w:rPr>
            </w:pPr>
            <w:r>
              <w:rPr>
                <w:rFonts w:ascii="Arial" w:cs="Arial" w:eastAsia="Arial" w:hAnsi="Arial"/>
                <w:sz w:val="16"/>
                <w:szCs w:val="16"/>
                <w:color w:val="0000FF"/>
                <w:w w:val="89"/>
              </w:rPr>
              <w:t>31</w:t>
            </w:r>
          </w:p>
        </w:tc>
      </w:tr>
      <w:tr>
        <w:trPr>
          <w:trHeight w:val="34"/>
        </w:trPr>
        <w:tc>
          <w:tcPr>
            <w:tcW w:w="120" w:type="dxa"/>
            <w:vAlign w:val="bottom"/>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60" w:type="dxa"/>
            <w:vAlign w:val="bottom"/>
          </w:tcPr>
          <w:p>
            <w:pPr>
              <w:spacing w:after="0"/>
              <w:rPr>
                <w:sz w:val="2"/>
                <w:szCs w:val="2"/>
                <w:color w:val="auto"/>
              </w:rPr>
            </w:pPr>
          </w:p>
        </w:tc>
      </w:tr>
      <w:tr>
        <w:trPr>
          <w:trHeight w:val="216"/>
        </w:trPr>
        <w:tc>
          <w:tcPr>
            <w:tcW w:w="120" w:type="dxa"/>
            <w:vAlign w:val="bottom"/>
            <w:shd w:val="clear" w:color="auto" w:fill="CFF0FC"/>
          </w:tcPr>
          <w:p>
            <w:pPr>
              <w:spacing w:after="0"/>
              <w:rPr>
                <w:sz w:val="18"/>
                <w:szCs w:val="18"/>
                <w:color w:val="auto"/>
              </w:rPr>
            </w:pPr>
          </w:p>
        </w:tc>
        <w:tc>
          <w:tcPr>
            <w:tcW w:w="560" w:type="dxa"/>
            <w:vAlign w:val="bottom"/>
            <w:gridSpan w:val="2"/>
            <w:shd w:val="clear" w:color="auto" w:fill="CFF0FC"/>
          </w:tcPr>
          <w:p>
            <w:pPr>
              <w:spacing w:after="0"/>
              <w:rPr>
                <w:sz w:val="20"/>
                <w:szCs w:val="20"/>
                <w:color w:val="auto"/>
              </w:rPr>
            </w:pPr>
            <w:r>
              <w:rPr>
                <w:rFonts w:ascii="Arial" w:cs="Arial" w:eastAsia="Arial" w:hAnsi="Arial"/>
                <w:sz w:val="16"/>
                <w:szCs w:val="16"/>
                <w:color w:val="0000FF"/>
                <w:w w:val="96"/>
              </w:rPr>
              <w:t>ITEM 4.</w:t>
            </w:r>
          </w:p>
        </w:tc>
        <w:tc>
          <w:tcPr>
            <w:tcW w:w="1160" w:type="dxa"/>
            <w:vAlign w:val="bottom"/>
            <w:gridSpan w:val="3"/>
            <w:shd w:val="clear" w:color="auto" w:fill="CFF0FC"/>
          </w:tcPr>
          <w:p>
            <w:pPr>
              <w:spacing w:after="0"/>
              <w:rPr>
                <w:sz w:val="18"/>
                <w:szCs w:val="18"/>
                <w:color w:val="auto"/>
              </w:rPr>
            </w:pPr>
          </w:p>
        </w:tc>
        <w:tc>
          <w:tcPr>
            <w:tcW w:w="8760" w:type="dxa"/>
            <w:vAlign w:val="bottom"/>
            <w:gridSpan w:val="33"/>
            <w:shd w:val="clear" w:color="auto" w:fill="CFF0FC"/>
          </w:tcPr>
          <w:p>
            <w:pPr>
              <w:spacing w:after="0"/>
              <w:rPr>
                <w:sz w:val="20"/>
                <w:szCs w:val="20"/>
                <w:color w:val="auto"/>
              </w:rPr>
            </w:pPr>
            <w:r>
              <w:rPr>
                <w:rFonts w:ascii="Arial" w:cs="Arial" w:eastAsia="Arial" w:hAnsi="Arial"/>
                <w:sz w:val="16"/>
                <w:szCs w:val="16"/>
                <w:color w:val="0000FF"/>
              </w:rPr>
              <w:t>MINE SAFETY DISCLOSURES</w:t>
            </w:r>
          </w:p>
        </w:tc>
        <w:tc>
          <w:tcPr>
            <w:tcW w:w="640" w:type="dxa"/>
            <w:vAlign w:val="bottom"/>
            <w:gridSpan w:val="2"/>
            <w:shd w:val="clear" w:color="auto" w:fill="CFF0FC"/>
          </w:tcPr>
          <w:p>
            <w:pPr>
              <w:jc w:val="right"/>
              <w:ind w:right="460"/>
              <w:spacing w:after="0"/>
              <w:rPr>
                <w:sz w:val="20"/>
                <w:szCs w:val="20"/>
                <w:color w:val="auto"/>
              </w:rPr>
            </w:pPr>
            <w:r>
              <w:rPr>
                <w:rFonts w:ascii="Arial" w:cs="Arial" w:eastAsia="Arial" w:hAnsi="Arial"/>
                <w:sz w:val="16"/>
                <w:szCs w:val="16"/>
                <w:color w:val="0000FF"/>
                <w:w w:val="89"/>
              </w:rPr>
              <w:t>31</w:t>
            </w:r>
          </w:p>
        </w:tc>
      </w:tr>
      <w:tr>
        <w:trPr>
          <w:trHeight w:val="34"/>
        </w:trPr>
        <w:tc>
          <w:tcPr>
            <w:tcW w:w="12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40" w:type="dxa"/>
            <w:vAlign w:val="bottom"/>
            <w:tcBorders>
              <w:top w:val="single" w:sz="8" w:color="CFF0FC"/>
            </w:tcBorders>
            <w:shd w:val="clear" w:color="auto" w:fill="CFF0FC"/>
          </w:tcPr>
          <w:p>
            <w:pPr>
              <w:spacing w:after="0"/>
              <w:rPr>
                <w:sz w:val="2"/>
                <w:szCs w:val="2"/>
                <w:color w:val="auto"/>
              </w:rPr>
            </w:pPr>
          </w:p>
        </w:tc>
        <w:tc>
          <w:tcPr>
            <w:tcW w:w="3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48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480" w:type="dxa"/>
            <w:vAlign w:val="bottom"/>
            <w:tcBorders>
              <w:top w:val="single" w:sz="8" w:color="CFF0FC"/>
            </w:tcBorders>
            <w:shd w:val="clear" w:color="auto" w:fill="CFF0FC"/>
          </w:tcPr>
          <w:p>
            <w:pPr>
              <w:spacing w:after="0"/>
              <w:rPr>
                <w:sz w:val="2"/>
                <w:szCs w:val="2"/>
                <w:color w:val="auto"/>
              </w:rPr>
            </w:pPr>
          </w:p>
        </w:tc>
        <w:tc>
          <w:tcPr>
            <w:tcW w:w="1200" w:type="dxa"/>
            <w:vAlign w:val="bottom"/>
            <w:tcBorders>
              <w:top w:val="single" w:sz="8" w:color="CFF0FC"/>
            </w:tcBorders>
            <w:shd w:val="clear" w:color="auto" w:fill="CFF0FC"/>
          </w:tcPr>
          <w:p>
            <w:pPr>
              <w:spacing w:after="0"/>
              <w:rPr>
                <w:sz w:val="2"/>
                <w:szCs w:val="2"/>
                <w:color w:val="auto"/>
              </w:rPr>
            </w:pPr>
          </w:p>
        </w:tc>
        <w:tc>
          <w:tcPr>
            <w:tcW w:w="130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100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460" w:type="dxa"/>
            <w:vAlign w:val="bottom"/>
            <w:tcBorders>
              <w:top w:val="single" w:sz="8" w:color="CFF0FC"/>
            </w:tcBorders>
            <w:shd w:val="clear" w:color="auto" w:fill="CFF0FC"/>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10480" w:type="dxa"/>
            <w:vAlign w:val="bottom"/>
            <w:gridSpan w:val="38"/>
          </w:tcPr>
          <w:p>
            <w:pPr>
              <w:spacing w:after="0"/>
              <w:rPr>
                <w:sz w:val="20"/>
                <w:szCs w:val="20"/>
                <w:color w:val="auto"/>
              </w:rPr>
            </w:pPr>
            <w:r>
              <w:rPr>
                <w:rFonts w:ascii="Arial" w:cs="Arial" w:eastAsia="Arial" w:hAnsi="Arial"/>
                <w:sz w:val="16"/>
                <w:szCs w:val="16"/>
                <w:color w:val="0000FF"/>
              </w:rPr>
              <w:t>INFORMATION ABOUT OUR EXECUTIVE OFFICERS</w:t>
            </w:r>
          </w:p>
        </w:tc>
        <w:tc>
          <w:tcPr>
            <w:tcW w:w="640" w:type="dxa"/>
            <w:vAlign w:val="bottom"/>
            <w:gridSpan w:val="2"/>
          </w:tcPr>
          <w:p>
            <w:pPr>
              <w:jc w:val="right"/>
              <w:ind w:right="460"/>
              <w:spacing w:after="0"/>
              <w:rPr>
                <w:sz w:val="20"/>
                <w:szCs w:val="20"/>
                <w:color w:val="auto"/>
              </w:rPr>
            </w:pPr>
            <w:r>
              <w:rPr>
                <w:rFonts w:ascii="Arial" w:cs="Arial" w:eastAsia="Arial" w:hAnsi="Arial"/>
                <w:sz w:val="16"/>
                <w:szCs w:val="16"/>
                <w:color w:val="0000FF"/>
                <w:w w:val="89"/>
              </w:rPr>
              <w:t>32</w:t>
            </w:r>
          </w:p>
        </w:tc>
      </w:tr>
      <w:tr>
        <w:trPr>
          <w:trHeight w:val="34"/>
        </w:trPr>
        <w:tc>
          <w:tcPr>
            <w:tcW w:w="120" w:type="dxa"/>
            <w:vAlign w:val="bottom"/>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4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60" w:type="dxa"/>
            <w:vAlign w:val="bottom"/>
          </w:tcPr>
          <w:p>
            <w:pPr>
              <w:spacing w:after="0"/>
              <w:rPr>
                <w:sz w:val="2"/>
                <w:szCs w:val="2"/>
                <w:color w:val="auto"/>
              </w:rPr>
            </w:pPr>
          </w:p>
        </w:tc>
      </w:tr>
      <w:tr>
        <w:trPr>
          <w:trHeight w:val="216"/>
        </w:trPr>
        <w:tc>
          <w:tcPr>
            <w:tcW w:w="120" w:type="dxa"/>
            <w:vAlign w:val="bottom"/>
            <w:shd w:val="clear" w:color="auto" w:fill="CFF0FC"/>
          </w:tcPr>
          <w:p>
            <w:pPr>
              <w:spacing w:after="0"/>
              <w:rPr>
                <w:sz w:val="18"/>
                <w:szCs w:val="18"/>
                <w:color w:val="auto"/>
              </w:rPr>
            </w:pPr>
          </w:p>
        </w:tc>
        <w:tc>
          <w:tcPr>
            <w:tcW w:w="1720" w:type="dxa"/>
            <w:vAlign w:val="bottom"/>
            <w:gridSpan w:val="5"/>
            <w:shd w:val="clear" w:color="auto" w:fill="CFF0FC"/>
          </w:tcPr>
          <w:p>
            <w:pPr>
              <w:spacing w:after="0"/>
              <w:rPr>
                <w:sz w:val="20"/>
                <w:szCs w:val="20"/>
                <w:color w:val="auto"/>
              </w:rPr>
            </w:pPr>
            <w:r>
              <w:rPr>
                <w:rFonts w:ascii="Arial" w:cs="Arial" w:eastAsia="Arial" w:hAnsi="Arial"/>
                <w:sz w:val="16"/>
                <w:szCs w:val="16"/>
                <w:b w:val="1"/>
                <w:bCs w:val="1"/>
                <w:color w:val="0000FF"/>
              </w:rPr>
              <w:t>Part II</w:t>
            </w: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r>
      <w:tr>
        <w:trPr>
          <w:trHeight w:val="34"/>
        </w:trPr>
        <w:tc>
          <w:tcPr>
            <w:tcW w:w="12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40" w:type="dxa"/>
            <w:vAlign w:val="bottom"/>
            <w:tcBorders>
              <w:top w:val="single" w:sz="8" w:color="CFF0FC"/>
            </w:tcBorders>
            <w:shd w:val="clear" w:color="auto" w:fill="CFF0FC"/>
          </w:tcPr>
          <w:p>
            <w:pPr>
              <w:spacing w:after="0"/>
              <w:rPr>
                <w:sz w:val="2"/>
                <w:szCs w:val="2"/>
                <w:color w:val="auto"/>
              </w:rPr>
            </w:pPr>
          </w:p>
        </w:tc>
        <w:tc>
          <w:tcPr>
            <w:tcW w:w="3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480" w:type="dxa"/>
            <w:vAlign w:val="bottom"/>
            <w:tcBorders>
              <w:top w:val="single" w:sz="8" w:color="CFF0FC"/>
            </w:tcBorders>
            <w:shd w:val="clear" w:color="auto" w:fill="CFF0FC"/>
          </w:tcPr>
          <w:p>
            <w:pPr>
              <w:spacing w:after="0"/>
              <w:rPr>
                <w:sz w:val="2"/>
                <w:szCs w:val="2"/>
                <w:color w:val="auto"/>
              </w:rPr>
            </w:pPr>
          </w:p>
        </w:tc>
        <w:tc>
          <w:tcPr>
            <w:tcW w:w="1200" w:type="dxa"/>
            <w:vAlign w:val="bottom"/>
            <w:tcBorders>
              <w:top w:val="single" w:sz="8" w:color="CFF0FC"/>
            </w:tcBorders>
            <w:shd w:val="clear" w:color="auto" w:fill="CFF0FC"/>
          </w:tcPr>
          <w:p>
            <w:pPr>
              <w:spacing w:after="0"/>
              <w:rPr>
                <w:sz w:val="2"/>
                <w:szCs w:val="2"/>
                <w:color w:val="auto"/>
              </w:rPr>
            </w:pPr>
          </w:p>
        </w:tc>
        <w:tc>
          <w:tcPr>
            <w:tcW w:w="130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100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460" w:type="dxa"/>
            <w:vAlign w:val="bottom"/>
            <w:tcBorders>
              <w:top w:val="single" w:sz="8" w:color="CFF0FC"/>
            </w:tcBorders>
            <w:shd w:val="clear" w:color="auto" w:fill="CFF0FC"/>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1720" w:type="dxa"/>
            <w:vAlign w:val="bottom"/>
            <w:gridSpan w:val="5"/>
          </w:tcPr>
          <w:p>
            <w:pPr>
              <w:spacing w:after="0"/>
              <w:rPr>
                <w:sz w:val="20"/>
                <w:szCs w:val="20"/>
                <w:color w:val="auto"/>
              </w:rPr>
            </w:pPr>
            <w:r>
              <w:rPr>
                <w:rFonts w:ascii="Arial" w:cs="Arial" w:eastAsia="Arial" w:hAnsi="Arial"/>
                <w:sz w:val="16"/>
                <w:szCs w:val="16"/>
                <w:color w:val="0000FF"/>
              </w:rPr>
              <w:t>ITEM 5.</w:t>
            </w:r>
          </w:p>
        </w:tc>
        <w:tc>
          <w:tcPr>
            <w:tcW w:w="8760" w:type="dxa"/>
            <w:vAlign w:val="bottom"/>
            <w:gridSpan w:val="33"/>
          </w:tcPr>
          <w:p>
            <w:pPr>
              <w:spacing w:after="0"/>
              <w:rPr>
                <w:sz w:val="20"/>
                <w:szCs w:val="20"/>
                <w:color w:val="auto"/>
              </w:rPr>
            </w:pPr>
            <w:r>
              <w:rPr>
                <w:rFonts w:ascii="Arial" w:cs="Arial" w:eastAsia="Arial" w:hAnsi="Arial"/>
                <w:sz w:val="16"/>
                <w:szCs w:val="16"/>
                <w:color w:val="0000FF"/>
              </w:rPr>
              <w:t>MARKET FOR REGISTRANT’S COMMON EQUITY, RELATED STOCKHOLDER MATTERS AND ISSUER</w:t>
            </w:r>
          </w:p>
        </w:tc>
        <w:tc>
          <w:tcPr>
            <w:tcW w:w="640" w:type="dxa"/>
            <w:vAlign w:val="bottom"/>
            <w:gridSpan w:val="2"/>
          </w:tcPr>
          <w:p>
            <w:pPr>
              <w:jc w:val="right"/>
              <w:ind w:right="460"/>
              <w:spacing w:after="0"/>
              <w:rPr>
                <w:sz w:val="20"/>
                <w:szCs w:val="20"/>
                <w:color w:val="auto"/>
              </w:rPr>
            </w:pPr>
            <w:r>
              <w:rPr>
                <w:rFonts w:ascii="Arial" w:cs="Arial" w:eastAsia="Arial" w:hAnsi="Arial"/>
                <w:sz w:val="16"/>
                <w:szCs w:val="16"/>
                <w:color w:val="0000FF"/>
                <w:w w:val="89"/>
              </w:rPr>
              <w:t>33</w:t>
            </w:r>
          </w:p>
        </w:tc>
      </w:tr>
      <w:tr>
        <w:trPr>
          <w:trHeight w:val="169"/>
        </w:trPr>
        <w:tc>
          <w:tcPr>
            <w:tcW w:w="120" w:type="dxa"/>
            <w:vAlign w:val="bottom"/>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760" w:type="dxa"/>
            <w:vAlign w:val="bottom"/>
            <w:tcBorders>
              <w:top w:val="single" w:sz="8" w:color="0000FF"/>
            </w:tcBorders>
            <w:gridSpan w:val="32"/>
          </w:tcPr>
          <w:p>
            <w:pPr>
              <w:spacing w:after="0" w:line="169" w:lineRule="exact"/>
              <w:rPr>
                <w:sz w:val="20"/>
                <w:szCs w:val="20"/>
                <w:color w:val="auto"/>
              </w:rPr>
            </w:pPr>
            <w:r>
              <w:rPr>
                <w:rFonts w:ascii="Arial" w:cs="Arial" w:eastAsia="Arial" w:hAnsi="Arial"/>
                <w:sz w:val="16"/>
                <w:szCs w:val="16"/>
                <w:color w:val="0000FF"/>
              </w:rPr>
              <w:t>PURCHASES OF EQUITY SECURITIES</w:t>
            </w:r>
          </w:p>
        </w:tc>
        <w:tc>
          <w:tcPr>
            <w:tcW w:w="1000" w:type="dxa"/>
            <w:vAlign w:val="bottom"/>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460" w:type="dxa"/>
            <w:vAlign w:val="bottom"/>
          </w:tcPr>
          <w:p>
            <w:pPr>
              <w:spacing w:after="0"/>
              <w:rPr>
                <w:sz w:val="14"/>
                <w:szCs w:val="14"/>
                <w:color w:val="auto"/>
              </w:rPr>
            </w:pPr>
          </w:p>
        </w:tc>
      </w:tr>
      <w:tr>
        <w:trPr>
          <w:trHeight w:val="34"/>
        </w:trPr>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16"/>
        </w:trPr>
        <w:tc>
          <w:tcPr>
            <w:tcW w:w="120" w:type="dxa"/>
            <w:vAlign w:val="bottom"/>
            <w:shd w:val="clear" w:color="auto" w:fill="CFF0FC"/>
          </w:tcPr>
          <w:p>
            <w:pPr>
              <w:spacing w:after="0"/>
              <w:rPr>
                <w:sz w:val="18"/>
                <w:szCs w:val="18"/>
                <w:color w:val="auto"/>
              </w:rPr>
            </w:pPr>
          </w:p>
        </w:tc>
        <w:tc>
          <w:tcPr>
            <w:tcW w:w="560" w:type="dxa"/>
            <w:vAlign w:val="bottom"/>
            <w:gridSpan w:val="2"/>
            <w:shd w:val="clear" w:color="auto" w:fill="CFF0FC"/>
          </w:tcPr>
          <w:p>
            <w:pPr>
              <w:spacing w:after="0"/>
              <w:rPr>
                <w:sz w:val="20"/>
                <w:szCs w:val="20"/>
                <w:color w:val="auto"/>
              </w:rPr>
            </w:pPr>
            <w:r>
              <w:rPr>
                <w:rFonts w:ascii="Arial" w:cs="Arial" w:eastAsia="Arial" w:hAnsi="Arial"/>
                <w:sz w:val="16"/>
                <w:szCs w:val="16"/>
                <w:color w:val="0000FF"/>
                <w:w w:val="96"/>
              </w:rPr>
              <w:t>ITEM 6.</w:t>
            </w:r>
          </w:p>
        </w:tc>
        <w:tc>
          <w:tcPr>
            <w:tcW w:w="1160" w:type="dxa"/>
            <w:vAlign w:val="bottom"/>
            <w:gridSpan w:val="3"/>
            <w:shd w:val="clear" w:color="auto" w:fill="CFF0FC"/>
          </w:tcPr>
          <w:p>
            <w:pPr>
              <w:spacing w:after="0"/>
              <w:rPr>
                <w:sz w:val="18"/>
                <w:szCs w:val="18"/>
                <w:color w:val="auto"/>
              </w:rPr>
            </w:pPr>
          </w:p>
        </w:tc>
        <w:tc>
          <w:tcPr>
            <w:tcW w:w="900" w:type="dxa"/>
            <w:vAlign w:val="bottom"/>
            <w:gridSpan w:val="4"/>
            <w:shd w:val="clear" w:color="auto" w:fill="CFF0FC"/>
          </w:tcPr>
          <w:p>
            <w:pPr>
              <w:spacing w:after="0"/>
              <w:rPr>
                <w:sz w:val="20"/>
                <w:szCs w:val="20"/>
                <w:color w:val="auto"/>
              </w:rPr>
            </w:pPr>
            <w:r>
              <w:rPr>
                <w:rFonts w:ascii="Arial" w:cs="Arial" w:eastAsia="Arial" w:hAnsi="Arial"/>
                <w:sz w:val="16"/>
                <w:szCs w:val="16"/>
                <w:color w:val="0000FF"/>
                <w:w w:val="99"/>
              </w:rPr>
              <w:t>RESERVED</w:t>
            </w:r>
          </w:p>
        </w:tc>
        <w:tc>
          <w:tcPr>
            <w:tcW w:w="7860" w:type="dxa"/>
            <w:vAlign w:val="bottom"/>
            <w:gridSpan w:val="29"/>
            <w:shd w:val="clear" w:color="auto" w:fill="CFF0FC"/>
          </w:tcPr>
          <w:p>
            <w:pPr>
              <w:spacing w:after="0"/>
              <w:rPr>
                <w:sz w:val="18"/>
                <w:szCs w:val="18"/>
                <w:color w:val="auto"/>
              </w:rPr>
            </w:pPr>
          </w:p>
        </w:tc>
        <w:tc>
          <w:tcPr>
            <w:tcW w:w="640" w:type="dxa"/>
            <w:vAlign w:val="bottom"/>
            <w:gridSpan w:val="2"/>
            <w:shd w:val="clear" w:color="auto" w:fill="CFF0FC"/>
          </w:tcPr>
          <w:p>
            <w:pPr>
              <w:jc w:val="right"/>
              <w:ind w:right="460"/>
              <w:spacing w:after="0"/>
              <w:rPr>
                <w:sz w:val="20"/>
                <w:szCs w:val="20"/>
                <w:color w:val="auto"/>
              </w:rPr>
            </w:pPr>
            <w:r>
              <w:rPr>
                <w:rFonts w:ascii="Arial" w:cs="Arial" w:eastAsia="Arial" w:hAnsi="Arial"/>
                <w:sz w:val="16"/>
                <w:szCs w:val="16"/>
                <w:color w:val="0000FF"/>
                <w:w w:val="89"/>
              </w:rPr>
              <w:t>34</w:t>
            </w:r>
          </w:p>
        </w:tc>
      </w:tr>
      <w:tr>
        <w:trPr>
          <w:trHeight w:val="34"/>
        </w:trPr>
        <w:tc>
          <w:tcPr>
            <w:tcW w:w="12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40" w:type="dxa"/>
            <w:vAlign w:val="bottom"/>
            <w:tcBorders>
              <w:top w:val="single" w:sz="8" w:color="CFF0FC"/>
            </w:tcBorders>
            <w:shd w:val="clear" w:color="auto" w:fill="CFF0FC"/>
          </w:tcPr>
          <w:p>
            <w:pPr>
              <w:spacing w:after="0"/>
              <w:rPr>
                <w:sz w:val="2"/>
                <w:szCs w:val="2"/>
                <w:color w:val="auto"/>
              </w:rPr>
            </w:pPr>
          </w:p>
        </w:tc>
        <w:tc>
          <w:tcPr>
            <w:tcW w:w="3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48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480" w:type="dxa"/>
            <w:vAlign w:val="bottom"/>
            <w:tcBorders>
              <w:top w:val="single" w:sz="8" w:color="CFF0FC"/>
            </w:tcBorders>
            <w:shd w:val="clear" w:color="auto" w:fill="CFF0FC"/>
          </w:tcPr>
          <w:p>
            <w:pPr>
              <w:spacing w:after="0"/>
              <w:rPr>
                <w:sz w:val="2"/>
                <w:szCs w:val="2"/>
                <w:color w:val="auto"/>
              </w:rPr>
            </w:pPr>
          </w:p>
        </w:tc>
        <w:tc>
          <w:tcPr>
            <w:tcW w:w="1200" w:type="dxa"/>
            <w:vAlign w:val="bottom"/>
            <w:tcBorders>
              <w:top w:val="single" w:sz="8" w:color="CFF0FC"/>
            </w:tcBorders>
            <w:shd w:val="clear" w:color="auto" w:fill="CFF0FC"/>
          </w:tcPr>
          <w:p>
            <w:pPr>
              <w:spacing w:after="0"/>
              <w:rPr>
                <w:sz w:val="2"/>
                <w:szCs w:val="2"/>
                <w:color w:val="auto"/>
              </w:rPr>
            </w:pPr>
          </w:p>
        </w:tc>
        <w:tc>
          <w:tcPr>
            <w:tcW w:w="130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100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460" w:type="dxa"/>
            <w:vAlign w:val="bottom"/>
            <w:tcBorders>
              <w:top w:val="single" w:sz="8" w:color="CFF0FC"/>
            </w:tcBorders>
            <w:shd w:val="clear" w:color="auto" w:fill="CFF0FC"/>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560" w:type="dxa"/>
            <w:vAlign w:val="bottom"/>
            <w:gridSpan w:val="2"/>
          </w:tcPr>
          <w:p>
            <w:pPr>
              <w:spacing w:after="0"/>
              <w:rPr>
                <w:sz w:val="20"/>
                <w:szCs w:val="20"/>
                <w:color w:val="auto"/>
              </w:rPr>
            </w:pPr>
            <w:r>
              <w:rPr>
                <w:rFonts w:ascii="Arial" w:cs="Arial" w:eastAsia="Arial" w:hAnsi="Arial"/>
                <w:sz w:val="16"/>
                <w:szCs w:val="16"/>
                <w:color w:val="0000FF"/>
                <w:w w:val="96"/>
              </w:rPr>
              <w:t>ITEM 7.</w:t>
            </w:r>
          </w:p>
        </w:tc>
        <w:tc>
          <w:tcPr>
            <w:tcW w:w="1160" w:type="dxa"/>
            <w:vAlign w:val="bottom"/>
            <w:gridSpan w:val="3"/>
          </w:tcPr>
          <w:p>
            <w:pPr>
              <w:spacing w:after="0"/>
              <w:rPr>
                <w:sz w:val="18"/>
                <w:szCs w:val="18"/>
                <w:color w:val="auto"/>
              </w:rPr>
            </w:pPr>
          </w:p>
        </w:tc>
        <w:tc>
          <w:tcPr>
            <w:tcW w:w="8760" w:type="dxa"/>
            <w:vAlign w:val="bottom"/>
            <w:gridSpan w:val="33"/>
          </w:tcPr>
          <w:p>
            <w:pPr>
              <w:spacing w:after="0"/>
              <w:rPr>
                <w:sz w:val="20"/>
                <w:szCs w:val="20"/>
                <w:color w:val="auto"/>
              </w:rPr>
            </w:pPr>
            <w:r>
              <w:rPr>
                <w:rFonts w:ascii="Arial" w:cs="Arial" w:eastAsia="Arial" w:hAnsi="Arial"/>
                <w:sz w:val="16"/>
                <w:szCs w:val="16"/>
                <w:color w:val="0000FF"/>
              </w:rPr>
              <w:t>MANAGEMENT’S DISCUSSION AND ANALYSIS OF FINANCIAL CONDITION AND RESULTS OF</w:t>
            </w:r>
          </w:p>
        </w:tc>
        <w:tc>
          <w:tcPr>
            <w:tcW w:w="640" w:type="dxa"/>
            <w:vAlign w:val="bottom"/>
            <w:gridSpan w:val="2"/>
          </w:tcPr>
          <w:p>
            <w:pPr>
              <w:jc w:val="right"/>
              <w:ind w:right="460"/>
              <w:spacing w:after="0"/>
              <w:rPr>
                <w:sz w:val="20"/>
                <w:szCs w:val="20"/>
                <w:color w:val="auto"/>
              </w:rPr>
            </w:pPr>
            <w:r>
              <w:rPr>
                <w:rFonts w:ascii="Arial" w:cs="Arial" w:eastAsia="Arial" w:hAnsi="Arial"/>
                <w:sz w:val="16"/>
                <w:szCs w:val="16"/>
                <w:color w:val="0000FF"/>
                <w:w w:val="89"/>
              </w:rPr>
              <w:t>34</w:t>
            </w:r>
          </w:p>
        </w:tc>
      </w:tr>
      <w:tr>
        <w:trPr>
          <w:trHeight w:val="169"/>
        </w:trPr>
        <w:tc>
          <w:tcPr>
            <w:tcW w:w="120" w:type="dxa"/>
            <w:vAlign w:val="bottom"/>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0" w:type="dxa"/>
            <w:vAlign w:val="bottom"/>
            <w:tcBorders>
              <w:top w:val="single" w:sz="8" w:color="0000FF"/>
            </w:tcBorders>
            <w:gridSpan w:val="31"/>
          </w:tcPr>
          <w:p>
            <w:pPr>
              <w:spacing w:after="0" w:line="169" w:lineRule="exact"/>
              <w:rPr>
                <w:sz w:val="20"/>
                <w:szCs w:val="20"/>
                <w:color w:val="auto"/>
              </w:rPr>
            </w:pPr>
            <w:r>
              <w:rPr>
                <w:rFonts w:ascii="Arial" w:cs="Arial" w:eastAsia="Arial" w:hAnsi="Arial"/>
                <w:sz w:val="16"/>
                <w:szCs w:val="16"/>
                <w:color w:val="0000FF"/>
              </w:rPr>
              <w:t>OPERATIONS</w:t>
            </w:r>
          </w:p>
        </w:tc>
        <w:tc>
          <w:tcPr>
            <w:tcW w:w="1560" w:type="dxa"/>
            <w:vAlign w:val="bottom"/>
            <w:gridSpan w:val="2"/>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460" w:type="dxa"/>
            <w:vAlign w:val="bottom"/>
          </w:tcPr>
          <w:p>
            <w:pPr>
              <w:spacing w:after="0"/>
              <w:rPr>
                <w:sz w:val="14"/>
                <w:szCs w:val="14"/>
                <w:color w:val="auto"/>
              </w:rPr>
            </w:pPr>
          </w:p>
        </w:tc>
      </w:tr>
      <w:tr>
        <w:trPr>
          <w:trHeight w:val="34"/>
        </w:trPr>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16"/>
        </w:trPr>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40" w:type="dxa"/>
            <w:vAlign w:val="bottom"/>
            <w:gridSpan w:val="12"/>
            <w:shd w:val="clear" w:color="auto" w:fill="CFF0FC"/>
          </w:tcPr>
          <w:p>
            <w:pPr>
              <w:spacing w:after="0"/>
              <w:rPr>
                <w:sz w:val="20"/>
                <w:szCs w:val="20"/>
                <w:color w:val="auto"/>
              </w:rPr>
            </w:pPr>
            <w:r>
              <w:rPr>
                <w:rFonts w:ascii="Arial" w:cs="Arial" w:eastAsia="Arial" w:hAnsi="Arial"/>
                <w:sz w:val="16"/>
                <w:szCs w:val="16"/>
                <w:color w:val="0000FF"/>
                <w:w w:val="99"/>
              </w:rPr>
              <w:t>Executive Summary</w:t>
            </w:r>
          </w:p>
        </w:tc>
        <w:tc>
          <w:tcPr>
            <w:tcW w:w="7320" w:type="dxa"/>
            <w:vAlign w:val="bottom"/>
            <w:gridSpan w:val="21"/>
            <w:shd w:val="clear" w:color="auto" w:fill="CFF0FC"/>
          </w:tcPr>
          <w:p>
            <w:pPr>
              <w:spacing w:after="0"/>
              <w:rPr>
                <w:sz w:val="18"/>
                <w:szCs w:val="18"/>
                <w:color w:val="auto"/>
              </w:rPr>
            </w:pPr>
          </w:p>
        </w:tc>
        <w:tc>
          <w:tcPr>
            <w:tcW w:w="640" w:type="dxa"/>
            <w:vAlign w:val="bottom"/>
            <w:gridSpan w:val="2"/>
            <w:shd w:val="clear" w:color="auto" w:fill="CFF0FC"/>
          </w:tcPr>
          <w:p>
            <w:pPr>
              <w:jc w:val="right"/>
              <w:ind w:right="460"/>
              <w:spacing w:after="0"/>
              <w:rPr>
                <w:sz w:val="20"/>
                <w:szCs w:val="20"/>
                <w:color w:val="auto"/>
              </w:rPr>
            </w:pPr>
            <w:r>
              <w:rPr>
                <w:rFonts w:ascii="Arial" w:cs="Arial" w:eastAsia="Arial" w:hAnsi="Arial"/>
                <w:sz w:val="16"/>
                <w:szCs w:val="16"/>
                <w:color w:val="0000FF"/>
                <w:w w:val="89"/>
              </w:rPr>
              <w:t>34</w:t>
            </w:r>
          </w:p>
        </w:tc>
      </w:tr>
      <w:tr>
        <w:trPr>
          <w:trHeight w:val="34"/>
        </w:trPr>
        <w:tc>
          <w:tcPr>
            <w:tcW w:w="12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40" w:type="dxa"/>
            <w:vAlign w:val="bottom"/>
            <w:tcBorders>
              <w:top w:val="single" w:sz="8" w:color="CFF0FC"/>
            </w:tcBorders>
            <w:shd w:val="clear" w:color="auto" w:fill="CFF0FC"/>
          </w:tcPr>
          <w:p>
            <w:pPr>
              <w:spacing w:after="0"/>
              <w:rPr>
                <w:sz w:val="2"/>
                <w:szCs w:val="2"/>
                <w:color w:val="auto"/>
              </w:rPr>
            </w:pPr>
          </w:p>
        </w:tc>
        <w:tc>
          <w:tcPr>
            <w:tcW w:w="3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48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480" w:type="dxa"/>
            <w:vAlign w:val="bottom"/>
            <w:tcBorders>
              <w:top w:val="single" w:sz="8" w:color="CFF0FC"/>
            </w:tcBorders>
            <w:shd w:val="clear" w:color="auto" w:fill="CFF0FC"/>
          </w:tcPr>
          <w:p>
            <w:pPr>
              <w:spacing w:after="0"/>
              <w:rPr>
                <w:sz w:val="2"/>
                <w:szCs w:val="2"/>
                <w:color w:val="auto"/>
              </w:rPr>
            </w:pPr>
          </w:p>
        </w:tc>
        <w:tc>
          <w:tcPr>
            <w:tcW w:w="1200" w:type="dxa"/>
            <w:vAlign w:val="bottom"/>
            <w:tcBorders>
              <w:top w:val="single" w:sz="8" w:color="CFF0FC"/>
            </w:tcBorders>
            <w:shd w:val="clear" w:color="auto" w:fill="CFF0FC"/>
          </w:tcPr>
          <w:p>
            <w:pPr>
              <w:spacing w:after="0"/>
              <w:rPr>
                <w:sz w:val="2"/>
                <w:szCs w:val="2"/>
                <w:color w:val="auto"/>
              </w:rPr>
            </w:pPr>
          </w:p>
        </w:tc>
        <w:tc>
          <w:tcPr>
            <w:tcW w:w="130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100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460" w:type="dxa"/>
            <w:vAlign w:val="bottom"/>
            <w:tcBorders>
              <w:top w:val="single" w:sz="8" w:color="CFF0FC"/>
            </w:tcBorders>
            <w:shd w:val="clear" w:color="auto" w:fill="CFF0FC"/>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760" w:type="dxa"/>
            <w:vAlign w:val="bottom"/>
            <w:gridSpan w:val="33"/>
          </w:tcPr>
          <w:p>
            <w:pPr>
              <w:spacing w:after="0"/>
              <w:rPr>
                <w:sz w:val="20"/>
                <w:szCs w:val="20"/>
                <w:color w:val="auto"/>
              </w:rPr>
            </w:pPr>
            <w:r>
              <w:rPr>
                <w:rFonts w:ascii="Arial" w:cs="Arial" w:eastAsia="Arial" w:hAnsi="Arial"/>
                <w:sz w:val="16"/>
                <w:szCs w:val="16"/>
                <w:color w:val="0000FF"/>
              </w:rPr>
              <w:t>Key Elements of our Business Strategy</w:t>
            </w:r>
          </w:p>
        </w:tc>
        <w:tc>
          <w:tcPr>
            <w:tcW w:w="640" w:type="dxa"/>
            <w:vAlign w:val="bottom"/>
            <w:gridSpan w:val="2"/>
          </w:tcPr>
          <w:p>
            <w:pPr>
              <w:jc w:val="right"/>
              <w:ind w:right="460"/>
              <w:spacing w:after="0"/>
              <w:rPr>
                <w:sz w:val="20"/>
                <w:szCs w:val="20"/>
                <w:color w:val="auto"/>
              </w:rPr>
            </w:pPr>
            <w:r>
              <w:rPr>
                <w:rFonts w:ascii="Arial" w:cs="Arial" w:eastAsia="Arial" w:hAnsi="Arial"/>
                <w:sz w:val="16"/>
                <w:szCs w:val="16"/>
                <w:color w:val="0000FF"/>
                <w:w w:val="89"/>
              </w:rPr>
              <w:t>34</w:t>
            </w:r>
          </w:p>
        </w:tc>
      </w:tr>
      <w:tr>
        <w:trPr>
          <w:trHeight w:val="34"/>
        </w:trPr>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60" w:type="dxa"/>
            <w:vAlign w:val="bottom"/>
          </w:tcPr>
          <w:p>
            <w:pPr>
              <w:spacing w:after="0"/>
              <w:rPr>
                <w:sz w:val="2"/>
                <w:szCs w:val="2"/>
                <w:color w:val="auto"/>
              </w:rPr>
            </w:pPr>
          </w:p>
        </w:tc>
      </w:tr>
      <w:tr>
        <w:trPr>
          <w:trHeight w:val="216"/>
        </w:trPr>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0" w:type="dxa"/>
            <w:vAlign w:val="bottom"/>
            <w:gridSpan w:val="13"/>
            <w:shd w:val="clear" w:color="auto" w:fill="CFF0FC"/>
          </w:tcPr>
          <w:p>
            <w:pPr>
              <w:spacing w:after="0"/>
              <w:rPr>
                <w:sz w:val="20"/>
                <w:szCs w:val="20"/>
                <w:color w:val="auto"/>
              </w:rPr>
            </w:pPr>
            <w:r>
              <w:rPr>
                <w:rFonts w:ascii="Arial" w:cs="Arial" w:eastAsia="Arial" w:hAnsi="Arial"/>
                <w:sz w:val="16"/>
                <w:szCs w:val="16"/>
                <w:color w:val="0000FF"/>
              </w:rPr>
              <w:t>Recent Developments</w:t>
            </w:r>
          </w:p>
        </w:tc>
        <w:tc>
          <w:tcPr>
            <w:tcW w:w="7160" w:type="dxa"/>
            <w:vAlign w:val="bottom"/>
            <w:gridSpan w:val="20"/>
            <w:shd w:val="clear" w:color="auto" w:fill="CFF0FC"/>
          </w:tcPr>
          <w:p>
            <w:pPr>
              <w:spacing w:after="0"/>
              <w:rPr>
                <w:sz w:val="18"/>
                <w:szCs w:val="18"/>
                <w:color w:val="auto"/>
              </w:rPr>
            </w:pPr>
          </w:p>
        </w:tc>
        <w:tc>
          <w:tcPr>
            <w:tcW w:w="640" w:type="dxa"/>
            <w:vAlign w:val="bottom"/>
            <w:gridSpan w:val="2"/>
            <w:shd w:val="clear" w:color="auto" w:fill="CFF0FC"/>
          </w:tcPr>
          <w:p>
            <w:pPr>
              <w:jc w:val="right"/>
              <w:ind w:right="460"/>
              <w:spacing w:after="0"/>
              <w:rPr>
                <w:sz w:val="20"/>
                <w:szCs w:val="20"/>
                <w:color w:val="auto"/>
              </w:rPr>
            </w:pPr>
            <w:r>
              <w:rPr>
                <w:rFonts w:ascii="Arial" w:cs="Arial" w:eastAsia="Arial" w:hAnsi="Arial"/>
                <w:sz w:val="16"/>
                <w:szCs w:val="16"/>
                <w:color w:val="0000FF"/>
                <w:w w:val="89"/>
              </w:rPr>
              <w:t>38</w:t>
            </w:r>
          </w:p>
        </w:tc>
      </w:tr>
      <w:tr>
        <w:trPr>
          <w:trHeight w:val="34"/>
        </w:trPr>
        <w:tc>
          <w:tcPr>
            <w:tcW w:w="12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40" w:type="dxa"/>
            <w:vAlign w:val="bottom"/>
            <w:tcBorders>
              <w:top w:val="single" w:sz="8" w:color="CFF0FC"/>
            </w:tcBorders>
            <w:shd w:val="clear" w:color="auto" w:fill="CFF0FC"/>
          </w:tcPr>
          <w:p>
            <w:pPr>
              <w:spacing w:after="0"/>
              <w:rPr>
                <w:sz w:val="2"/>
                <w:szCs w:val="2"/>
                <w:color w:val="auto"/>
              </w:rPr>
            </w:pPr>
          </w:p>
        </w:tc>
        <w:tc>
          <w:tcPr>
            <w:tcW w:w="3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48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480" w:type="dxa"/>
            <w:vAlign w:val="bottom"/>
            <w:tcBorders>
              <w:top w:val="single" w:sz="8" w:color="CFF0FC"/>
            </w:tcBorders>
            <w:shd w:val="clear" w:color="auto" w:fill="CFF0FC"/>
          </w:tcPr>
          <w:p>
            <w:pPr>
              <w:spacing w:after="0"/>
              <w:rPr>
                <w:sz w:val="2"/>
                <w:szCs w:val="2"/>
                <w:color w:val="auto"/>
              </w:rPr>
            </w:pPr>
          </w:p>
        </w:tc>
        <w:tc>
          <w:tcPr>
            <w:tcW w:w="1200" w:type="dxa"/>
            <w:vAlign w:val="bottom"/>
            <w:tcBorders>
              <w:top w:val="single" w:sz="8" w:color="CFF0FC"/>
            </w:tcBorders>
            <w:shd w:val="clear" w:color="auto" w:fill="CFF0FC"/>
          </w:tcPr>
          <w:p>
            <w:pPr>
              <w:spacing w:after="0"/>
              <w:rPr>
                <w:sz w:val="2"/>
                <w:szCs w:val="2"/>
                <w:color w:val="auto"/>
              </w:rPr>
            </w:pPr>
          </w:p>
        </w:tc>
        <w:tc>
          <w:tcPr>
            <w:tcW w:w="130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100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460" w:type="dxa"/>
            <w:vAlign w:val="bottom"/>
            <w:tcBorders>
              <w:top w:val="single" w:sz="8" w:color="CFF0FC"/>
            </w:tcBorders>
            <w:shd w:val="clear" w:color="auto" w:fill="CFF0FC"/>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760" w:type="dxa"/>
            <w:vAlign w:val="bottom"/>
            <w:gridSpan w:val="33"/>
          </w:tcPr>
          <w:p>
            <w:pPr>
              <w:spacing w:after="0"/>
              <w:rPr>
                <w:sz w:val="20"/>
                <w:szCs w:val="20"/>
                <w:color w:val="auto"/>
              </w:rPr>
            </w:pPr>
            <w:r>
              <w:rPr>
                <w:rFonts w:ascii="Arial" w:cs="Arial" w:eastAsia="Arial" w:hAnsi="Arial"/>
                <w:sz w:val="16"/>
                <w:szCs w:val="16"/>
                <w:color w:val="0000FF"/>
              </w:rPr>
              <w:t>Results of Operations - Consolidated Summary and Overview</w:t>
            </w:r>
          </w:p>
        </w:tc>
        <w:tc>
          <w:tcPr>
            <w:tcW w:w="640" w:type="dxa"/>
            <w:vAlign w:val="bottom"/>
            <w:gridSpan w:val="2"/>
          </w:tcPr>
          <w:p>
            <w:pPr>
              <w:jc w:val="right"/>
              <w:ind w:right="460"/>
              <w:spacing w:after="0"/>
              <w:rPr>
                <w:sz w:val="20"/>
                <w:szCs w:val="20"/>
                <w:color w:val="auto"/>
              </w:rPr>
            </w:pPr>
            <w:r>
              <w:rPr>
                <w:rFonts w:ascii="Arial" w:cs="Arial" w:eastAsia="Arial" w:hAnsi="Arial"/>
                <w:sz w:val="16"/>
                <w:szCs w:val="16"/>
                <w:color w:val="0000FF"/>
                <w:w w:val="89"/>
              </w:rPr>
              <w:t>39</w:t>
            </w:r>
          </w:p>
        </w:tc>
      </w:tr>
      <w:tr>
        <w:trPr>
          <w:trHeight w:val="34"/>
        </w:trPr>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480" w:type="dxa"/>
            <w:vAlign w:val="bottom"/>
            <w:tcBorders>
              <w:top w:val="single" w:sz="8" w:color="0000FF"/>
            </w:tcBorders>
          </w:tcPr>
          <w:p>
            <w:pPr>
              <w:spacing w:after="0"/>
              <w:rPr>
                <w:sz w:val="2"/>
                <w:szCs w:val="2"/>
                <w:color w:val="auto"/>
              </w:rPr>
            </w:pPr>
          </w:p>
        </w:tc>
        <w:tc>
          <w:tcPr>
            <w:tcW w:w="1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60" w:type="dxa"/>
            <w:vAlign w:val="bottom"/>
          </w:tcPr>
          <w:p>
            <w:pPr>
              <w:spacing w:after="0"/>
              <w:rPr>
                <w:sz w:val="2"/>
                <w:szCs w:val="2"/>
                <w:color w:val="auto"/>
              </w:rPr>
            </w:pPr>
          </w:p>
        </w:tc>
      </w:tr>
      <w:tr>
        <w:trPr>
          <w:trHeight w:val="216"/>
        </w:trPr>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180" w:type="dxa"/>
            <w:vAlign w:val="bottom"/>
            <w:gridSpan w:val="23"/>
            <w:shd w:val="clear" w:color="auto" w:fill="CFF0FC"/>
          </w:tcPr>
          <w:p>
            <w:pPr>
              <w:spacing w:after="0"/>
              <w:rPr>
                <w:sz w:val="20"/>
                <w:szCs w:val="20"/>
                <w:color w:val="auto"/>
              </w:rPr>
            </w:pPr>
            <w:r>
              <w:rPr>
                <w:rFonts w:ascii="Arial" w:cs="Arial" w:eastAsia="Arial" w:hAnsi="Arial"/>
                <w:sz w:val="16"/>
                <w:szCs w:val="16"/>
                <w:color w:val="0000FF"/>
              </w:rPr>
              <w:t>Non-GAAP Financial Measure</w:t>
            </w:r>
          </w:p>
        </w:tc>
        <w:tc>
          <w:tcPr>
            <w:tcW w:w="6260" w:type="dxa"/>
            <w:vAlign w:val="bottom"/>
            <w:gridSpan w:val="9"/>
            <w:shd w:val="clear" w:color="auto" w:fill="CFF0FC"/>
          </w:tcPr>
          <w:p>
            <w:pPr>
              <w:spacing w:after="0"/>
              <w:rPr>
                <w:sz w:val="18"/>
                <w:szCs w:val="18"/>
                <w:color w:val="auto"/>
              </w:rPr>
            </w:pPr>
          </w:p>
        </w:tc>
        <w:tc>
          <w:tcPr>
            <w:tcW w:w="640" w:type="dxa"/>
            <w:vAlign w:val="bottom"/>
            <w:gridSpan w:val="2"/>
            <w:shd w:val="clear" w:color="auto" w:fill="CFF0FC"/>
          </w:tcPr>
          <w:p>
            <w:pPr>
              <w:jc w:val="right"/>
              <w:ind w:right="460"/>
              <w:spacing w:after="0"/>
              <w:rPr>
                <w:sz w:val="20"/>
                <w:szCs w:val="20"/>
                <w:color w:val="auto"/>
              </w:rPr>
            </w:pPr>
            <w:r>
              <w:rPr>
                <w:rFonts w:ascii="Arial" w:cs="Arial" w:eastAsia="Arial" w:hAnsi="Arial"/>
                <w:sz w:val="16"/>
                <w:szCs w:val="16"/>
                <w:color w:val="0000FF"/>
                <w:w w:val="89"/>
              </w:rPr>
              <w:t>40</w:t>
            </w:r>
          </w:p>
        </w:tc>
      </w:tr>
      <w:tr>
        <w:trPr>
          <w:trHeight w:val="34"/>
        </w:trPr>
        <w:tc>
          <w:tcPr>
            <w:tcW w:w="12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40" w:type="dxa"/>
            <w:vAlign w:val="bottom"/>
            <w:tcBorders>
              <w:top w:val="single" w:sz="8" w:color="CFF0FC"/>
            </w:tcBorders>
            <w:shd w:val="clear" w:color="auto" w:fill="CFF0FC"/>
          </w:tcPr>
          <w:p>
            <w:pPr>
              <w:spacing w:after="0"/>
              <w:rPr>
                <w:sz w:val="2"/>
                <w:szCs w:val="2"/>
                <w:color w:val="auto"/>
              </w:rPr>
            </w:pPr>
          </w:p>
        </w:tc>
        <w:tc>
          <w:tcPr>
            <w:tcW w:w="3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48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480" w:type="dxa"/>
            <w:vAlign w:val="bottom"/>
            <w:tcBorders>
              <w:top w:val="single" w:sz="8" w:color="CFF0FC"/>
            </w:tcBorders>
            <w:shd w:val="clear" w:color="auto" w:fill="CFF0FC"/>
          </w:tcPr>
          <w:p>
            <w:pPr>
              <w:spacing w:after="0"/>
              <w:rPr>
                <w:sz w:val="2"/>
                <w:szCs w:val="2"/>
                <w:color w:val="auto"/>
              </w:rPr>
            </w:pPr>
          </w:p>
        </w:tc>
        <w:tc>
          <w:tcPr>
            <w:tcW w:w="1200" w:type="dxa"/>
            <w:vAlign w:val="bottom"/>
            <w:tcBorders>
              <w:top w:val="single" w:sz="8" w:color="CFF0FC"/>
            </w:tcBorders>
            <w:shd w:val="clear" w:color="auto" w:fill="CFF0FC"/>
          </w:tcPr>
          <w:p>
            <w:pPr>
              <w:spacing w:after="0"/>
              <w:rPr>
                <w:sz w:val="2"/>
                <w:szCs w:val="2"/>
                <w:color w:val="auto"/>
              </w:rPr>
            </w:pPr>
          </w:p>
        </w:tc>
        <w:tc>
          <w:tcPr>
            <w:tcW w:w="130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100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460" w:type="dxa"/>
            <w:vAlign w:val="bottom"/>
            <w:tcBorders>
              <w:top w:val="single" w:sz="8" w:color="CFF0FC"/>
            </w:tcBorders>
            <w:shd w:val="clear" w:color="auto" w:fill="CFF0FC"/>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80" w:type="dxa"/>
            <w:vAlign w:val="bottom"/>
            <w:gridSpan w:val="23"/>
          </w:tcPr>
          <w:p>
            <w:pPr>
              <w:spacing w:after="0"/>
              <w:rPr>
                <w:sz w:val="20"/>
                <w:szCs w:val="20"/>
                <w:color w:val="auto"/>
              </w:rPr>
            </w:pPr>
            <w:r>
              <w:rPr>
                <w:rFonts w:ascii="Arial" w:cs="Arial" w:eastAsia="Arial" w:hAnsi="Arial"/>
                <w:sz w:val="16"/>
                <w:szCs w:val="16"/>
                <w:color w:val="0000FF"/>
              </w:rPr>
              <w:t>Electric Utilities</w:t>
            </w:r>
          </w:p>
        </w:tc>
        <w:tc>
          <w:tcPr>
            <w:tcW w:w="6260" w:type="dxa"/>
            <w:vAlign w:val="bottom"/>
            <w:gridSpan w:val="9"/>
          </w:tcPr>
          <w:p>
            <w:pPr>
              <w:spacing w:after="0"/>
              <w:rPr>
                <w:sz w:val="18"/>
                <w:szCs w:val="18"/>
                <w:color w:val="auto"/>
              </w:rPr>
            </w:pPr>
          </w:p>
        </w:tc>
        <w:tc>
          <w:tcPr>
            <w:tcW w:w="640" w:type="dxa"/>
            <w:vAlign w:val="bottom"/>
            <w:gridSpan w:val="2"/>
          </w:tcPr>
          <w:p>
            <w:pPr>
              <w:jc w:val="right"/>
              <w:ind w:right="460"/>
              <w:spacing w:after="0"/>
              <w:rPr>
                <w:sz w:val="20"/>
                <w:szCs w:val="20"/>
                <w:color w:val="auto"/>
              </w:rPr>
            </w:pPr>
            <w:r>
              <w:rPr>
                <w:rFonts w:ascii="Arial" w:cs="Arial" w:eastAsia="Arial" w:hAnsi="Arial"/>
                <w:sz w:val="16"/>
                <w:szCs w:val="16"/>
                <w:color w:val="0000FF"/>
                <w:w w:val="89"/>
              </w:rPr>
              <w:t>40</w:t>
            </w:r>
          </w:p>
        </w:tc>
      </w:tr>
      <w:tr>
        <w:trPr>
          <w:trHeight w:val="34"/>
        </w:trPr>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60" w:type="dxa"/>
            <w:vAlign w:val="bottom"/>
          </w:tcPr>
          <w:p>
            <w:pPr>
              <w:spacing w:after="0"/>
              <w:rPr>
                <w:sz w:val="2"/>
                <w:szCs w:val="2"/>
                <w:color w:val="auto"/>
              </w:rPr>
            </w:pPr>
          </w:p>
        </w:tc>
      </w:tr>
      <w:tr>
        <w:trPr>
          <w:trHeight w:val="216"/>
        </w:trPr>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40" w:type="dxa"/>
            <w:vAlign w:val="bottom"/>
            <w:gridSpan w:val="32"/>
            <w:shd w:val="clear" w:color="auto" w:fill="CFF0FC"/>
          </w:tcPr>
          <w:p>
            <w:pPr>
              <w:spacing w:after="0"/>
              <w:rPr>
                <w:sz w:val="20"/>
                <w:szCs w:val="20"/>
                <w:color w:val="auto"/>
              </w:rPr>
            </w:pPr>
            <w:r>
              <w:rPr>
                <w:rFonts w:ascii="Arial" w:cs="Arial" w:eastAsia="Arial" w:hAnsi="Arial"/>
                <w:sz w:val="16"/>
                <w:szCs w:val="16"/>
                <w:color w:val="0000FF"/>
              </w:rPr>
              <w:t>Gas Utilities</w:t>
            </w:r>
          </w:p>
        </w:tc>
        <w:tc>
          <w:tcPr>
            <w:tcW w:w="640" w:type="dxa"/>
            <w:vAlign w:val="bottom"/>
            <w:gridSpan w:val="2"/>
            <w:shd w:val="clear" w:color="auto" w:fill="CFF0FC"/>
          </w:tcPr>
          <w:p>
            <w:pPr>
              <w:jc w:val="right"/>
              <w:ind w:right="460"/>
              <w:spacing w:after="0"/>
              <w:rPr>
                <w:sz w:val="20"/>
                <w:szCs w:val="20"/>
                <w:color w:val="auto"/>
              </w:rPr>
            </w:pPr>
            <w:r>
              <w:rPr>
                <w:rFonts w:ascii="Arial" w:cs="Arial" w:eastAsia="Arial" w:hAnsi="Arial"/>
                <w:sz w:val="16"/>
                <w:szCs w:val="16"/>
                <w:color w:val="0000FF"/>
                <w:w w:val="89"/>
              </w:rPr>
              <w:t>43</w:t>
            </w:r>
          </w:p>
        </w:tc>
      </w:tr>
      <w:tr>
        <w:trPr>
          <w:trHeight w:val="34"/>
        </w:trPr>
        <w:tc>
          <w:tcPr>
            <w:tcW w:w="12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40" w:type="dxa"/>
            <w:vAlign w:val="bottom"/>
            <w:tcBorders>
              <w:top w:val="single" w:sz="8" w:color="CFF0FC"/>
            </w:tcBorders>
            <w:shd w:val="clear" w:color="auto" w:fill="CFF0FC"/>
          </w:tcPr>
          <w:p>
            <w:pPr>
              <w:spacing w:after="0"/>
              <w:rPr>
                <w:sz w:val="2"/>
                <w:szCs w:val="2"/>
                <w:color w:val="auto"/>
              </w:rPr>
            </w:pPr>
          </w:p>
        </w:tc>
        <w:tc>
          <w:tcPr>
            <w:tcW w:w="3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48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480" w:type="dxa"/>
            <w:vAlign w:val="bottom"/>
            <w:tcBorders>
              <w:top w:val="single" w:sz="8" w:color="CFF0FC"/>
            </w:tcBorders>
            <w:shd w:val="clear" w:color="auto" w:fill="CFF0FC"/>
          </w:tcPr>
          <w:p>
            <w:pPr>
              <w:spacing w:after="0"/>
              <w:rPr>
                <w:sz w:val="2"/>
                <w:szCs w:val="2"/>
                <w:color w:val="auto"/>
              </w:rPr>
            </w:pPr>
          </w:p>
        </w:tc>
        <w:tc>
          <w:tcPr>
            <w:tcW w:w="1200" w:type="dxa"/>
            <w:vAlign w:val="bottom"/>
            <w:tcBorders>
              <w:top w:val="single" w:sz="8" w:color="CFF0FC"/>
            </w:tcBorders>
            <w:shd w:val="clear" w:color="auto" w:fill="CFF0FC"/>
          </w:tcPr>
          <w:p>
            <w:pPr>
              <w:spacing w:after="0"/>
              <w:rPr>
                <w:sz w:val="2"/>
                <w:szCs w:val="2"/>
                <w:color w:val="auto"/>
              </w:rPr>
            </w:pPr>
          </w:p>
        </w:tc>
        <w:tc>
          <w:tcPr>
            <w:tcW w:w="130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100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460" w:type="dxa"/>
            <w:vAlign w:val="bottom"/>
            <w:tcBorders>
              <w:top w:val="single" w:sz="8" w:color="CFF0FC"/>
            </w:tcBorders>
            <w:shd w:val="clear" w:color="auto" w:fill="CFF0FC"/>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40" w:type="dxa"/>
            <w:vAlign w:val="bottom"/>
            <w:gridSpan w:val="32"/>
          </w:tcPr>
          <w:p>
            <w:pPr>
              <w:spacing w:after="0"/>
              <w:rPr>
                <w:sz w:val="20"/>
                <w:szCs w:val="20"/>
                <w:color w:val="auto"/>
              </w:rPr>
            </w:pPr>
            <w:r>
              <w:rPr>
                <w:rFonts w:ascii="Arial" w:cs="Arial" w:eastAsia="Arial" w:hAnsi="Arial"/>
                <w:sz w:val="16"/>
                <w:szCs w:val="16"/>
                <w:color w:val="0000FF"/>
              </w:rPr>
              <w:t>Corporate and Other</w:t>
            </w:r>
          </w:p>
        </w:tc>
        <w:tc>
          <w:tcPr>
            <w:tcW w:w="640" w:type="dxa"/>
            <w:vAlign w:val="bottom"/>
            <w:gridSpan w:val="2"/>
          </w:tcPr>
          <w:p>
            <w:pPr>
              <w:jc w:val="right"/>
              <w:ind w:right="460"/>
              <w:spacing w:after="0"/>
              <w:rPr>
                <w:sz w:val="20"/>
                <w:szCs w:val="20"/>
                <w:color w:val="auto"/>
              </w:rPr>
            </w:pPr>
            <w:r>
              <w:rPr>
                <w:rFonts w:ascii="Arial" w:cs="Arial" w:eastAsia="Arial" w:hAnsi="Arial"/>
                <w:sz w:val="16"/>
                <w:szCs w:val="16"/>
                <w:color w:val="0000FF"/>
                <w:w w:val="89"/>
              </w:rPr>
              <w:t>44</w:t>
            </w:r>
          </w:p>
        </w:tc>
      </w:tr>
      <w:tr>
        <w:trPr>
          <w:trHeight w:val="34"/>
        </w:trPr>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60" w:type="dxa"/>
            <w:vAlign w:val="bottom"/>
          </w:tcPr>
          <w:p>
            <w:pPr>
              <w:spacing w:after="0"/>
              <w:rPr>
                <w:sz w:val="2"/>
                <w:szCs w:val="2"/>
                <w:color w:val="auto"/>
              </w:rPr>
            </w:pPr>
          </w:p>
        </w:tc>
      </w:tr>
      <w:tr>
        <w:trPr>
          <w:trHeight w:val="216"/>
        </w:trPr>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40" w:type="dxa"/>
            <w:vAlign w:val="bottom"/>
            <w:gridSpan w:val="32"/>
            <w:shd w:val="clear" w:color="auto" w:fill="CFF0FC"/>
          </w:tcPr>
          <w:p>
            <w:pPr>
              <w:spacing w:after="0"/>
              <w:rPr>
                <w:sz w:val="20"/>
                <w:szCs w:val="20"/>
                <w:color w:val="auto"/>
              </w:rPr>
            </w:pPr>
            <w:r>
              <w:rPr>
                <w:rFonts w:ascii="Arial" w:cs="Arial" w:eastAsia="Arial" w:hAnsi="Arial"/>
                <w:sz w:val="16"/>
                <w:szCs w:val="16"/>
                <w:color w:val="0000FF"/>
              </w:rPr>
              <w:t>Consolidated Interest Expense, Other Income (Expense) and Income Tax Benefit (Expense)</w:t>
            </w:r>
          </w:p>
        </w:tc>
        <w:tc>
          <w:tcPr>
            <w:tcW w:w="640" w:type="dxa"/>
            <w:vAlign w:val="bottom"/>
            <w:gridSpan w:val="2"/>
            <w:shd w:val="clear" w:color="auto" w:fill="CFF0FC"/>
          </w:tcPr>
          <w:p>
            <w:pPr>
              <w:jc w:val="right"/>
              <w:ind w:right="460"/>
              <w:spacing w:after="0"/>
              <w:rPr>
                <w:sz w:val="20"/>
                <w:szCs w:val="20"/>
                <w:color w:val="auto"/>
              </w:rPr>
            </w:pPr>
            <w:r>
              <w:rPr>
                <w:rFonts w:ascii="Arial" w:cs="Arial" w:eastAsia="Arial" w:hAnsi="Arial"/>
                <w:sz w:val="16"/>
                <w:szCs w:val="16"/>
                <w:color w:val="0000FF"/>
                <w:w w:val="89"/>
              </w:rPr>
              <w:t>44</w:t>
            </w:r>
          </w:p>
        </w:tc>
      </w:tr>
      <w:tr>
        <w:trPr>
          <w:trHeight w:val="34"/>
        </w:trPr>
        <w:tc>
          <w:tcPr>
            <w:tcW w:w="12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40" w:type="dxa"/>
            <w:vAlign w:val="bottom"/>
            <w:tcBorders>
              <w:top w:val="single" w:sz="8" w:color="CFF0FC"/>
            </w:tcBorders>
            <w:shd w:val="clear" w:color="auto" w:fill="CFF0FC"/>
          </w:tcPr>
          <w:p>
            <w:pPr>
              <w:spacing w:after="0"/>
              <w:rPr>
                <w:sz w:val="2"/>
                <w:szCs w:val="2"/>
                <w:color w:val="auto"/>
              </w:rPr>
            </w:pPr>
          </w:p>
        </w:tc>
        <w:tc>
          <w:tcPr>
            <w:tcW w:w="3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48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1480" w:type="dxa"/>
            <w:vAlign w:val="bottom"/>
            <w:tcBorders>
              <w:top w:val="single" w:sz="8" w:color="0000FF"/>
            </w:tcBorders>
            <w:shd w:val="clear" w:color="auto" w:fill="CFF0FC"/>
          </w:tcPr>
          <w:p>
            <w:pPr>
              <w:spacing w:after="0"/>
              <w:rPr>
                <w:sz w:val="2"/>
                <w:szCs w:val="2"/>
                <w:color w:val="auto"/>
              </w:rPr>
            </w:pPr>
          </w:p>
        </w:tc>
        <w:tc>
          <w:tcPr>
            <w:tcW w:w="1200" w:type="dxa"/>
            <w:vAlign w:val="bottom"/>
            <w:tcBorders>
              <w:top w:val="single" w:sz="8" w:color="0000FF"/>
            </w:tcBorders>
            <w:shd w:val="clear" w:color="auto" w:fill="CFF0FC"/>
          </w:tcPr>
          <w:p>
            <w:pPr>
              <w:spacing w:after="0"/>
              <w:rPr>
                <w:sz w:val="2"/>
                <w:szCs w:val="2"/>
                <w:color w:val="auto"/>
              </w:rPr>
            </w:pPr>
          </w:p>
        </w:tc>
        <w:tc>
          <w:tcPr>
            <w:tcW w:w="1300" w:type="dxa"/>
            <w:vAlign w:val="bottom"/>
            <w:tcBorders>
              <w:top w:val="single" w:sz="8" w:color="0000FF"/>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100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460" w:type="dxa"/>
            <w:vAlign w:val="bottom"/>
            <w:tcBorders>
              <w:top w:val="single" w:sz="8" w:color="CFF0FC"/>
            </w:tcBorders>
            <w:shd w:val="clear" w:color="auto" w:fill="CFF0FC"/>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760" w:type="dxa"/>
            <w:vAlign w:val="bottom"/>
            <w:gridSpan w:val="33"/>
          </w:tcPr>
          <w:p>
            <w:pPr>
              <w:spacing w:after="0"/>
              <w:rPr>
                <w:sz w:val="20"/>
                <w:szCs w:val="20"/>
                <w:color w:val="auto"/>
              </w:rPr>
            </w:pPr>
            <w:r>
              <w:rPr>
                <w:rFonts w:ascii="Arial" w:cs="Arial" w:eastAsia="Arial" w:hAnsi="Arial"/>
                <w:sz w:val="16"/>
                <w:szCs w:val="16"/>
                <w:color w:val="0000FF"/>
              </w:rPr>
              <w:t>Liquidity and Capital Resources</w:t>
            </w:r>
          </w:p>
        </w:tc>
        <w:tc>
          <w:tcPr>
            <w:tcW w:w="640" w:type="dxa"/>
            <w:vAlign w:val="bottom"/>
            <w:gridSpan w:val="2"/>
          </w:tcPr>
          <w:p>
            <w:pPr>
              <w:jc w:val="right"/>
              <w:ind w:right="460"/>
              <w:spacing w:after="0"/>
              <w:rPr>
                <w:sz w:val="20"/>
                <w:szCs w:val="20"/>
                <w:color w:val="auto"/>
              </w:rPr>
            </w:pPr>
            <w:r>
              <w:rPr>
                <w:rFonts w:ascii="Arial" w:cs="Arial" w:eastAsia="Arial" w:hAnsi="Arial"/>
                <w:sz w:val="16"/>
                <w:szCs w:val="16"/>
                <w:color w:val="0000FF"/>
                <w:w w:val="89"/>
              </w:rPr>
              <w:t>45</w:t>
            </w:r>
          </w:p>
        </w:tc>
      </w:tr>
      <w:tr>
        <w:trPr>
          <w:trHeight w:val="34"/>
        </w:trPr>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60" w:type="dxa"/>
            <w:vAlign w:val="bottom"/>
          </w:tcPr>
          <w:p>
            <w:pPr>
              <w:spacing w:after="0"/>
              <w:rPr>
                <w:sz w:val="2"/>
                <w:szCs w:val="2"/>
                <w:color w:val="auto"/>
              </w:rPr>
            </w:pPr>
          </w:p>
        </w:tc>
      </w:tr>
      <w:tr>
        <w:trPr>
          <w:trHeight w:val="216"/>
        </w:trPr>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40" w:type="dxa"/>
            <w:vAlign w:val="bottom"/>
            <w:gridSpan w:val="32"/>
            <w:shd w:val="clear" w:color="auto" w:fill="CFF0FC"/>
          </w:tcPr>
          <w:p>
            <w:pPr>
              <w:ind w:left="20"/>
              <w:spacing w:after="0"/>
              <w:rPr>
                <w:sz w:val="20"/>
                <w:szCs w:val="20"/>
                <w:color w:val="auto"/>
              </w:rPr>
            </w:pPr>
            <w:r>
              <w:rPr>
                <w:rFonts w:ascii="Arial" w:cs="Arial" w:eastAsia="Arial" w:hAnsi="Arial"/>
                <w:sz w:val="16"/>
                <w:szCs w:val="16"/>
                <w:color w:val="0000FF"/>
              </w:rPr>
              <w:t>Cash Flow Activities</w:t>
            </w:r>
          </w:p>
        </w:tc>
        <w:tc>
          <w:tcPr>
            <w:tcW w:w="640" w:type="dxa"/>
            <w:vAlign w:val="bottom"/>
            <w:gridSpan w:val="2"/>
            <w:shd w:val="clear" w:color="auto" w:fill="CFF0FC"/>
          </w:tcPr>
          <w:p>
            <w:pPr>
              <w:jc w:val="right"/>
              <w:ind w:right="460"/>
              <w:spacing w:after="0"/>
              <w:rPr>
                <w:sz w:val="20"/>
                <w:szCs w:val="20"/>
                <w:color w:val="auto"/>
              </w:rPr>
            </w:pPr>
            <w:r>
              <w:rPr>
                <w:rFonts w:ascii="Arial" w:cs="Arial" w:eastAsia="Arial" w:hAnsi="Arial"/>
                <w:sz w:val="16"/>
                <w:szCs w:val="16"/>
                <w:color w:val="0000FF"/>
                <w:w w:val="89"/>
              </w:rPr>
              <w:t>46</w:t>
            </w:r>
          </w:p>
        </w:tc>
      </w:tr>
      <w:tr>
        <w:trPr>
          <w:trHeight w:val="34"/>
        </w:trPr>
        <w:tc>
          <w:tcPr>
            <w:tcW w:w="12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40" w:type="dxa"/>
            <w:vAlign w:val="bottom"/>
            <w:tcBorders>
              <w:top w:val="single" w:sz="8" w:color="CFF0FC"/>
            </w:tcBorders>
            <w:shd w:val="clear" w:color="auto" w:fill="CFF0FC"/>
          </w:tcPr>
          <w:p>
            <w:pPr>
              <w:spacing w:after="0"/>
              <w:rPr>
                <w:sz w:val="2"/>
                <w:szCs w:val="2"/>
                <w:color w:val="auto"/>
              </w:rPr>
            </w:pPr>
          </w:p>
        </w:tc>
        <w:tc>
          <w:tcPr>
            <w:tcW w:w="3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480" w:type="dxa"/>
            <w:vAlign w:val="bottom"/>
            <w:tcBorders>
              <w:top w:val="single" w:sz="8" w:color="CFF0FC"/>
            </w:tcBorders>
            <w:shd w:val="clear" w:color="auto" w:fill="CFF0FC"/>
          </w:tcPr>
          <w:p>
            <w:pPr>
              <w:spacing w:after="0"/>
              <w:rPr>
                <w:sz w:val="2"/>
                <w:szCs w:val="2"/>
                <w:color w:val="auto"/>
              </w:rPr>
            </w:pPr>
          </w:p>
        </w:tc>
        <w:tc>
          <w:tcPr>
            <w:tcW w:w="1200" w:type="dxa"/>
            <w:vAlign w:val="bottom"/>
            <w:tcBorders>
              <w:top w:val="single" w:sz="8" w:color="CFF0FC"/>
            </w:tcBorders>
            <w:shd w:val="clear" w:color="auto" w:fill="CFF0FC"/>
          </w:tcPr>
          <w:p>
            <w:pPr>
              <w:spacing w:after="0"/>
              <w:rPr>
                <w:sz w:val="2"/>
                <w:szCs w:val="2"/>
                <w:color w:val="auto"/>
              </w:rPr>
            </w:pPr>
          </w:p>
        </w:tc>
        <w:tc>
          <w:tcPr>
            <w:tcW w:w="130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100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460" w:type="dxa"/>
            <w:vAlign w:val="bottom"/>
            <w:tcBorders>
              <w:top w:val="single" w:sz="8" w:color="CFF0FC"/>
            </w:tcBorders>
            <w:shd w:val="clear" w:color="auto" w:fill="CFF0FC"/>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40" w:type="dxa"/>
            <w:vAlign w:val="bottom"/>
            <w:gridSpan w:val="32"/>
          </w:tcPr>
          <w:p>
            <w:pPr>
              <w:ind w:left="20"/>
              <w:spacing w:after="0"/>
              <w:rPr>
                <w:sz w:val="20"/>
                <w:szCs w:val="20"/>
                <w:color w:val="auto"/>
              </w:rPr>
            </w:pPr>
            <w:r>
              <w:rPr>
                <w:rFonts w:ascii="Arial" w:cs="Arial" w:eastAsia="Arial" w:hAnsi="Arial"/>
                <w:sz w:val="16"/>
                <w:szCs w:val="16"/>
                <w:color w:val="0000FF"/>
              </w:rPr>
              <w:t>Capital Resources</w:t>
            </w:r>
          </w:p>
        </w:tc>
        <w:tc>
          <w:tcPr>
            <w:tcW w:w="640" w:type="dxa"/>
            <w:vAlign w:val="bottom"/>
            <w:gridSpan w:val="2"/>
          </w:tcPr>
          <w:p>
            <w:pPr>
              <w:jc w:val="right"/>
              <w:ind w:right="460"/>
              <w:spacing w:after="0"/>
              <w:rPr>
                <w:sz w:val="20"/>
                <w:szCs w:val="20"/>
                <w:color w:val="auto"/>
              </w:rPr>
            </w:pPr>
            <w:r>
              <w:rPr>
                <w:rFonts w:ascii="Arial" w:cs="Arial" w:eastAsia="Arial" w:hAnsi="Arial"/>
                <w:sz w:val="16"/>
                <w:szCs w:val="16"/>
                <w:color w:val="0000FF"/>
                <w:w w:val="89"/>
              </w:rPr>
              <w:t>47</w:t>
            </w:r>
          </w:p>
        </w:tc>
      </w:tr>
      <w:tr>
        <w:trPr>
          <w:trHeight w:val="34"/>
        </w:trPr>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60" w:type="dxa"/>
            <w:vAlign w:val="bottom"/>
          </w:tcPr>
          <w:p>
            <w:pPr>
              <w:spacing w:after="0"/>
              <w:rPr>
                <w:sz w:val="2"/>
                <w:szCs w:val="2"/>
                <w:color w:val="auto"/>
              </w:rPr>
            </w:pPr>
          </w:p>
        </w:tc>
      </w:tr>
      <w:tr>
        <w:trPr>
          <w:trHeight w:val="216"/>
        </w:trPr>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40" w:type="dxa"/>
            <w:vAlign w:val="bottom"/>
            <w:gridSpan w:val="32"/>
            <w:shd w:val="clear" w:color="auto" w:fill="CFF0FC"/>
          </w:tcPr>
          <w:p>
            <w:pPr>
              <w:ind w:left="20"/>
              <w:spacing w:after="0"/>
              <w:rPr>
                <w:sz w:val="20"/>
                <w:szCs w:val="20"/>
                <w:color w:val="auto"/>
              </w:rPr>
            </w:pPr>
            <w:r>
              <w:rPr>
                <w:rFonts w:ascii="Arial" w:cs="Arial" w:eastAsia="Arial" w:hAnsi="Arial"/>
                <w:sz w:val="16"/>
                <w:szCs w:val="16"/>
                <w:color w:val="0000FF"/>
              </w:rPr>
              <w:t>Credit Ratings</w:t>
            </w:r>
          </w:p>
        </w:tc>
        <w:tc>
          <w:tcPr>
            <w:tcW w:w="640" w:type="dxa"/>
            <w:vAlign w:val="bottom"/>
            <w:gridSpan w:val="2"/>
            <w:shd w:val="clear" w:color="auto" w:fill="CFF0FC"/>
          </w:tcPr>
          <w:p>
            <w:pPr>
              <w:jc w:val="right"/>
              <w:ind w:right="460"/>
              <w:spacing w:after="0"/>
              <w:rPr>
                <w:sz w:val="20"/>
                <w:szCs w:val="20"/>
                <w:color w:val="auto"/>
              </w:rPr>
            </w:pPr>
            <w:r>
              <w:rPr>
                <w:rFonts w:ascii="Arial" w:cs="Arial" w:eastAsia="Arial" w:hAnsi="Arial"/>
                <w:sz w:val="16"/>
                <w:szCs w:val="16"/>
                <w:color w:val="0000FF"/>
                <w:w w:val="89"/>
              </w:rPr>
              <w:t>48</w:t>
            </w:r>
          </w:p>
        </w:tc>
      </w:tr>
      <w:tr>
        <w:trPr>
          <w:trHeight w:val="34"/>
        </w:trPr>
        <w:tc>
          <w:tcPr>
            <w:tcW w:w="12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40" w:type="dxa"/>
            <w:vAlign w:val="bottom"/>
            <w:tcBorders>
              <w:top w:val="single" w:sz="8" w:color="CFF0FC"/>
            </w:tcBorders>
            <w:shd w:val="clear" w:color="auto" w:fill="CFF0FC"/>
          </w:tcPr>
          <w:p>
            <w:pPr>
              <w:spacing w:after="0"/>
              <w:rPr>
                <w:sz w:val="2"/>
                <w:szCs w:val="2"/>
                <w:color w:val="auto"/>
              </w:rPr>
            </w:pPr>
          </w:p>
        </w:tc>
        <w:tc>
          <w:tcPr>
            <w:tcW w:w="3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480" w:type="dxa"/>
            <w:vAlign w:val="bottom"/>
            <w:tcBorders>
              <w:top w:val="single" w:sz="8" w:color="CFF0FC"/>
            </w:tcBorders>
            <w:shd w:val="clear" w:color="auto" w:fill="CFF0FC"/>
          </w:tcPr>
          <w:p>
            <w:pPr>
              <w:spacing w:after="0"/>
              <w:rPr>
                <w:sz w:val="2"/>
                <w:szCs w:val="2"/>
                <w:color w:val="auto"/>
              </w:rPr>
            </w:pPr>
          </w:p>
        </w:tc>
        <w:tc>
          <w:tcPr>
            <w:tcW w:w="1200" w:type="dxa"/>
            <w:vAlign w:val="bottom"/>
            <w:tcBorders>
              <w:top w:val="single" w:sz="8" w:color="CFF0FC"/>
            </w:tcBorders>
            <w:shd w:val="clear" w:color="auto" w:fill="CFF0FC"/>
          </w:tcPr>
          <w:p>
            <w:pPr>
              <w:spacing w:after="0"/>
              <w:rPr>
                <w:sz w:val="2"/>
                <w:szCs w:val="2"/>
                <w:color w:val="auto"/>
              </w:rPr>
            </w:pPr>
          </w:p>
        </w:tc>
        <w:tc>
          <w:tcPr>
            <w:tcW w:w="130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100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460" w:type="dxa"/>
            <w:vAlign w:val="bottom"/>
            <w:tcBorders>
              <w:top w:val="single" w:sz="8" w:color="CFF0FC"/>
            </w:tcBorders>
            <w:shd w:val="clear" w:color="auto" w:fill="CFF0FC"/>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40" w:type="dxa"/>
            <w:vAlign w:val="bottom"/>
            <w:gridSpan w:val="32"/>
          </w:tcPr>
          <w:p>
            <w:pPr>
              <w:spacing w:after="0"/>
              <w:rPr>
                <w:sz w:val="20"/>
                <w:szCs w:val="20"/>
                <w:color w:val="auto"/>
              </w:rPr>
            </w:pPr>
            <w:r>
              <w:rPr>
                <w:rFonts w:ascii="Arial" w:cs="Arial" w:eastAsia="Arial" w:hAnsi="Arial"/>
                <w:sz w:val="16"/>
                <w:szCs w:val="16"/>
                <w:color w:val="0000FF"/>
              </w:rPr>
              <w:t>Capital Requirements</w:t>
            </w:r>
          </w:p>
        </w:tc>
        <w:tc>
          <w:tcPr>
            <w:tcW w:w="640" w:type="dxa"/>
            <w:vAlign w:val="bottom"/>
            <w:gridSpan w:val="2"/>
          </w:tcPr>
          <w:p>
            <w:pPr>
              <w:jc w:val="right"/>
              <w:ind w:right="460"/>
              <w:spacing w:after="0"/>
              <w:rPr>
                <w:sz w:val="20"/>
                <w:szCs w:val="20"/>
                <w:color w:val="auto"/>
              </w:rPr>
            </w:pPr>
            <w:r>
              <w:rPr>
                <w:rFonts w:ascii="Arial" w:cs="Arial" w:eastAsia="Arial" w:hAnsi="Arial"/>
                <w:sz w:val="16"/>
                <w:szCs w:val="16"/>
                <w:color w:val="0000FF"/>
                <w:w w:val="89"/>
              </w:rPr>
              <w:t>49</w:t>
            </w:r>
          </w:p>
        </w:tc>
      </w:tr>
      <w:tr>
        <w:trPr>
          <w:trHeight w:val="34"/>
        </w:trPr>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60" w:type="dxa"/>
            <w:vAlign w:val="bottom"/>
          </w:tcPr>
          <w:p>
            <w:pPr>
              <w:spacing w:after="0"/>
              <w:rPr>
                <w:sz w:val="2"/>
                <w:szCs w:val="2"/>
                <w:color w:val="auto"/>
              </w:rPr>
            </w:pPr>
          </w:p>
        </w:tc>
      </w:tr>
      <w:tr>
        <w:trPr>
          <w:trHeight w:val="216"/>
        </w:trPr>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100" w:type="dxa"/>
            <w:vAlign w:val="bottom"/>
            <w:gridSpan w:val="20"/>
            <w:shd w:val="clear" w:color="auto" w:fill="CFF0FC"/>
          </w:tcPr>
          <w:p>
            <w:pPr>
              <w:spacing w:after="0"/>
              <w:rPr>
                <w:sz w:val="20"/>
                <w:szCs w:val="20"/>
                <w:color w:val="auto"/>
              </w:rPr>
            </w:pPr>
            <w:r>
              <w:rPr>
                <w:rFonts w:ascii="Arial" w:cs="Arial" w:eastAsia="Arial" w:hAnsi="Arial"/>
                <w:sz w:val="16"/>
                <w:szCs w:val="16"/>
                <w:color w:val="0000FF"/>
              </w:rPr>
              <w:t>Critical Accounting Estimates</w:t>
            </w:r>
          </w:p>
        </w:tc>
        <w:tc>
          <w:tcPr>
            <w:tcW w:w="6660" w:type="dxa"/>
            <w:vAlign w:val="bottom"/>
            <w:gridSpan w:val="13"/>
            <w:shd w:val="clear" w:color="auto" w:fill="CFF0FC"/>
          </w:tcPr>
          <w:p>
            <w:pPr>
              <w:spacing w:after="0"/>
              <w:rPr>
                <w:sz w:val="18"/>
                <w:szCs w:val="18"/>
                <w:color w:val="auto"/>
              </w:rPr>
            </w:pPr>
          </w:p>
        </w:tc>
        <w:tc>
          <w:tcPr>
            <w:tcW w:w="640" w:type="dxa"/>
            <w:vAlign w:val="bottom"/>
            <w:gridSpan w:val="2"/>
            <w:shd w:val="clear" w:color="auto" w:fill="CFF0FC"/>
          </w:tcPr>
          <w:p>
            <w:pPr>
              <w:jc w:val="right"/>
              <w:ind w:right="460"/>
              <w:spacing w:after="0"/>
              <w:rPr>
                <w:sz w:val="20"/>
                <w:szCs w:val="20"/>
                <w:color w:val="auto"/>
              </w:rPr>
            </w:pPr>
            <w:r>
              <w:rPr>
                <w:rFonts w:ascii="Arial" w:cs="Arial" w:eastAsia="Arial" w:hAnsi="Arial"/>
                <w:sz w:val="16"/>
                <w:szCs w:val="16"/>
                <w:color w:val="0000FF"/>
                <w:w w:val="89"/>
              </w:rPr>
              <w:t>50</w:t>
            </w:r>
          </w:p>
        </w:tc>
      </w:tr>
      <w:tr>
        <w:trPr>
          <w:trHeight w:val="34"/>
        </w:trPr>
        <w:tc>
          <w:tcPr>
            <w:tcW w:w="12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40" w:type="dxa"/>
            <w:vAlign w:val="bottom"/>
            <w:tcBorders>
              <w:top w:val="single" w:sz="8" w:color="CFF0FC"/>
            </w:tcBorders>
            <w:shd w:val="clear" w:color="auto" w:fill="CFF0FC"/>
          </w:tcPr>
          <w:p>
            <w:pPr>
              <w:spacing w:after="0"/>
              <w:rPr>
                <w:sz w:val="2"/>
                <w:szCs w:val="2"/>
                <w:color w:val="auto"/>
              </w:rPr>
            </w:pPr>
          </w:p>
        </w:tc>
        <w:tc>
          <w:tcPr>
            <w:tcW w:w="3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48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480" w:type="dxa"/>
            <w:vAlign w:val="bottom"/>
            <w:tcBorders>
              <w:top w:val="single" w:sz="8" w:color="CFF0FC"/>
            </w:tcBorders>
            <w:shd w:val="clear" w:color="auto" w:fill="CFF0FC"/>
          </w:tcPr>
          <w:p>
            <w:pPr>
              <w:spacing w:after="0"/>
              <w:rPr>
                <w:sz w:val="2"/>
                <w:szCs w:val="2"/>
                <w:color w:val="auto"/>
              </w:rPr>
            </w:pPr>
          </w:p>
        </w:tc>
        <w:tc>
          <w:tcPr>
            <w:tcW w:w="1200" w:type="dxa"/>
            <w:vAlign w:val="bottom"/>
            <w:tcBorders>
              <w:top w:val="single" w:sz="8" w:color="CFF0FC"/>
            </w:tcBorders>
            <w:shd w:val="clear" w:color="auto" w:fill="CFF0FC"/>
          </w:tcPr>
          <w:p>
            <w:pPr>
              <w:spacing w:after="0"/>
              <w:rPr>
                <w:sz w:val="2"/>
                <w:szCs w:val="2"/>
                <w:color w:val="auto"/>
              </w:rPr>
            </w:pPr>
          </w:p>
        </w:tc>
        <w:tc>
          <w:tcPr>
            <w:tcW w:w="130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100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460" w:type="dxa"/>
            <w:vAlign w:val="bottom"/>
            <w:tcBorders>
              <w:top w:val="single" w:sz="8" w:color="CFF0FC"/>
            </w:tcBorders>
            <w:shd w:val="clear" w:color="auto" w:fill="CFF0FC"/>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1720" w:type="dxa"/>
            <w:vAlign w:val="bottom"/>
            <w:gridSpan w:val="5"/>
          </w:tcPr>
          <w:p>
            <w:pPr>
              <w:spacing w:after="0"/>
              <w:rPr>
                <w:sz w:val="20"/>
                <w:szCs w:val="20"/>
                <w:color w:val="auto"/>
              </w:rPr>
            </w:pPr>
            <w:r>
              <w:rPr>
                <w:rFonts w:ascii="Arial" w:cs="Arial" w:eastAsia="Arial" w:hAnsi="Arial"/>
                <w:sz w:val="16"/>
                <w:szCs w:val="16"/>
                <w:color w:val="0000FF"/>
              </w:rPr>
              <w:t>ITEM 7A.</w:t>
            </w:r>
          </w:p>
        </w:tc>
        <w:tc>
          <w:tcPr>
            <w:tcW w:w="8760" w:type="dxa"/>
            <w:vAlign w:val="bottom"/>
            <w:gridSpan w:val="33"/>
          </w:tcPr>
          <w:p>
            <w:pPr>
              <w:spacing w:after="0"/>
              <w:rPr>
                <w:sz w:val="20"/>
                <w:szCs w:val="20"/>
                <w:color w:val="auto"/>
              </w:rPr>
            </w:pPr>
            <w:r>
              <w:rPr>
                <w:rFonts w:ascii="Arial" w:cs="Arial" w:eastAsia="Arial" w:hAnsi="Arial"/>
                <w:sz w:val="16"/>
                <w:szCs w:val="16"/>
                <w:color w:val="0000FF"/>
              </w:rPr>
              <w:t>QUANTITATIVE AND QUALITATIVE DISCLOSURES ABOUT MARKET RISK</w:t>
            </w:r>
          </w:p>
        </w:tc>
        <w:tc>
          <w:tcPr>
            <w:tcW w:w="640" w:type="dxa"/>
            <w:vAlign w:val="bottom"/>
            <w:gridSpan w:val="2"/>
          </w:tcPr>
          <w:p>
            <w:pPr>
              <w:jc w:val="right"/>
              <w:ind w:right="460"/>
              <w:spacing w:after="0"/>
              <w:rPr>
                <w:sz w:val="20"/>
                <w:szCs w:val="20"/>
                <w:color w:val="auto"/>
              </w:rPr>
            </w:pPr>
            <w:r>
              <w:rPr>
                <w:rFonts w:ascii="Arial" w:cs="Arial" w:eastAsia="Arial" w:hAnsi="Arial"/>
                <w:sz w:val="16"/>
                <w:szCs w:val="16"/>
                <w:color w:val="0000FF"/>
                <w:w w:val="89"/>
              </w:rPr>
              <w:t>52</w:t>
            </w:r>
          </w:p>
        </w:tc>
      </w:tr>
      <w:tr>
        <w:trPr>
          <w:trHeight w:val="451"/>
        </w:trPr>
        <w:tc>
          <w:tcPr>
            <w:tcW w:w="120" w:type="dxa"/>
            <w:vAlign w:val="bottom"/>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20" w:type="dxa"/>
            <w:vAlign w:val="bottom"/>
            <w:tcBorders>
              <w:top w:val="single" w:sz="8" w:color="0000FF"/>
            </w:tcBorders>
            <w:gridSpan w:val="28"/>
          </w:tcPr>
          <w:p>
            <w:pPr>
              <w:ind w:left="3740"/>
              <w:spacing w:after="0"/>
              <w:rPr>
                <w:sz w:val="20"/>
                <w:szCs w:val="20"/>
                <w:color w:val="auto"/>
              </w:rPr>
            </w:pPr>
            <w:r>
              <w:rPr>
                <w:rFonts w:ascii="Arial" w:cs="Arial" w:eastAsia="Arial" w:hAnsi="Arial"/>
                <w:sz w:val="16"/>
                <w:szCs w:val="16"/>
                <w:color w:val="auto"/>
              </w:rPr>
              <w:t>2</w:t>
            </w:r>
          </w:p>
        </w:tc>
        <w:tc>
          <w:tcPr>
            <w:tcW w:w="1200" w:type="dxa"/>
            <w:vAlign w:val="bottom"/>
            <w:tcBorders>
              <w:top w:val="single" w:sz="8" w:color="0000FF"/>
            </w:tcBorders>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r>
      <w:tr>
        <w:trPr>
          <w:trHeight w:val="751"/>
        </w:trPr>
        <w:tc>
          <w:tcPr>
            <w:tcW w:w="1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 w:type="dxa"/>
            <w:vAlign w:val="bottom"/>
            <w:shd w:val="clear" w:color="auto" w:fill="CFF0FC"/>
          </w:tcPr>
          <w:p>
            <w:pPr>
              <w:spacing w:after="0"/>
              <w:rPr>
                <w:sz w:val="18"/>
                <w:szCs w:val="18"/>
                <w:color w:val="auto"/>
              </w:rPr>
            </w:pPr>
          </w:p>
        </w:tc>
        <w:tc>
          <w:tcPr>
            <w:tcW w:w="560" w:type="dxa"/>
            <w:vAlign w:val="bottom"/>
            <w:gridSpan w:val="3"/>
            <w:shd w:val="clear" w:color="auto" w:fill="CFF0FC"/>
          </w:tcPr>
          <w:p>
            <w:pPr>
              <w:spacing w:after="0"/>
              <w:rPr>
                <w:sz w:val="20"/>
                <w:szCs w:val="20"/>
                <w:color w:val="auto"/>
              </w:rPr>
            </w:pPr>
            <w:r>
              <w:rPr>
                <w:rFonts w:ascii="Arial" w:cs="Arial" w:eastAsia="Arial" w:hAnsi="Arial"/>
                <w:sz w:val="16"/>
                <w:szCs w:val="16"/>
                <w:color w:val="0000FF"/>
                <w:w w:val="96"/>
              </w:rPr>
              <w:t>ITEM 8.</w:t>
            </w:r>
          </w:p>
        </w:tc>
        <w:tc>
          <w:tcPr>
            <w:tcW w:w="1160" w:type="dxa"/>
            <w:vAlign w:val="bottom"/>
            <w:gridSpan w:val="5"/>
            <w:shd w:val="clear" w:color="auto" w:fill="CFF0FC"/>
          </w:tcPr>
          <w:p>
            <w:pPr>
              <w:spacing w:after="0"/>
              <w:rPr>
                <w:sz w:val="18"/>
                <w:szCs w:val="18"/>
                <w:color w:val="auto"/>
              </w:rPr>
            </w:pPr>
          </w:p>
        </w:tc>
        <w:tc>
          <w:tcPr>
            <w:tcW w:w="7480" w:type="dxa"/>
            <w:vAlign w:val="bottom"/>
            <w:gridSpan w:val="33"/>
            <w:shd w:val="clear" w:color="auto" w:fill="CFF0FC"/>
          </w:tcPr>
          <w:p>
            <w:pPr>
              <w:spacing w:after="0"/>
              <w:rPr>
                <w:sz w:val="20"/>
                <w:szCs w:val="20"/>
                <w:color w:val="auto"/>
              </w:rPr>
            </w:pPr>
            <w:r>
              <w:rPr>
                <w:rFonts w:ascii="Arial" w:cs="Arial" w:eastAsia="Arial" w:hAnsi="Arial"/>
                <w:sz w:val="16"/>
                <w:szCs w:val="16"/>
                <w:color w:val="0000FF"/>
              </w:rPr>
              <w:t>FINANCIAL STATEMENTS AND SUPPLEMENTARY DATA</w:t>
            </w:r>
          </w:p>
        </w:tc>
        <w:tc>
          <w:tcPr>
            <w:tcW w:w="1500" w:type="dxa"/>
            <w:vAlign w:val="bottom"/>
            <w:gridSpan w:val="4"/>
            <w:shd w:val="clear" w:color="auto" w:fill="CFF0FC"/>
          </w:tcPr>
          <w:p>
            <w:pPr>
              <w:jc w:val="center"/>
              <w:ind w:left="1159"/>
              <w:spacing w:after="0"/>
              <w:rPr>
                <w:sz w:val="20"/>
                <w:szCs w:val="20"/>
                <w:color w:val="auto"/>
              </w:rPr>
            </w:pPr>
            <w:r>
              <w:rPr>
                <w:rFonts w:ascii="Arial" w:cs="Arial" w:eastAsia="Arial" w:hAnsi="Arial"/>
                <w:sz w:val="16"/>
                <w:szCs w:val="16"/>
                <w:color w:val="0000FF"/>
              </w:rPr>
              <w:t>54</w:t>
            </w:r>
          </w:p>
        </w:tc>
        <w:tc>
          <w:tcPr>
            <w:tcW w:w="420" w:type="dxa"/>
            <w:vAlign w:val="bottom"/>
            <w:shd w:val="clear" w:color="auto" w:fill="CFF0FC"/>
          </w:tcPr>
          <w:p>
            <w:pPr>
              <w:spacing w:after="0"/>
              <w:rPr>
                <w:sz w:val="18"/>
                <w:szCs w:val="18"/>
                <w:color w:val="auto"/>
              </w:rPr>
            </w:pPr>
          </w:p>
        </w:tc>
      </w:tr>
      <w:tr>
        <w:trPr>
          <w:trHeight w:val="34"/>
        </w:trPr>
        <w:tc>
          <w:tcPr>
            <w:tcW w:w="12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360" w:type="dxa"/>
            <w:vAlign w:val="bottom"/>
            <w:tcBorders>
              <w:top w:val="single" w:sz="8" w:color="CFF0FC"/>
            </w:tcBorders>
            <w:shd w:val="clear" w:color="auto" w:fill="CFF0FC"/>
          </w:tcPr>
          <w:p>
            <w:pPr>
              <w:spacing w:after="0"/>
              <w:rPr>
                <w:sz w:val="2"/>
                <w:szCs w:val="2"/>
                <w:color w:val="auto"/>
              </w:rPr>
            </w:pPr>
          </w:p>
        </w:tc>
        <w:tc>
          <w:tcPr>
            <w:tcW w:w="680" w:type="dxa"/>
            <w:vAlign w:val="bottom"/>
            <w:tcBorders>
              <w:top w:val="single" w:sz="8" w:color="CFF0FC"/>
            </w:tcBorders>
            <w:shd w:val="clear" w:color="auto" w:fill="CFF0FC"/>
          </w:tcPr>
          <w:p>
            <w:pPr>
              <w:spacing w:after="0"/>
              <w:rPr>
                <w:sz w:val="2"/>
                <w:szCs w:val="2"/>
                <w:color w:val="auto"/>
              </w:rPr>
            </w:pPr>
          </w:p>
        </w:tc>
        <w:tc>
          <w:tcPr>
            <w:tcW w:w="340" w:type="dxa"/>
            <w:vAlign w:val="bottom"/>
            <w:tcBorders>
              <w:top w:val="single" w:sz="8" w:color="0000FF"/>
            </w:tcBorders>
            <w:shd w:val="clear" w:color="auto" w:fill="CFF0FC"/>
          </w:tcPr>
          <w:p>
            <w:pPr>
              <w:spacing w:after="0"/>
              <w:rPr>
                <w:sz w:val="2"/>
                <w:szCs w:val="2"/>
                <w:color w:val="auto"/>
              </w:rPr>
            </w:pPr>
          </w:p>
        </w:tc>
        <w:tc>
          <w:tcPr>
            <w:tcW w:w="720" w:type="dxa"/>
            <w:vAlign w:val="bottom"/>
            <w:tcBorders>
              <w:top w:val="single" w:sz="8" w:color="0000FF"/>
            </w:tcBorders>
            <w:shd w:val="clear" w:color="auto" w:fill="CFF0FC"/>
          </w:tcPr>
          <w:p>
            <w:pPr>
              <w:spacing w:after="0"/>
              <w:rPr>
                <w:sz w:val="2"/>
                <w:szCs w:val="2"/>
                <w:color w:val="auto"/>
              </w:rPr>
            </w:pPr>
          </w:p>
        </w:tc>
        <w:tc>
          <w:tcPr>
            <w:tcW w:w="50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28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280" w:type="dxa"/>
            <w:vAlign w:val="bottom"/>
            <w:tcBorders>
              <w:top w:val="single" w:sz="8" w:color="0000FF"/>
            </w:tcBorders>
            <w:shd w:val="clear" w:color="auto" w:fill="CFF0FC"/>
          </w:tcPr>
          <w:p>
            <w:pPr>
              <w:spacing w:after="0"/>
              <w:rPr>
                <w:sz w:val="2"/>
                <w:szCs w:val="2"/>
                <w:color w:val="auto"/>
              </w:rPr>
            </w:pPr>
          </w:p>
        </w:tc>
        <w:tc>
          <w:tcPr>
            <w:tcW w:w="48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500" w:type="dxa"/>
            <w:vAlign w:val="bottom"/>
            <w:tcBorders>
              <w:top w:val="single" w:sz="8" w:color="CFF0FC"/>
            </w:tcBorders>
            <w:shd w:val="clear" w:color="auto" w:fill="CFF0FC"/>
          </w:tcPr>
          <w:p>
            <w:pPr>
              <w:spacing w:after="0"/>
              <w:rPr>
                <w:sz w:val="2"/>
                <w:szCs w:val="2"/>
                <w:color w:val="auto"/>
              </w:rPr>
            </w:pPr>
          </w:p>
        </w:tc>
        <w:tc>
          <w:tcPr>
            <w:tcW w:w="1100" w:type="dxa"/>
            <w:vAlign w:val="bottom"/>
            <w:tcBorders>
              <w:top w:val="single" w:sz="8" w:color="CFF0FC"/>
            </w:tcBorders>
            <w:shd w:val="clear" w:color="auto" w:fill="CFF0FC"/>
          </w:tcPr>
          <w:p>
            <w:pPr>
              <w:spacing w:after="0"/>
              <w:rPr>
                <w:sz w:val="2"/>
                <w:szCs w:val="2"/>
                <w:color w:val="auto"/>
              </w:rPr>
            </w:pPr>
          </w:p>
        </w:tc>
        <w:tc>
          <w:tcPr>
            <w:tcW w:w="58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2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420" w:type="dxa"/>
            <w:vAlign w:val="bottom"/>
            <w:tcBorders>
              <w:top w:val="single" w:sz="8" w:color="CFF0FC"/>
            </w:tcBorders>
            <w:shd w:val="clear" w:color="auto" w:fill="CFF0FC"/>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80" w:type="dxa"/>
            <w:vAlign w:val="bottom"/>
            <w:gridSpan w:val="33"/>
          </w:tcPr>
          <w:p>
            <w:pPr>
              <w:spacing w:after="0"/>
              <w:rPr>
                <w:sz w:val="20"/>
                <w:szCs w:val="20"/>
                <w:color w:val="auto"/>
              </w:rPr>
            </w:pPr>
            <w:r>
              <w:rPr>
                <w:rFonts w:ascii="Arial" w:cs="Arial" w:eastAsia="Arial" w:hAnsi="Arial"/>
                <w:sz w:val="16"/>
                <w:szCs w:val="16"/>
                <w:color w:val="0000FF"/>
              </w:rPr>
              <w:t>Management’s Report on Internal Controls Over Financial Reporting</w:t>
            </w:r>
          </w:p>
        </w:tc>
        <w:tc>
          <w:tcPr>
            <w:tcW w:w="1500" w:type="dxa"/>
            <w:vAlign w:val="bottom"/>
            <w:gridSpan w:val="4"/>
          </w:tcPr>
          <w:p>
            <w:pPr>
              <w:jc w:val="center"/>
              <w:ind w:left="1159"/>
              <w:spacing w:after="0"/>
              <w:rPr>
                <w:sz w:val="20"/>
                <w:szCs w:val="20"/>
                <w:color w:val="auto"/>
              </w:rPr>
            </w:pPr>
            <w:r>
              <w:rPr>
                <w:rFonts w:ascii="Arial" w:cs="Arial" w:eastAsia="Arial" w:hAnsi="Arial"/>
                <w:sz w:val="16"/>
                <w:szCs w:val="16"/>
                <w:color w:val="0000FF"/>
              </w:rPr>
              <w:t>54</w:t>
            </w:r>
          </w:p>
        </w:tc>
        <w:tc>
          <w:tcPr>
            <w:tcW w:w="420" w:type="dxa"/>
            <w:vAlign w:val="bottom"/>
          </w:tcPr>
          <w:p>
            <w:pPr>
              <w:spacing w:after="0"/>
              <w:rPr>
                <w:sz w:val="18"/>
                <w:szCs w:val="18"/>
                <w:color w:val="auto"/>
              </w:rPr>
            </w:pPr>
          </w:p>
        </w:tc>
      </w:tr>
      <w:tr>
        <w:trPr>
          <w:trHeight w:val="34"/>
        </w:trPr>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16"/>
        </w:trPr>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480" w:type="dxa"/>
            <w:vAlign w:val="bottom"/>
            <w:gridSpan w:val="33"/>
            <w:shd w:val="clear" w:color="auto" w:fill="CFF0FC"/>
          </w:tcPr>
          <w:p>
            <w:pPr>
              <w:spacing w:after="0"/>
              <w:rPr>
                <w:sz w:val="20"/>
                <w:szCs w:val="20"/>
                <w:color w:val="auto"/>
              </w:rPr>
            </w:pPr>
            <w:r>
              <w:rPr>
                <w:rFonts w:ascii="Arial" w:cs="Arial" w:eastAsia="Arial" w:hAnsi="Arial"/>
                <w:sz w:val="16"/>
                <w:szCs w:val="16"/>
                <w:color w:val="0000FF"/>
              </w:rPr>
              <w:t>Reports of Independent Registered Public Accounting Firm</w:t>
            </w:r>
          </w:p>
        </w:tc>
        <w:tc>
          <w:tcPr>
            <w:tcW w:w="1500" w:type="dxa"/>
            <w:vAlign w:val="bottom"/>
            <w:gridSpan w:val="4"/>
            <w:shd w:val="clear" w:color="auto" w:fill="CFF0FC"/>
          </w:tcPr>
          <w:p>
            <w:pPr>
              <w:jc w:val="center"/>
              <w:ind w:left="1159"/>
              <w:spacing w:after="0"/>
              <w:rPr>
                <w:sz w:val="20"/>
                <w:szCs w:val="20"/>
                <w:color w:val="auto"/>
              </w:rPr>
            </w:pPr>
            <w:r>
              <w:rPr>
                <w:rFonts w:ascii="Arial" w:cs="Arial" w:eastAsia="Arial" w:hAnsi="Arial"/>
                <w:sz w:val="16"/>
                <w:szCs w:val="16"/>
                <w:color w:val="0000FF"/>
              </w:rPr>
              <w:t>55</w:t>
            </w:r>
          </w:p>
        </w:tc>
        <w:tc>
          <w:tcPr>
            <w:tcW w:w="420" w:type="dxa"/>
            <w:vAlign w:val="bottom"/>
            <w:shd w:val="clear" w:color="auto" w:fill="CFF0FC"/>
          </w:tcPr>
          <w:p>
            <w:pPr>
              <w:spacing w:after="0"/>
              <w:rPr>
                <w:sz w:val="18"/>
                <w:szCs w:val="18"/>
                <w:color w:val="auto"/>
              </w:rPr>
            </w:pPr>
          </w:p>
        </w:tc>
      </w:tr>
      <w:tr>
        <w:trPr>
          <w:trHeight w:val="34"/>
        </w:trPr>
        <w:tc>
          <w:tcPr>
            <w:tcW w:w="12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360" w:type="dxa"/>
            <w:vAlign w:val="bottom"/>
            <w:tcBorders>
              <w:top w:val="single" w:sz="8" w:color="CFF0FC"/>
            </w:tcBorders>
            <w:shd w:val="clear" w:color="auto" w:fill="CFF0FC"/>
          </w:tcPr>
          <w:p>
            <w:pPr>
              <w:spacing w:after="0"/>
              <w:rPr>
                <w:sz w:val="2"/>
                <w:szCs w:val="2"/>
                <w:color w:val="auto"/>
              </w:rPr>
            </w:pPr>
          </w:p>
        </w:tc>
        <w:tc>
          <w:tcPr>
            <w:tcW w:w="680" w:type="dxa"/>
            <w:vAlign w:val="bottom"/>
            <w:tcBorders>
              <w:top w:val="single" w:sz="8" w:color="CFF0FC"/>
            </w:tcBorders>
            <w:shd w:val="clear" w:color="auto" w:fill="CFF0FC"/>
          </w:tcPr>
          <w:p>
            <w:pPr>
              <w:spacing w:after="0"/>
              <w:rPr>
                <w:sz w:val="2"/>
                <w:szCs w:val="2"/>
                <w:color w:val="auto"/>
              </w:rPr>
            </w:pPr>
          </w:p>
        </w:tc>
        <w:tc>
          <w:tcPr>
            <w:tcW w:w="340" w:type="dxa"/>
            <w:vAlign w:val="bottom"/>
            <w:tcBorders>
              <w:top w:val="single" w:sz="8" w:color="0000FF"/>
            </w:tcBorders>
            <w:shd w:val="clear" w:color="auto" w:fill="CFF0FC"/>
          </w:tcPr>
          <w:p>
            <w:pPr>
              <w:spacing w:after="0"/>
              <w:rPr>
                <w:sz w:val="2"/>
                <w:szCs w:val="2"/>
                <w:color w:val="auto"/>
              </w:rPr>
            </w:pPr>
          </w:p>
        </w:tc>
        <w:tc>
          <w:tcPr>
            <w:tcW w:w="720" w:type="dxa"/>
            <w:vAlign w:val="bottom"/>
            <w:tcBorders>
              <w:top w:val="single" w:sz="8" w:color="0000FF"/>
            </w:tcBorders>
            <w:shd w:val="clear" w:color="auto" w:fill="CFF0FC"/>
          </w:tcPr>
          <w:p>
            <w:pPr>
              <w:spacing w:after="0"/>
              <w:rPr>
                <w:sz w:val="2"/>
                <w:szCs w:val="2"/>
                <w:color w:val="auto"/>
              </w:rPr>
            </w:pPr>
          </w:p>
        </w:tc>
        <w:tc>
          <w:tcPr>
            <w:tcW w:w="50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28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280" w:type="dxa"/>
            <w:vAlign w:val="bottom"/>
            <w:tcBorders>
              <w:top w:val="single" w:sz="8" w:color="0000FF"/>
            </w:tcBorders>
            <w:shd w:val="clear" w:color="auto" w:fill="CFF0FC"/>
          </w:tcPr>
          <w:p>
            <w:pPr>
              <w:spacing w:after="0"/>
              <w:rPr>
                <w:sz w:val="2"/>
                <w:szCs w:val="2"/>
                <w:color w:val="auto"/>
              </w:rPr>
            </w:pPr>
          </w:p>
        </w:tc>
        <w:tc>
          <w:tcPr>
            <w:tcW w:w="48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500" w:type="dxa"/>
            <w:vAlign w:val="bottom"/>
            <w:tcBorders>
              <w:top w:val="single" w:sz="8" w:color="CFF0FC"/>
            </w:tcBorders>
            <w:shd w:val="clear" w:color="auto" w:fill="CFF0FC"/>
          </w:tcPr>
          <w:p>
            <w:pPr>
              <w:spacing w:after="0"/>
              <w:rPr>
                <w:sz w:val="2"/>
                <w:szCs w:val="2"/>
                <w:color w:val="auto"/>
              </w:rPr>
            </w:pPr>
          </w:p>
        </w:tc>
        <w:tc>
          <w:tcPr>
            <w:tcW w:w="1100" w:type="dxa"/>
            <w:vAlign w:val="bottom"/>
            <w:tcBorders>
              <w:top w:val="single" w:sz="8" w:color="CFF0FC"/>
            </w:tcBorders>
            <w:shd w:val="clear" w:color="auto" w:fill="CFF0FC"/>
          </w:tcPr>
          <w:p>
            <w:pPr>
              <w:spacing w:after="0"/>
              <w:rPr>
                <w:sz w:val="2"/>
                <w:szCs w:val="2"/>
                <w:color w:val="auto"/>
              </w:rPr>
            </w:pPr>
          </w:p>
        </w:tc>
        <w:tc>
          <w:tcPr>
            <w:tcW w:w="58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2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420" w:type="dxa"/>
            <w:vAlign w:val="bottom"/>
            <w:tcBorders>
              <w:top w:val="single" w:sz="8" w:color="CFF0FC"/>
            </w:tcBorders>
            <w:shd w:val="clear" w:color="auto" w:fill="CFF0FC"/>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20" w:type="dxa"/>
            <w:vAlign w:val="bottom"/>
            <w:gridSpan w:val="25"/>
          </w:tcPr>
          <w:p>
            <w:pPr>
              <w:spacing w:after="0"/>
              <w:rPr>
                <w:sz w:val="20"/>
                <w:szCs w:val="20"/>
                <w:color w:val="auto"/>
              </w:rPr>
            </w:pPr>
            <w:r>
              <w:rPr>
                <w:rFonts w:ascii="Arial" w:cs="Arial" w:eastAsia="Arial" w:hAnsi="Arial"/>
                <w:sz w:val="16"/>
                <w:szCs w:val="16"/>
                <w:color w:val="0000FF"/>
              </w:rPr>
              <w:t>Consolidated Statements of Income</w:t>
            </w:r>
          </w:p>
        </w:tc>
        <w:tc>
          <w:tcPr>
            <w:tcW w:w="3260" w:type="dxa"/>
            <w:vAlign w:val="bottom"/>
            <w:gridSpan w:val="8"/>
          </w:tcPr>
          <w:p>
            <w:pPr>
              <w:spacing w:after="0"/>
              <w:rPr>
                <w:sz w:val="18"/>
                <w:szCs w:val="18"/>
                <w:color w:val="auto"/>
              </w:rPr>
            </w:pPr>
          </w:p>
        </w:tc>
        <w:tc>
          <w:tcPr>
            <w:tcW w:w="1280" w:type="dxa"/>
            <w:vAlign w:val="bottom"/>
            <w:gridSpan w:val="2"/>
          </w:tcPr>
          <w:p>
            <w:pPr>
              <w:spacing w:after="0"/>
              <w:rPr>
                <w:sz w:val="18"/>
                <w:szCs w:val="18"/>
                <w:color w:val="auto"/>
              </w:rPr>
            </w:pPr>
          </w:p>
        </w:tc>
        <w:tc>
          <w:tcPr>
            <w:tcW w:w="220" w:type="dxa"/>
            <w:vAlign w:val="bottom"/>
            <w:gridSpan w:val="2"/>
          </w:tcPr>
          <w:p>
            <w:pPr>
              <w:jc w:val="center"/>
              <w:ind w:right="40"/>
              <w:spacing w:after="0"/>
              <w:rPr>
                <w:sz w:val="20"/>
                <w:szCs w:val="20"/>
                <w:color w:val="auto"/>
              </w:rPr>
            </w:pPr>
            <w:r>
              <w:rPr>
                <w:rFonts w:ascii="Arial" w:cs="Arial" w:eastAsia="Arial" w:hAnsi="Arial"/>
                <w:sz w:val="16"/>
                <w:szCs w:val="16"/>
                <w:color w:val="0000FF"/>
              </w:rPr>
              <w:t>58</w:t>
            </w:r>
          </w:p>
        </w:tc>
        <w:tc>
          <w:tcPr>
            <w:tcW w:w="420" w:type="dxa"/>
            <w:vAlign w:val="bottom"/>
          </w:tcPr>
          <w:p>
            <w:pPr>
              <w:spacing w:after="0"/>
              <w:rPr>
                <w:sz w:val="18"/>
                <w:szCs w:val="18"/>
                <w:color w:val="auto"/>
              </w:rPr>
            </w:pPr>
          </w:p>
        </w:tc>
      </w:tr>
      <w:tr>
        <w:trPr>
          <w:trHeight w:val="34"/>
        </w:trPr>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16"/>
        </w:trPr>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480" w:type="dxa"/>
            <w:vAlign w:val="bottom"/>
            <w:gridSpan w:val="33"/>
            <w:shd w:val="clear" w:color="auto" w:fill="CFF0FC"/>
          </w:tcPr>
          <w:p>
            <w:pPr>
              <w:spacing w:after="0"/>
              <w:rPr>
                <w:sz w:val="20"/>
                <w:szCs w:val="20"/>
                <w:color w:val="auto"/>
              </w:rPr>
            </w:pPr>
            <w:r>
              <w:rPr>
                <w:rFonts w:ascii="Arial" w:cs="Arial" w:eastAsia="Arial" w:hAnsi="Arial"/>
                <w:sz w:val="16"/>
                <w:szCs w:val="16"/>
                <w:color w:val="0000FF"/>
              </w:rPr>
              <w:t>Consolidated Statements of Comprehensive Income</w:t>
            </w:r>
          </w:p>
        </w:tc>
        <w:tc>
          <w:tcPr>
            <w:tcW w:w="1500" w:type="dxa"/>
            <w:vAlign w:val="bottom"/>
            <w:gridSpan w:val="4"/>
            <w:shd w:val="clear" w:color="auto" w:fill="CFF0FC"/>
          </w:tcPr>
          <w:p>
            <w:pPr>
              <w:jc w:val="center"/>
              <w:ind w:left="1159"/>
              <w:spacing w:after="0"/>
              <w:rPr>
                <w:sz w:val="20"/>
                <w:szCs w:val="20"/>
                <w:color w:val="auto"/>
              </w:rPr>
            </w:pPr>
            <w:r>
              <w:rPr>
                <w:rFonts w:ascii="Arial" w:cs="Arial" w:eastAsia="Arial" w:hAnsi="Arial"/>
                <w:sz w:val="16"/>
                <w:szCs w:val="16"/>
                <w:color w:val="0000FF"/>
              </w:rPr>
              <w:t>59</w:t>
            </w:r>
          </w:p>
        </w:tc>
        <w:tc>
          <w:tcPr>
            <w:tcW w:w="420" w:type="dxa"/>
            <w:vAlign w:val="bottom"/>
            <w:shd w:val="clear" w:color="auto" w:fill="CFF0FC"/>
          </w:tcPr>
          <w:p>
            <w:pPr>
              <w:spacing w:after="0"/>
              <w:rPr>
                <w:sz w:val="18"/>
                <w:szCs w:val="18"/>
                <w:color w:val="auto"/>
              </w:rPr>
            </w:pPr>
          </w:p>
        </w:tc>
      </w:tr>
      <w:tr>
        <w:trPr>
          <w:trHeight w:val="34"/>
        </w:trPr>
        <w:tc>
          <w:tcPr>
            <w:tcW w:w="12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360" w:type="dxa"/>
            <w:vAlign w:val="bottom"/>
            <w:tcBorders>
              <w:top w:val="single" w:sz="8" w:color="CFF0FC"/>
            </w:tcBorders>
            <w:shd w:val="clear" w:color="auto" w:fill="CFF0FC"/>
          </w:tcPr>
          <w:p>
            <w:pPr>
              <w:spacing w:after="0"/>
              <w:rPr>
                <w:sz w:val="2"/>
                <w:szCs w:val="2"/>
                <w:color w:val="auto"/>
              </w:rPr>
            </w:pPr>
          </w:p>
        </w:tc>
        <w:tc>
          <w:tcPr>
            <w:tcW w:w="680" w:type="dxa"/>
            <w:vAlign w:val="bottom"/>
            <w:tcBorders>
              <w:top w:val="single" w:sz="8" w:color="CFF0FC"/>
            </w:tcBorders>
            <w:shd w:val="clear" w:color="auto" w:fill="CFF0FC"/>
          </w:tcPr>
          <w:p>
            <w:pPr>
              <w:spacing w:after="0"/>
              <w:rPr>
                <w:sz w:val="2"/>
                <w:szCs w:val="2"/>
                <w:color w:val="auto"/>
              </w:rPr>
            </w:pPr>
          </w:p>
        </w:tc>
        <w:tc>
          <w:tcPr>
            <w:tcW w:w="340" w:type="dxa"/>
            <w:vAlign w:val="bottom"/>
            <w:tcBorders>
              <w:top w:val="single" w:sz="8" w:color="0000FF"/>
            </w:tcBorders>
            <w:shd w:val="clear" w:color="auto" w:fill="CFF0FC"/>
          </w:tcPr>
          <w:p>
            <w:pPr>
              <w:spacing w:after="0"/>
              <w:rPr>
                <w:sz w:val="2"/>
                <w:szCs w:val="2"/>
                <w:color w:val="auto"/>
              </w:rPr>
            </w:pPr>
          </w:p>
        </w:tc>
        <w:tc>
          <w:tcPr>
            <w:tcW w:w="720" w:type="dxa"/>
            <w:vAlign w:val="bottom"/>
            <w:tcBorders>
              <w:top w:val="single" w:sz="8" w:color="0000FF"/>
            </w:tcBorders>
            <w:shd w:val="clear" w:color="auto" w:fill="CFF0FC"/>
          </w:tcPr>
          <w:p>
            <w:pPr>
              <w:spacing w:after="0"/>
              <w:rPr>
                <w:sz w:val="2"/>
                <w:szCs w:val="2"/>
                <w:color w:val="auto"/>
              </w:rPr>
            </w:pPr>
          </w:p>
        </w:tc>
        <w:tc>
          <w:tcPr>
            <w:tcW w:w="50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28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280" w:type="dxa"/>
            <w:vAlign w:val="bottom"/>
            <w:tcBorders>
              <w:top w:val="single" w:sz="8" w:color="0000FF"/>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500" w:type="dxa"/>
            <w:vAlign w:val="bottom"/>
            <w:tcBorders>
              <w:top w:val="single" w:sz="8" w:color="CFF0FC"/>
            </w:tcBorders>
            <w:shd w:val="clear" w:color="auto" w:fill="CFF0FC"/>
          </w:tcPr>
          <w:p>
            <w:pPr>
              <w:spacing w:after="0"/>
              <w:rPr>
                <w:sz w:val="2"/>
                <w:szCs w:val="2"/>
                <w:color w:val="auto"/>
              </w:rPr>
            </w:pPr>
          </w:p>
        </w:tc>
        <w:tc>
          <w:tcPr>
            <w:tcW w:w="1100" w:type="dxa"/>
            <w:vAlign w:val="bottom"/>
            <w:tcBorders>
              <w:top w:val="single" w:sz="8" w:color="CFF0FC"/>
            </w:tcBorders>
            <w:shd w:val="clear" w:color="auto" w:fill="CFF0FC"/>
          </w:tcPr>
          <w:p>
            <w:pPr>
              <w:spacing w:after="0"/>
              <w:rPr>
                <w:sz w:val="2"/>
                <w:szCs w:val="2"/>
                <w:color w:val="auto"/>
              </w:rPr>
            </w:pPr>
          </w:p>
        </w:tc>
        <w:tc>
          <w:tcPr>
            <w:tcW w:w="58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2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420" w:type="dxa"/>
            <w:vAlign w:val="bottom"/>
            <w:tcBorders>
              <w:top w:val="single" w:sz="8" w:color="CFF0FC"/>
            </w:tcBorders>
            <w:shd w:val="clear" w:color="auto" w:fill="CFF0FC"/>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740" w:type="dxa"/>
            <w:vAlign w:val="bottom"/>
            <w:gridSpan w:val="24"/>
          </w:tcPr>
          <w:p>
            <w:pPr>
              <w:spacing w:after="0"/>
              <w:rPr>
                <w:sz w:val="20"/>
                <w:szCs w:val="20"/>
                <w:color w:val="auto"/>
              </w:rPr>
            </w:pPr>
            <w:r>
              <w:rPr>
                <w:rFonts w:ascii="Arial" w:cs="Arial" w:eastAsia="Arial" w:hAnsi="Arial"/>
                <w:sz w:val="16"/>
                <w:szCs w:val="16"/>
                <w:color w:val="0000FF"/>
              </w:rPr>
              <w:t>Consolidated Balance Sheets</w:t>
            </w:r>
          </w:p>
        </w:tc>
        <w:tc>
          <w:tcPr>
            <w:tcW w:w="3740" w:type="dxa"/>
            <w:vAlign w:val="bottom"/>
            <w:gridSpan w:val="9"/>
          </w:tcPr>
          <w:p>
            <w:pPr>
              <w:spacing w:after="0"/>
              <w:rPr>
                <w:sz w:val="18"/>
                <w:szCs w:val="18"/>
                <w:color w:val="auto"/>
              </w:rPr>
            </w:pPr>
          </w:p>
        </w:tc>
        <w:tc>
          <w:tcPr>
            <w:tcW w:w="1280" w:type="dxa"/>
            <w:vAlign w:val="bottom"/>
            <w:gridSpan w:val="2"/>
          </w:tcPr>
          <w:p>
            <w:pPr>
              <w:spacing w:after="0"/>
              <w:rPr>
                <w:sz w:val="18"/>
                <w:szCs w:val="18"/>
                <w:color w:val="auto"/>
              </w:rPr>
            </w:pPr>
          </w:p>
        </w:tc>
        <w:tc>
          <w:tcPr>
            <w:tcW w:w="220" w:type="dxa"/>
            <w:vAlign w:val="bottom"/>
            <w:gridSpan w:val="2"/>
          </w:tcPr>
          <w:p>
            <w:pPr>
              <w:jc w:val="center"/>
              <w:ind w:right="40"/>
              <w:spacing w:after="0"/>
              <w:rPr>
                <w:sz w:val="20"/>
                <w:szCs w:val="20"/>
                <w:color w:val="auto"/>
              </w:rPr>
            </w:pPr>
            <w:r>
              <w:rPr>
                <w:rFonts w:ascii="Arial" w:cs="Arial" w:eastAsia="Arial" w:hAnsi="Arial"/>
                <w:sz w:val="16"/>
                <w:szCs w:val="16"/>
                <w:color w:val="0000FF"/>
              </w:rPr>
              <w:t>60</w:t>
            </w:r>
          </w:p>
        </w:tc>
        <w:tc>
          <w:tcPr>
            <w:tcW w:w="420" w:type="dxa"/>
            <w:vAlign w:val="bottom"/>
          </w:tcPr>
          <w:p>
            <w:pPr>
              <w:spacing w:after="0"/>
              <w:rPr>
                <w:sz w:val="18"/>
                <w:szCs w:val="18"/>
                <w:color w:val="auto"/>
              </w:rPr>
            </w:pPr>
          </w:p>
        </w:tc>
      </w:tr>
      <w:tr>
        <w:trPr>
          <w:trHeight w:val="34"/>
        </w:trPr>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16"/>
        </w:trPr>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480" w:type="dxa"/>
            <w:vAlign w:val="bottom"/>
            <w:gridSpan w:val="33"/>
            <w:shd w:val="clear" w:color="auto" w:fill="CFF0FC"/>
          </w:tcPr>
          <w:p>
            <w:pPr>
              <w:spacing w:after="0"/>
              <w:rPr>
                <w:sz w:val="20"/>
                <w:szCs w:val="20"/>
                <w:color w:val="auto"/>
              </w:rPr>
            </w:pPr>
            <w:r>
              <w:rPr>
                <w:rFonts w:ascii="Arial" w:cs="Arial" w:eastAsia="Arial" w:hAnsi="Arial"/>
                <w:sz w:val="16"/>
                <w:szCs w:val="16"/>
                <w:color w:val="0000FF"/>
              </w:rPr>
              <w:t>Consolidated Statements of Cash Flows</w:t>
            </w:r>
          </w:p>
        </w:tc>
        <w:tc>
          <w:tcPr>
            <w:tcW w:w="1500" w:type="dxa"/>
            <w:vAlign w:val="bottom"/>
            <w:gridSpan w:val="4"/>
            <w:shd w:val="clear" w:color="auto" w:fill="CFF0FC"/>
          </w:tcPr>
          <w:p>
            <w:pPr>
              <w:jc w:val="center"/>
              <w:ind w:left="1159"/>
              <w:spacing w:after="0"/>
              <w:rPr>
                <w:sz w:val="20"/>
                <w:szCs w:val="20"/>
                <w:color w:val="auto"/>
              </w:rPr>
            </w:pPr>
            <w:r>
              <w:rPr>
                <w:rFonts w:ascii="Arial" w:cs="Arial" w:eastAsia="Arial" w:hAnsi="Arial"/>
                <w:sz w:val="16"/>
                <w:szCs w:val="16"/>
                <w:color w:val="0000FF"/>
              </w:rPr>
              <w:t>62</w:t>
            </w:r>
          </w:p>
        </w:tc>
        <w:tc>
          <w:tcPr>
            <w:tcW w:w="420" w:type="dxa"/>
            <w:vAlign w:val="bottom"/>
            <w:shd w:val="clear" w:color="auto" w:fill="CFF0FC"/>
          </w:tcPr>
          <w:p>
            <w:pPr>
              <w:spacing w:after="0"/>
              <w:rPr>
                <w:sz w:val="18"/>
                <w:szCs w:val="18"/>
                <w:color w:val="auto"/>
              </w:rPr>
            </w:pPr>
          </w:p>
        </w:tc>
      </w:tr>
      <w:tr>
        <w:trPr>
          <w:trHeight w:val="34"/>
        </w:trPr>
        <w:tc>
          <w:tcPr>
            <w:tcW w:w="12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360" w:type="dxa"/>
            <w:vAlign w:val="bottom"/>
            <w:tcBorders>
              <w:top w:val="single" w:sz="8" w:color="CFF0FC"/>
            </w:tcBorders>
            <w:shd w:val="clear" w:color="auto" w:fill="CFF0FC"/>
          </w:tcPr>
          <w:p>
            <w:pPr>
              <w:spacing w:after="0"/>
              <w:rPr>
                <w:sz w:val="2"/>
                <w:szCs w:val="2"/>
                <w:color w:val="auto"/>
              </w:rPr>
            </w:pPr>
          </w:p>
        </w:tc>
        <w:tc>
          <w:tcPr>
            <w:tcW w:w="680" w:type="dxa"/>
            <w:vAlign w:val="bottom"/>
            <w:tcBorders>
              <w:top w:val="single" w:sz="8" w:color="CFF0FC"/>
            </w:tcBorders>
            <w:shd w:val="clear" w:color="auto" w:fill="CFF0FC"/>
          </w:tcPr>
          <w:p>
            <w:pPr>
              <w:spacing w:after="0"/>
              <w:rPr>
                <w:sz w:val="2"/>
                <w:szCs w:val="2"/>
                <w:color w:val="auto"/>
              </w:rPr>
            </w:pPr>
          </w:p>
        </w:tc>
        <w:tc>
          <w:tcPr>
            <w:tcW w:w="340" w:type="dxa"/>
            <w:vAlign w:val="bottom"/>
            <w:tcBorders>
              <w:top w:val="single" w:sz="8" w:color="0000FF"/>
            </w:tcBorders>
            <w:shd w:val="clear" w:color="auto" w:fill="CFF0FC"/>
          </w:tcPr>
          <w:p>
            <w:pPr>
              <w:spacing w:after="0"/>
              <w:rPr>
                <w:sz w:val="2"/>
                <w:szCs w:val="2"/>
                <w:color w:val="auto"/>
              </w:rPr>
            </w:pPr>
          </w:p>
        </w:tc>
        <w:tc>
          <w:tcPr>
            <w:tcW w:w="720" w:type="dxa"/>
            <w:vAlign w:val="bottom"/>
            <w:tcBorders>
              <w:top w:val="single" w:sz="8" w:color="0000FF"/>
            </w:tcBorders>
            <w:shd w:val="clear" w:color="auto" w:fill="CFF0FC"/>
          </w:tcPr>
          <w:p>
            <w:pPr>
              <w:spacing w:after="0"/>
              <w:rPr>
                <w:sz w:val="2"/>
                <w:szCs w:val="2"/>
                <w:color w:val="auto"/>
              </w:rPr>
            </w:pPr>
          </w:p>
        </w:tc>
        <w:tc>
          <w:tcPr>
            <w:tcW w:w="50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28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500" w:type="dxa"/>
            <w:vAlign w:val="bottom"/>
            <w:tcBorders>
              <w:top w:val="single" w:sz="8" w:color="CFF0FC"/>
            </w:tcBorders>
            <w:shd w:val="clear" w:color="auto" w:fill="CFF0FC"/>
          </w:tcPr>
          <w:p>
            <w:pPr>
              <w:spacing w:after="0"/>
              <w:rPr>
                <w:sz w:val="2"/>
                <w:szCs w:val="2"/>
                <w:color w:val="auto"/>
              </w:rPr>
            </w:pPr>
          </w:p>
        </w:tc>
        <w:tc>
          <w:tcPr>
            <w:tcW w:w="1100" w:type="dxa"/>
            <w:vAlign w:val="bottom"/>
            <w:tcBorders>
              <w:top w:val="single" w:sz="8" w:color="CFF0FC"/>
            </w:tcBorders>
            <w:shd w:val="clear" w:color="auto" w:fill="CFF0FC"/>
          </w:tcPr>
          <w:p>
            <w:pPr>
              <w:spacing w:after="0"/>
              <w:rPr>
                <w:sz w:val="2"/>
                <w:szCs w:val="2"/>
                <w:color w:val="auto"/>
              </w:rPr>
            </w:pPr>
          </w:p>
        </w:tc>
        <w:tc>
          <w:tcPr>
            <w:tcW w:w="58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2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420" w:type="dxa"/>
            <w:vAlign w:val="bottom"/>
            <w:tcBorders>
              <w:top w:val="single" w:sz="8" w:color="CFF0FC"/>
            </w:tcBorders>
            <w:shd w:val="clear" w:color="auto" w:fill="CFF0FC"/>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80" w:type="dxa"/>
            <w:vAlign w:val="bottom"/>
            <w:gridSpan w:val="17"/>
          </w:tcPr>
          <w:p>
            <w:pPr>
              <w:spacing w:after="0"/>
              <w:rPr>
                <w:sz w:val="20"/>
                <w:szCs w:val="20"/>
                <w:color w:val="auto"/>
              </w:rPr>
            </w:pPr>
            <w:r>
              <w:rPr>
                <w:rFonts w:ascii="Arial" w:cs="Arial" w:eastAsia="Arial" w:hAnsi="Arial"/>
                <w:sz w:val="16"/>
                <w:szCs w:val="16"/>
                <w:color w:val="0000FF"/>
              </w:rPr>
              <w:t>Consolidated Statements of Equity</w:t>
            </w:r>
          </w:p>
        </w:tc>
        <w:tc>
          <w:tcPr>
            <w:tcW w:w="4600" w:type="dxa"/>
            <w:vAlign w:val="bottom"/>
            <w:gridSpan w:val="16"/>
          </w:tcPr>
          <w:p>
            <w:pPr>
              <w:spacing w:after="0"/>
              <w:rPr>
                <w:sz w:val="18"/>
                <w:szCs w:val="18"/>
                <w:color w:val="auto"/>
              </w:rPr>
            </w:pPr>
          </w:p>
        </w:tc>
        <w:tc>
          <w:tcPr>
            <w:tcW w:w="1280" w:type="dxa"/>
            <w:vAlign w:val="bottom"/>
            <w:gridSpan w:val="2"/>
          </w:tcPr>
          <w:p>
            <w:pPr>
              <w:spacing w:after="0"/>
              <w:rPr>
                <w:sz w:val="18"/>
                <w:szCs w:val="18"/>
                <w:color w:val="auto"/>
              </w:rPr>
            </w:pPr>
          </w:p>
        </w:tc>
        <w:tc>
          <w:tcPr>
            <w:tcW w:w="220" w:type="dxa"/>
            <w:vAlign w:val="bottom"/>
            <w:gridSpan w:val="2"/>
          </w:tcPr>
          <w:p>
            <w:pPr>
              <w:jc w:val="center"/>
              <w:ind w:right="40"/>
              <w:spacing w:after="0"/>
              <w:rPr>
                <w:sz w:val="20"/>
                <w:szCs w:val="20"/>
                <w:color w:val="auto"/>
              </w:rPr>
            </w:pPr>
            <w:r>
              <w:rPr>
                <w:rFonts w:ascii="Arial" w:cs="Arial" w:eastAsia="Arial" w:hAnsi="Arial"/>
                <w:sz w:val="16"/>
                <w:szCs w:val="16"/>
                <w:color w:val="0000FF"/>
              </w:rPr>
              <w:t>63</w:t>
            </w:r>
          </w:p>
        </w:tc>
        <w:tc>
          <w:tcPr>
            <w:tcW w:w="420" w:type="dxa"/>
            <w:vAlign w:val="bottom"/>
          </w:tcPr>
          <w:p>
            <w:pPr>
              <w:spacing w:after="0"/>
              <w:rPr>
                <w:sz w:val="18"/>
                <w:szCs w:val="18"/>
                <w:color w:val="auto"/>
              </w:rPr>
            </w:pPr>
          </w:p>
        </w:tc>
      </w:tr>
      <w:tr>
        <w:trPr>
          <w:trHeight w:val="34"/>
        </w:trPr>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16"/>
        </w:trPr>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160" w:type="dxa"/>
            <w:vAlign w:val="bottom"/>
            <w:gridSpan w:val="20"/>
            <w:shd w:val="clear" w:color="auto" w:fill="CFF0FC"/>
          </w:tcPr>
          <w:p>
            <w:pPr>
              <w:spacing w:after="0"/>
              <w:rPr>
                <w:sz w:val="20"/>
                <w:szCs w:val="20"/>
                <w:color w:val="auto"/>
              </w:rPr>
            </w:pPr>
            <w:r>
              <w:rPr>
                <w:rFonts w:ascii="Arial" w:cs="Arial" w:eastAsia="Arial" w:hAnsi="Arial"/>
                <w:sz w:val="16"/>
                <w:szCs w:val="16"/>
                <w:color w:val="0000FF"/>
              </w:rPr>
              <w:t>Notes to Consolidated Financial Statements</w:t>
            </w:r>
          </w:p>
        </w:tc>
        <w:tc>
          <w:tcPr>
            <w:tcW w:w="4320" w:type="dxa"/>
            <w:vAlign w:val="bottom"/>
            <w:gridSpan w:val="13"/>
            <w:shd w:val="clear" w:color="auto" w:fill="CFF0FC"/>
          </w:tcPr>
          <w:p>
            <w:pPr>
              <w:spacing w:after="0"/>
              <w:rPr>
                <w:sz w:val="18"/>
                <w:szCs w:val="18"/>
                <w:color w:val="auto"/>
              </w:rPr>
            </w:pPr>
          </w:p>
        </w:tc>
        <w:tc>
          <w:tcPr>
            <w:tcW w:w="1280" w:type="dxa"/>
            <w:vAlign w:val="bottom"/>
            <w:gridSpan w:val="2"/>
            <w:shd w:val="clear" w:color="auto" w:fill="CFF0FC"/>
          </w:tcPr>
          <w:p>
            <w:pPr>
              <w:spacing w:after="0"/>
              <w:rPr>
                <w:sz w:val="18"/>
                <w:szCs w:val="18"/>
                <w:color w:val="auto"/>
              </w:rPr>
            </w:pPr>
          </w:p>
        </w:tc>
        <w:tc>
          <w:tcPr>
            <w:tcW w:w="220" w:type="dxa"/>
            <w:vAlign w:val="bottom"/>
            <w:gridSpan w:val="2"/>
            <w:shd w:val="clear" w:color="auto" w:fill="CFF0FC"/>
          </w:tcPr>
          <w:p>
            <w:pPr>
              <w:jc w:val="center"/>
              <w:ind w:right="40"/>
              <w:spacing w:after="0"/>
              <w:rPr>
                <w:sz w:val="20"/>
                <w:szCs w:val="20"/>
                <w:color w:val="auto"/>
              </w:rPr>
            </w:pPr>
            <w:r>
              <w:rPr>
                <w:rFonts w:ascii="Arial" w:cs="Arial" w:eastAsia="Arial" w:hAnsi="Arial"/>
                <w:sz w:val="16"/>
                <w:szCs w:val="16"/>
                <w:color w:val="0000FF"/>
              </w:rPr>
              <w:t>64</w:t>
            </w:r>
          </w:p>
        </w:tc>
        <w:tc>
          <w:tcPr>
            <w:tcW w:w="420" w:type="dxa"/>
            <w:vAlign w:val="bottom"/>
            <w:shd w:val="clear" w:color="auto" w:fill="CFF0FC"/>
          </w:tcPr>
          <w:p>
            <w:pPr>
              <w:spacing w:after="0"/>
              <w:rPr>
                <w:sz w:val="18"/>
                <w:szCs w:val="18"/>
                <w:color w:val="auto"/>
              </w:rPr>
            </w:pPr>
          </w:p>
        </w:tc>
      </w:tr>
      <w:tr>
        <w:trPr>
          <w:trHeight w:val="34"/>
        </w:trPr>
        <w:tc>
          <w:tcPr>
            <w:tcW w:w="12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360" w:type="dxa"/>
            <w:vAlign w:val="bottom"/>
            <w:tcBorders>
              <w:top w:val="single" w:sz="8" w:color="CFF0FC"/>
            </w:tcBorders>
            <w:shd w:val="clear" w:color="auto" w:fill="CFF0FC"/>
          </w:tcPr>
          <w:p>
            <w:pPr>
              <w:spacing w:after="0"/>
              <w:rPr>
                <w:sz w:val="2"/>
                <w:szCs w:val="2"/>
                <w:color w:val="auto"/>
              </w:rPr>
            </w:pPr>
          </w:p>
        </w:tc>
        <w:tc>
          <w:tcPr>
            <w:tcW w:w="680" w:type="dxa"/>
            <w:vAlign w:val="bottom"/>
            <w:tcBorders>
              <w:top w:val="single" w:sz="8" w:color="CFF0FC"/>
            </w:tcBorders>
            <w:shd w:val="clear" w:color="auto" w:fill="CFF0FC"/>
          </w:tcPr>
          <w:p>
            <w:pPr>
              <w:spacing w:after="0"/>
              <w:rPr>
                <w:sz w:val="2"/>
                <w:szCs w:val="2"/>
                <w:color w:val="auto"/>
              </w:rPr>
            </w:pPr>
          </w:p>
        </w:tc>
        <w:tc>
          <w:tcPr>
            <w:tcW w:w="340" w:type="dxa"/>
            <w:vAlign w:val="bottom"/>
            <w:tcBorders>
              <w:top w:val="single" w:sz="8" w:color="0000FF"/>
            </w:tcBorders>
            <w:shd w:val="clear" w:color="auto" w:fill="CFF0FC"/>
          </w:tcPr>
          <w:p>
            <w:pPr>
              <w:spacing w:after="0"/>
              <w:rPr>
                <w:sz w:val="2"/>
                <w:szCs w:val="2"/>
                <w:color w:val="auto"/>
              </w:rPr>
            </w:pPr>
          </w:p>
        </w:tc>
        <w:tc>
          <w:tcPr>
            <w:tcW w:w="720" w:type="dxa"/>
            <w:vAlign w:val="bottom"/>
            <w:tcBorders>
              <w:top w:val="single" w:sz="8" w:color="0000FF"/>
            </w:tcBorders>
            <w:shd w:val="clear" w:color="auto" w:fill="CFF0FC"/>
          </w:tcPr>
          <w:p>
            <w:pPr>
              <w:spacing w:after="0"/>
              <w:rPr>
                <w:sz w:val="2"/>
                <w:szCs w:val="2"/>
                <w:color w:val="auto"/>
              </w:rPr>
            </w:pPr>
          </w:p>
        </w:tc>
        <w:tc>
          <w:tcPr>
            <w:tcW w:w="50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28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500" w:type="dxa"/>
            <w:vAlign w:val="bottom"/>
            <w:tcBorders>
              <w:top w:val="single" w:sz="8" w:color="CFF0FC"/>
            </w:tcBorders>
            <w:shd w:val="clear" w:color="auto" w:fill="CFF0FC"/>
          </w:tcPr>
          <w:p>
            <w:pPr>
              <w:spacing w:after="0"/>
              <w:rPr>
                <w:sz w:val="2"/>
                <w:szCs w:val="2"/>
                <w:color w:val="auto"/>
              </w:rPr>
            </w:pPr>
          </w:p>
        </w:tc>
        <w:tc>
          <w:tcPr>
            <w:tcW w:w="1100" w:type="dxa"/>
            <w:vAlign w:val="bottom"/>
            <w:tcBorders>
              <w:top w:val="single" w:sz="8" w:color="CFF0FC"/>
            </w:tcBorders>
            <w:shd w:val="clear" w:color="auto" w:fill="CFF0FC"/>
          </w:tcPr>
          <w:p>
            <w:pPr>
              <w:spacing w:after="0"/>
              <w:rPr>
                <w:sz w:val="2"/>
                <w:szCs w:val="2"/>
                <w:color w:val="auto"/>
              </w:rPr>
            </w:pPr>
          </w:p>
        </w:tc>
        <w:tc>
          <w:tcPr>
            <w:tcW w:w="58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2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420" w:type="dxa"/>
            <w:vAlign w:val="bottom"/>
            <w:tcBorders>
              <w:top w:val="single" w:sz="8" w:color="CFF0FC"/>
            </w:tcBorders>
            <w:shd w:val="clear" w:color="auto" w:fill="CFF0FC"/>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80" w:type="dxa"/>
            <w:vAlign w:val="bottom"/>
            <w:gridSpan w:val="33"/>
          </w:tcPr>
          <w:p>
            <w:pPr>
              <w:ind w:left="340"/>
              <w:spacing w:after="0"/>
              <w:rPr>
                <w:sz w:val="20"/>
                <w:szCs w:val="20"/>
                <w:color w:val="auto"/>
              </w:rPr>
            </w:pPr>
            <w:r>
              <w:rPr>
                <w:rFonts w:ascii="Arial" w:cs="Arial" w:eastAsia="Arial" w:hAnsi="Arial"/>
                <w:sz w:val="16"/>
                <w:szCs w:val="16"/>
                <w:color w:val="0000FF"/>
              </w:rPr>
              <w:t>Note 1. Business Description and Significant Accounting Policies</w:t>
            </w:r>
          </w:p>
        </w:tc>
        <w:tc>
          <w:tcPr>
            <w:tcW w:w="1500" w:type="dxa"/>
            <w:vAlign w:val="bottom"/>
            <w:gridSpan w:val="4"/>
          </w:tcPr>
          <w:p>
            <w:pPr>
              <w:jc w:val="center"/>
              <w:ind w:left="1159"/>
              <w:spacing w:after="0"/>
              <w:rPr>
                <w:sz w:val="20"/>
                <w:szCs w:val="20"/>
                <w:color w:val="auto"/>
              </w:rPr>
            </w:pPr>
            <w:r>
              <w:rPr>
                <w:rFonts w:ascii="Arial" w:cs="Arial" w:eastAsia="Arial" w:hAnsi="Arial"/>
                <w:sz w:val="16"/>
                <w:szCs w:val="16"/>
                <w:color w:val="0000FF"/>
              </w:rPr>
              <w:t>64</w:t>
            </w:r>
          </w:p>
        </w:tc>
        <w:tc>
          <w:tcPr>
            <w:tcW w:w="420" w:type="dxa"/>
            <w:vAlign w:val="bottom"/>
          </w:tcPr>
          <w:p>
            <w:pPr>
              <w:spacing w:after="0"/>
              <w:rPr>
                <w:sz w:val="18"/>
                <w:szCs w:val="18"/>
                <w:color w:val="auto"/>
              </w:rPr>
            </w:pPr>
          </w:p>
        </w:tc>
      </w:tr>
      <w:tr>
        <w:trPr>
          <w:trHeight w:val="34"/>
        </w:trPr>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16"/>
        </w:trPr>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480" w:type="dxa"/>
            <w:vAlign w:val="bottom"/>
            <w:gridSpan w:val="33"/>
            <w:shd w:val="clear" w:color="auto" w:fill="CFF0FC"/>
          </w:tcPr>
          <w:p>
            <w:pPr>
              <w:ind w:left="340"/>
              <w:spacing w:after="0"/>
              <w:rPr>
                <w:sz w:val="20"/>
                <w:szCs w:val="20"/>
                <w:color w:val="auto"/>
              </w:rPr>
            </w:pPr>
            <w:r>
              <w:rPr>
                <w:rFonts w:ascii="Arial" w:cs="Arial" w:eastAsia="Arial" w:hAnsi="Arial"/>
                <w:sz w:val="16"/>
                <w:szCs w:val="16"/>
                <w:color w:val="0000FF"/>
              </w:rPr>
              <w:t>Note 2. Regulatory Matters</w:t>
            </w:r>
          </w:p>
        </w:tc>
        <w:tc>
          <w:tcPr>
            <w:tcW w:w="1500" w:type="dxa"/>
            <w:vAlign w:val="bottom"/>
            <w:gridSpan w:val="4"/>
            <w:shd w:val="clear" w:color="auto" w:fill="CFF0FC"/>
          </w:tcPr>
          <w:p>
            <w:pPr>
              <w:jc w:val="center"/>
              <w:ind w:left="1159"/>
              <w:spacing w:after="0"/>
              <w:rPr>
                <w:sz w:val="20"/>
                <w:szCs w:val="20"/>
                <w:color w:val="auto"/>
              </w:rPr>
            </w:pPr>
            <w:r>
              <w:rPr>
                <w:rFonts w:ascii="Arial" w:cs="Arial" w:eastAsia="Arial" w:hAnsi="Arial"/>
                <w:sz w:val="16"/>
                <w:szCs w:val="16"/>
                <w:color w:val="0000FF"/>
              </w:rPr>
              <w:t>72</w:t>
            </w:r>
          </w:p>
        </w:tc>
        <w:tc>
          <w:tcPr>
            <w:tcW w:w="420" w:type="dxa"/>
            <w:vAlign w:val="bottom"/>
            <w:shd w:val="clear" w:color="auto" w:fill="CFF0FC"/>
          </w:tcPr>
          <w:p>
            <w:pPr>
              <w:spacing w:after="0"/>
              <w:rPr>
                <w:sz w:val="18"/>
                <w:szCs w:val="18"/>
                <w:color w:val="auto"/>
              </w:rPr>
            </w:pPr>
          </w:p>
        </w:tc>
      </w:tr>
      <w:tr>
        <w:trPr>
          <w:trHeight w:val="34"/>
        </w:trPr>
        <w:tc>
          <w:tcPr>
            <w:tcW w:w="12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360" w:type="dxa"/>
            <w:vAlign w:val="bottom"/>
            <w:tcBorders>
              <w:top w:val="single" w:sz="8" w:color="CFF0FC"/>
            </w:tcBorders>
            <w:shd w:val="clear" w:color="auto" w:fill="CFF0FC"/>
          </w:tcPr>
          <w:p>
            <w:pPr>
              <w:spacing w:after="0"/>
              <w:rPr>
                <w:sz w:val="2"/>
                <w:szCs w:val="2"/>
                <w:color w:val="auto"/>
              </w:rPr>
            </w:pPr>
          </w:p>
        </w:tc>
        <w:tc>
          <w:tcPr>
            <w:tcW w:w="680" w:type="dxa"/>
            <w:vAlign w:val="bottom"/>
            <w:tcBorders>
              <w:top w:val="single" w:sz="8" w:color="CFF0FC"/>
            </w:tcBorders>
            <w:shd w:val="clear" w:color="auto" w:fill="CFF0FC"/>
          </w:tcPr>
          <w:p>
            <w:pPr>
              <w:spacing w:after="0"/>
              <w:rPr>
                <w:sz w:val="2"/>
                <w:szCs w:val="2"/>
                <w:color w:val="auto"/>
              </w:rPr>
            </w:pPr>
          </w:p>
        </w:tc>
        <w:tc>
          <w:tcPr>
            <w:tcW w:w="340" w:type="dxa"/>
            <w:vAlign w:val="bottom"/>
            <w:tcBorders>
              <w:top w:val="single" w:sz="8" w:color="CFF0FC"/>
            </w:tcBorders>
            <w:shd w:val="clear" w:color="auto" w:fill="CFF0FC"/>
          </w:tcPr>
          <w:p>
            <w:pPr>
              <w:spacing w:after="0"/>
              <w:rPr>
                <w:sz w:val="2"/>
                <w:szCs w:val="2"/>
                <w:color w:val="auto"/>
              </w:rPr>
            </w:pPr>
          </w:p>
        </w:tc>
        <w:tc>
          <w:tcPr>
            <w:tcW w:w="720" w:type="dxa"/>
            <w:vAlign w:val="bottom"/>
            <w:tcBorders>
              <w:top w:val="single" w:sz="8" w:color="0000FF"/>
            </w:tcBorders>
            <w:shd w:val="clear" w:color="auto" w:fill="CFF0FC"/>
          </w:tcPr>
          <w:p>
            <w:pPr>
              <w:spacing w:after="0"/>
              <w:rPr>
                <w:sz w:val="2"/>
                <w:szCs w:val="2"/>
                <w:color w:val="auto"/>
              </w:rPr>
            </w:pPr>
          </w:p>
        </w:tc>
        <w:tc>
          <w:tcPr>
            <w:tcW w:w="50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28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500" w:type="dxa"/>
            <w:vAlign w:val="bottom"/>
            <w:tcBorders>
              <w:top w:val="single" w:sz="8" w:color="CFF0FC"/>
            </w:tcBorders>
            <w:shd w:val="clear" w:color="auto" w:fill="CFF0FC"/>
          </w:tcPr>
          <w:p>
            <w:pPr>
              <w:spacing w:after="0"/>
              <w:rPr>
                <w:sz w:val="2"/>
                <w:szCs w:val="2"/>
                <w:color w:val="auto"/>
              </w:rPr>
            </w:pPr>
          </w:p>
        </w:tc>
        <w:tc>
          <w:tcPr>
            <w:tcW w:w="1100" w:type="dxa"/>
            <w:vAlign w:val="bottom"/>
            <w:tcBorders>
              <w:top w:val="single" w:sz="8" w:color="CFF0FC"/>
            </w:tcBorders>
            <w:shd w:val="clear" w:color="auto" w:fill="CFF0FC"/>
          </w:tcPr>
          <w:p>
            <w:pPr>
              <w:spacing w:after="0"/>
              <w:rPr>
                <w:sz w:val="2"/>
                <w:szCs w:val="2"/>
                <w:color w:val="auto"/>
              </w:rPr>
            </w:pPr>
          </w:p>
        </w:tc>
        <w:tc>
          <w:tcPr>
            <w:tcW w:w="58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2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420" w:type="dxa"/>
            <w:vAlign w:val="bottom"/>
            <w:tcBorders>
              <w:top w:val="single" w:sz="8" w:color="CFF0FC"/>
            </w:tcBorders>
            <w:shd w:val="clear" w:color="auto" w:fill="CFF0FC"/>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80" w:type="dxa"/>
            <w:vAlign w:val="bottom"/>
            <w:gridSpan w:val="33"/>
          </w:tcPr>
          <w:p>
            <w:pPr>
              <w:ind w:left="340"/>
              <w:spacing w:after="0"/>
              <w:rPr>
                <w:sz w:val="20"/>
                <w:szCs w:val="20"/>
                <w:color w:val="auto"/>
              </w:rPr>
            </w:pPr>
            <w:r>
              <w:rPr>
                <w:rFonts w:ascii="Arial" w:cs="Arial" w:eastAsia="Arial" w:hAnsi="Arial"/>
                <w:sz w:val="16"/>
                <w:szCs w:val="16"/>
                <w:color w:val="0000FF"/>
              </w:rPr>
              <w:t>Note 3. Commitments, Contingencies and Guarantees</w:t>
            </w:r>
          </w:p>
        </w:tc>
        <w:tc>
          <w:tcPr>
            <w:tcW w:w="1500" w:type="dxa"/>
            <w:vAlign w:val="bottom"/>
            <w:gridSpan w:val="4"/>
          </w:tcPr>
          <w:p>
            <w:pPr>
              <w:jc w:val="center"/>
              <w:ind w:left="1159"/>
              <w:spacing w:after="0"/>
              <w:rPr>
                <w:sz w:val="20"/>
                <w:szCs w:val="20"/>
                <w:color w:val="auto"/>
              </w:rPr>
            </w:pPr>
            <w:r>
              <w:rPr>
                <w:rFonts w:ascii="Arial" w:cs="Arial" w:eastAsia="Arial" w:hAnsi="Arial"/>
                <w:sz w:val="16"/>
                <w:szCs w:val="16"/>
                <w:color w:val="0000FF"/>
              </w:rPr>
              <w:t>75</w:t>
            </w:r>
          </w:p>
        </w:tc>
        <w:tc>
          <w:tcPr>
            <w:tcW w:w="420" w:type="dxa"/>
            <w:vAlign w:val="bottom"/>
          </w:tcPr>
          <w:p>
            <w:pPr>
              <w:spacing w:after="0"/>
              <w:rPr>
                <w:sz w:val="18"/>
                <w:szCs w:val="18"/>
                <w:color w:val="auto"/>
              </w:rPr>
            </w:pPr>
          </w:p>
        </w:tc>
      </w:tr>
      <w:tr>
        <w:trPr>
          <w:trHeight w:val="34"/>
        </w:trPr>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16"/>
        </w:trPr>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480" w:type="dxa"/>
            <w:vAlign w:val="bottom"/>
            <w:gridSpan w:val="33"/>
            <w:shd w:val="clear" w:color="auto" w:fill="CFF0FC"/>
          </w:tcPr>
          <w:p>
            <w:pPr>
              <w:ind w:left="340"/>
              <w:spacing w:after="0"/>
              <w:rPr>
                <w:sz w:val="20"/>
                <w:szCs w:val="20"/>
                <w:color w:val="auto"/>
              </w:rPr>
            </w:pPr>
            <w:r>
              <w:rPr>
                <w:rFonts w:ascii="Arial" w:cs="Arial" w:eastAsia="Arial" w:hAnsi="Arial"/>
                <w:sz w:val="16"/>
                <w:szCs w:val="16"/>
                <w:color w:val="0000FF"/>
              </w:rPr>
              <w:t>Note 4. Revenue</w:t>
            </w:r>
          </w:p>
        </w:tc>
        <w:tc>
          <w:tcPr>
            <w:tcW w:w="1500" w:type="dxa"/>
            <w:vAlign w:val="bottom"/>
            <w:gridSpan w:val="4"/>
            <w:shd w:val="clear" w:color="auto" w:fill="CFF0FC"/>
          </w:tcPr>
          <w:p>
            <w:pPr>
              <w:jc w:val="center"/>
              <w:ind w:left="1159"/>
              <w:spacing w:after="0"/>
              <w:rPr>
                <w:sz w:val="20"/>
                <w:szCs w:val="20"/>
                <w:color w:val="auto"/>
              </w:rPr>
            </w:pPr>
            <w:r>
              <w:rPr>
                <w:rFonts w:ascii="Arial" w:cs="Arial" w:eastAsia="Arial" w:hAnsi="Arial"/>
                <w:sz w:val="16"/>
                <w:szCs w:val="16"/>
                <w:color w:val="0000FF"/>
              </w:rPr>
              <w:t>77</w:t>
            </w:r>
          </w:p>
        </w:tc>
        <w:tc>
          <w:tcPr>
            <w:tcW w:w="420" w:type="dxa"/>
            <w:vAlign w:val="bottom"/>
            <w:shd w:val="clear" w:color="auto" w:fill="CFF0FC"/>
          </w:tcPr>
          <w:p>
            <w:pPr>
              <w:spacing w:after="0"/>
              <w:rPr>
                <w:sz w:val="18"/>
                <w:szCs w:val="18"/>
                <w:color w:val="auto"/>
              </w:rPr>
            </w:pPr>
          </w:p>
        </w:tc>
      </w:tr>
      <w:tr>
        <w:trPr>
          <w:trHeight w:val="34"/>
        </w:trPr>
        <w:tc>
          <w:tcPr>
            <w:tcW w:w="12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360" w:type="dxa"/>
            <w:vAlign w:val="bottom"/>
            <w:tcBorders>
              <w:top w:val="single" w:sz="8" w:color="CFF0FC"/>
            </w:tcBorders>
            <w:shd w:val="clear" w:color="auto" w:fill="CFF0FC"/>
          </w:tcPr>
          <w:p>
            <w:pPr>
              <w:spacing w:after="0"/>
              <w:rPr>
                <w:sz w:val="2"/>
                <w:szCs w:val="2"/>
                <w:color w:val="auto"/>
              </w:rPr>
            </w:pPr>
          </w:p>
        </w:tc>
        <w:tc>
          <w:tcPr>
            <w:tcW w:w="680" w:type="dxa"/>
            <w:vAlign w:val="bottom"/>
            <w:tcBorders>
              <w:top w:val="single" w:sz="8" w:color="CFF0FC"/>
            </w:tcBorders>
            <w:shd w:val="clear" w:color="auto" w:fill="CFF0FC"/>
          </w:tcPr>
          <w:p>
            <w:pPr>
              <w:spacing w:after="0"/>
              <w:rPr>
                <w:sz w:val="2"/>
                <w:szCs w:val="2"/>
                <w:color w:val="auto"/>
              </w:rPr>
            </w:pPr>
          </w:p>
        </w:tc>
        <w:tc>
          <w:tcPr>
            <w:tcW w:w="340" w:type="dxa"/>
            <w:vAlign w:val="bottom"/>
            <w:tcBorders>
              <w:top w:val="single" w:sz="8" w:color="CFF0FC"/>
            </w:tcBorders>
            <w:shd w:val="clear" w:color="auto" w:fill="CFF0FC"/>
          </w:tcPr>
          <w:p>
            <w:pPr>
              <w:spacing w:after="0"/>
              <w:rPr>
                <w:sz w:val="2"/>
                <w:szCs w:val="2"/>
                <w:color w:val="auto"/>
              </w:rPr>
            </w:pPr>
          </w:p>
        </w:tc>
        <w:tc>
          <w:tcPr>
            <w:tcW w:w="720" w:type="dxa"/>
            <w:vAlign w:val="bottom"/>
            <w:tcBorders>
              <w:top w:val="single" w:sz="8" w:color="0000FF"/>
            </w:tcBorders>
            <w:shd w:val="clear" w:color="auto" w:fill="CFF0FC"/>
          </w:tcPr>
          <w:p>
            <w:pPr>
              <w:spacing w:after="0"/>
              <w:rPr>
                <w:sz w:val="2"/>
                <w:szCs w:val="2"/>
                <w:color w:val="auto"/>
              </w:rPr>
            </w:pPr>
          </w:p>
        </w:tc>
        <w:tc>
          <w:tcPr>
            <w:tcW w:w="50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500" w:type="dxa"/>
            <w:vAlign w:val="bottom"/>
            <w:tcBorders>
              <w:top w:val="single" w:sz="8" w:color="CFF0FC"/>
            </w:tcBorders>
            <w:shd w:val="clear" w:color="auto" w:fill="CFF0FC"/>
          </w:tcPr>
          <w:p>
            <w:pPr>
              <w:spacing w:after="0"/>
              <w:rPr>
                <w:sz w:val="2"/>
                <w:szCs w:val="2"/>
                <w:color w:val="auto"/>
              </w:rPr>
            </w:pPr>
          </w:p>
        </w:tc>
        <w:tc>
          <w:tcPr>
            <w:tcW w:w="1100" w:type="dxa"/>
            <w:vAlign w:val="bottom"/>
            <w:tcBorders>
              <w:top w:val="single" w:sz="8" w:color="CFF0FC"/>
            </w:tcBorders>
            <w:shd w:val="clear" w:color="auto" w:fill="CFF0FC"/>
          </w:tcPr>
          <w:p>
            <w:pPr>
              <w:spacing w:after="0"/>
              <w:rPr>
                <w:sz w:val="2"/>
                <w:szCs w:val="2"/>
                <w:color w:val="auto"/>
              </w:rPr>
            </w:pPr>
          </w:p>
        </w:tc>
        <w:tc>
          <w:tcPr>
            <w:tcW w:w="58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2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420" w:type="dxa"/>
            <w:vAlign w:val="bottom"/>
            <w:tcBorders>
              <w:top w:val="single" w:sz="8" w:color="CFF0FC"/>
            </w:tcBorders>
            <w:shd w:val="clear" w:color="auto" w:fill="CFF0FC"/>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80" w:type="dxa"/>
            <w:vAlign w:val="bottom"/>
            <w:gridSpan w:val="33"/>
          </w:tcPr>
          <w:p>
            <w:pPr>
              <w:ind w:left="340"/>
              <w:spacing w:after="0"/>
              <w:rPr>
                <w:sz w:val="20"/>
                <w:szCs w:val="20"/>
                <w:color w:val="auto"/>
              </w:rPr>
            </w:pPr>
            <w:r>
              <w:rPr>
                <w:rFonts w:ascii="Arial" w:cs="Arial" w:eastAsia="Arial" w:hAnsi="Arial"/>
                <w:sz w:val="16"/>
                <w:szCs w:val="16"/>
                <w:color w:val="0000FF"/>
              </w:rPr>
              <w:t>Note 5. Property, Plant and Equipment</w:t>
            </w:r>
          </w:p>
        </w:tc>
        <w:tc>
          <w:tcPr>
            <w:tcW w:w="1500" w:type="dxa"/>
            <w:vAlign w:val="bottom"/>
            <w:gridSpan w:val="4"/>
          </w:tcPr>
          <w:p>
            <w:pPr>
              <w:jc w:val="center"/>
              <w:ind w:left="1159"/>
              <w:spacing w:after="0"/>
              <w:rPr>
                <w:sz w:val="20"/>
                <w:szCs w:val="20"/>
                <w:color w:val="auto"/>
              </w:rPr>
            </w:pPr>
            <w:r>
              <w:rPr>
                <w:rFonts w:ascii="Arial" w:cs="Arial" w:eastAsia="Arial" w:hAnsi="Arial"/>
                <w:sz w:val="16"/>
                <w:szCs w:val="16"/>
                <w:color w:val="0000FF"/>
              </w:rPr>
              <w:t>79</w:t>
            </w:r>
          </w:p>
        </w:tc>
        <w:tc>
          <w:tcPr>
            <w:tcW w:w="420" w:type="dxa"/>
            <w:vAlign w:val="bottom"/>
          </w:tcPr>
          <w:p>
            <w:pPr>
              <w:spacing w:after="0"/>
              <w:rPr>
                <w:sz w:val="18"/>
                <w:szCs w:val="18"/>
                <w:color w:val="auto"/>
              </w:rPr>
            </w:pPr>
          </w:p>
        </w:tc>
      </w:tr>
      <w:tr>
        <w:trPr>
          <w:trHeight w:val="34"/>
        </w:trPr>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16"/>
        </w:trPr>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480" w:type="dxa"/>
            <w:vAlign w:val="bottom"/>
            <w:gridSpan w:val="33"/>
            <w:shd w:val="clear" w:color="auto" w:fill="CFF0FC"/>
          </w:tcPr>
          <w:p>
            <w:pPr>
              <w:ind w:left="340"/>
              <w:spacing w:after="0"/>
              <w:rPr>
                <w:sz w:val="20"/>
                <w:szCs w:val="20"/>
                <w:color w:val="auto"/>
              </w:rPr>
            </w:pPr>
            <w:r>
              <w:rPr>
                <w:rFonts w:ascii="Arial" w:cs="Arial" w:eastAsia="Arial" w:hAnsi="Arial"/>
                <w:sz w:val="16"/>
                <w:szCs w:val="16"/>
                <w:color w:val="0000FF"/>
              </w:rPr>
              <w:t>Note 6. Jointly Owned Facilities</w:t>
            </w:r>
          </w:p>
        </w:tc>
        <w:tc>
          <w:tcPr>
            <w:tcW w:w="1500" w:type="dxa"/>
            <w:vAlign w:val="bottom"/>
            <w:gridSpan w:val="4"/>
            <w:shd w:val="clear" w:color="auto" w:fill="CFF0FC"/>
          </w:tcPr>
          <w:p>
            <w:pPr>
              <w:jc w:val="center"/>
              <w:ind w:left="1159"/>
              <w:spacing w:after="0"/>
              <w:rPr>
                <w:sz w:val="20"/>
                <w:szCs w:val="20"/>
                <w:color w:val="auto"/>
              </w:rPr>
            </w:pPr>
            <w:r>
              <w:rPr>
                <w:rFonts w:ascii="Arial" w:cs="Arial" w:eastAsia="Arial" w:hAnsi="Arial"/>
                <w:sz w:val="16"/>
                <w:szCs w:val="16"/>
                <w:color w:val="0000FF"/>
              </w:rPr>
              <w:t>80</w:t>
            </w:r>
          </w:p>
        </w:tc>
        <w:tc>
          <w:tcPr>
            <w:tcW w:w="420" w:type="dxa"/>
            <w:vAlign w:val="bottom"/>
            <w:shd w:val="clear" w:color="auto" w:fill="CFF0FC"/>
          </w:tcPr>
          <w:p>
            <w:pPr>
              <w:spacing w:after="0"/>
              <w:rPr>
                <w:sz w:val="18"/>
                <w:szCs w:val="18"/>
                <w:color w:val="auto"/>
              </w:rPr>
            </w:pPr>
          </w:p>
        </w:tc>
      </w:tr>
      <w:tr>
        <w:trPr>
          <w:trHeight w:val="34"/>
        </w:trPr>
        <w:tc>
          <w:tcPr>
            <w:tcW w:w="12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360" w:type="dxa"/>
            <w:vAlign w:val="bottom"/>
            <w:tcBorders>
              <w:top w:val="single" w:sz="8" w:color="CFF0FC"/>
            </w:tcBorders>
            <w:shd w:val="clear" w:color="auto" w:fill="CFF0FC"/>
          </w:tcPr>
          <w:p>
            <w:pPr>
              <w:spacing w:after="0"/>
              <w:rPr>
                <w:sz w:val="2"/>
                <w:szCs w:val="2"/>
                <w:color w:val="auto"/>
              </w:rPr>
            </w:pPr>
          </w:p>
        </w:tc>
        <w:tc>
          <w:tcPr>
            <w:tcW w:w="680" w:type="dxa"/>
            <w:vAlign w:val="bottom"/>
            <w:tcBorders>
              <w:top w:val="single" w:sz="8" w:color="CFF0FC"/>
            </w:tcBorders>
            <w:shd w:val="clear" w:color="auto" w:fill="CFF0FC"/>
          </w:tcPr>
          <w:p>
            <w:pPr>
              <w:spacing w:after="0"/>
              <w:rPr>
                <w:sz w:val="2"/>
                <w:szCs w:val="2"/>
                <w:color w:val="auto"/>
              </w:rPr>
            </w:pPr>
          </w:p>
        </w:tc>
        <w:tc>
          <w:tcPr>
            <w:tcW w:w="340" w:type="dxa"/>
            <w:vAlign w:val="bottom"/>
            <w:tcBorders>
              <w:top w:val="single" w:sz="8" w:color="CFF0FC"/>
            </w:tcBorders>
            <w:shd w:val="clear" w:color="auto" w:fill="CFF0FC"/>
          </w:tcPr>
          <w:p>
            <w:pPr>
              <w:spacing w:after="0"/>
              <w:rPr>
                <w:sz w:val="2"/>
                <w:szCs w:val="2"/>
                <w:color w:val="auto"/>
              </w:rPr>
            </w:pPr>
          </w:p>
        </w:tc>
        <w:tc>
          <w:tcPr>
            <w:tcW w:w="720" w:type="dxa"/>
            <w:vAlign w:val="bottom"/>
            <w:tcBorders>
              <w:top w:val="single" w:sz="8" w:color="0000FF"/>
            </w:tcBorders>
            <w:shd w:val="clear" w:color="auto" w:fill="CFF0FC"/>
          </w:tcPr>
          <w:p>
            <w:pPr>
              <w:spacing w:after="0"/>
              <w:rPr>
                <w:sz w:val="2"/>
                <w:szCs w:val="2"/>
                <w:color w:val="auto"/>
              </w:rPr>
            </w:pPr>
          </w:p>
        </w:tc>
        <w:tc>
          <w:tcPr>
            <w:tcW w:w="50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28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500" w:type="dxa"/>
            <w:vAlign w:val="bottom"/>
            <w:tcBorders>
              <w:top w:val="single" w:sz="8" w:color="CFF0FC"/>
            </w:tcBorders>
            <w:shd w:val="clear" w:color="auto" w:fill="CFF0FC"/>
          </w:tcPr>
          <w:p>
            <w:pPr>
              <w:spacing w:after="0"/>
              <w:rPr>
                <w:sz w:val="2"/>
                <w:szCs w:val="2"/>
                <w:color w:val="auto"/>
              </w:rPr>
            </w:pPr>
          </w:p>
        </w:tc>
        <w:tc>
          <w:tcPr>
            <w:tcW w:w="1100" w:type="dxa"/>
            <w:vAlign w:val="bottom"/>
            <w:tcBorders>
              <w:top w:val="single" w:sz="8" w:color="CFF0FC"/>
            </w:tcBorders>
            <w:shd w:val="clear" w:color="auto" w:fill="CFF0FC"/>
          </w:tcPr>
          <w:p>
            <w:pPr>
              <w:spacing w:after="0"/>
              <w:rPr>
                <w:sz w:val="2"/>
                <w:szCs w:val="2"/>
                <w:color w:val="auto"/>
              </w:rPr>
            </w:pPr>
          </w:p>
        </w:tc>
        <w:tc>
          <w:tcPr>
            <w:tcW w:w="58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2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420" w:type="dxa"/>
            <w:vAlign w:val="bottom"/>
            <w:tcBorders>
              <w:top w:val="single" w:sz="8" w:color="CFF0FC"/>
            </w:tcBorders>
            <w:shd w:val="clear" w:color="auto" w:fill="CFF0FC"/>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80" w:type="dxa"/>
            <w:vAlign w:val="bottom"/>
            <w:gridSpan w:val="33"/>
          </w:tcPr>
          <w:p>
            <w:pPr>
              <w:ind w:left="340"/>
              <w:spacing w:after="0"/>
              <w:rPr>
                <w:sz w:val="20"/>
                <w:szCs w:val="20"/>
                <w:color w:val="auto"/>
              </w:rPr>
            </w:pPr>
            <w:r>
              <w:rPr>
                <w:rFonts w:ascii="Arial" w:cs="Arial" w:eastAsia="Arial" w:hAnsi="Arial"/>
                <w:sz w:val="16"/>
                <w:szCs w:val="16"/>
                <w:color w:val="0000FF"/>
              </w:rPr>
              <w:t>Note 7. Asset Retirement Obligations</w:t>
            </w:r>
          </w:p>
        </w:tc>
        <w:tc>
          <w:tcPr>
            <w:tcW w:w="1500" w:type="dxa"/>
            <w:vAlign w:val="bottom"/>
            <w:gridSpan w:val="4"/>
          </w:tcPr>
          <w:p>
            <w:pPr>
              <w:jc w:val="center"/>
              <w:ind w:left="1159"/>
              <w:spacing w:after="0"/>
              <w:rPr>
                <w:sz w:val="20"/>
                <w:szCs w:val="20"/>
                <w:color w:val="auto"/>
              </w:rPr>
            </w:pPr>
            <w:r>
              <w:rPr>
                <w:rFonts w:ascii="Arial" w:cs="Arial" w:eastAsia="Arial" w:hAnsi="Arial"/>
                <w:sz w:val="16"/>
                <w:szCs w:val="16"/>
                <w:color w:val="0000FF"/>
              </w:rPr>
              <w:t>80</w:t>
            </w:r>
          </w:p>
        </w:tc>
        <w:tc>
          <w:tcPr>
            <w:tcW w:w="420" w:type="dxa"/>
            <w:vAlign w:val="bottom"/>
          </w:tcPr>
          <w:p>
            <w:pPr>
              <w:spacing w:after="0"/>
              <w:rPr>
                <w:sz w:val="18"/>
                <w:szCs w:val="18"/>
                <w:color w:val="auto"/>
              </w:rPr>
            </w:pPr>
          </w:p>
        </w:tc>
      </w:tr>
      <w:tr>
        <w:trPr>
          <w:trHeight w:val="34"/>
        </w:trPr>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16"/>
        </w:trPr>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480" w:type="dxa"/>
            <w:vAlign w:val="bottom"/>
            <w:gridSpan w:val="33"/>
            <w:shd w:val="clear" w:color="auto" w:fill="CFF0FC"/>
          </w:tcPr>
          <w:p>
            <w:pPr>
              <w:ind w:left="340"/>
              <w:spacing w:after="0"/>
              <w:rPr>
                <w:sz w:val="20"/>
                <w:szCs w:val="20"/>
                <w:color w:val="auto"/>
              </w:rPr>
            </w:pPr>
            <w:r>
              <w:rPr>
                <w:rFonts w:ascii="Arial" w:cs="Arial" w:eastAsia="Arial" w:hAnsi="Arial"/>
                <w:sz w:val="16"/>
                <w:szCs w:val="16"/>
                <w:color w:val="0000FF"/>
              </w:rPr>
              <w:t>Note 8. Financing</w:t>
            </w:r>
          </w:p>
        </w:tc>
        <w:tc>
          <w:tcPr>
            <w:tcW w:w="1500" w:type="dxa"/>
            <w:vAlign w:val="bottom"/>
            <w:gridSpan w:val="4"/>
            <w:shd w:val="clear" w:color="auto" w:fill="CFF0FC"/>
          </w:tcPr>
          <w:p>
            <w:pPr>
              <w:jc w:val="center"/>
              <w:ind w:left="1159"/>
              <w:spacing w:after="0"/>
              <w:rPr>
                <w:sz w:val="20"/>
                <w:szCs w:val="20"/>
                <w:color w:val="auto"/>
              </w:rPr>
            </w:pPr>
            <w:r>
              <w:rPr>
                <w:rFonts w:ascii="Arial" w:cs="Arial" w:eastAsia="Arial" w:hAnsi="Arial"/>
                <w:sz w:val="16"/>
                <w:szCs w:val="16"/>
                <w:color w:val="0000FF"/>
              </w:rPr>
              <w:t>81</w:t>
            </w:r>
          </w:p>
        </w:tc>
        <w:tc>
          <w:tcPr>
            <w:tcW w:w="420" w:type="dxa"/>
            <w:vAlign w:val="bottom"/>
            <w:shd w:val="clear" w:color="auto" w:fill="CFF0FC"/>
          </w:tcPr>
          <w:p>
            <w:pPr>
              <w:spacing w:after="0"/>
              <w:rPr>
                <w:sz w:val="18"/>
                <w:szCs w:val="18"/>
                <w:color w:val="auto"/>
              </w:rPr>
            </w:pPr>
          </w:p>
        </w:tc>
      </w:tr>
      <w:tr>
        <w:trPr>
          <w:trHeight w:val="34"/>
        </w:trPr>
        <w:tc>
          <w:tcPr>
            <w:tcW w:w="12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360" w:type="dxa"/>
            <w:vAlign w:val="bottom"/>
            <w:tcBorders>
              <w:top w:val="single" w:sz="8" w:color="CFF0FC"/>
            </w:tcBorders>
            <w:shd w:val="clear" w:color="auto" w:fill="CFF0FC"/>
          </w:tcPr>
          <w:p>
            <w:pPr>
              <w:spacing w:after="0"/>
              <w:rPr>
                <w:sz w:val="2"/>
                <w:szCs w:val="2"/>
                <w:color w:val="auto"/>
              </w:rPr>
            </w:pPr>
          </w:p>
        </w:tc>
        <w:tc>
          <w:tcPr>
            <w:tcW w:w="680" w:type="dxa"/>
            <w:vAlign w:val="bottom"/>
            <w:tcBorders>
              <w:top w:val="single" w:sz="8" w:color="CFF0FC"/>
            </w:tcBorders>
            <w:shd w:val="clear" w:color="auto" w:fill="CFF0FC"/>
          </w:tcPr>
          <w:p>
            <w:pPr>
              <w:spacing w:after="0"/>
              <w:rPr>
                <w:sz w:val="2"/>
                <w:szCs w:val="2"/>
                <w:color w:val="auto"/>
              </w:rPr>
            </w:pPr>
          </w:p>
        </w:tc>
        <w:tc>
          <w:tcPr>
            <w:tcW w:w="340" w:type="dxa"/>
            <w:vAlign w:val="bottom"/>
            <w:tcBorders>
              <w:top w:val="single" w:sz="8" w:color="CFF0FC"/>
            </w:tcBorders>
            <w:shd w:val="clear" w:color="auto" w:fill="CFF0FC"/>
          </w:tcPr>
          <w:p>
            <w:pPr>
              <w:spacing w:after="0"/>
              <w:rPr>
                <w:sz w:val="2"/>
                <w:szCs w:val="2"/>
                <w:color w:val="auto"/>
              </w:rPr>
            </w:pPr>
          </w:p>
        </w:tc>
        <w:tc>
          <w:tcPr>
            <w:tcW w:w="720" w:type="dxa"/>
            <w:vAlign w:val="bottom"/>
            <w:tcBorders>
              <w:top w:val="single" w:sz="8" w:color="0000FF"/>
            </w:tcBorders>
            <w:shd w:val="clear" w:color="auto" w:fill="CFF0FC"/>
          </w:tcPr>
          <w:p>
            <w:pPr>
              <w:spacing w:after="0"/>
              <w:rPr>
                <w:sz w:val="2"/>
                <w:szCs w:val="2"/>
                <w:color w:val="auto"/>
              </w:rPr>
            </w:pPr>
          </w:p>
        </w:tc>
        <w:tc>
          <w:tcPr>
            <w:tcW w:w="50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500" w:type="dxa"/>
            <w:vAlign w:val="bottom"/>
            <w:tcBorders>
              <w:top w:val="single" w:sz="8" w:color="CFF0FC"/>
            </w:tcBorders>
            <w:shd w:val="clear" w:color="auto" w:fill="CFF0FC"/>
          </w:tcPr>
          <w:p>
            <w:pPr>
              <w:spacing w:after="0"/>
              <w:rPr>
                <w:sz w:val="2"/>
                <w:szCs w:val="2"/>
                <w:color w:val="auto"/>
              </w:rPr>
            </w:pPr>
          </w:p>
        </w:tc>
        <w:tc>
          <w:tcPr>
            <w:tcW w:w="1100" w:type="dxa"/>
            <w:vAlign w:val="bottom"/>
            <w:tcBorders>
              <w:top w:val="single" w:sz="8" w:color="CFF0FC"/>
            </w:tcBorders>
            <w:shd w:val="clear" w:color="auto" w:fill="CFF0FC"/>
          </w:tcPr>
          <w:p>
            <w:pPr>
              <w:spacing w:after="0"/>
              <w:rPr>
                <w:sz w:val="2"/>
                <w:szCs w:val="2"/>
                <w:color w:val="auto"/>
              </w:rPr>
            </w:pPr>
          </w:p>
        </w:tc>
        <w:tc>
          <w:tcPr>
            <w:tcW w:w="58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2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420" w:type="dxa"/>
            <w:vAlign w:val="bottom"/>
            <w:tcBorders>
              <w:top w:val="single" w:sz="8" w:color="CFF0FC"/>
            </w:tcBorders>
            <w:shd w:val="clear" w:color="auto" w:fill="CFF0FC"/>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80" w:type="dxa"/>
            <w:vAlign w:val="bottom"/>
            <w:gridSpan w:val="33"/>
          </w:tcPr>
          <w:p>
            <w:pPr>
              <w:ind w:left="340"/>
              <w:spacing w:after="0"/>
              <w:rPr>
                <w:sz w:val="20"/>
                <w:szCs w:val="20"/>
                <w:color w:val="auto"/>
              </w:rPr>
            </w:pPr>
            <w:r>
              <w:rPr>
                <w:rFonts w:ascii="Arial" w:cs="Arial" w:eastAsia="Arial" w:hAnsi="Arial"/>
                <w:sz w:val="16"/>
                <w:szCs w:val="16"/>
                <w:color w:val="0000FF"/>
              </w:rPr>
              <w:t>Note 9. Risk Management and Derivatives</w:t>
            </w:r>
          </w:p>
        </w:tc>
        <w:tc>
          <w:tcPr>
            <w:tcW w:w="1500" w:type="dxa"/>
            <w:vAlign w:val="bottom"/>
            <w:gridSpan w:val="4"/>
          </w:tcPr>
          <w:p>
            <w:pPr>
              <w:jc w:val="center"/>
              <w:ind w:left="1159"/>
              <w:spacing w:after="0"/>
              <w:rPr>
                <w:sz w:val="20"/>
                <w:szCs w:val="20"/>
                <w:color w:val="auto"/>
              </w:rPr>
            </w:pPr>
            <w:r>
              <w:rPr>
                <w:rFonts w:ascii="Arial" w:cs="Arial" w:eastAsia="Arial" w:hAnsi="Arial"/>
                <w:sz w:val="16"/>
                <w:szCs w:val="16"/>
                <w:color w:val="0000FF"/>
              </w:rPr>
              <w:t>84</w:t>
            </w:r>
          </w:p>
        </w:tc>
        <w:tc>
          <w:tcPr>
            <w:tcW w:w="420" w:type="dxa"/>
            <w:vAlign w:val="bottom"/>
          </w:tcPr>
          <w:p>
            <w:pPr>
              <w:spacing w:after="0"/>
              <w:rPr>
                <w:sz w:val="18"/>
                <w:szCs w:val="18"/>
                <w:color w:val="auto"/>
              </w:rPr>
            </w:pPr>
          </w:p>
        </w:tc>
      </w:tr>
      <w:tr>
        <w:trPr>
          <w:trHeight w:val="34"/>
        </w:trPr>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16"/>
        </w:trPr>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480" w:type="dxa"/>
            <w:vAlign w:val="bottom"/>
            <w:gridSpan w:val="33"/>
            <w:shd w:val="clear" w:color="auto" w:fill="CFF0FC"/>
          </w:tcPr>
          <w:p>
            <w:pPr>
              <w:ind w:left="340"/>
              <w:spacing w:after="0"/>
              <w:rPr>
                <w:sz w:val="20"/>
                <w:szCs w:val="20"/>
                <w:color w:val="auto"/>
              </w:rPr>
            </w:pPr>
            <w:r>
              <w:rPr>
                <w:rFonts w:ascii="Arial" w:cs="Arial" w:eastAsia="Arial" w:hAnsi="Arial"/>
                <w:sz w:val="16"/>
                <w:szCs w:val="16"/>
                <w:color w:val="0000FF"/>
              </w:rPr>
              <w:t>Note 10. Fair Value Measurements</w:t>
            </w:r>
          </w:p>
        </w:tc>
        <w:tc>
          <w:tcPr>
            <w:tcW w:w="1500" w:type="dxa"/>
            <w:vAlign w:val="bottom"/>
            <w:gridSpan w:val="4"/>
            <w:shd w:val="clear" w:color="auto" w:fill="CFF0FC"/>
          </w:tcPr>
          <w:p>
            <w:pPr>
              <w:jc w:val="center"/>
              <w:ind w:left="1159"/>
              <w:spacing w:after="0"/>
              <w:rPr>
                <w:sz w:val="20"/>
                <w:szCs w:val="20"/>
                <w:color w:val="auto"/>
              </w:rPr>
            </w:pPr>
            <w:r>
              <w:rPr>
                <w:rFonts w:ascii="Arial" w:cs="Arial" w:eastAsia="Arial" w:hAnsi="Arial"/>
                <w:sz w:val="16"/>
                <w:szCs w:val="16"/>
                <w:color w:val="0000FF"/>
              </w:rPr>
              <w:t>87</w:t>
            </w:r>
          </w:p>
        </w:tc>
        <w:tc>
          <w:tcPr>
            <w:tcW w:w="420" w:type="dxa"/>
            <w:vAlign w:val="bottom"/>
            <w:shd w:val="clear" w:color="auto" w:fill="CFF0FC"/>
          </w:tcPr>
          <w:p>
            <w:pPr>
              <w:spacing w:after="0"/>
              <w:rPr>
                <w:sz w:val="18"/>
                <w:szCs w:val="18"/>
                <w:color w:val="auto"/>
              </w:rPr>
            </w:pPr>
          </w:p>
        </w:tc>
      </w:tr>
      <w:tr>
        <w:trPr>
          <w:trHeight w:val="34"/>
        </w:trPr>
        <w:tc>
          <w:tcPr>
            <w:tcW w:w="12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360" w:type="dxa"/>
            <w:vAlign w:val="bottom"/>
            <w:tcBorders>
              <w:top w:val="single" w:sz="8" w:color="CFF0FC"/>
            </w:tcBorders>
            <w:shd w:val="clear" w:color="auto" w:fill="CFF0FC"/>
          </w:tcPr>
          <w:p>
            <w:pPr>
              <w:spacing w:after="0"/>
              <w:rPr>
                <w:sz w:val="2"/>
                <w:szCs w:val="2"/>
                <w:color w:val="auto"/>
              </w:rPr>
            </w:pPr>
          </w:p>
        </w:tc>
        <w:tc>
          <w:tcPr>
            <w:tcW w:w="680" w:type="dxa"/>
            <w:vAlign w:val="bottom"/>
            <w:tcBorders>
              <w:top w:val="single" w:sz="8" w:color="CFF0FC"/>
            </w:tcBorders>
            <w:shd w:val="clear" w:color="auto" w:fill="CFF0FC"/>
          </w:tcPr>
          <w:p>
            <w:pPr>
              <w:spacing w:after="0"/>
              <w:rPr>
                <w:sz w:val="2"/>
                <w:szCs w:val="2"/>
                <w:color w:val="auto"/>
              </w:rPr>
            </w:pPr>
          </w:p>
        </w:tc>
        <w:tc>
          <w:tcPr>
            <w:tcW w:w="340" w:type="dxa"/>
            <w:vAlign w:val="bottom"/>
            <w:tcBorders>
              <w:top w:val="single" w:sz="8" w:color="CFF0FC"/>
            </w:tcBorders>
            <w:shd w:val="clear" w:color="auto" w:fill="CFF0FC"/>
          </w:tcPr>
          <w:p>
            <w:pPr>
              <w:spacing w:after="0"/>
              <w:rPr>
                <w:sz w:val="2"/>
                <w:szCs w:val="2"/>
                <w:color w:val="auto"/>
              </w:rPr>
            </w:pPr>
          </w:p>
        </w:tc>
        <w:tc>
          <w:tcPr>
            <w:tcW w:w="720" w:type="dxa"/>
            <w:vAlign w:val="bottom"/>
            <w:tcBorders>
              <w:top w:val="single" w:sz="8" w:color="0000FF"/>
            </w:tcBorders>
            <w:shd w:val="clear" w:color="auto" w:fill="CFF0FC"/>
          </w:tcPr>
          <w:p>
            <w:pPr>
              <w:spacing w:after="0"/>
              <w:rPr>
                <w:sz w:val="2"/>
                <w:szCs w:val="2"/>
                <w:color w:val="auto"/>
              </w:rPr>
            </w:pPr>
          </w:p>
        </w:tc>
        <w:tc>
          <w:tcPr>
            <w:tcW w:w="50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28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500" w:type="dxa"/>
            <w:vAlign w:val="bottom"/>
            <w:tcBorders>
              <w:top w:val="single" w:sz="8" w:color="CFF0FC"/>
            </w:tcBorders>
            <w:shd w:val="clear" w:color="auto" w:fill="CFF0FC"/>
          </w:tcPr>
          <w:p>
            <w:pPr>
              <w:spacing w:after="0"/>
              <w:rPr>
                <w:sz w:val="2"/>
                <w:szCs w:val="2"/>
                <w:color w:val="auto"/>
              </w:rPr>
            </w:pPr>
          </w:p>
        </w:tc>
        <w:tc>
          <w:tcPr>
            <w:tcW w:w="1100" w:type="dxa"/>
            <w:vAlign w:val="bottom"/>
            <w:tcBorders>
              <w:top w:val="single" w:sz="8" w:color="CFF0FC"/>
            </w:tcBorders>
            <w:shd w:val="clear" w:color="auto" w:fill="CFF0FC"/>
          </w:tcPr>
          <w:p>
            <w:pPr>
              <w:spacing w:after="0"/>
              <w:rPr>
                <w:sz w:val="2"/>
                <w:szCs w:val="2"/>
                <w:color w:val="auto"/>
              </w:rPr>
            </w:pPr>
          </w:p>
        </w:tc>
        <w:tc>
          <w:tcPr>
            <w:tcW w:w="58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2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420" w:type="dxa"/>
            <w:vAlign w:val="bottom"/>
            <w:tcBorders>
              <w:top w:val="single" w:sz="8" w:color="CFF0FC"/>
            </w:tcBorders>
            <w:shd w:val="clear" w:color="auto" w:fill="CFF0FC"/>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80" w:type="dxa"/>
            <w:vAlign w:val="bottom"/>
            <w:gridSpan w:val="33"/>
          </w:tcPr>
          <w:p>
            <w:pPr>
              <w:ind w:left="340"/>
              <w:spacing w:after="0"/>
              <w:rPr>
                <w:sz w:val="20"/>
                <w:szCs w:val="20"/>
                <w:color w:val="auto"/>
              </w:rPr>
            </w:pPr>
            <w:r>
              <w:rPr>
                <w:rFonts w:ascii="Arial" w:cs="Arial" w:eastAsia="Arial" w:hAnsi="Arial"/>
                <w:sz w:val="16"/>
                <w:szCs w:val="16"/>
                <w:color w:val="0000FF"/>
              </w:rPr>
              <w:t>Note 11. Other Comprehensive Income</w:t>
            </w:r>
          </w:p>
        </w:tc>
        <w:tc>
          <w:tcPr>
            <w:tcW w:w="1500" w:type="dxa"/>
            <w:vAlign w:val="bottom"/>
            <w:gridSpan w:val="4"/>
          </w:tcPr>
          <w:p>
            <w:pPr>
              <w:jc w:val="center"/>
              <w:ind w:left="1159"/>
              <w:spacing w:after="0"/>
              <w:rPr>
                <w:sz w:val="20"/>
                <w:szCs w:val="20"/>
                <w:color w:val="auto"/>
              </w:rPr>
            </w:pPr>
            <w:r>
              <w:rPr>
                <w:rFonts w:ascii="Arial" w:cs="Arial" w:eastAsia="Arial" w:hAnsi="Arial"/>
                <w:sz w:val="16"/>
                <w:szCs w:val="16"/>
                <w:color w:val="0000FF"/>
              </w:rPr>
              <w:t>88</w:t>
            </w:r>
          </w:p>
        </w:tc>
        <w:tc>
          <w:tcPr>
            <w:tcW w:w="420" w:type="dxa"/>
            <w:vAlign w:val="bottom"/>
          </w:tcPr>
          <w:p>
            <w:pPr>
              <w:spacing w:after="0"/>
              <w:rPr>
                <w:sz w:val="18"/>
                <w:szCs w:val="18"/>
                <w:color w:val="auto"/>
              </w:rPr>
            </w:pPr>
          </w:p>
        </w:tc>
      </w:tr>
      <w:tr>
        <w:trPr>
          <w:trHeight w:val="34"/>
        </w:trPr>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16"/>
        </w:trPr>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480" w:type="dxa"/>
            <w:vAlign w:val="bottom"/>
            <w:gridSpan w:val="33"/>
            <w:shd w:val="clear" w:color="auto" w:fill="CFF0FC"/>
          </w:tcPr>
          <w:p>
            <w:pPr>
              <w:ind w:left="340"/>
              <w:spacing w:after="0"/>
              <w:rPr>
                <w:sz w:val="20"/>
                <w:szCs w:val="20"/>
                <w:color w:val="auto"/>
              </w:rPr>
            </w:pPr>
            <w:r>
              <w:rPr>
                <w:rFonts w:ascii="Arial" w:cs="Arial" w:eastAsia="Arial" w:hAnsi="Arial"/>
                <w:sz w:val="16"/>
                <w:szCs w:val="16"/>
                <w:color w:val="0000FF"/>
              </w:rPr>
              <w:t>Note 12. Variable Interest Entity</w:t>
            </w:r>
          </w:p>
        </w:tc>
        <w:tc>
          <w:tcPr>
            <w:tcW w:w="1500" w:type="dxa"/>
            <w:vAlign w:val="bottom"/>
            <w:gridSpan w:val="4"/>
            <w:shd w:val="clear" w:color="auto" w:fill="CFF0FC"/>
          </w:tcPr>
          <w:p>
            <w:pPr>
              <w:jc w:val="center"/>
              <w:ind w:left="1159"/>
              <w:spacing w:after="0"/>
              <w:rPr>
                <w:sz w:val="20"/>
                <w:szCs w:val="20"/>
                <w:color w:val="auto"/>
              </w:rPr>
            </w:pPr>
            <w:r>
              <w:rPr>
                <w:rFonts w:ascii="Arial" w:cs="Arial" w:eastAsia="Arial" w:hAnsi="Arial"/>
                <w:sz w:val="16"/>
                <w:szCs w:val="16"/>
                <w:color w:val="0000FF"/>
              </w:rPr>
              <w:t>89</w:t>
            </w:r>
          </w:p>
        </w:tc>
        <w:tc>
          <w:tcPr>
            <w:tcW w:w="420" w:type="dxa"/>
            <w:vAlign w:val="bottom"/>
            <w:shd w:val="clear" w:color="auto" w:fill="CFF0FC"/>
          </w:tcPr>
          <w:p>
            <w:pPr>
              <w:spacing w:after="0"/>
              <w:rPr>
                <w:sz w:val="18"/>
                <w:szCs w:val="18"/>
                <w:color w:val="auto"/>
              </w:rPr>
            </w:pPr>
          </w:p>
        </w:tc>
      </w:tr>
      <w:tr>
        <w:trPr>
          <w:trHeight w:val="34"/>
        </w:trPr>
        <w:tc>
          <w:tcPr>
            <w:tcW w:w="12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360" w:type="dxa"/>
            <w:vAlign w:val="bottom"/>
            <w:tcBorders>
              <w:top w:val="single" w:sz="8" w:color="CFF0FC"/>
            </w:tcBorders>
            <w:shd w:val="clear" w:color="auto" w:fill="CFF0FC"/>
          </w:tcPr>
          <w:p>
            <w:pPr>
              <w:spacing w:after="0"/>
              <w:rPr>
                <w:sz w:val="2"/>
                <w:szCs w:val="2"/>
                <w:color w:val="auto"/>
              </w:rPr>
            </w:pPr>
          </w:p>
        </w:tc>
        <w:tc>
          <w:tcPr>
            <w:tcW w:w="680" w:type="dxa"/>
            <w:vAlign w:val="bottom"/>
            <w:tcBorders>
              <w:top w:val="single" w:sz="8" w:color="CFF0FC"/>
            </w:tcBorders>
            <w:shd w:val="clear" w:color="auto" w:fill="CFF0FC"/>
          </w:tcPr>
          <w:p>
            <w:pPr>
              <w:spacing w:after="0"/>
              <w:rPr>
                <w:sz w:val="2"/>
                <w:szCs w:val="2"/>
                <w:color w:val="auto"/>
              </w:rPr>
            </w:pPr>
          </w:p>
        </w:tc>
        <w:tc>
          <w:tcPr>
            <w:tcW w:w="340" w:type="dxa"/>
            <w:vAlign w:val="bottom"/>
            <w:tcBorders>
              <w:top w:val="single" w:sz="8" w:color="CFF0FC"/>
            </w:tcBorders>
            <w:shd w:val="clear" w:color="auto" w:fill="CFF0FC"/>
          </w:tcPr>
          <w:p>
            <w:pPr>
              <w:spacing w:after="0"/>
              <w:rPr>
                <w:sz w:val="2"/>
                <w:szCs w:val="2"/>
                <w:color w:val="auto"/>
              </w:rPr>
            </w:pPr>
          </w:p>
        </w:tc>
        <w:tc>
          <w:tcPr>
            <w:tcW w:w="720" w:type="dxa"/>
            <w:vAlign w:val="bottom"/>
            <w:tcBorders>
              <w:top w:val="single" w:sz="8" w:color="0000FF"/>
            </w:tcBorders>
            <w:shd w:val="clear" w:color="auto" w:fill="CFF0FC"/>
          </w:tcPr>
          <w:p>
            <w:pPr>
              <w:spacing w:after="0"/>
              <w:rPr>
                <w:sz w:val="2"/>
                <w:szCs w:val="2"/>
                <w:color w:val="auto"/>
              </w:rPr>
            </w:pPr>
          </w:p>
        </w:tc>
        <w:tc>
          <w:tcPr>
            <w:tcW w:w="50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28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500" w:type="dxa"/>
            <w:vAlign w:val="bottom"/>
            <w:tcBorders>
              <w:top w:val="single" w:sz="8" w:color="CFF0FC"/>
            </w:tcBorders>
            <w:shd w:val="clear" w:color="auto" w:fill="CFF0FC"/>
          </w:tcPr>
          <w:p>
            <w:pPr>
              <w:spacing w:after="0"/>
              <w:rPr>
                <w:sz w:val="2"/>
                <w:szCs w:val="2"/>
                <w:color w:val="auto"/>
              </w:rPr>
            </w:pPr>
          </w:p>
        </w:tc>
        <w:tc>
          <w:tcPr>
            <w:tcW w:w="1100" w:type="dxa"/>
            <w:vAlign w:val="bottom"/>
            <w:tcBorders>
              <w:top w:val="single" w:sz="8" w:color="CFF0FC"/>
            </w:tcBorders>
            <w:shd w:val="clear" w:color="auto" w:fill="CFF0FC"/>
          </w:tcPr>
          <w:p>
            <w:pPr>
              <w:spacing w:after="0"/>
              <w:rPr>
                <w:sz w:val="2"/>
                <w:szCs w:val="2"/>
                <w:color w:val="auto"/>
              </w:rPr>
            </w:pPr>
          </w:p>
        </w:tc>
        <w:tc>
          <w:tcPr>
            <w:tcW w:w="58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2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420" w:type="dxa"/>
            <w:vAlign w:val="bottom"/>
            <w:tcBorders>
              <w:top w:val="single" w:sz="8" w:color="CFF0FC"/>
            </w:tcBorders>
            <w:shd w:val="clear" w:color="auto" w:fill="CFF0FC"/>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80" w:type="dxa"/>
            <w:vAlign w:val="bottom"/>
            <w:gridSpan w:val="33"/>
          </w:tcPr>
          <w:p>
            <w:pPr>
              <w:ind w:left="340"/>
              <w:spacing w:after="0"/>
              <w:rPr>
                <w:sz w:val="20"/>
                <w:szCs w:val="20"/>
                <w:color w:val="auto"/>
              </w:rPr>
            </w:pPr>
            <w:r>
              <w:rPr>
                <w:rFonts w:ascii="Arial" w:cs="Arial" w:eastAsia="Arial" w:hAnsi="Arial"/>
                <w:sz w:val="16"/>
                <w:szCs w:val="16"/>
                <w:color w:val="0000FF"/>
              </w:rPr>
              <w:t>Note 13. Employee Benefit Plans</w:t>
            </w:r>
          </w:p>
        </w:tc>
        <w:tc>
          <w:tcPr>
            <w:tcW w:w="1500" w:type="dxa"/>
            <w:vAlign w:val="bottom"/>
            <w:gridSpan w:val="4"/>
          </w:tcPr>
          <w:p>
            <w:pPr>
              <w:jc w:val="center"/>
              <w:ind w:left="1159"/>
              <w:spacing w:after="0"/>
              <w:rPr>
                <w:sz w:val="20"/>
                <w:szCs w:val="20"/>
                <w:color w:val="auto"/>
              </w:rPr>
            </w:pPr>
            <w:r>
              <w:rPr>
                <w:rFonts w:ascii="Arial" w:cs="Arial" w:eastAsia="Arial" w:hAnsi="Arial"/>
                <w:sz w:val="16"/>
                <w:szCs w:val="16"/>
                <w:color w:val="0000FF"/>
              </w:rPr>
              <w:t>90</w:t>
            </w:r>
          </w:p>
        </w:tc>
        <w:tc>
          <w:tcPr>
            <w:tcW w:w="420" w:type="dxa"/>
            <w:vAlign w:val="bottom"/>
          </w:tcPr>
          <w:p>
            <w:pPr>
              <w:spacing w:after="0"/>
              <w:rPr>
                <w:sz w:val="18"/>
                <w:szCs w:val="18"/>
                <w:color w:val="auto"/>
              </w:rPr>
            </w:pPr>
          </w:p>
        </w:tc>
      </w:tr>
      <w:tr>
        <w:trPr>
          <w:trHeight w:val="34"/>
        </w:trPr>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16"/>
        </w:trPr>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480" w:type="dxa"/>
            <w:vAlign w:val="bottom"/>
            <w:gridSpan w:val="33"/>
            <w:shd w:val="clear" w:color="auto" w:fill="CFF0FC"/>
          </w:tcPr>
          <w:p>
            <w:pPr>
              <w:ind w:left="340"/>
              <w:spacing w:after="0"/>
              <w:rPr>
                <w:sz w:val="20"/>
                <w:szCs w:val="20"/>
                <w:color w:val="auto"/>
              </w:rPr>
            </w:pPr>
            <w:r>
              <w:rPr>
                <w:rFonts w:ascii="Arial" w:cs="Arial" w:eastAsia="Arial" w:hAnsi="Arial"/>
                <w:sz w:val="16"/>
                <w:szCs w:val="16"/>
                <w:color w:val="0000FF"/>
              </w:rPr>
              <w:t>Note 14. Share-based Compensation Plans</w:t>
            </w:r>
          </w:p>
        </w:tc>
        <w:tc>
          <w:tcPr>
            <w:tcW w:w="1500" w:type="dxa"/>
            <w:vAlign w:val="bottom"/>
            <w:gridSpan w:val="4"/>
            <w:shd w:val="clear" w:color="auto" w:fill="CFF0FC"/>
          </w:tcPr>
          <w:p>
            <w:pPr>
              <w:jc w:val="center"/>
              <w:ind w:left="1159"/>
              <w:spacing w:after="0"/>
              <w:rPr>
                <w:sz w:val="20"/>
                <w:szCs w:val="20"/>
                <w:color w:val="auto"/>
              </w:rPr>
            </w:pPr>
            <w:r>
              <w:rPr>
                <w:rFonts w:ascii="Arial" w:cs="Arial" w:eastAsia="Arial" w:hAnsi="Arial"/>
                <w:sz w:val="16"/>
                <w:szCs w:val="16"/>
                <w:color w:val="0000FF"/>
              </w:rPr>
              <w:t>94</w:t>
            </w:r>
          </w:p>
        </w:tc>
        <w:tc>
          <w:tcPr>
            <w:tcW w:w="420" w:type="dxa"/>
            <w:vAlign w:val="bottom"/>
            <w:shd w:val="clear" w:color="auto" w:fill="CFF0FC"/>
          </w:tcPr>
          <w:p>
            <w:pPr>
              <w:spacing w:after="0"/>
              <w:rPr>
                <w:sz w:val="18"/>
                <w:szCs w:val="18"/>
                <w:color w:val="auto"/>
              </w:rPr>
            </w:pPr>
          </w:p>
        </w:tc>
      </w:tr>
      <w:tr>
        <w:trPr>
          <w:trHeight w:val="34"/>
        </w:trPr>
        <w:tc>
          <w:tcPr>
            <w:tcW w:w="12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360" w:type="dxa"/>
            <w:vAlign w:val="bottom"/>
            <w:tcBorders>
              <w:top w:val="single" w:sz="8" w:color="CFF0FC"/>
            </w:tcBorders>
            <w:shd w:val="clear" w:color="auto" w:fill="CFF0FC"/>
          </w:tcPr>
          <w:p>
            <w:pPr>
              <w:spacing w:after="0"/>
              <w:rPr>
                <w:sz w:val="2"/>
                <w:szCs w:val="2"/>
                <w:color w:val="auto"/>
              </w:rPr>
            </w:pPr>
          </w:p>
        </w:tc>
        <w:tc>
          <w:tcPr>
            <w:tcW w:w="680" w:type="dxa"/>
            <w:vAlign w:val="bottom"/>
            <w:tcBorders>
              <w:top w:val="single" w:sz="8" w:color="CFF0FC"/>
            </w:tcBorders>
            <w:shd w:val="clear" w:color="auto" w:fill="CFF0FC"/>
          </w:tcPr>
          <w:p>
            <w:pPr>
              <w:spacing w:after="0"/>
              <w:rPr>
                <w:sz w:val="2"/>
                <w:szCs w:val="2"/>
                <w:color w:val="auto"/>
              </w:rPr>
            </w:pPr>
          </w:p>
        </w:tc>
        <w:tc>
          <w:tcPr>
            <w:tcW w:w="340" w:type="dxa"/>
            <w:vAlign w:val="bottom"/>
            <w:tcBorders>
              <w:top w:val="single" w:sz="8" w:color="CFF0FC"/>
            </w:tcBorders>
            <w:shd w:val="clear" w:color="auto" w:fill="CFF0FC"/>
          </w:tcPr>
          <w:p>
            <w:pPr>
              <w:spacing w:after="0"/>
              <w:rPr>
                <w:sz w:val="2"/>
                <w:szCs w:val="2"/>
                <w:color w:val="auto"/>
              </w:rPr>
            </w:pPr>
          </w:p>
        </w:tc>
        <w:tc>
          <w:tcPr>
            <w:tcW w:w="720" w:type="dxa"/>
            <w:vAlign w:val="bottom"/>
            <w:tcBorders>
              <w:top w:val="single" w:sz="8" w:color="0000FF"/>
            </w:tcBorders>
            <w:shd w:val="clear" w:color="auto" w:fill="CFF0FC"/>
          </w:tcPr>
          <w:p>
            <w:pPr>
              <w:spacing w:after="0"/>
              <w:rPr>
                <w:sz w:val="2"/>
                <w:szCs w:val="2"/>
                <w:color w:val="auto"/>
              </w:rPr>
            </w:pPr>
          </w:p>
        </w:tc>
        <w:tc>
          <w:tcPr>
            <w:tcW w:w="50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28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500" w:type="dxa"/>
            <w:vAlign w:val="bottom"/>
            <w:tcBorders>
              <w:top w:val="single" w:sz="8" w:color="CFF0FC"/>
            </w:tcBorders>
            <w:shd w:val="clear" w:color="auto" w:fill="CFF0FC"/>
          </w:tcPr>
          <w:p>
            <w:pPr>
              <w:spacing w:after="0"/>
              <w:rPr>
                <w:sz w:val="2"/>
                <w:szCs w:val="2"/>
                <w:color w:val="auto"/>
              </w:rPr>
            </w:pPr>
          </w:p>
        </w:tc>
        <w:tc>
          <w:tcPr>
            <w:tcW w:w="1100" w:type="dxa"/>
            <w:vAlign w:val="bottom"/>
            <w:tcBorders>
              <w:top w:val="single" w:sz="8" w:color="CFF0FC"/>
            </w:tcBorders>
            <w:shd w:val="clear" w:color="auto" w:fill="CFF0FC"/>
          </w:tcPr>
          <w:p>
            <w:pPr>
              <w:spacing w:after="0"/>
              <w:rPr>
                <w:sz w:val="2"/>
                <w:szCs w:val="2"/>
                <w:color w:val="auto"/>
              </w:rPr>
            </w:pPr>
          </w:p>
        </w:tc>
        <w:tc>
          <w:tcPr>
            <w:tcW w:w="58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2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420" w:type="dxa"/>
            <w:vAlign w:val="bottom"/>
            <w:tcBorders>
              <w:top w:val="single" w:sz="8" w:color="CFF0FC"/>
            </w:tcBorders>
            <w:shd w:val="clear" w:color="auto" w:fill="CFF0FC"/>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80" w:type="dxa"/>
            <w:vAlign w:val="bottom"/>
            <w:gridSpan w:val="33"/>
          </w:tcPr>
          <w:p>
            <w:pPr>
              <w:ind w:left="340"/>
              <w:spacing w:after="0"/>
              <w:rPr>
                <w:sz w:val="20"/>
                <w:szCs w:val="20"/>
                <w:color w:val="auto"/>
              </w:rPr>
            </w:pPr>
            <w:r>
              <w:rPr>
                <w:rFonts w:ascii="Arial" w:cs="Arial" w:eastAsia="Arial" w:hAnsi="Arial"/>
                <w:sz w:val="16"/>
                <w:szCs w:val="16"/>
                <w:color w:val="0000FF"/>
              </w:rPr>
              <w:t>Note 15. Income Taxes</w:t>
            </w:r>
          </w:p>
        </w:tc>
        <w:tc>
          <w:tcPr>
            <w:tcW w:w="1500" w:type="dxa"/>
            <w:vAlign w:val="bottom"/>
            <w:gridSpan w:val="4"/>
          </w:tcPr>
          <w:p>
            <w:pPr>
              <w:jc w:val="center"/>
              <w:ind w:left="1159"/>
              <w:spacing w:after="0"/>
              <w:rPr>
                <w:sz w:val="20"/>
                <w:szCs w:val="20"/>
                <w:color w:val="auto"/>
              </w:rPr>
            </w:pPr>
            <w:r>
              <w:rPr>
                <w:rFonts w:ascii="Arial" w:cs="Arial" w:eastAsia="Arial" w:hAnsi="Arial"/>
                <w:sz w:val="16"/>
                <w:szCs w:val="16"/>
                <w:color w:val="0000FF"/>
              </w:rPr>
              <w:t>96</w:t>
            </w:r>
          </w:p>
        </w:tc>
        <w:tc>
          <w:tcPr>
            <w:tcW w:w="420" w:type="dxa"/>
            <w:vAlign w:val="bottom"/>
          </w:tcPr>
          <w:p>
            <w:pPr>
              <w:spacing w:after="0"/>
              <w:rPr>
                <w:sz w:val="18"/>
                <w:szCs w:val="18"/>
                <w:color w:val="auto"/>
              </w:rPr>
            </w:pPr>
          </w:p>
        </w:tc>
      </w:tr>
      <w:tr>
        <w:trPr>
          <w:trHeight w:val="34"/>
        </w:trPr>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16"/>
        </w:trPr>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480" w:type="dxa"/>
            <w:vAlign w:val="bottom"/>
            <w:gridSpan w:val="33"/>
            <w:shd w:val="clear" w:color="auto" w:fill="CFF0FC"/>
          </w:tcPr>
          <w:p>
            <w:pPr>
              <w:ind w:left="340"/>
              <w:spacing w:after="0"/>
              <w:rPr>
                <w:sz w:val="20"/>
                <w:szCs w:val="20"/>
                <w:color w:val="auto"/>
              </w:rPr>
            </w:pPr>
            <w:r>
              <w:rPr>
                <w:rFonts w:ascii="Arial" w:cs="Arial" w:eastAsia="Arial" w:hAnsi="Arial"/>
                <w:sz w:val="16"/>
                <w:szCs w:val="16"/>
                <w:color w:val="0000FF"/>
              </w:rPr>
              <w:t>Note 16. Business Segment Information</w:t>
            </w:r>
          </w:p>
        </w:tc>
        <w:tc>
          <w:tcPr>
            <w:tcW w:w="1500" w:type="dxa"/>
            <w:vAlign w:val="bottom"/>
            <w:gridSpan w:val="4"/>
            <w:shd w:val="clear" w:color="auto" w:fill="CFF0FC"/>
          </w:tcPr>
          <w:p>
            <w:pPr>
              <w:jc w:val="center"/>
              <w:ind w:left="1159"/>
              <w:spacing w:after="0"/>
              <w:rPr>
                <w:sz w:val="20"/>
                <w:szCs w:val="20"/>
                <w:color w:val="auto"/>
              </w:rPr>
            </w:pPr>
            <w:r>
              <w:rPr>
                <w:rFonts w:ascii="Arial" w:cs="Arial" w:eastAsia="Arial" w:hAnsi="Arial"/>
                <w:sz w:val="16"/>
                <w:szCs w:val="16"/>
                <w:color w:val="0000FF"/>
              </w:rPr>
              <w:t>99</w:t>
            </w:r>
          </w:p>
        </w:tc>
        <w:tc>
          <w:tcPr>
            <w:tcW w:w="420" w:type="dxa"/>
            <w:vAlign w:val="bottom"/>
            <w:shd w:val="clear" w:color="auto" w:fill="CFF0FC"/>
          </w:tcPr>
          <w:p>
            <w:pPr>
              <w:spacing w:after="0"/>
              <w:rPr>
                <w:sz w:val="18"/>
                <w:szCs w:val="18"/>
                <w:color w:val="auto"/>
              </w:rPr>
            </w:pPr>
          </w:p>
        </w:tc>
      </w:tr>
      <w:tr>
        <w:trPr>
          <w:trHeight w:val="34"/>
        </w:trPr>
        <w:tc>
          <w:tcPr>
            <w:tcW w:w="12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360" w:type="dxa"/>
            <w:vAlign w:val="bottom"/>
            <w:tcBorders>
              <w:top w:val="single" w:sz="8" w:color="CFF0FC"/>
            </w:tcBorders>
            <w:shd w:val="clear" w:color="auto" w:fill="CFF0FC"/>
          </w:tcPr>
          <w:p>
            <w:pPr>
              <w:spacing w:after="0"/>
              <w:rPr>
                <w:sz w:val="2"/>
                <w:szCs w:val="2"/>
                <w:color w:val="auto"/>
              </w:rPr>
            </w:pPr>
          </w:p>
        </w:tc>
        <w:tc>
          <w:tcPr>
            <w:tcW w:w="680" w:type="dxa"/>
            <w:vAlign w:val="bottom"/>
            <w:tcBorders>
              <w:top w:val="single" w:sz="8" w:color="CFF0FC"/>
            </w:tcBorders>
            <w:shd w:val="clear" w:color="auto" w:fill="CFF0FC"/>
          </w:tcPr>
          <w:p>
            <w:pPr>
              <w:spacing w:after="0"/>
              <w:rPr>
                <w:sz w:val="2"/>
                <w:szCs w:val="2"/>
                <w:color w:val="auto"/>
              </w:rPr>
            </w:pPr>
          </w:p>
        </w:tc>
        <w:tc>
          <w:tcPr>
            <w:tcW w:w="340" w:type="dxa"/>
            <w:vAlign w:val="bottom"/>
            <w:tcBorders>
              <w:top w:val="single" w:sz="8" w:color="CFF0FC"/>
            </w:tcBorders>
            <w:shd w:val="clear" w:color="auto" w:fill="CFF0FC"/>
          </w:tcPr>
          <w:p>
            <w:pPr>
              <w:spacing w:after="0"/>
              <w:rPr>
                <w:sz w:val="2"/>
                <w:szCs w:val="2"/>
                <w:color w:val="auto"/>
              </w:rPr>
            </w:pPr>
          </w:p>
        </w:tc>
        <w:tc>
          <w:tcPr>
            <w:tcW w:w="720" w:type="dxa"/>
            <w:vAlign w:val="bottom"/>
            <w:tcBorders>
              <w:top w:val="single" w:sz="8" w:color="0000FF"/>
            </w:tcBorders>
            <w:shd w:val="clear" w:color="auto" w:fill="CFF0FC"/>
          </w:tcPr>
          <w:p>
            <w:pPr>
              <w:spacing w:after="0"/>
              <w:rPr>
                <w:sz w:val="2"/>
                <w:szCs w:val="2"/>
                <w:color w:val="auto"/>
              </w:rPr>
            </w:pPr>
          </w:p>
        </w:tc>
        <w:tc>
          <w:tcPr>
            <w:tcW w:w="50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28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500" w:type="dxa"/>
            <w:vAlign w:val="bottom"/>
            <w:tcBorders>
              <w:top w:val="single" w:sz="8" w:color="CFF0FC"/>
            </w:tcBorders>
            <w:shd w:val="clear" w:color="auto" w:fill="CFF0FC"/>
          </w:tcPr>
          <w:p>
            <w:pPr>
              <w:spacing w:after="0"/>
              <w:rPr>
                <w:sz w:val="2"/>
                <w:szCs w:val="2"/>
                <w:color w:val="auto"/>
              </w:rPr>
            </w:pPr>
          </w:p>
        </w:tc>
        <w:tc>
          <w:tcPr>
            <w:tcW w:w="1100" w:type="dxa"/>
            <w:vAlign w:val="bottom"/>
            <w:tcBorders>
              <w:top w:val="single" w:sz="8" w:color="CFF0FC"/>
            </w:tcBorders>
            <w:shd w:val="clear" w:color="auto" w:fill="CFF0FC"/>
          </w:tcPr>
          <w:p>
            <w:pPr>
              <w:spacing w:after="0"/>
              <w:rPr>
                <w:sz w:val="2"/>
                <w:szCs w:val="2"/>
                <w:color w:val="auto"/>
              </w:rPr>
            </w:pPr>
          </w:p>
        </w:tc>
        <w:tc>
          <w:tcPr>
            <w:tcW w:w="58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2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420" w:type="dxa"/>
            <w:vAlign w:val="bottom"/>
            <w:tcBorders>
              <w:top w:val="single" w:sz="8" w:color="CFF0FC"/>
            </w:tcBorders>
            <w:shd w:val="clear" w:color="auto" w:fill="CFF0FC"/>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80" w:type="dxa"/>
            <w:vAlign w:val="bottom"/>
            <w:gridSpan w:val="33"/>
          </w:tcPr>
          <w:p>
            <w:pPr>
              <w:ind w:left="340"/>
              <w:spacing w:after="0"/>
              <w:rPr>
                <w:sz w:val="20"/>
                <w:szCs w:val="20"/>
                <w:color w:val="auto"/>
              </w:rPr>
            </w:pPr>
            <w:r>
              <w:rPr>
                <w:rFonts w:ascii="Arial" w:cs="Arial" w:eastAsia="Arial" w:hAnsi="Arial"/>
                <w:sz w:val="16"/>
                <w:szCs w:val="16"/>
                <w:color w:val="0000FF"/>
              </w:rPr>
              <w:t>Note 17. Subsequent Events</w:t>
            </w:r>
          </w:p>
        </w:tc>
        <w:tc>
          <w:tcPr>
            <w:tcW w:w="1500" w:type="dxa"/>
            <w:vAlign w:val="bottom"/>
            <w:gridSpan w:val="4"/>
          </w:tcPr>
          <w:p>
            <w:pPr>
              <w:jc w:val="center"/>
              <w:ind w:left="1159"/>
              <w:spacing w:after="0"/>
              <w:rPr>
                <w:sz w:val="20"/>
                <w:szCs w:val="20"/>
                <w:color w:val="auto"/>
              </w:rPr>
            </w:pPr>
            <w:r>
              <w:rPr>
                <w:rFonts w:ascii="Arial" w:cs="Arial" w:eastAsia="Arial" w:hAnsi="Arial"/>
                <w:sz w:val="16"/>
                <w:szCs w:val="16"/>
                <w:color w:val="0000FF"/>
                <w:w w:val="97"/>
              </w:rPr>
              <w:t>101</w:t>
            </w:r>
          </w:p>
        </w:tc>
        <w:tc>
          <w:tcPr>
            <w:tcW w:w="420" w:type="dxa"/>
            <w:vAlign w:val="bottom"/>
          </w:tcPr>
          <w:p>
            <w:pPr>
              <w:spacing w:after="0"/>
              <w:rPr>
                <w:sz w:val="18"/>
                <w:szCs w:val="18"/>
                <w:color w:val="auto"/>
              </w:rPr>
            </w:pPr>
          </w:p>
        </w:tc>
      </w:tr>
      <w:tr>
        <w:trPr>
          <w:trHeight w:val="34"/>
        </w:trPr>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20" w:type="dxa"/>
            <w:vAlign w:val="bottom"/>
          </w:tcPr>
          <w:p>
            <w:pPr>
              <w:spacing w:after="0"/>
              <w:rPr>
                <w:sz w:val="2"/>
                <w:szCs w:val="2"/>
                <w:color w:val="auto"/>
              </w:rPr>
            </w:pPr>
          </w:p>
        </w:tc>
      </w:tr>
      <w:tr>
        <w:trPr>
          <w:trHeight w:val="216"/>
        </w:trPr>
        <w:tc>
          <w:tcPr>
            <w:tcW w:w="120" w:type="dxa"/>
            <w:vAlign w:val="bottom"/>
            <w:shd w:val="clear" w:color="auto" w:fill="CFF0FC"/>
          </w:tcPr>
          <w:p>
            <w:pPr>
              <w:spacing w:after="0"/>
              <w:rPr>
                <w:sz w:val="18"/>
                <w:szCs w:val="18"/>
                <w:color w:val="auto"/>
              </w:rPr>
            </w:pPr>
          </w:p>
        </w:tc>
        <w:tc>
          <w:tcPr>
            <w:tcW w:w="1720" w:type="dxa"/>
            <w:vAlign w:val="bottom"/>
            <w:gridSpan w:val="8"/>
            <w:shd w:val="clear" w:color="auto" w:fill="CFF0FC"/>
          </w:tcPr>
          <w:p>
            <w:pPr>
              <w:spacing w:after="0"/>
              <w:rPr>
                <w:sz w:val="20"/>
                <w:szCs w:val="20"/>
                <w:color w:val="auto"/>
              </w:rPr>
            </w:pPr>
            <w:r>
              <w:rPr>
                <w:rFonts w:ascii="Arial" w:cs="Arial" w:eastAsia="Arial" w:hAnsi="Arial"/>
                <w:sz w:val="16"/>
                <w:szCs w:val="16"/>
                <w:color w:val="0000FF"/>
              </w:rPr>
              <w:t>ITEM 9.</w:t>
            </w:r>
          </w:p>
        </w:tc>
        <w:tc>
          <w:tcPr>
            <w:tcW w:w="7480" w:type="dxa"/>
            <w:vAlign w:val="bottom"/>
            <w:gridSpan w:val="33"/>
            <w:shd w:val="clear" w:color="auto" w:fill="CFF0FC"/>
          </w:tcPr>
          <w:p>
            <w:pPr>
              <w:spacing w:after="0"/>
              <w:rPr>
                <w:sz w:val="20"/>
                <w:szCs w:val="20"/>
                <w:color w:val="auto"/>
              </w:rPr>
            </w:pPr>
            <w:r>
              <w:rPr>
                <w:rFonts w:ascii="Arial" w:cs="Arial" w:eastAsia="Arial" w:hAnsi="Arial"/>
                <w:sz w:val="16"/>
                <w:szCs w:val="16"/>
                <w:color w:val="0000FF"/>
              </w:rPr>
              <w:t>CHANGES IN AND DISAGREEMENTS WITH ACCOUNTANTS ON ACCOUNTING AND FINANCIAL</w:t>
            </w:r>
          </w:p>
        </w:tc>
        <w:tc>
          <w:tcPr>
            <w:tcW w:w="1500" w:type="dxa"/>
            <w:vAlign w:val="bottom"/>
            <w:gridSpan w:val="4"/>
            <w:shd w:val="clear" w:color="auto" w:fill="CFF0FC"/>
          </w:tcPr>
          <w:p>
            <w:pPr>
              <w:jc w:val="center"/>
              <w:ind w:left="1159"/>
              <w:spacing w:after="0"/>
              <w:rPr>
                <w:sz w:val="20"/>
                <w:szCs w:val="20"/>
                <w:color w:val="auto"/>
              </w:rPr>
            </w:pPr>
            <w:r>
              <w:rPr>
                <w:rFonts w:ascii="Arial" w:cs="Arial" w:eastAsia="Arial" w:hAnsi="Arial"/>
                <w:sz w:val="16"/>
                <w:szCs w:val="16"/>
                <w:color w:val="0000FF"/>
                <w:w w:val="97"/>
              </w:rPr>
              <w:t>102</w:t>
            </w:r>
          </w:p>
        </w:tc>
        <w:tc>
          <w:tcPr>
            <w:tcW w:w="420" w:type="dxa"/>
            <w:vAlign w:val="bottom"/>
            <w:shd w:val="clear" w:color="auto" w:fill="CFF0FC"/>
          </w:tcPr>
          <w:p>
            <w:pPr>
              <w:spacing w:after="0"/>
              <w:rPr>
                <w:sz w:val="18"/>
                <w:szCs w:val="18"/>
                <w:color w:val="auto"/>
              </w:rPr>
            </w:pPr>
          </w:p>
        </w:tc>
      </w:tr>
      <w:tr>
        <w:trPr>
          <w:trHeight w:val="203"/>
        </w:trPr>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480" w:type="dxa"/>
            <w:vAlign w:val="bottom"/>
            <w:tcBorders>
              <w:top w:val="single" w:sz="8" w:color="0000FF"/>
              <w:bottom w:val="single" w:sz="8" w:color="CFF0FC"/>
            </w:tcBorders>
            <w:shd w:val="clear" w:color="auto" w:fill="CFF0FC"/>
          </w:tcPr>
          <w:p>
            <w:pPr>
              <w:spacing w:after="0"/>
              <w:rPr>
                <w:sz w:val="17"/>
                <w:szCs w:val="17"/>
                <w:color w:val="auto"/>
              </w:rPr>
            </w:pPr>
          </w:p>
        </w:tc>
        <w:tc>
          <w:tcPr>
            <w:tcW w:w="20" w:type="dxa"/>
            <w:vAlign w:val="bottom"/>
            <w:tcBorders>
              <w:top w:val="single" w:sz="8" w:color="0000FF"/>
              <w:bottom w:val="single" w:sz="8" w:color="CFF0FC"/>
            </w:tcBorders>
            <w:shd w:val="clear" w:color="auto" w:fill="CFF0FC"/>
          </w:tcPr>
          <w:p>
            <w:pPr>
              <w:spacing w:after="0"/>
              <w:rPr>
                <w:sz w:val="17"/>
                <w:szCs w:val="17"/>
                <w:color w:val="auto"/>
              </w:rPr>
            </w:pPr>
          </w:p>
        </w:tc>
        <w:tc>
          <w:tcPr>
            <w:tcW w:w="60" w:type="dxa"/>
            <w:vAlign w:val="bottom"/>
            <w:tcBorders>
              <w:top w:val="single" w:sz="8" w:color="0000FF"/>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360" w:type="dxa"/>
            <w:vAlign w:val="bottom"/>
            <w:tcBorders>
              <w:top w:val="single" w:sz="8" w:color="CFF0FC"/>
              <w:bottom w:val="single" w:sz="8" w:color="CFF0FC"/>
            </w:tcBorders>
            <w:shd w:val="clear" w:color="auto" w:fill="CFF0FC"/>
          </w:tcPr>
          <w:p>
            <w:pPr>
              <w:spacing w:after="0"/>
              <w:rPr>
                <w:sz w:val="17"/>
                <w:szCs w:val="17"/>
                <w:color w:val="auto"/>
              </w:rPr>
            </w:pPr>
          </w:p>
        </w:tc>
        <w:tc>
          <w:tcPr>
            <w:tcW w:w="680" w:type="dxa"/>
            <w:vAlign w:val="bottom"/>
            <w:tcBorders>
              <w:top w:val="single" w:sz="8" w:color="CFF0FC"/>
              <w:bottom w:val="single" w:sz="8" w:color="CFF0FC"/>
            </w:tcBorders>
            <w:shd w:val="clear" w:color="auto" w:fill="CFF0FC"/>
          </w:tcPr>
          <w:p>
            <w:pPr>
              <w:spacing w:after="0"/>
              <w:rPr>
                <w:sz w:val="17"/>
                <w:szCs w:val="17"/>
                <w:color w:val="auto"/>
              </w:rPr>
            </w:pPr>
          </w:p>
        </w:tc>
        <w:tc>
          <w:tcPr>
            <w:tcW w:w="1060" w:type="dxa"/>
            <w:vAlign w:val="bottom"/>
            <w:tcBorders>
              <w:top w:val="single" w:sz="8" w:color="0000FF"/>
              <w:bottom w:val="single" w:sz="8" w:color="0000FF"/>
            </w:tcBorders>
            <w:gridSpan w:val="2"/>
            <w:shd w:val="clear" w:color="auto" w:fill="CFF0FC"/>
          </w:tcPr>
          <w:p>
            <w:pPr>
              <w:spacing w:after="0" w:line="169" w:lineRule="exact"/>
              <w:rPr>
                <w:sz w:val="20"/>
                <w:szCs w:val="20"/>
                <w:color w:val="auto"/>
              </w:rPr>
            </w:pPr>
            <w:r>
              <w:rPr>
                <w:rFonts w:ascii="Arial" w:cs="Arial" w:eastAsia="Arial" w:hAnsi="Arial"/>
                <w:sz w:val="16"/>
                <w:szCs w:val="16"/>
                <w:color w:val="0000FF"/>
                <w:w w:val="99"/>
              </w:rPr>
              <w:t>DISCLOSURE</w:t>
            </w:r>
          </w:p>
        </w:tc>
        <w:tc>
          <w:tcPr>
            <w:tcW w:w="6260" w:type="dxa"/>
            <w:vAlign w:val="bottom"/>
            <w:tcBorders>
              <w:top w:val="single" w:sz="8" w:color="0000FF"/>
              <w:bottom w:val="single" w:sz="8" w:color="CFF0FC"/>
            </w:tcBorders>
            <w:gridSpan w:val="30"/>
            <w:shd w:val="clear" w:color="auto" w:fill="CFF0FC"/>
          </w:tcPr>
          <w:p>
            <w:pPr>
              <w:spacing w:after="0"/>
              <w:rPr>
                <w:sz w:val="17"/>
                <w:szCs w:val="17"/>
                <w:color w:val="auto"/>
              </w:rPr>
            </w:pP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1240" w:type="dxa"/>
            <w:vAlign w:val="bottom"/>
            <w:tcBorders>
              <w:top w:val="single" w:sz="8" w:color="CFF0FC"/>
              <w:bottom w:val="single" w:sz="8" w:color="CFF0FC"/>
            </w:tcBorders>
            <w:shd w:val="clear" w:color="auto" w:fill="CFF0FC"/>
          </w:tcPr>
          <w:p>
            <w:pPr>
              <w:spacing w:after="0"/>
              <w:rPr>
                <w:sz w:val="17"/>
                <w:szCs w:val="17"/>
                <w:color w:val="auto"/>
              </w:rPr>
            </w:pPr>
          </w:p>
        </w:tc>
        <w:tc>
          <w:tcPr>
            <w:tcW w:w="40" w:type="dxa"/>
            <w:vAlign w:val="bottom"/>
            <w:tcBorders>
              <w:top w:val="single" w:sz="8" w:color="0000FF"/>
              <w:bottom w:val="single" w:sz="8" w:color="CFF0FC"/>
            </w:tcBorders>
            <w:shd w:val="clear" w:color="auto" w:fill="CFF0FC"/>
          </w:tcPr>
          <w:p>
            <w:pPr>
              <w:spacing w:after="0"/>
              <w:rPr>
                <w:sz w:val="17"/>
                <w:szCs w:val="17"/>
                <w:color w:val="auto"/>
              </w:rPr>
            </w:pPr>
          </w:p>
        </w:tc>
        <w:tc>
          <w:tcPr>
            <w:tcW w:w="180" w:type="dxa"/>
            <w:vAlign w:val="bottom"/>
            <w:tcBorders>
              <w:top w:val="single" w:sz="8" w:color="0000FF"/>
              <w:bottom w:val="single" w:sz="8" w:color="CFF0FC"/>
            </w:tcBorders>
            <w:shd w:val="clear" w:color="auto" w:fill="CFF0FC"/>
          </w:tcPr>
          <w:p>
            <w:pPr>
              <w:spacing w:after="0"/>
              <w:rPr>
                <w:sz w:val="17"/>
                <w:szCs w:val="17"/>
                <w:color w:val="auto"/>
              </w:rPr>
            </w:pPr>
          </w:p>
        </w:tc>
        <w:tc>
          <w:tcPr>
            <w:tcW w:w="40" w:type="dxa"/>
            <w:vAlign w:val="bottom"/>
            <w:tcBorders>
              <w:top w:val="single" w:sz="8" w:color="0000FF"/>
              <w:bottom w:val="single" w:sz="8" w:color="CFF0FC"/>
            </w:tcBorders>
            <w:shd w:val="clear" w:color="auto" w:fill="CFF0FC"/>
          </w:tcPr>
          <w:p>
            <w:pPr>
              <w:spacing w:after="0"/>
              <w:rPr>
                <w:sz w:val="17"/>
                <w:szCs w:val="17"/>
                <w:color w:val="auto"/>
              </w:rPr>
            </w:pPr>
          </w:p>
        </w:tc>
        <w:tc>
          <w:tcPr>
            <w:tcW w:w="42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16"/>
        </w:trPr>
        <w:tc>
          <w:tcPr>
            <w:tcW w:w="120" w:type="dxa"/>
            <w:vAlign w:val="bottom"/>
          </w:tcPr>
          <w:p>
            <w:pPr>
              <w:spacing w:after="0"/>
              <w:rPr>
                <w:sz w:val="18"/>
                <w:szCs w:val="18"/>
                <w:color w:val="auto"/>
              </w:rPr>
            </w:pPr>
          </w:p>
        </w:tc>
        <w:tc>
          <w:tcPr>
            <w:tcW w:w="1720" w:type="dxa"/>
            <w:vAlign w:val="bottom"/>
            <w:gridSpan w:val="8"/>
          </w:tcPr>
          <w:p>
            <w:pPr>
              <w:spacing w:after="0"/>
              <w:rPr>
                <w:sz w:val="20"/>
                <w:szCs w:val="20"/>
                <w:color w:val="auto"/>
              </w:rPr>
            </w:pPr>
            <w:r>
              <w:rPr>
                <w:rFonts w:ascii="Arial" w:cs="Arial" w:eastAsia="Arial" w:hAnsi="Arial"/>
                <w:sz w:val="16"/>
                <w:szCs w:val="16"/>
                <w:color w:val="0000FF"/>
              </w:rPr>
              <w:t>ITEM 9A.</w:t>
            </w:r>
          </w:p>
        </w:tc>
        <w:tc>
          <w:tcPr>
            <w:tcW w:w="7480" w:type="dxa"/>
            <w:vAlign w:val="bottom"/>
            <w:gridSpan w:val="33"/>
          </w:tcPr>
          <w:p>
            <w:pPr>
              <w:spacing w:after="0"/>
              <w:rPr>
                <w:sz w:val="20"/>
                <w:szCs w:val="20"/>
                <w:color w:val="auto"/>
              </w:rPr>
            </w:pPr>
            <w:r>
              <w:rPr>
                <w:rFonts w:ascii="Arial" w:cs="Arial" w:eastAsia="Arial" w:hAnsi="Arial"/>
                <w:sz w:val="16"/>
                <w:szCs w:val="16"/>
                <w:color w:val="0000FF"/>
              </w:rPr>
              <w:t>CONTROLS AND PROCEDURES</w:t>
            </w:r>
          </w:p>
        </w:tc>
        <w:tc>
          <w:tcPr>
            <w:tcW w:w="1500" w:type="dxa"/>
            <w:vAlign w:val="bottom"/>
            <w:gridSpan w:val="4"/>
          </w:tcPr>
          <w:p>
            <w:pPr>
              <w:jc w:val="center"/>
              <w:ind w:left="1159"/>
              <w:spacing w:after="0"/>
              <w:rPr>
                <w:sz w:val="20"/>
                <w:szCs w:val="20"/>
                <w:color w:val="auto"/>
              </w:rPr>
            </w:pPr>
            <w:r>
              <w:rPr>
                <w:rFonts w:ascii="Arial" w:cs="Arial" w:eastAsia="Arial" w:hAnsi="Arial"/>
                <w:sz w:val="16"/>
                <w:szCs w:val="16"/>
                <w:color w:val="0000FF"/>
                <w:w w:val="97"/>
              </w:rPr>
              <w:t>102</w:t>
            </w:r>
          </w:p>
        </w:tc>
        <w:tc>
          <w:tcPr>
            <w:tcW w:w="420" w:type="dxa"/>
            <w:vAlign w:val="bottom"/>
          </w:tcPr>
          <w:p>
            <w:pPr>
              <w:spacing w:after="0"/>
              <w:rPr>
                <w:sz w:val="18"/>
                <w:szCs w:val="18"/>
                <w:color w:val="auto"/>
              </w:rPr>
            </w:pPr>
          </w:p>
        </w:tc>
      </w:tr>
      <w:tr>
        <w:trPr>
          <w:trHeight w:val="34"/>
        </w:trPr>
        <w:tc>
          <w:tcPr>
            <w:tcW w:w="12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20" w:type="dxa"/>
            <w:vAlign w:val="bottom"/>
          </w:tcPr>
          <w:p>
            <w:pPr>
              <w:spacing w:after="0"/>
              <w:rPr>
                <w:sz w:val="2"/>
                <w:szCs w:val="2"/>
                <w:color w:val="auto"/>
              </w:rPr>
            </w:pPr>
          </w:p>
        </w:tc>
      </w:tr>
      <w:tr>
        <w:trPr>
          <w:trHeight w:val="216"/>
        </w:trPr>
        <w:tc>
          <w:tcPr>
            <w:tcW w:w="120" w:type="dxa"/>
            <w:vAlign w:val="bottom"/>
            <w:shd w:val="clear" w:color="auto" w:fill="CFF0FC"/>
          </w:tcPr>
          <w:p>
            <w:pPr>
              <w:spacing w:after="0"/>
              <w:rPr>
                <w:sz w:val="18"/>
                <w:szCs w:val="18"/>
                <w:color w:val="auto"/>
              </w:rPr>
            </w:pPr>
          </w:p>
        </w:tc>
        <w:tc>
          <w:tcPr>
            <w:tcW w:w="1720" w:type="dxa"/>
            <w:vAlign w:val="bottom"/>
            <w:gridSpan w:val="8"/>
            <w:shd w:val="clear" w:color="auto" w:fill="CFF0FC"/>
          </w:tcPr>
          <w:p>
            <w:pPr>
              <w:spacing w:after="0"/>
              <w:rPr>
                <w:sz w:val="20"/>
                <w:szCs w:val="20"/>
                <w:color w:val="auto"/>
              </w:rPr>
            </w:pPr>
            <w:r>
              <w:rPr>
                <w:rFonts w:ascii="Arial" w:cs="Arial" w:eastAsia="Arial" w:hAnsi="Arial"/>
                <w:sz w:val="16"/>
                <w:szCs w:val="16"/>
                <w:color w:val="0000FF"/>
              </w:rPr>
              <w:t>ITEM 9B.</w:t>
            </w:r>
          </w:p>
        </w:tc>
        <w:tc>
          <w:tcPr>
            <w:tcW w:w="7480" w:type="dxa"/>
            <w:vAlign w:val="bottom"/>
            <w:gridSpan w:val="33"/>
            <w:shd w:val="clear" w:color="auto" w:fill="CFF0FC"/>
          </w:tcPr>
          <w:p>
            <w:pPr>
              <w:spacing w:after="0"/>
              <w:rPr>
                <w:sz w:val="20"/>
                <w:szCs w:val="20"/>
                <w:color w:val="auto"/>
              </w:rPr>
            </w:pPr>
            <w:r>
              <w:rPr>
                <w:rFonts w:ascii="Arial" w:cs="Arial" w:eastAsia="Arial" w:hAnsi="Arial"/>
                <w:sz w:val="16"/>
                <w:szCs w:val="16"/>
                <w:color w:val="0000FF"/>
              </w:rPr>
              <w:t>OTHER INFORMATION</w:t>
            </w:r>
          </w:p>
        </w:tc>
        <w:tc>
          <w:tcPr>
            <w:tcW w:w="1500" w:type="dxa"/>
            <w:vAlign w:val="bottom"/>
            <w:gridSpan w:val="4"/>
            <w:shd w:val="clear" w:color="auto" w:fill="CFF0FC"/>
          </w:tcPr>
          <w:p>
            <w:pPr>
              <w:jc w:val="center"/>
              <w:ind w:left="1159"/>
              <w:spacing w:after="0"/>
              <w:rPr>
                <w:sz w:val="20"/>
                <w:szCs w:val="20"/>
                <w:color w:val="auto"/>
              </w:rPr>
            </w:pPr>
            <w:r>
              <w:rPr>
                <w:rFonts w:ascii="Arial" w:cs="Arial" w:eastAsia="Arial" w:hAnsi="Arial"/>
                <w:sz w:val="16"/>
                <w:szCs w:val="16"/>
                <w:color w:val="0000FF"/>
                <w:w w:val="97"/>
              </w:rPr>
              <w:t>102</w:t>
            </w:r>
          </w:p>
        </w:tc>
        <w:tc>
          <w:tcPr>
            <w:tcW w:w="420" w:type="dxa"/>
            <w:vAlign w:val="bottom"/>
            <w:shd w:val="clear" w:color="auto" w:fill="CFF0FC"/>
          </w:tcPr>
          <w:p>
            <w:pPr>
              <w:spacing w:after="0"/>
              <w:rPr>
                <w:sz w:val="18"/>
                <w:szCs w:val="18"/>
                <w:color w:val="auto"/>
              </w:rPr>
            </w:pPr>
          </w:p>
        </w:tc>
      </w:tr>
      <w:tr>
        <w:trPr>
          <w:trHeight w:val="34"/>
        </w:trPr>
        <w:tc>
          <w:tcPr>
            <w:tcW w:w="12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360" w:type="dxa"/>
            <w:vAlign w:val="bottom"/>
            <w:tcBorders>
              <w:top w:val="single" w:sz="8" w:color="CFF0FC"/>
            </w:tcBorders>
            <w:shd w:val="clear" w:color="auto" w:fill="CFF0FC"/>
          </w:tcPr>
          <w:p>
            <w:pPr>
              <w:spacing w:after="0"/>
              <w:rPr>
                <w:sz w:val="2"/>
                <w:szCs w:val="2"/>
                <w:color w:val="auto"/>
              </w:rPr>
            </w:pPr>
          </w:p>
        </w:tc>
        <w:tc>
          <w:tcPr>
            <w:tcW w:w="680" w:type="dxa"/>
            <w:vAlign w:val="bottom"/>
            <w:tcBorders>
              <w:top w:val="single" w:sz="8" w:color="CFF0FC"/>
            </w:tcBorders>
            <w:shd w:val="clear" w:color="auto" w:fill="CFF0FC"/>
          </w:tcPr>
          <w:p>
            <w:pPr>
              <w:spacing w:after="0"/>
              <w:rPr>
                <w:sz w:val="2"/>
                <w:szCs w:val="2"/>
                <w:color w:val="auto"/>
              </w:rPr>
            </w:pPr>
          </w:p>
        </w:tc>
        <w:tc>
          <w:tcPr>
            <w:tcW w:w="340" w:type="dxa"/>
            <w:vAlign w:val="bottom"/>
            <w:tcBorders>
              <w:top w:val="single" w:sz="8" w:color="0000FF"/>
            </w:tcBorders>
            <w:shd w:val="clear" w:color="auto" w:fill="CFF0FC"/>
          </w:tcPr>
          <w:p>
            <w:pPr>
              <w:spacing w:after="0"/>
              <w:rPr>
                <w:sz w:val="2"/>
                <w:szCs w:val="2"/>
                <w:color w:val="auto"/>
              </w:rPr>
            </w:pPr>
          </w:p>
        </w:tc>
        <w:tc>
          <w:tcPr>
            <w:tcW w:w="720" w:type="dxa"/>
            <w:vAlign w:val="bottom"/>
            <w:tcBorders>
              <w:top w:val="single" w:sz="8" w:color="0000FF"/>
            </w:tcBorders>
            <w:shd w:val="clear" w:color="auto" w:fill="CFF0FC"/>
          </w:tcPr>
          <w:p>
            <w:pPr>
              <w:spacing w:after="0"/>
              <w:rPr>
                <w:sz w:val="2"/>
                <w:szCs w:val="2"/>
                <w:color w:val="auto"/>
              </w:rPr>
            </w:pPr>
          </w:p>
        </w:tc>
        <w:tc>
          <w:tcPr>
            <w:tcW w:w="50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500" w:type="dxa"/>
            <w:vAlign w:val="bottom"/>
            <w:tcBorders>
              <w:top w:val="single" w:sz="8" w:color="CFF0FC"/>
            </w:tcBorders>
            <w:shd w:val="clear" w:color="auto" w:fill="CFF0FC"/>
          </w:tcPr>
          <w:p>
            <w:pPr>
              <w:spacing w:after="0"/>
              <w:rPr>
                <w:sz w:val="2"/>
                <w:szCs w:val="2"/>
                <w:color w:val="auto"/>
              </w:rPr>
            </w:pPr>
          </w:p>
        </w:tc>
        <w:tc>
          <w:tcPr>
            <w:tcW w:w="1100" w:type="dxa"/>
            <w:vAlign w:val="bottom"/>
            <w:tcBorders>
              <w:top w:val="single" w:sz="8" w:color="CFF0FC"/>
            </w:tcBorders>
            <w:shd w:val="clear" w:color="auto" w:fill="CFF0FC"/>
          </w:tcPr>
          <w:p>
            <w:pPr>
              <w:spacing w:after="0"/>
              <w:rPr>
                <w:sz w:val="2"/>
                <w:szCs w:val="2"/>
                <w:color w:val="auto"/>
              </w:rPr>
            </w:pPr>
          </w:p>
        </w:tc>
        <w:tc>
          <w:tcPr>
            <w:tcW w:w="58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2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420" w:type="dxa"/>
            <w:vAlign w:val="bottom"/>
            <w:tcBorders>
              <w:top w:val="single" w:sz="8" w:color="CFF0FC"/>
            </w:tcBorders>
            <w:shd w:val="clear" w:color="auto" w:fill="CFF0FC"/>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1720" w:type="dxa"/>
            <w:vAlign w:val="bottom"/>
            <w:gridSpan w:val="8"/>
          </w:tcPr>
          <w:p>
            <w:pPr>
              <w:spacing w:after="0"/>
              <w:rPr>
                <w:sz w:val="20"/>
                <w:szCs w:val="20"/>
                <w:color w:val="auto"/>
              </w:rPr>
            </w:pPr>
            <w:r>
              <w:rPr>
                <w:rFonts w:ascii="Arial" w:cs="Arial" w:eastAsia="Arial" w:hAnsi="Arial"/>
                <w:sz w:val="16"/>
                <w:szCs w:val="16"/>
                <w:color w:val="0000FF"/>
              </w:rPr>
              <w:t>ITEM 9C.</w:t>
            </w:r>
          </w:p>
        </w:tc>
        <w:tc>
          <w:tcPr>
            <w:tcW w:w="7480" w:type="dxa"/>
            <w:vAlign w:val="bottom"/>
            <w:gridSpan w:val="33"/>
          </w:tcPr>
          <w:p>
            <w:pPr>
              <w:spacing w:after="0"/>
              <w:rPr>
                <w:sz w:val="20"/>
                <w:szCs w:val="20"/>
                <w:color w:val="auto"/>
              </w:rPr>
            </w:pPr>
            <w:r>
              <w:rPr>
                <w:rFonts w:ascii="Arial" w:cs="Arial" w:eastAsia="Arial" w:hAnsi="Arial"/>
                <w:sz w:val="16"/>
                <w:szCs w:val="16"/>
                <w:color w:val="0000FF"/>
              </w:rPr>
              <w:t>DISCLOSURE REGARDING FOREIGN JURISDICTIONS THAT PREVENT INSPECTIONS</w:t>
            </w:r>
          </w:p>
        </w:tc>
        <w:tc>
          <w:tcPr>
            <w:tcW w:w="1500" w:type="dxa"/>
            <w:vAlign w:val="bottom"/>
            <w:gridSpan w:val="4"/>
          </w:tcPr>
          <w:p>
            <w:pPr>
              <w:jc w:val="center"/>
              <w:ind w:left="1159"/>
              <w:spacing w:after="0"/>
              <w:rPr>
                <w:sz w:val="20"/>
                <w:szCs w:val="20"/>
                <w:color w:val="auto"/>
              </w:rPr>
            </w:pPr>
            <w:r>
              <w:rPr>
                <w:rFonts w:ascii="Arial" w:cs="Arial" w:eastAsia="Arial" w:hAnsi="Arial"/>
                <w:sz w:val="16"/>
                <w:szCs w:val="16"/>
                <w:color w:val="0000FF"/>
                <w:w w:val="97"/>
              </w:rPr>
              <w:t>102</w:t>
            </w:r>
          </w:p>
        </w:tc>
        <w:tc>
          <w:tcPr>
            <w:tcW w:w="420" w:type="dxa"/>
            <w:vAlign w:val="bottom"/>
          </w:tcPr>
          <w:p>
            <w:pPr>
              <w:spacing w:after="0"/>
              <w:rPr>
                <w:sz w:val="18"/>
                <w:szCs w:val="18"/>
                <w:color w:val="auto"/>
              </w:rPr>
            </w:pPr>
          </w:p>
        </w:tc>
      </w:tr>
      <w:tr>
        <w:trPr>
          <w:trHeight w:val="34"/>
        </w:trPr>
        <w:tc>
          <w:tcPr>
            <w:tcW w:w="12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100" w:type="dxa"/>
            <w:vAlign w:val="bottom"/>
            <w:tcBorders>
              <w:top w:val="single" w:sz="8" w:color="0000FF"/>
            </w:tcBorders>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20" w:type="dxa"/>
            <w:vAlign w:val="bottom"/>
          </w:tcPr>
          <w:p>
            <w:pPr>
              <w:spacing w:after="0"/>
              <w:rPr>
                <w:sz w:val="2"/>
                <w:szCs w:val="2"/>
                <w:color w:val="auto"/>
              </w:rPr>
            </w:pPr>
          </w:p>
        </w:tc>
      </w:tr>
      <w:tr>
        <w:trPr>
          <w:trHeight w:val="216"/>
        </w:trPr>
        <w:tc>
          <w:tcPr>
            <w:tcW w:w="120" w:type="dxa"/>
            <w:vAlign w:val="bottom"/>
            <w:shd w:val="clear" w:color="auto" w:fill="CFF0FC"/>
          </w:tcPr>
          <w:p>
            <w:pPr>
              <w:spacing w:after="0"/>
              <w:rPr>
                <w:sz w:val="18"/>
                <w:szCs w:val="18"/>
                <w:color w:val="auto"/>
              </w:rPr>
            </w:pPr>
          </w:p>
        </w:tc>
        <w:tc>
          <w:tcPr>
            <w:tcW w:w="1720" w:type="dxa"/>
            <w:vAlign w:val="bottom"/>
            <w:gridSpan w:val="8"/>
            <w:shd w:val="clear" w:color="auto" w:fill="CFF0FC"/>
          </w:tcPr>
          <w:p>
            <w:pPr>
              <w:spacing w:after="0"/>
              <w:rPr>
                <w:sz w:val="20"/>
                <w:szCs w:val="20"/>
                <w:color w:val="auto"/>
              </w:rPr>
            </w:pPr>
            <w:r>
              <w:rPr>
                <w:rFonts w:ascii="Arial" w:cs="Arial" w:eastAsia="Arial" w:hAnsi="Arial"/>
                <w:sz w:val="16"/>
                <w:szCs w:val="16"/>
                <w:b w:val="1"/>
                <w:bCs w:val="1"/>
                <w:color w:val="0000FF"/>
              </w:rPr>
              <w:t>Part III</w:t>
            </w:r>
          </w:p>
        </w:tc>
        <w:tc>
          <w:tcPr>
            <w:tcW w:w="3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r>
      <w:tr>
        <w:trPr>
          <w:trHeight w:val="34"/>
        </w:trPr>
        <w:tc>
          <w:tcPr>
            <w:tcW w:w="12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360" w:type="dxa"/>
            <w:vAlign w:val="bottom"/>
            <w:tcBorders>
              <w:top w:val="single" w:sz="8" w:color="CFF0FC"/>
            </w:tcBorders>
            <w:shd w:val="clear" w:color="auto" w:fill="CFF0FC"/>
          </w:tcPr>
          <w:p>
            <w:pPr>
              <w:spacing w:after="0"/>
              <w:rPr>
                <w:sz w:val="2"/>
                <w:szCs w:val="2"/>
                <w:color w:val="auto"/>
              </w:rPr>
            </w:pPr>
          </w:p>
        </w:tc>
        <w:tc>
          <w:tcPr>
            <w:tcW w:w="680" w:type="dxa"/>
            <w:vAlign w:val="bottom"/>
            <w:tcBorders>
              <w:top w:val="single" w:sz="8" w:color="CFF0FC"/>
            </w:tcBorders>
            <w:shd w:val="clear" w:color="auto" w:fill="CFF0FC"/>
          </w:tcPr>
          <w:p>
            <w:pPr>
              <w:spacing w:after="0"/>
              <w:rPr>
                <w:sz w:val="2"/>
                <w:szCs w:val="2"/>
                <w:color w:val="auto"/>
              </w:rPr>
            </w:pPr>
          </w:p>
        </w:tc>
        <w:tc>
          <w:tcPr>
            <w:tcW w:w="340" w:type="dxa"/>
            <w:vAlign w:val="bottom"/>
            <w:tcBorders>
              <w:top w:val="single" w:sz="8" w:color="CFF0FC"/>
            </w:tcBorders>
            <w:shd w:val="clear" w:color="auto" w:fill="CFF0FC"/>
          </w:tcPr>
          <w:p>
            <w:pPr>
              <w:spacing w:after="0"/>
              <w:rPr>
                <w:sz w:val="2"/>
                <w:szCs w:val="2"/>
                <w:color w:val="auto"/>
              </w:rPr>
            </w:pPr>
          </w:p>
        </w:tc>
        <w:tc>
          <w:tcPr>
            <w:tcW w:w="720" w:type="dxa"/>
            <w:vAlign w:val="bottom"/>
            <w:tcBorders>
              <w:top w:val="single" w:sz="8" w:color="CFF0FC"/>
            </w:tcBorders>
            <w:shd w:val="clear" w:color="auto" w:fill="CFF0FC"/>
          </w:tcPr>
          <w:p>
            <w:pPr>
              <w:spacing w:after="0"/>
              <w:rPr>
                <w:sz w:val="2"/>
                <w:szCs w:val="2"/>
                <w:color w:val="auto"/>
              </w:rPr>
            </w:pPr>
          </w:p>
        </w:tc>
        <w:tc>
          <w:tcPr>
            <w:tcW w:w="50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500" w:type="dxa"/>
            <w:vAlign w:val="bottom"/>
            <w:tcBorders>
              <w:top w:val="single" w:sz="8" w:color="CFF0FC"/>
            </w:tcBorders>
            <w:shd w:val="clear" w:color="auto" w:fill="CFF0FC"/>
          </w:tcPr>
          <w:p>
            <w:pPr>
              <w:spacing w:after="0"/>
              <w:rPr>
                <w:sz w:val="2"/>
                <w:szCs w:val="2"/>
                <w:color w:val="auto"/>
              </w:rPr>
            </w:pPr>
          </w:p>
        </w:tc>
        <w:tc>
          <w:tcPr>
            <w:tcW w:w="1100" w:type="dxa"/>
            <w:vAlign w:val="bottom"/>
            <w:tcBorders>
              <w:top w:val="single" w:sz="8" w:color="CFF0FC"/>
            </w:tcBorders>
            <w:shd w:val="clear" w:color="auto" w:fill="CFF0FC"/>
          </w:tcPr>
          <w:p>
            <w:pPr>
              <w:spacing w:after="0"/>
              <w:rPr>
                <w:sz w:val="2"/>
                <w:szCs w:val="2"/>
                <w:color w:val="auto"/>
              </w:rPr>
            </w:pPr>
          </w:p>
        </w:tc>
        <w:tc>
          <w:tcPr>
            <w:tcW w:w="58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2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420" w:type="dxa"/>
            <w:vAlign w:val="bottom"/>
            <w:tcBorders>
              <w:top w:val="single" w:sz="8" w:color="CFF0FC"/>
            </w:tcBorders>
            <w:shd w:val="clear" w:color="auto" w:fill="CFF0FC"/>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1720" w:type="dxa"/>
            <w:vAlign w:val="bottom"/>
            <w:gridSpan w:val="8"/>
          </w:tcPr>
          <w:p>
            <w:pPr>
              <w:spacing w:after="0"/>
              <w:rPr>
                <w:sz w:val="20"/>
                <w:szCs w:val="20"/>
                <w:color w:val="auto"/>
              </w:rPr>
            </w:pPr>
            <w:r>
              <w:rPr>
                <w:rFonts w:ascii="Arial" w:cs="Arial" w:eastAsia="Arial" w:hAnsi="Arial"/>
                <w:sz w:val="16"/>
                <w:szCs w:val="16"/>
                <w:color w:val="0000FF"/>
              </w:rPr>
              <w:t>ITEM 10.</w:t>
            </w:r>
          </w:p>
        </w:tc>
        <w:tc>
          <w:tcPr>
            <w:tcW w:w="7480" w:type="dxa"/>
            <w:vAlign w:val="bottom"/>
            <w:gridSpan w:val="33"/>
          </w:tcPr>
          <w:p>
            <w:pPr>
              <w:spacing w:after="0"/>
              <w:rPr>
                <w:sz w:val="20"/>
                <w:szCs w:val="20"/>
                <w:color w:val="auto"/>
              </w:rPr>
            </w:pPr>
            <w:r>
              <w:rPr>
                <w:rFonts w:ascii="Arial" w:cs="Arial" w:eastAsia="Arial" w:hAnsi="Arial"/>
                <w:sz w:val="16"/>
                <w:szCs w:val="16"/>
                <w:color w:val="0000FF"/>
              </w:rPr>
              <w:t>DIRECTORS, EXECUTIVE OFFICERS AND CORPORATE GOVERNANCE</w:t>
            </w:r>
          </w:p>
        </w:tc>
        <w:tc>
          <w:tcPr>
            <w:tcW w:w="1500" w:type="dxa"/>
            <w:vAlign w:val="bottom"/>
            <w:gridSpan w:val="4"/>
          </w:tcPr>
          <w:p>
            <w:pPr>
              <w:jc w:val="center"/>
              <w:ind w:left="1159"/>
              <w:spacing w:after="0"/>
              <w:rPr>
                <w:sz w:val="20"/>
                <w:szCs w:val="20"/>
                <w:color w:val="auto"/>
              </w:rPr>
            </w:pPr>
            <w:r>
              <w:rPr>
                <w:rFonts w:ascii="Arial" w:cs="Arial" w:eastAsia="Arial" w:hAnsi="Arial"/>
                <w:sz w:val="16"/>
                <w:szCs w:val="16"/>
                <w:color w:val="0000FF"/>
                <w:w w:val="97"/>
              </w:rPr>
              <w:t>102</w:t>
            </w:r>
          </w:p>
        </w:tc>
        <w:tc>
          <w:tcPr>
            <w:tcW w:w="420" w:type="dxa"/>
            <w:vAlign w:val="bottom"/>
          </w:tcPr>
          <w:p>
            <w:pPr>
              <w:spacing w:after="0"/>
              <w:rPr>
                <w:sz w:val="18"/>
                <w:szCs w:val="18"/>
                <w:color w:val="auto"/>
              </w:rPr>
            </w:pPr>
          </w:p>
        </w:tc>
      </w:tr>
      <w:tr>
        <w:trPr>
          <w:trHeight w:val="34"/>
        </w:trPr>
        <w:tc>
          <w:tcPr>
            <w:tcW w:w="12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20" w:type="dxa"/>
            <w:vAlign w:val="bottom"/>
          </w:tcPr>
          <w:p>
            <w:pPr>
              <w:spacing w:after="0"/>
              <w:rPr>
                <w:sz w:val="2"/>
                <w:szCs w:val="2"/>
                <w:color w:val="auto"/>
              </w:rPr>
            </w:pPr>
          </w:p>
        </w:tc>
      </w:tr>
      <w:tr>
        <w:trPr>
          <w:trHeight w:val="216"/>
        </w:trPr>
        <w:tc>
          <w:tcPr>
            <w:tcW w:w="120" w:type="dxa"/>
            <w:vAlign w:val="bottom"/>
            <w:shd w:val="clear" w:color="auto" w:fill="CFF0FC"/>
          </w:tcPr>
          <w:p>
            <w:pPr>
              <w:spacing w:after="0"/>
              <w:rPr>
                <w:sz w:val="18"/>
                <w:szCs w:val="18"/>
                <w:color w:val="auto"/>
              </w:rPr>
            </w:pPr>
          </w:p>
        </w:tc>
        <w:tc>
          <w:tcPr>
            <w:tcW w:w="1720" w:type="dxa"/>
            <w:vAlign w:val="bottom"/>
            <w:gridSpan w:val="8"/>
            <w:shd w:val="clear" w:color="auto" w:fill="CFF0FC"/>
          </w:tcPr>
          <w:p>
            <w:pPr>
              <w:spacing w:after="0"/>
              <w:rPr>
                <w:sz w:val="20"/>
                <w:szCs w:val="20"/>
                <w:color w:val="auto"/>
              </w:rPr>
            </w:pPr>
            <w:r>
              <w:rPr>
                <w:rFonts w:ascii="Arial" w:cs="Arial" w:eastAsia="Arial" w:hAnsi="Arial"/>
                <w:sz w:val="16"/>
                <w:szCs w:val="16"/>
                <w:color w:val="0000FF"/>
              </w:rPr>
              <w:t>ITEM 11.</w:t>
            </w:r>
          </w:p>
        </w:tc>
        <w:tc>
          <w:tcPr>
            <w:tcW w:w="7480" w:type="dxa"/>
            <w:vAlign w:val="bottom"/>
            <w:gridSpan w:val="33"/>
            <w:shd w:val="clear" w:color="auto" w:fill="CFF0FC"/>
          </w:tcPr>
          <w:p>
            <w:pPr>
              <w:spacing w:after="0"/>
              <w:rPr>
                <w:sz w:val="20"/>
                <w:szCs w:val="20"/>
                <w:color w:val="auto"/>
              </w:rPr>
            </w:pPr>
            <w:r>
              <w:rPr>
                <w:rFonts w:ascii="Arial" w:cs="Arial" w:eastAsia="Arial" w:hAnsi="Arial"/>
                <w:sz w:val="16"/>
                <w:szCs w:val="16"/>
                <w:color w:val="0000FF"/>
              </w:rPr>
              <w:t>EXECUTIVE COMPENSATION</w:t>
            </w:r>
          </w:p>
        </w:tc>
        <w:tc>
          <w:tcPr>
            <w:tcW w:w="1500" w:type="dxa"/>
            <w:vAlign w:val="bottom"/>
            <w:gridSpan w:val="4"/>
            <w:shd w:val="clear" w:color="auto" w:fill="CFF0FC"/>
          </w:tcPr>
          <w:p>
            <w:pPr>
              <w:jc w:val="center"/>
              <w:ind w:left="1159"/>
              <w:spacing w:after="0"/>
              <w:rPr>
                <w:sz w:val="20"/>
                <w:szCs w:val="20"/>
                <w:color w:val="auto"/>
              </w:rPr>
            </w:pPr>
            <w:r>
              <w:rPr>
                <w:rFonts w:ascii="Arial" w:cs="Arial" w:eastAsia="Arial" w:hAnsi="Arial"/>
                <w:sz w:val="16"/>
                <w:szCs w:val="16"/>
                <w:color w:val="0000FF"/>
                <w:w w:val="97"/>
              </w:rPr>
              <w:t>102</w:t>
            </w:r>
          </w:p>
        </w:tc>
        <w:tc>
          <w:tcPr>
            <w:tcW w:w="420" w:type="dxa"/>
            <w:vAlign w:val="bottom"/>
            <w:shd w:val="clear" w:color="auto" w:fill="CFF0FC"/>
          </w:tcPr>
          <w:p>
            <w:pPr>
              <w:spacing w:after="0"/>
              <w:rPr>
                <w:sz w:val="18"/>
                <w:szCs w:val="18"/>
                <w:color w:val="auto"/>
              </w:rPr>
            </w:pPr>
          </w:p>
        </w:tc>
      </w:tr>
      <w:tr>
        <w:trPr>
          <w:trHeight w:val="34"/>
        </w:trPr>
        <w:tc>
          <w:tcPr>
            <w:tcW w:w="12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360" w:type="dxa"/>
            <w:vAlign w:val="bottom"/>
            <w:tcBorders>
              <w:top w:val="single" w:sz="8" w:color="CFF0FC"/>
            </w:tcBorders>
            <w:shd w:val="clear" w:color="auto" w:fill="CFF0FC"/>
          </w:tcPr>
          <w:p>
            <w:pPr>
              <w:spacing w:after="0"/>
              <w:rPr>
                <w:sz w:val="2"/>
                <w:szCs w:val="2"/>
                <w:color w:val="auto"/>
              </w:rPr>
            </w:pPr>
          </w:p>
        </w:tc>
        <w:tc>
          <w:tcPr>
            <w:tcW w:w="680" w:type="dxa"/>
            <w:vAlign w:val="bottom"/>
            <w:tcBorders>
              <w:top w:val="single" w:sz="8" w:color="CFF0FC"/>
            </w:tcBorders>
            <w:shd w:val="clear" w:color="auto" w:fill="CFF0FC"/>
          </w:tcPr>
          <w:p>
            <w:pPr>
              <w:spacing w:after="0"/>
              <w:rPr>
                <w:sz w:val="2"/>
                <w:szCs w:val="2"/>
                <w:color w:val="auto"/>
              </w:rPr>
            </w:pPr>
          </w:p>
        </w:tc>
        <w:tc>
          <w:tcPr>
            <w:tcW w:w="340" w:type="dxa"/>
            <w:vAlign w:val="bottom"/>
            <w:tcBorders>
              <w:top w:val="single" w:sz="8" w:color="0000FF"/>
            </w:tcBorders>
            <w:shd w:val="clear" w:color="auto" w:fill="CFF0FC"/>
          </w:tcPr>
          <w:p>
            <w:pPr>
              <w:spacing w:after="0"/>
              <w:rPr>
                <w:sz w:val="2"/>
                <w:szCs w:val="2"/>
                <w:color w:val="auto"/>
              </w:rPr>
            </w:pPr>
          </w:p>
        </w:tc>
        <w:tc>
          <w:tcPr>
            <w:tcW w:w="720" w:type="dxa"/>
            <w:vAlign w:val="bottom"/>
            <w:tcBorders>
              <w:top w:val="single" w:sz="8" w:color="0000FF"/>
            </w:tcBorders>
            <w:shd w:val="clear" w:color="auto" w:fill="CFF0FC"/>
          </w:tcPr>
          <w:p>
            <w:pPr>
              <w:spacing w:after="0"/>
              <w:rPr>
                <w:sz w:val="2"/>
                <w:szCs w:val="2"/>
                <w:color w:val="auto"/>
              </w:rPr>
            </w:pPr>
          </w:p>
        </w:tc>
        <w:tc>
          <w:tcPr>
            <w:tcW w:w="50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28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500" w:type="dxa"/>
            <w:vAlign w:val="bottom"/>
            <w:tcBorders>
              <w:top w:val="single" w:sz="8" w:color="CFF0FC"/>
            </w:tcBorders>
            <w:shd w:val="clear" w:color="auto" w:fill="CFF0FC"/>
          </w:tcPr>
          <w:p>
            <w:pPr>
              <w:spacing w:after="0"/>
              <w:rPr>
                <w:sz w:val="2"/>
                <w:szCs w:val="2"/>
                <w:color w:val="auto"/>
              </w:rPr>
            </w:pPr>
          </w:p>
        </w:tc>
        <w:tc>
          <w:tcPr>
            <w:tcW w:w="1100" w:type="dxa"/>
            <w:vAlign w:val="bottom"/>
            <w:tcBorders>
              <w:top w:val="single" w:sz="8" w:color="CFF0FC"/>
            </w:tcBorders>
            <w:shd w:val="clear" w:color="auto" w:fill="CFF0FC"/>
          </w:tcPr>
          <w:p>
            <w:pPr>
              <w:spacing w:after="0"/>
              <w:rPr>
                <w:sz w:val="2"/>
                <w:szCs w:val="2"/>
                <w:color w:val="auto"/>
              </w:rPr>
            </w:pPr>
          </w:p>
        </w:tc>
        <w:tc>
          <w:tcPr>
            <w:tcW w:w="58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2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420" w:type="dxa"/>
            <w:vAlign w:val="bottom"/>
            <w:tcBorders>
              <w:top w:val="single" w:sz="8" w:color="CFF0FC"/>
            </w:tcBorders>
            <w:shd w:val="clear" w:color="auto" w:fill="CFF0FC"/>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1720" w:type="dxa"/>
            <w:vAlign w:val="bottom"/>
            <w:gridSpan w:val="8"/>
          </w:tcPr>
          <w:p>
            <w:pPr>
              <w:spacing w:after="0"/>
              <w:rPr>
                <w:sz w:val="20"/>
                <w:szCs w:val="20"/>
                <w:color w:val="auto"/>
              </w:rPr>
            </w:pPr>
            <w:r>
              <w:rPr>
                <w:rFonts w:ascii="Arial" w:cs="Arial" w:eastAsia="Arial" w:hAnsi="Arial"/>
                <w:sz w:val="16"/>
                <w:szCs w:val="16"/>
                <w:color w:val="0000FF"/>
              </w:rPr>
              <w:t>ITEM 12.</w:t>
            </w:r>
          </w:p>
        </w:tc>
        <w:tc>
          <w:tcPr>
            <w:tcW w:w="7480" w:type="dxa"/>
            <w:vAlign w:val="bottom"/>
            <w:gridSpan w:val="33"/>
          </w:tcPr>
          <w:p>
            <w:pPr>
              <w:spacing w:after="0"/>
              <w:rPr>
                <w:sz w:val="20"/>
                <w:szCs w:val="20"/>
                <w:color w:val="auto"/>
              </w:rPr>
            </w:pPr>
            <w:r>
              <w:rPr>
                <w:rFonts w:ascii="Arial" w:cs="Arial" w:eastAsia="Arial" w:hAnsi="Arial"/>
                <w:sz w:val="16"/>
                <w:szCs w:val="16"/>
                <w:color w:val="0000FF"/>
              </w:rPr>
              <w:t>SECURITY OWNERSHIP OF CERTAIN BENEFICIAL OWNERS AND MANAGEMENT AND RELATED</w:t>
            </w:r>
          </w:p>
        </w:tc>
        <w:tc>
          <w:tcPr>
            <w:tcW w:w="1500" w:type="dxa"/>
            <w:vAlign w:val="bottom"/>
            <w:gridSpan w:val="4"/>
          </w:tcPr>
          <w:p>
            <w:pPr>
              <w:jc w:val="center"/>
              <w:ind w:left="1159"/>
              <w:spacing w:after="0"/>
              <w:rPr>
                <w:sz w:val="20"/>
                <w:szCs w:val="20"/>
                <w:color w:val="auto"/>
              </w:rPr>
            </w:pPr>
            <w:r>
              <w:rPr>
                <w:rFonts w:ascii="Arial" w:cs="Arial" w:eastAsia="Arial" w:hAnsi="Arial"/>
                <w:sz w:val="16"/>
                <w:szCs w:val="16"/>
                <w:color w:val="0000FF"/>
                <w:w w:val="97"/>
              </w:rPr>
              <w:t>103</w:t>
            </w:r>
          </w:p>
        </w:tc>
        <w:tc>
          <w:tcPr>
            <w:tcW w:w="420" w:type="dxa"/>
            <w:vAlign w:val="bottom"/>
          </w:tcPr>
          <w:p>
            <w:pPr>
              <w:spacing w:after="0"/>
              <w:rPr>
                <w:sz w:val="18"/>
                <w:szCs w:val="18"/>
                <w:color w:val="auto"/>
              </w:rPr>
            </w:pPr>
          </w:p>
        </w:tc>
      </w:tr>
      <w:tr>
        <w:trPr>
          <w:trHeight w:val="169"/>
        </w:trPr>
        <w:tc>
          <w:tcPr>
            <w:tcW w:w="120" w:type="dxa"/>
            <w:vAlign w:val="bottom"/>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80" w:type="dxa"/>
            <w:vAlign w:val="bottom"/>
            <w:tcBorders>
              <w:top w:val="single" w:sz="8" w:color="0000FF"/>
            </w:tcBorders>
            <w:gridSpan w:val="33"/>
          </w:tcPr>
          <w:p>
            <w:pPr>
              <w:spacing w:after="0" w:line="169" w:lineRule="exact"/>
              <w:rPr>
                <w:sz w:val="20"/>
                <w:szCs w:val="20"/>
                <w:color w:val="auto"/>
              </w:rPr>
            </w:pPr>
            <w:r>
              <w:rPr>
                <w:rFonts w:ascii="Arial" w:cs="Arial" w:eastAsia="Arial" w:hAnsi="Arial"/>
                <w:sz w:val="16"/>
                <w:szCs w:val="16"/>
                <w:color w:val="0000FF"/>
              </w:rPr>
              <w:t>STOCKHOLDER MATTERS</w:t>
            </w:r>
          </w:p>
        </w:tc>
        <w:tc>
          <w:tcPr>
            <w:tcW w:w="1240" w:type="dxa"/>
            <w:vAlign w:val="bottom"/>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20" w:type="dxa"/>
            <w:vAlign w:val="bottom"/>
          </w:tcPr>
          <w:p>
            <w:pPr>
              <w:spacing w:after="0"/>
              <w:rPr>
                <w:sz w:val="14"/>
                <w:szCs w:val="14"/>
                <w:color w:val="auto"/>
              </w:rPr>
            </w:pPr>
          </w:p>
        </w:tc>
      </w:tr>
      <w:tr>
        <w:trPr>
          <w:trHeight w:val="34"/>
        </w:trPr>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16"/>
        </w:trPr>
        <w:tc>
          <w:tcPr>
            <w:tcW w:w="120" w:type="dxa"/>
            <w:vAlign w:val="bottom"/>
            <w:shd w:val="clear" w:color="auto" w:fill="CFF0FC"/>
          </w:tcPr>
          <w:p>
            <w:pPr>
              <w:spacing w:after="0"/>
              <w:rPr>
                <w:sz w:val="18"/>
                <w:szCs w:val="18"/>
                <w:color w:val="auto"/>
              </w:rPr>
            </w:pPr>
          </w:p>
        </w:tc>
        <w:tc>
          <w:tcPr>
            <w:tcW w:w="1720" w:type="dxa"/>
            <w:vAlign w:val="bottom"/>
            <w:gridSpan w:val="8"/>
            <w:shd w:val="clear" w:color="auto" w:fill="CFF0FC"/>
          </w:tcPr>
          <w:p>
            <w:pPr>
              <w:spacing w:after="0"/>
              <w:rPr>
                <w:sz w:val="20"/>
                <w:szCs w:val="20"/>
                <w:color w:val="auto"/>
              </w:rPr>
            </w:pPr>
            <w:r>
              <w:rPr>
                <w:rFonts w:ascii="Arial" w:cs="Arial" w:eastAsia="Arial" w:hAnsi="Arial"/>
                <w:sz w:val="16"/>
                <w:szCs w:val="16"/>
                <w:color w:val="0000FF"/>
              </w:rPr>
              <w:t>ITEM 13.</w:t>
            </w:r>
          </w:p>
        </w:tc>
        <w:tc>
          <w:tcPr>
            <w:tcW w:w="7480" w:type="dxa"/>
            <w:vAlign w:val="bottom"/>
            <w:gridSpan w:val="33"/>
            <w:shd w:val="clear" w:color="auto" w:fill="CFF0FC"/>
          </w:tcPr>
          <w:p>
            <w:pPr>
              <w:spacing w:after="0"/>
              <w:rPr>
                <w:sz w:val="20"/>
                <w:szCs w:val="20"/>
                <w:color w:val="auto"/>
              </w:rPr>
            </w:pPr>
            <w:r>
              <w:rPr>
                <w:rFonts w:ascii="Arial" w:cs="Arial" w:eastAsia="Arial" w:hAnsi="Arial"/>
                <w:sz w:val="16"/>
                <w:szCs w:val="16"/>
                <w:color w:val="0000FF"/>
              </w:rPr>
              <w:t>CERTAIN RELATIONSHIPS AND RELATED TRANSACTIONS AND DIRECTOR INDEPENDENCE</w:t>
            </w:r>
          </w:p>
        </w:tc>
        <w:tc>
          <w:tcPr>
            <w:tcW w:w="1500" w:type="dxa"/>
            <w:vAlign w:val="bottom"/>
            <w:gridSpan w:val="4"/>
            <w:shd w:val="clear" w:color="auto" w:fill="CFF0FC"/>
          </w:tcPr>
          <w:p>
            <w:pPr>
              <w:jc w:val="center"/>
              <w:ind w:left="1159"/>
              <w:spacing w:after="0"/>
              <w:rPr>
                <w:sz w:val="20"/>
                <w:szCs w:val="20"/>
                <w:color w:val="auto"/>
              </w:rPr>
            </w:pPr>
            <w:r>
              <w:rPr>
                <w:rFonts w:ascii="Arial" w:cs="Arial" w:eastAsia="Arial" w:hAnsi="Arial"/>
                <w:sz w:val="16"/>
                <w:szCs w:val="16"/>
                <w:color w:val="0000FF"/>
                <w:w w:val="97"/>
              </w:rPr>
              <w:t>103</w:t>
            </w:r>
          </w:p>
        </w:tc>
        <w:tc>
          <w:tcPr>
            <w:tcW w:w="420" w:type="dxa"/>
            <w:vAlign w:val="bottom"/>
            <w:shd w:val="clear" w:color="auto" w:fill="CFF0FC"/>
          </w:tcPr>
          <w:p>
            <w:pPr>
              <w:spacing w:after="0"/>
              <w:rPr>
                <w:sz w:val="18"/>
                <w:szCs w:val="18"/>
                <w:color w:val="auto"/>
              </w:rPr>
            </w:pPr>
          </w:p>
        </w:tc>
      </w:tr>
      <w:tr>
        <w:trPr>
          <w:trHeight w:val="34"/>
        </w:trPr>
        <w:tc>
          <w:tcPr>
            <w:tcW w:w="12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360" w:type="dxa"/>
            <w:vAlign w:val="bottom"/>
            <w:tcBorders>
              <w:top w:val="single" w:sz="8" w:color="CFF0FC"/>
            </w:tcBorders>
            <w:shd w:val="clear" w:color="auto" w:fill="CFF0FC"/>
          </w:tcPr>
          <w:p>
            <w:pPr>
              <w:spacing w:after="0"/>
              <w:rPr>
                <w:sz w:val="2"/>
                <w:szCs w:val="2"/>
                <w:color w:val="auto"/>
              </w:rPr>
            </w:pPr>
          </w:p>
        </w:tc>
        <w:tc>
          <w:tcPr>
            <w:tcW w:w="680" w:type="dxa"/>
            <w:vAlign w:val="bottom"/>
            <w:tcBorders>
              <w:top w:val="single" w:sz="8" w:color="CFF0FC"/>
            </w:tcBorders>
            <w:shd w:val="clear" w:color="auto" w:fill="CFF0FC"/>
          </w:tcPr>
          <w:p>
            <w:pPr>
              <w:spacing w:after="0"/>
              <w:rPr>
                <w:sz w:val="2"/>
                <w:szCs w:val="2"/>
                <w:color w:val="auto"/>
              </w:rPr>
            </w:pPr>
          </w:p>
        </w:tc>
        <w:tc>
          <w:tcPr>
            <w:tcW w:w="340" w:type="dxa"/>
            <w:vAlign w:val="bottom"/>
            <w:tcBorders>
              <w:top w:val="single" w:sz="8" w:color="0000FF"/>
            </w:tcBorders>
            <w:shd w:val="clear" w:color="auto" w:fill="CFF0FC"/>
          </w:tcPr>
          <w:p>
            <w:pPr>
              <w:spacing w:after="0"/>
              <w:rPr>
                <w:sz w:val="2"/>
                <w:szCs w:val="2"/>
                <w:color w:val="auto"/>
              </w:rPr>
            </w:pPr>
          </w:p>
        </w:tc>
        <w:tc>
          <w:tcPr>
            <w:tcW w:w="720" w:type="dxa"/>
            <w:vAlign w:val="bottom"/>
            <w:tcBorders>
              <w:top w:val="single" w:sz="8" w:color="0000FF"/>
            </w:tcBorders>
            <w:shd w:val="clear" w:color="auto" w:fill="CFF0FC"/>
          </w:tcPr>
          <w:p>
            <w:pPr>
              <w:spacing w:after="0"/>
              <w:rPr>
                <w:sz w:val="2"/>
                <w:szCs w:val="2"/>
                <w:color w:val="auto"/>
              </w:rPr>
            </w:pPr>
          </w:p>
        </w:tc>
        <w:tc>
          <w:tcPr>
            <w:tcW w:w="50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28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280" w:type="dxa"/>
            <w:vAlign w:val="bottom"/>
            <w:tcBorders>
              <w:top w:val="single" w:sz="8" w:color="0000FF"/>
            </w:tcBorders>
            <w:shd w:val="clear" w:color="auto" w:fill="CFF0FC"/>
          </w:tcPr>
          <w:p>
            <w:pPr>
              <w:spacing w:after="0"/>
              <w:rPr>
                <w:sz w:val="2"/>
                <w:szCs w:val="2"/>
                <w:color w:val="auto"/>
              </w:rPr>
            </w:pPr>
          </w:p>
        </w:tc>
        <w:tc>
          <w:tcPr>
            <w:tcW w:w="48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56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500" w:type="dxa"/>
            <w:vAlign w:val="bottom"/>
            <w:tcBorders>
              <w:top w:val="single" w:sz="8" w:color="0000FF"/>
            </w:tcBorders>
            <w:shd w:val="clear" w:color="auto" w:fill="CFF0FC"/>
          </w:tcPr>
          <w:p>
            <w:pPr>
              <w:spacing w:after="0"/>
              <w:rPr>
                <w:sz w:val="2"/>
                <w:szCs w:val="2"/>
                <w:color w:val="auto"/>
              </w:rPr>
            </w:pPr>
          </w:p>
        </w:tc>
        <w:tc>
          <w:tcPr>
            <w:tcW w:w="1100" w:type="dxa"/>
            <w:vAlign w:val="bottom"/>
            <w:tcBorders>
              <w:top w:val="single" w:sz="8" w:color="0000FF"/>
            </w:tcBorders>
            <w:shd w:val="clear" w:color="auto" w:fill="CFF0FC"/>
          </w:tcPr>
          <w:p>
            <w:pPr>
              <w:spacing w:after="0"/>
              <w:rPr>
                <w:sz w:val="2"/>
                <w:szCs w:val="2"/>
                <w:color w:val="auto"/>
              </w:rPr>
            </w:pPr>
          </w:p>
        </w:tc>
        <w:tc>
          <w:tcPr>
            <w:tcW w:w="58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2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420" w:type="dxa"/>
            <w:vAlign w:val="bottom"/>
            <w:tcBorders>
              <w:top w:val="single" w:sz="8" w:color="CFF0FC"/>
            </w:tcBorders>
            <w:shd w:val="clear" w:color="auto" w:fill="CFF0FC"/>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1720" w:type="dxa"/>
            <w:vAlign w:val="bottom"/>
            <w:gridSpan w:val="8"/>
          </w:tcPr>
          <w:p>
            <w:pPr>
              <w:spacing w:after="0"/>
              <w:rPr>
                <w:sz w:val="20"/>
                <w:szCs w:val="20"/>
                <w:color w:val="auto"/>
              </w:rPr>
            </w:pPr>
            <w:r>
              <w:rPr>
                <w:rFonts w:ascii="Arial" w:cs="Arial" w:eastAsia="Arial" w:hAnsi="Arial"/>
                <w:sz w:val="16"/>
                <w:szCs w:val="16"/>
                <w:color w:val="0000FF"/>
              </w:rPr>
              <w:t>ITEM 14.</w:t>
            </w:r>
          </w:p>
        </w:tc>
        <w:tc>
          <w:tcPr>
            <w:tcW w:w="7480" w:type="dxa"/>
            <w:vAlign w:val="bottom"/>
            <w:gridSpan w:val="33"/>
          </w:tcPr>
          <w:p>
            <w:pPr>
              <w:spacing w:after="0"/>
              <w:rPr>
                <w:sz w:val="20"/>
                <w:szCs w:val="20"/>
                <w:color w:val="auto"/>
              </w:rPr>
            </w:pPr>
            <w:r>
              <w:rPr>
                <w:rFonts w:ascii="Arial" w:cs="Arial" w:eastAsia="Arial" w:hAnsi="Arial"/>
                <w:sz w:val="16"/>
                <w:szCs w:val="16"/>
                <w:color w:val="0000FF"/>
              </w:rPr>
              <w:t>PRINCIPAL ACCOUNTANT FEES AND SERVICES</w:t>
            </w:r>
          </w:p>
        </w:tc>
        <w:tc>
          <w:tcPr>
            <w:tcW w:w="1500" w:type="dxa"/>
            <w:vAlign w:val="bottom"/>
            <w:gridSpan w:val="4"/>
          </w:tcPr>
          <w:p>
            <w:pPr>
              <w:jc w:val="center"/>
              <w:ind w:left="1159"/>
              <w:spacing w:after="0"/>
              <w:rPr>
                <w:sz w:val="20"/>
                <w:szCs w:val="20"/>
                <w:color w:val="auto"/>
              </w:rPr>
            </w:pPr>
            <w:r>
              <w:rPr>
                <w:rFonts w:ascii="Arial" w:cs="Arial" w:eastAsia="Arial" w:hAnsi="Arial"/>
                <w:sz w:val="16"/>
                <w:szCs w:val="16"/>
                <w:color w:val="0000FF"/>
                <w:w w:val="97"/>
              </w:rPr>
              <w:t>103</w:t>
            </w:r>
          </w:p>
        </w:tc>
        <w:tc>
          <w:tcPr>
            <w:tcW w:w="420" w:type="dxa"/>
            <w:vAlign w:val="bottom"/>
          </w:tcPr>
          <w:p>
            <w:pPr>
              <w:spacing w:after="0"/>
              <w:rPr>
                <w:sz w:val="18"/>
                <w:szCs w:val="18"/>
                <w:color w:val="auto"/>
              </w:rPr>
            </w:pPr>
          </w:p>
        </w:tc>
      </w:tr>
      <w:tr>
        <w:trPr>
          <w:trHeight w:val="34"/>
        </w:trPr>
        <w:tc>
          <w:tcPr>
            <w:tcW w:w="12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20" w:type="dxa"/>
            <w:vAlign w:val="bottom"/>
          </w:tcPr>
          <w:p>
            <w:pPr>
              <w:spacing w:after="0"/>
              <w:rPr>
                <w:sz w:val="2"/>
                <w:szCs w:val="2"/>
                <w:color w:val="auto"/>
              </w:rPr>
            </w:pPr>
          </w:p>
        </w:tc>
      </w:tr>
      <w:tr>
        <w:trPr>
          <w:trHeight w:val="216"/>
        </w:trPr>
        <w:tc>
          <w:tcPr>
            <w:tcW w:w="120" w:type="dxa"/>
            <w:vAlign w:val="bottom"/>
            <w:shd w:val="clear" w:color="auto" w:fill="CFF0FC"/>
          </w:tcPr>
          <w:p>
            <w:pPr>
              <w:spacing w:after="0"/>
              <w:rPr>
                <w:sz w:val="18"/>
                <w:szCs w:val="18"/>
                <w:color w:val="auto"/>
              </w:rPr>
            </w:pPr>
          </w:p>
        </w:tc>
        <w:tc>
          <w:tcPr>
            <w:tcW w:w="1720" w:type="dxa"/>
            <w:vAlign w:val="bottom"/>
            <w:gridSpan w:val="8"/>
            <w:shd w:val="clear" w:color="auto" w:fill="CFF0FC"/>
          </w:tcPr>
          <w:p>
            <w:pPr>
              <w:spacing w:after="0"/>
              <w:rPr>
                <w:sz w:val="20"/>
                <w:szCs w:val="20"/>
                <w:color w:val="auto"/>
              </w:rPr>
            </w:pPr>
            <w:r>
              <w:rPr>
                <w:rFonts w:ascii="Arial" w:cs="Arial" w:eastAsia="Arial" w:hAnsi="Arial"/>
                <w:sz w:val="16"/>
                <w:szCs w:val="16"/>
                <w:b w:val="1"/>
                <w:bCs w:val="1"/>
                <w:color w:val="0000FF"/>
              </w:rPr>
              <w:t>Part IV</w:t>
            </w:r>
          </w:p>
        </w:tc>
        <w:tc>
          <w:tcPr>
            <w:tcW w:w="3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r>
      <w:tr>
        <w:trPr>
          <w:trHeight w:val="34"/>
        </w:trPr>
        <w:tc>
          <w:tcPr>
            <w:tcW w:w="12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360" w:type="dxa"/>
            <w:vAlign w:val="bottom"/>
            <w:tcBorders>
              <w:top w:val="single" w:sz="8" w:color="CFF0FC"/>
            </w:tcBorders>
            <w:shd w:val="clear" w:color="auto" w:fill="CFF0FC"/>
          </w:tcPr>
          <w:p>
            <w:pPr>
              <w:spacing w:after="0"/>
              <w:rPr>
                <w:sz w:val="2"/>
                <w:szCs w:val="2"/>
                <w:color w:val="auto"/>
              </w:rPr>
            </w:pPr>
          </w:p>
        </w:tc>
        <w:tc>
          <w:tcPr>
            <w:tcW w:w="680" w:type="dxa"/>
            <w:vAlign w:val="bottom"/>
            <w:tcBorders>
              <w:top w:val="single" w:sz="8" w:color="CFF0FC"/>
            </w:tcBorders>
            <w:shd w:val="clear" w:color="auto" w:fill="CFF0FC"/>
          </w:tcPr>
          <w:p>
            <w:pPr>
              <w:spacing w:after="0"/>
              <w:rPr>
                <w:sz w:val="2"/>
                <w:szCs w:val="2"/>
                <w:color w:val="auto"/>
              </w:rPr>
            </w:pPr>
          </w:p>
        </w:tc>
        <w:tc>
          <w:tcPr>
            <w:tcW w:w="340" w:type="dxa"/>
            <w:vAlign w:val="bottom"/>
            <w:tcBorders>
              <w:top w:val="single" w:sz="8" w:color="CFF0FC"/>
            </w:tcBorders>
            <w:shd w:val="clear" w:color="auto" w:fill="CFF0FC"/>
          </w:tcPr>
          <w:p>
            <w:pPr>
              <w:spacing w:after="0"/>
              <w:rPr>
                <w:sz w:val="2"/>
                <w:szCs w:val="2"/>
                <w:color w:val="auto"/>
              </w:rPr>
            </w:pPr>
          </w:p>
        </w:tc>
        <w:tc>
          <w:tcPr>
            <w:tcW w:w="720" w:type="dxa"/>
            <w:vAlign w:val="bottom"/>
            <w:tcBorders>
              <w:top w:val="single" w:sz="8" w:color="CFF0FC"/>
            </w:tcBorders>
            <w:shd w:val="clear" w:color="auto" w:fill="CFF0FC"/>
          </w:tcPr>
          <w:p>
            <w:pPr>
              <w:spacing w:after="0"/>
              <w:rPr>
                <w:sz w:val="2"/>
                <w:szCs w:val="2"/>
                <w:color w:val="auto"/>
              </w:rPr>
            </w:pPr>
          </w:p>
        </w:tc>
        <w:tc>
          <w:tcPr>
            <w:tcW w:w="50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500" w:type="dxa"/>
            <w:vAlign w:val="bottom"/>
            <w:tcBorders>
              <w:top w:val="single" w:sz="8" w:color="CFF0FC"/>
            </w:tcBorders>
            <w:shd w:val="clear" w:color="auto" w:fill="CFF0FC"/>
          </w:tcPr>
          <w:p>
            <w:pPr>
              <w:spacing w:after="0"/>
              <w:rPr>
                <w:sz w:val="2"/>
                <w:szCs w:val="2"/>
                <w:color w:val="auto"/>
              </w:rPr>
            </w:pPr>
          </w:p>
        </w:tc>
        <w:tc>
          <w:tcPr>
            <w:tcW w:w="1100" w:type="dxa"/>
            <w:vAlign w:val="bottom"/>
            <w:tcBorders>
              <w:top w:val="single" w:sz="8" w:color="CFF0FC"/>
            </w:tcBorders>
            <w:shd w:val="clear" w:color="auto" w:fill="CFF0FC"/>
          </w:tcPr>
          <w:p>
            <w:pPr>
              <w:spacing w:after="0"/>
              <w:rPr>
                <w:sz w:val="2"/>
                <w:szCs w:val="2"/>
                <w:color w:val="auto"/>
              </w:rPr>
            </w:pPr>
          </w:p>
        </w:tc>
        <w:tc>
          <w:tcPr>
            <w:tcW w:w="58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2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420" w:type="dxa"/>
            <w:vAlign w:val="bottom"/>
            <w:tcBorders>
              <w:top w:val="single" w:sz="8" w:color="CFF0FC"/>
            </w:tcBorders>
            <w:shd w:val="clear" w:color="auto" w:fill="CFF0FC"/>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1720" w:type="dxa"/>
            <w:vAlign w:val="bottom"/>
            <w:gridSpan w:val="8"/>
          </w:tcPr>
          <w:p>
            <w:pPr>
              <w:spacing w:after="0"/>
              <w:rPr>
                <w:sz w:val="20"/>
                <w:szCs w:val="20"/>
                <w:color w:val="auto"/>
              </w:rPr>
            </w:pPr>
            <w:r>
              <w:rPr>
                <w:rFonts w:ascii="Arial" w:cs="Arial" w:eastAsia="Arial" w:hAnsi="Arial"/>
                <w:sz w:val="16"/>
                <w:szCs w:val="16"/>
                <w:color w:val="0000FF"/>
              </w:rPr>
              <w:t>ITEM 15.</w:t>
            </w:r>
          </w:p>
        </w:tc>
        <w:tc>
          <w:tcPr>
            <w:tcW w:w="7480" w:type="dxa"/>
            <w:vAlign w:val="bottom"/>
            <w:gridSpan w:val="33"/>
          </w:tcPr>
          <w:p>
            <w:pPr>
              <w:spacing w:after="0"/>
              <w:rPr>
                <w:sz w:val="20"/>
                <w:szCs w:val="20"/>
                <w:color w:val="auto"/>
              </w:rPr>
            </w:pPr>
            <w:r>
              <w:rPr>
                <w:rFonts w:ascii="Arial" w:cs="Arial" w:eastAsia="Arial" w:hAnsi="Arial"/>
                <w:sz w:val="16"/>
                <w:szCs w:val="16"/>
                <w:color w:val="0000FF"/>
              </w:rPr>
              <w:t>EXHIBITS, FINANCIAL STATEMENT SCHEDULES</w:t>
            </w:r>
          </w:p>
        </w:tc>
        <w:tc>
          <w:tcPr>
            <w:tcW w:w="1500" w:type="dxa"/>
            <w:vAlign w:val="bottom"/>
            <w:gridSpan w:val="4"/>
          </w:tcPr>
          <w:p>
            <w:pPr>
              <w:jc w:val="center"/>
              <w:ind w:left="1159"/>
              <w:spacing w:after="0"/>
              <w:rPr>
                <w:sz w:val="20"/>
                <w:szCs w:val="20"/>
                <w:color w:val="auto"/>
              </w:rPr>
            </w:pPr>
            <w:r>
              <w:rPr>
                <w:rFonts w:ascii="Arial" w:cs="Arial" w:eastAsia="Arial" w:hAnsi="Arial"/>
                <w:sz w:val="16"/>
                <w:szCs w:val="16"/>
                <w:color w:val="0000FF"/>
                <w:w w:val="97"/>
              </w:rPr>
              <w:t>104</w:t>
            </w:r>
          </w:p>
        </w:tc>
        <w:tc>
          <w:tcPr>
            <w:tcW w:w="420" w:type="dxa"/>
            <w:vAlign w:val="bottom"/>
          </w:tcPr>
          <w:p>
            <w:pPr>
              <w:spacing w:after="0"/>
              <w:rPr>
                <w:sz w:val="18"/>
                <w:szCs w:val="18"/>
                <w:color w:val="auto"/>
              </w:rPr>
            </w:pPr>
          </w:p>
        </w:tc>
      </w:tr>
      <w:tr>
        <w:trPr>
          <w:trHeight w:val="34"/>
        </w:trPr>
        <w:tc>
          <w:tcPr>
            <w:tcW w:w="12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20" w:type="dxa"/>
            <w:vAlign w:val="bottom"/>
          </w:tcPr>
          <w:p>
            <w:pPr>
              <w:spacing w:after="0"/>
              <w:rPr>
                <w:sz w:val="2"/>
                <w:szCs w:val="2"/>
                <w:color w:val="auto"/>
              </w:rPr>
            </w:pPr>
          </w:p>
        </w:tc>
      </w:tr>
      <w:tr>
        <w:trPr>
          <w:trHeight w:val="216"/>
        </w:trPr>
        <w:tc>
          <w:tcPr>
            <w:tcW w:w="120" w:type="dxa"/>
            <w:vAlign w:val="bottom"/>
            <w:shd w:val="clear" w:color="auto" w:fill="CFF0FC"/>
          </w:tcPr>
          <w:p>
            <w:pPr>
              <w:spacing w:after="0"/>
              <w:rPr>
                <w:sz w:val="18"/>
                <w:szCs w:val="18"/>
                <w:color w:val="auto"/>
              </w:rPr>
            </w:pPr>
          </w:p>
        </w:tc>
        <w:tc>
          <w:tcPr>
            <w:tcW w:w="1720" w:type="dxa"/>
            <w:vAlign w:val="bottom"/>
            <w:gridSpan w:val="8"/>
            <w:shd w:val="clear" w:color="auto" w:fill="CFF0FC"/>
          </w:tcPr>
          <w:p>
            <w:pPr>
              <w:spacing w:after="0"/>
              <w:rPr>
                <w:sz w:val="20"/>
                <w:szCs w:val="20"/>
                <w:color w:val="auto"/>
              </w:rPr>
            </w:pPr>
            <w:r>
              <w:rPr>
                <w:rFonts w:ascii="Arial" w:cs="Arial" w:eastAsia="Arial" w:hAnsi="Arial"/>
                <w:sz w:val="16"/>
                <w:szCs w:val="16"/>
                <w:color w:val="0000FF"/>
              </w:rPr>
              <w:t>ITEM 16.</w:t>
            </w:r>
          </w:p>
        </w:tc>
        <w:tc>
          <w:tcPr>
            <w:tcW w:w="7480" w:type="dxa"/>
            <w:vAlign w:val="bottom"/>
            <w:gridSpan w:val="33"/>
            <w:shd w:val="clear" w:color="auto" w:fill="CFF0FC"/>
          </w:tcPr>
          <w:p>
            <w:pPr>
              <w:spacing w:after="0"/>
              <w:rPr>
                <w:sz w:val="20"/>
                <w:szCs w:val="20"/>
                <w:color w:val="auto"/>
              </w:rPr>
            </w:pPr>
            <w:r>
              <w:rPr>
                <w:rFonts w:ascii="Arial" w:cs="Arial" w:eastAsia="Arial" w:hAnsi="Arial"/>
                <w:sz w:val="16"/>
                <w:szCs w:val="16"/>
                <w:color w:val="0000FF"/>
              </w:rPr>
              <w:t>FORM 10-K SUMMARY</w:t>
            </w:r>
          </w:p>
        </w:tc>
        <w:tc>
          <w:tcPr>
            <w:tcW w:w="1500" w:type="dxa"/>
            <w:vAlign w:val="bottom"/>
            <w:gridSpan w:val="4"/>
            <w:shd w:val="clear" w:color="auto" w:fill="CFF0FC"/>
          </w:tcPr>
          <w:p>
            <w:pPr>
              <w:jc w:val="center"/>
              <w:ind w:left="1159"/>
              <w:spacing w:after="0"/>
              <w:rPr>
                <w:sz w:val="20"/>
                <w:szCs w:val="20"/>
                <w:color w:val="auto"/>
              </w:rPr>
            </w:pPr>
            <w:r>
              <w:rPr>
                <w:rFonts w:ascii="Arial" w:cs="Arial" w:eastAsia="Arial" w:hAnsi="Arial"/>
                <w:sz w:val="16"/>
                <w:szCs w:val="16"/>
                <w:color w:val="0000FF"/>
                <w:w w:val="97"/>
              </w:rPr>
              <w:t>107</w:t>
            </w:r>
          </w:p>
        </w:tc>
        <w:tc>
          <w:tcPr>
            <w:tcW w:w="420" w:type="dxa"/>
            <w:vAlign w:val="bottom"/>
            <w:shd w:val="clear" w:color="auto" w:fill="CFF0FC"/>
          </w:tcPr>
          <w:p>
            <w:pPr>
              <w:spacing w:after="0"/>
              <w:rPr>
                <w:sz w:val="18"/>
                <w:szCs w:val="18"/>
                <w:color w:val="auto"/>
              </w:rPr>
            </w:pPr>
          </w:p>
        </w:tc>
      </w:tr>
      <w:tr>
        <w:trPr>
          <w:trHeight w:val="34"/>
        </w:trPr>
        <w:tc>
          <w:tcPr>
            <w:tcW w:w="12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360" w:type="dxa"/>
            <w:vAlign w:val="bottom"/>
            <w:tcBorders>
              <w:top w:val="single" w:sz="8" w:color="CFF0FC"/>
            </w:tcBorders>
            <w:shd w:val="clear" w:color="auto" w:fill="CFF0FC"/>
          </w:tcPr>
          <w:p>
            <w:pPr>
              <w:spacing w:after="0"/>
              <w:rPr>
                <w:sz w:val="2"/>
                <w:szCs w:val="2"/>
                <w:color w:val="auto"/>
              </w:rPr>
            </w:pPr>
          </w:p>
        </w:tc>
        <w:tc>
          <w:tcPr>
            <w:tcW w:w="680" w:type="dxa"/>
            <w:vAlign w:val="bottom"/>
            <w:tcBorders>
              <w:top w:val="single" w:sz="8" w:color="CFF0FC"/>
            </w:tcBorders>
            <w:shd w:val="clear" w:color="auto" w:fill="CFF0FC"/>
          </w:tcPr>
          <w:p>
            <w:pPr>
              <w:spacing w:after="0"/>
              <w:rPr>
                <w:sz w:val="2"/>
                <w:szCs w:val="2"/>
                <w:color w:val="auto"/>
              </w:rPr>
            </w:pPr>
          </w:p>
        </w:tc>
        <w:tc>
          <w:tcPr>
            <w:tcW w:w="340" w:type="dxa"/>
            <w:vAlign w:val="bottom"/>
            <w:tcBorders>
              <w:top w:val="single" w:sz="8" w:color="0000FF"/>
            </w:tcBorders>
            <w:shd w:val="clear" w:color="auto" w:fill="CFF0FC"/>
          </w:tcPr>
          <w:p>
            <w:pPr>
              <w:spacing w:after="0"/>
              <w:rPr>
                <w:sz w:val="2"/>
                <w:szCs w:val="2"/>
                <w:color w:val="auto"/>
              </w:rPr>
            </w:pPr>
          </w:p>
        </w:tc>
        <w:tc>
          <w:tcPr>
            <w:tcW w:w="720" w:type="dxa"/>
            <w:vAlign w:val="bottom"/>
            <w:tcBorders>
              <w:top w:val="single" w:sz="8" w:color="0000FF"/>
            </w:tcBorders>
            <w:shd w:val="clear" w:color="auto" w:fill="CFF0FC"/>
          </w:tcPr>
          <w:p>
            <w:pPr>
              <w:spacing w:after="0"/>
              <w:rPr>
                <w:sz w:val="2"/>
                <w:szCs w:val="2"/>
                <w:color w:val="auto"/>
              </w:rPr>
            </w:pPr>
          </w:p>
        </w:tc>
        <w:tc>
          <w:tcPr>
            <w:tcW w:w="50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500" w:type="dxa"/>
            <w:vAlign w:val="bottom"/>
            <w:tcBorders>
              <w:top w:val="single" w:sz="8" w:color="CFF0FC"/>
            </w:tcBorders>
            <w:shd w:val="clear" w:color="auto" w:fill="CFF0FC"/>
          </w:tcPr>
          <w:p>
            <w:pPr>
              <w:spacing w:after="0"/>
              <w:rPr>
                <w:sz w:val="2"/>
                <w:szCs w:val="2"/>
                <w:color w:val="auto"/>
              </w:rPr>
            </w:pPr>
          </w:p>
        </w:tc>
        <w:tc>
          <w:tcPr>
            <w:tcW w:w="1100" w:type="dxa"/>
            <w:vAlign w:val="bottom"/>
            <w:tcBorders>
              <w:top w:val="single" w:sz="8" w:color="CFF0FC"/>
            </w:tcBorders>
            <w:shd w:val="clear" w:color="auto" w:fill="CFF0FC"/>
          </w:tcPr>
          <w:p>
            <w:pPr>
              <w:spacing w:after="0"/>
              <w:rPr>
                <w:sz w:val="2"/>
                <w:szCs w:val="2"/>
                <w:color w:val="auto"/>
              </w:rPr>
            </w:pPr>
          </w:p>
        </w:tc>
        <w:tc>
          <w:tcPr>
            <w:tcW w:w="58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2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420" w:type="dxa"/>
            <w:vAlign w:val="bottom"/>
            <w:tcBorders>
              <w:top w:val="single" w:sz="8" w:color="CFF0FC"/>
            </w:tcBorders>
            <w:shd w:val="clear" w:color="auto" w:fill="CFF0FC"/>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1720" w:type="dxa"/>
            <w:vAlign w:val="bottom"/>
            <w:gridSpan w:val="8"/>
          </w:tcPr>
          <w:p>
            <w:pPr>
              <w:spacing w:after="0"/>
              <w:rPr>
                <w:sz w:val="20"/>
                <w:szCs w:val="20"/>
                <w:color w:val="auto"/>
              </w:rPr>
            </w:pPr>
            <w:r>
              <w:rPr>
                <w:rFonts w:ascii="Arial" w:cs="Arial" w:eastAsia="Arial" w:hAnsi="Arial"/>
                <w:sz w:val="16"/>
                <w:szCs w:val="16"/>
                <w:color w:val="0000FF"/>
              </w:rPr>
              <w:t>SIGNATURES</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4"/>
          </w:tcPr>
          <w:p>
            <w:pPr>
              <w:jc w:val="center"/>
              <w:ind w:left="1159"/>
              <w:spacing w:after="0"/>
              <w:rPr>
                <w:sz w:val="20"/>
                <w:szCs w:val="20"/>
                <w:color w:val="auto"/>
              </w:rPr>
            </w:pPr>
            <w:r>
              <w:rPr>
                <w:rFonts w:ascii="Arial" w:cs="Arial" w:eastAsia="Arial" w:hAnsi="Arial"/>
                <w:sz w:val="16"/>
                <w:szCs w:val="16"/>
                <w:color w:val="0000FF"/>
                <w:w w:val="97"/>
              </w:rPr>
              <w:t>108</w:t>
            </w:r>
          </w:p>
        </w:tc>
        <w:tc>
          <w:tcPr>
            <w:tcW w:w="420" w:type="dxa"/>
            <w:vAlign w:val="bottom"/>
          </w:tcPr>
          <w:p>
            <w:pPr>
              <w:spacing w:after="0"/>
              <w:rPr>
                <w:sz w:val="18"/>
                <w:szCs w:val="18"/>
                <w:color w:val="auto"/>
              </w:rPr>
            </w:pPr>
          </w:p>
        </w:tc>
      </w:tr>
      <w:tr>
        <w:trPr>
          <w:trHeight w:val="653"/>
        </w:trPr>
        <w:tc>
          <w:tcPr>
            <w:tcW w:w="120" w:type="dxa"/>
            <w:vAlign w:val="bottom"/>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680" w:type="dxa"/>
            <w:vAlign w:val="bottom"/>
          </w:tcPr>
          <w:p>
            <w:pPr>
              <w:spacing w:after="0"/>
              <w:rPr>
                <w:sz w:val="24"/>
                <w:szCs w:val="24"/>
                <w:color w:val="auto"/>
              </w:rPr>
            </w:pPr>
          </w:p>
        </w:tc>
        <w:tc>
          <w:tcPr>
            <w:tcW w:w="4220" w:type="dxa"/>
            <w:vAlign w:val="bottom"/>
            <w:gridSpan w:val="25"/>
          </w:tcPr>
          <w:p>
            <w:pPr>
              <w:ind w:left="374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r>
      <w:tr>
        <w:trPr>
          <w:trHeight w:val="751"/>
        </w:trPr>
        <w:tc>
          <w:tcPr>
            <w:tcW w:w="1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40" w:type="dxa"/>
            <w:vAlign w:val="bottom"/>
          </w:tcPr>
          <w:p>
            <w:pPr>
              <w:spacing w:after="0"/>
              <w:rPr>
                <w:sz w:val="19"/>
                <w:szCs w:val="19"/>
                <w:color w:val="auto"/>
              </w:rPr>
            </w:pPr>
          </w:p>
        </w:tc>
        <w:tc>
          <w:tcPr>
            <w:tcW w:w="7800" w:type="dxa"/>
            <w:vAlign w:val="bottom"/>
          </w:tcPr>
          <w:p>
            <w:pPr>
              <w:ind w:left="400"/>
              <w:spacing w:after="0"/>
              <w:rPr>
                <w:sz w:val="20"/>
                <w:szCs w:val="20"/>
                <w:color w:val="auto"/>
              </w:rPr>
            </w:pPr>
            <w:r>
              <w:rPr>
                <w:rFonts w:ascii="Arial" w:cs="Arial" w:eastAsia="Arial" w:hAnsi="Arial"/>
                <w:sz w:val="16"/>
                <w:szCs w:val="16"/>
                <w:b w:val="1"/>
                <w:bCs w:val="1"/>
                <w:color w:val="auto"/>
              </w:rPr>
              <w:t>GLOSSARY OF TERMS AND ABBREVIATIONS</w:t>
            </w:r>
          </w:p>
        </w:tc>
      </w:tr>
      <w:tr>
        <w:trPr>
          <w:trHeight w:val="370"/>
        </w:trPr>
        <w:tc>
          <w:tcPr>
            <w:tcW w:w="11240" w:type="dxa"/>
            <w:vAlign w:val="bottom"/>
            <w:gridSpan w:val="2"/>
          </w:tcPr>
          <w:p>
            <w:pPr>
              <w:spacing w:after="0"/>
              <w:rPr>
                <w:sz w:val="20"/>
                <w:szCs w:val="20"/>
                <w:color w:val="auto"/>
              </w:rPr>
            </w:pPr>
            <w:r>
              <w:rPr>
                <w:rFonts w:ascii="Arial" w:cs="Arial" w:eastAsia="Arial" w:hAnsi="Arial"/>
                <w:sz w:val="16"/>
                <w:szCs w:val="16"/>
                <w:color w:val="auto"/>
              </w:rPr>
              <w:t>The following terms and abbreviations appear in the text of this report and have the definitions described below:</w:t>
            </w:r>
          </w:p>
        </w:tc>
      </w:tr>
      <w:tr>
        <w:trPr>
          <w:trHeight w:val="178"/>
        </w:trPr>
        <w:tc>
          <w:tcPr>
            <w:tcW w:w="3440" w:type="dxa"/>
            <w:vAlign w:val="bottom"/>
          </w:tcPr>
          <w:p>
            <w:pPr>
              <w:spacing w:after="0"/>
              <w:rPr>
                <w:sz w:val="15"/>
                <w:szCs w:val="15"/>
                <w:color w:val="auto"/>
              </w:rPr>
            </w:pPr>
          </w:p>
        </w:tc>
        <w:tc>
          <w:tcPr>
            <w:tcW w:w="7800" w:type="dxa"/>
            <w:vAlign w:val="bottom"/>
          </w:tcPr>
          <w:p>
            <w:pPr>
              <w:spacing w:after="0"/>
              <w:rPr>
                <w:sz w:val="15"/>
                <w:szCs w:val="15"/>
                <w:color w:val="auto"/>
              </w:rPr>
            </w:pPr>
          </w:p>
        </w:tc>
      </w:tr>
      <w:tr>
        <w:trPr>
          <w:trHeight w:val="270"/>
        </w:trPr>
        <w:tc>
          <w:tcPr>
            <w:tcW w:w="3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w:t>
            </w:r>
          </w:p>
        </w:tc>
        <w:tc>
          <w:tcPr>
            <w:tcW w:w="78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Alternating Current</w:t>
            </w:r>
          </w:p>
        </w:tc>
      </w:tr>
      <w:tr>
        <w:trPr>
          <w:trHeight w:val="262"/>
        </w:trPr>
        <w:tc>
          <w:tcPr>
            <w:tcW w:w="3440" w:type="dxa"/>
            <w:vAlign w:val="bottom"/>
          </w:tcPr>
          <w:p>
            <w:pPr>
              <w:ind w:left="20"/>
              <w:spacing w:after="0"/>
              <w:rPr>
                <w:sz w:val="20"/>
                <w:szCs w:val="20"/>
                <w:color w:val="auto"/>
              </w:rPr>
            </w:pPr>
            <w:r>
              <w:rPr>
                <w:rFonts w:ascii="Arial" w:cs="Arial" w:eastAsia="Arial" w:hAnsi="Arial"/>
                <w:sz w:val="16"/>
                <w:szCs w:val="16"/>
                <w:color w:val="auto"/>
              </w:rPr>
              <w:t>AFUDC</w:t>
            </w:r>
          </w:p>
        </w:tc>
        <w:tc>
          <w:tcPr>
            <w:tcW w:w="7800" w:type="dxa"/>
            <w:vAlign w:val="bottom"/>
          </w:tcPr>
          <w:p>
            <w:pPr>
              <w:ind w:left="180"/>
              <w:spacing w:after="0"/>
              <w:rPr>
                <w:sz w:val="20"/>
                <w:szCs w:val="20"/>
                <w:color w:val="auto"/>
              </w:rPr>
            </w:pPr>
            <w:r>
              <w:rPr>
                <w:rFonts w:ascii="Arial" w:cs="Arial" w:eastAsia="Arial" w:hAnsi="Arial"/>
                <w:sz w:val="16"/>
                <w:szCs w:val="16"/>
                <w:color w:val="auto"/>
              </w:rPr>
              <w:t>Allowance for Funds Used During Construction</w:t>
            </w:r>
          </w:p>
        </w:tc>
      </w:tr>
      <w:tr>
        <w:trPr>
          <w:trHeight w:val="278"/>
        </w:trPr>
        <w:tc>
          <w:tcPr>
            <w:tcW w:w="3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AI</w:t>
            </w:r>
          </w:p>
        </w:tc>
        <w:tc>
          <w:tcPr>
            <w:tcW w:w="78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Artificial Intelligence</w:t>
            </w:r>
          </w:p>
        </w:tc>
      </w:tr>
      <w:tr>
        <w:trPr>
          <w:trHeight w:val="262"/>
        </w:trPr>
        <w:tc>
          <w:tcPr>
            <w:tcW w:w="3440" w:type="dxa"/>
            <w:vAlign w:val="bottom"/>
          </w:tcPr>
          <w:p>
            <w:pPr>
              <w:ind w:left="20"/>
              <w:spacing w:after="0"/>
              <w:rPr>
                <w:sz w:val="20"/>
                <w:szCs w:val="20"/>
                <w:color w:val="auto"/>
              </w:rPr>
            </w:pPr>
            <w:r>
              <w:rPr>
                <w:rFonts w:ascii="Arial" w:cs="Arial" w:eastAsia="Arial" w:hAnsi="Arial"/>
                <w:sz w:val="16"/>
                <w:szCs w:val="16"/>
                <w:color w:val="auto"/>
              </w:rPr>
              <w:t>AOCI</w:t>
            </w:r>
          </w:p>
        </w:tc>
        <w:tc>
          <w:tcPr>
            <w:tcW w:w="7800" w:type="dxa"/>
            <w:vAlign w:val="bottom"/>
          </w:tcPr>
          <w:p>
            <w:pPr>
              <w:ind w:left="180"/>
              <w:spacing w:after="0"/>
              <w:rPr>
                <w:sz w:val="20"/>
                <w:szCs w:val="20"/>
                <w:color w:val="auto"/>
              </w:rPr>
            </w:pPr>
            <w:r>
              <w:rPr>
                <w:rFonts w:ascii="Arial" w:cs="Arial" w:eastAsia="Arial" w:hAnsi="Arial"/>
                <w:sz w:val="16"/>
                <w:szCs w:val="16"/>
                <w:color w:val="auto"/>
              </w:rPr>
              <w:t>Accumulated Other Comprehensive Income (Loss)</w:t>
            </w:r>
          </w:p>
        </w:tc>
      </w:tr>
      <w:tr>
        <w:trPr>
          <w:trHeight w:val="278"/>
        </w:trPr>
        <w:tc>
          <w:tcPr>
            <w:tcW w:w="3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APSC</w:t>
            </w:r>
          </w:p>
        </w:tc>
        <w:tc>
          <w:tcPr>
            <w:tcW w:w="78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Arkansas Public Service Commission</w:t>
            </w:r>
          </w:p>
        </w:tc>
      </w:tr>
      <w:tr>
        <w:trPr>
          <w:trHeight w:val="229"/>
        </w:trPr>
        <w:tc>
          <w:tcPr>
            <w:tcW w:w="3440" w:type="dxa"/>
            <w:vAlign w:val="bottom"/>
          </w:tcPr>
          <w:p>
            <w:pPr>
              <w:ind w:left="20"/>
              <w:spacing w:after="0"/>
              <w:rPr>
                <w:sz w:val="20"/>
                <w:szCs w:val="20"/>
                <w:color w:val="auto"/>
              </w:rPr>
            </w:pPr>
            <w:r>
              <w:rPr>
                <w:rFonts w:ascii="Arial" w:cs="Arial" w:eastAsia="Arial" w:hAnsi="Arial"/>
                <w:sz w:val="16"/>
                <w:szCs w:val="16"/>
                <w:color w:val="auto"/>
              </w:rPr>
              <w:t>Arkansas Gas</w:t>
            </w:r>
          </w:p>
        </w:tc>
        <w:tc>
          <w:tcPr>
            <w:tcW w:w="7800" w:type="dxa"/>
            <w:vAlign w:val="bottom"/>
          </w:tcPr>
          <w:p>
            <w:pPr>
              <w:ind w:left="180"/>
              <w:spacing w:after="0"/>
              <w:rPr>
                <w:sz w:val="20"/>
                <w:szCs w:val="20"/>
                <w:color w:val="auto"/>
              </w:rPr>
            </w:pPr>
            <w:r>
              <w:rPr>
                <w:rFonts w:ascii="Arial" w:cs="Arial" w:eastAsia="Arial" w:hAnsi="Arial"/>
                <w:sz w:val="16"/>
                <w:szCs w:val="16"/>
                <w:color w:val="auto"/>
              </w:rPr>
              <w:t>Black Hills Energy Arkansas, Inc., an indirect, wholly-owned subsidiary of Black Hills Utility Holdings,</w:t>
            </w:r>
          </w:p>
        </w:tc>
      </w:tr>
      <w:tr>
        <w:trPr>
          <w:trHeight w:val="222"/>
        </w:trPr>
        <w:tc>
          <w:tcPr>
            <w:tcW w:w="3440" w:type="dxa"/>
            <w:vAlign w:val="bottom"/>
          </w:tcPr>
          <w:p>
            <w:pPr>
              <w:spacing w:after="0"/>
              <w:rPr>
                <w:sz w:val="19"/>
                <w:szCs w:val="19"/>
                <w:color w:val="auto"/>
              </w:rPr>
            </w:pPr>
          </w:p>
        </w:tc>
        <w:tc>
          <w:tcPr>
            <w:tcW w:w="7800" w:type="dxa"/>
            <w:vAlign w:val="bottom"/>
          </w:tcPr>
          <w:p>
            <w:pPr>
              <w:ind w:left="180"/>
              <w:spacing w:after="0"/>
              <w:rPr>
                <w:sz w:val="20"/>
                <w:szCs w:val="20"/>
                <w:color w:val="auto"/>
              </w:rPr>
            </w:pPr>
            <w:r>
              <w:rPr>
                <w:rFonts w:ascii="Arial" w:cs="Arial" w:eastAsia="Arial" w:hAnsi="Arial"/>
                <w:sz w:val="16"/>
                <w:szCs w:val="16"/>
                <w:color w:val="auto"/>
              </w:rPr>
              <w:t>providing natural gas services to customers in Arkansas (doing business as Black Hills Energy).</w:t>
            </w:r>
          </w:p>
        </w:tc>
      </w:tr>
      <w:tr>
        <w:trPr>
          <w:trHeight w:val="278"/>
        </w:trPr>
        <w:tc>
          <w:tcPr>
            <w:tcW w:w="3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ARO</w:t>
            </w:r>
          </w:p>
        </w:tc>
        <w:tc>
          <w:tcPr>
            <w:tcW w:w="78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Asset Retirement Obligation</w:t>
            </w:r>
          </w:p>
        </w:tc>
      </w:tr>
      <w:tr>
        <w:trPr>
          <w:trHeight w:val="262"/>
        </w:trPr>
        <w:tc>
          <w:tcPr>
            <w:tcW w:w="3440" w:type="dxa"/>
            <w:vAlign w:val="bottom"/>
          </w:tcPr>
          <w:p>
            <w:pPr>
              <w:ind w:left="20"/>
              <w:spacing w:after="0"/>
              <w:rPr>
                <w:sz w:val="20"/>
                <w:szCs w:val="20"/>
                <w:color w:val="auto"/>
              </w:rPr>
            </w:pPr>
            <w:r>
              <w:rPr>
                <w:rFonts w:ascii="Arial" w:cs="Arial" w:eastAsia="Arial" w:hAnsi="Arial"/>
                <w:sz w:val="16"/>
                <w:szCs w:val="16"/>
                <w:color w:val="auto"/>
              </w:rPr>
              <w:t>ASC</w:t>
            </w:r>
          </w:p>
        </w:tc>
        <w:tc>
          <w:tcPr>
            <w:tcW w:w="7800" w:type="dxa"/>
            <w:vAlign w:val="bottom"/>
          </w:tcPr>
          <w:p>
            <w:pPr>
              <w:ind w:left="180"/>
              <w:spacing w:after="0"/>
              <w:rPr>
                <w:sz w:val="20"/>
                <w:szCs w:val="20"/>
                <w:color w:val="auto"/>
              </w:rPr>
            </w:pPr>
            <w:r>
              <w:rPr>
                <w:rFonts w:ascii="Arial" w:cs="Arial" w:eastAsia="Arial" w:hAnsi="Arial"/>
                <w:sz w:val="16"/>
                <w:szCs w:val="16"/>
                <w:color w:val="auto"/>
              </w:rPr>
              <w:t>Accounting Standards Codification</w:t>
            </w:r>
          </w:p>
        </w:tc>
      </w:tr>
      <w:tr>
        <w:trPr>
          <w:trHeight w:val="278"/>
        </w:trPr>
        <w:tc>
          <w:tcPr>
            <w:tcW w:w="3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ASU</w:t>
            </w:r>
          </w:p>
        </w:tc>
        <w:tc>
          <w:tcPr>
            <w:tcW w:w="78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Accounting Standards Update as issued by the FASB</w:t>
            </w:r>
          </w:p>
        </w:tc>
      </w:tr>
      <w:tr>
        <w:trPr>
          <w:trHeight w:val="262"/>
        </w:trPr>
        <w:tc>
          <w:tcPr>
            <w:tcW w:w="3440" w:type="dxa"/>
            <w:vAlign w:val="bottom"/>
          </w:tcPr>
          <w:p>
            <w:pPr>
              <w:ind w:left="20"/>
              <w:spacing w:after="0"/>
              <w:rPr>
                <w:sz w:val="20"/>
                <w:szCs w:val="20"/>
                <w:color w:val="auto"/>
              </w:rPr>
            </w:pPr>
            <w:r>
              <w:rPr>
                <w:rFonts w:ascii="Arial" w:cs="Arial" w:eastAsia="Arial" w:hAnsi="Arial"/>
                <w:sz w:val="16"/>
                <w:szCs w:val="16"/>
                <w:color w:val="auto"/>
              </w:rPr>
              <w:t>ATM</w:t>
            </w:r>
          </w:p>
        </w:tc>
        <w:tc>
          <w:tcPr>
            <w:tcW w:w="7800" w:type="dxa"/>
            <w:vAlign w:val="bottom"/>
          </w:tcPr>
          <w:p>
            <w:pPr>
              <w:ind w:left="180"/>
              <w:spacing w:after="0"/>
              <w:rPr>
                <w:sz w:val="20"/>
                <w:szCs w:val="20"/>
                <w:color w:val="auto"/>
              </w:rPr>
            </w:pPr>
            <w:r>
              <w:rPr>
                <w:rFonts w:ascii="Arial" w:cs="Arial" w:eastAsia="Arial" w:hAnsi="Arial"/>
                <w:sz w:val="16"/>
                <w:szCs w:val="16"/>
                <w:color w:val="auto"/>
              </w:rPr>
              <w:t>At-the-market equity offering program</w:t>
            </w:r>
          </w:p>
        </w:tc>
      </w:tr>
      <w:tr>
        <w:trPr>
          <w:trHeight w:val="278"/>
        </w:trPr>
        <w:tc>
          <w:tcPr>
            <w:tcW w:w="3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Availability</w:t>
            </w:r>
          </w:p>
        </w:tc>
        <w:tc>
          <w:tcPr>
            <w:tcW w:w="78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The availability factor of a power plant is the percentage of the time that it is available to provide energy.</w:t>
            </w:r>
          </w:p>
        </w:tc>
      </w:tr>
      <w:tr>
        <w:trPr>
          <w:trHeight w:val="262"/>
        </w:trPr>
        <w:tc>
          <w:tcPr>
            <w:tcW w:w="3440" w:type="dxa"/>
            <w:vAlign w:val="bottom"/>
          </w:tcPr>
          <w:p>
            <w:pPr>
              <w:ind w:left="20"/>
              <w:spacing w:after="0"/>
              <w:rPr>
                <w:sz w:val="20"/>
                <w:szCs w:val="20"/>
                <w:color w:val="auto"/>
              </w:rPr>
            </w:pPr>
            <w:r>
              <w:rPr>
                <w:rFonts w:ascii="Arial" w:cs="Arial" w:eastAsia="Arial" w:hAnsi="Arial"/>
                <w:sz w:val="16"/>
                <w:szCs w:val="16"/>
                <w:color w:val="auto"/>
              </w:rPr>
              <w:t>BHC</w:t>
            </w:r>
          </w:p>
        </w:tc>
        <w:tc>
          <w:tcPr>
            <w:tcW w:w="7800" w:type="dxa"/>
            <w:vAlign w:val="bottom"/>
          </w:tcPr>
          <w:p>
            <w:pPr>
              <w:ind w:left="180"/>
              <w:spacing w:after="0"/>
              <w:rPr>
                <w:sz w:val="20"/>
                <w:szCs w:val="20"/>
                <w:color w:val="auto"/>
              </w:rPr>
            </w:pPr>
            <w:r>
              <w:rPr>
                <w:rFonts w:ascii="Arial" w:cs="Arial" w:eastAsia="Arial" w:hAnsi="Arial"/>
                <w:sz w:val="16"/>
                <w:szCs w:val="16"/>
                <w:color w:val="auto"/>
              </w:rPr>
              <w:t>Black Hills Corporation; the Company</w:t>
            </w:r>
          </w:p>
        </w:tc>
      </w:tr>
      <w:tr>
        <w:trPr>
          <w:trHeight w:val="237"/>
        </w:trPr>
        <w:tc>
          <w:tcPr>
            <w:tcW w:w="3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BHSC</w:t>
            </w:r>
          </w:p>
        </w:tc>
        <w:tc>
          <w:tcPr>
            <w:tcW w:w="78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Black Hills Service Company, LLC, a direct, wholly-owned subsidiary of Black Hills Corporation (doing</w:t>
            </w:r>
          </w:p>
        </w:tc>
      </w:tr>
      <w:tr>
        <w:trPr>
          <w:trHeight w:val="230"/>
        </w:trPr>
        <w:tc>
          <w:tcPr>
            <w:tcW w:w="3440" w:type="dxa"/>
            <w:vAlign w:val="bottom"/>
            <w:shd w:val="clear" w:color="auto" w:fill="CFF0FC"/>
          </w:tcPr>
          <w:p>
            <w:pPr>
              <w:spacing w:after="0"/>
              <w:rPr>
                <w:sz w:val="20"/>
                <w:szCs w:val="20"/>
                <w:color w:val="auto"/>
              </w:rPr>
            </w:pPr>
          </w:p>
        </w:tc>
        <w:tc>
          <w:tcPr>
            <w:tcW w:w="78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business as Black Hills Energy)</w:t>
            </w:r>
          </w:p>
        </w:tc>
      </w:tr>
      <w:tr>
        <w:trPr>
          <w:trHeight w:val="229"/>
        </w:trPr>
        <w:tc>
          <w:tcPr>
            <w:tcW w:w="3440" w:type="dxa"/>
            <w:vAlign w:val="bottom"/>
          </w:tcPr>
          <w:p>
            <w:pPr>
              <w:ind w:left="20"/>
              <w:spacing w:after="0"/>
              <w:rPr>
                <w:sz w:val="20"/>
                <w:szCs w:val="20"/>
                <w:color w:val="auto"/>
              </w:rPr>
            </w:pPr>
            <w:r>
              <w:rPr>
                <w:rFonts w:ascii="Arial" w:cs="Arial" w:eastAsia="Arial" w:hAnsi="Arial"/>
                <w:sz w:val="16"/>
                <w:szCs w:val="16"/>
                <w:color w:val="auto"/>
              </w:rPr>
              <w:t>Black-box Settlement</w:t>
            </w:r>
          </w:p>
        </w:tc>
        <w:tc>
          <w:tcPr>
            <w:tcW w:w="7800" w:type="dxa"/>
            <w:vAlign w:val="bottom"/>
          </w:tcPr>
          <w:p>
            <w:pPr>
              <w:ind w:left="180"/>
              <w:spacing w:after="0"/>
              <w:rPr>
                <w:sz w:val="20"/>
                <w:szCs w:val="20"/>
                <w:color w:val="auto"/>
              </w:rPr>
            </w:pPr>
            <w:r>
              <w:rPr>
                <w:rFonts w:ascii="Arial" w:cs="Arial" w:eastAsia="Arial" w:hAnsi="Arial"/>
                <w:sz w:val="16"/>
                <w:szCs w:val="16"/>
                <w:color w:val="auto"/>
              </w:rPr>
              <w:t>Settlement with a utility’s commission where the revenue requirement is agreed upon, but the specific</w:t>
            </w:r>
          </w:p>
        </w:tc>
      </w:tr>
      <w:tr>
        <w:trPr>
          <w:trHeight w:val="222"/>
        </w:trPr>
        <w:tc>
          <w:tcPr>
            <w:tcW w:w="3440" w:type="dxa"/>
            <w:vAlign w:val="bottom"/>
          </w:tcPr>
          <w:p>
            <w:pPr>
              <w:spacing w:after="0"/>
              <w:rPr>
                <w:sz w:val="19"/>
                <w:szCs w:val="19"/>
                <w:color w:val="auto"/>
              </w:rPr>
            </w:pPr>
          </w:p>
        </w:tc>
        <w:tc>
          <w:tcPr>
            <w:tcW w:w="7800" w:type="dxa"/>
            <w:vAlign w:val="bottom"/>
          </w:tcPr>
          <w:p>
            <w:pPr>
              <w:ind w:left="180"/>
              <w:spacing w:after="0"/>
              <w:rPr>
                <w:sz w:val="20"/>
                <w:szCs w:val="20"/>
                <w:color w:val="auto"/>
              </w:rPr>
            </w:pPr>
            <w:r>
              <w:rPr>
                <w:rFonts w:ascii="Arial" w:cs="Arial" w:eastAsia="Arial" w:hAnsi="Arial"/>
                <w:sz w:val="16"/>
                <w:szCs w:val="16"/>
                <w:color w:val="auto"/>
              </w:rPr>
              <w:t>adjustments used by each party to arrive at the amount are not specified in public rate orders.</w:t>
            </w:r>
          </w:p>
        </w:tc>
      </w:tr>
      <w:tr>
        <w:trPr>
          <w:trHeight w:val="278"/>
        </w:trPr>
        <w:tc>
          <w:tcPr>
            <w:tcW w:w="3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Black Hills Colorado IPP</w:t>
            </w:r>
          </w:p>
        </w:tc>
        <w:tc>
          <w:tcPr>
            <w:tcW w:w="78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Black Hills Colorado IPP, LLC, a 50.1% owned subsidiary of Black Hills Electric Generation</w:t>
            </w:r>
          </w:p>
        </w:tc>
      </w:tr>
      <w:tr>
        <w:trPr>
          <w:trHeight w:val="229"/>
        </w:trPr>
        <w:tc>
          <w:tcPr>
            <w:tcW w:w="3440" w:type="dxa"/>
            <w:vAlign w:val="bottom"/>
          </w:tcPr>
          <w:p>
            <w:pPr>
              <w:ind w:left="20"/>
              <w:spacing w:after="0"/>
              <w:rPr>
                <w:sz w:val="20"/>
                <w:szCs w:val="20"/>
                <w:color w:val="auto"/>
              </w:rPr>
            </w:pPr>
            <w:r>
              <w:rPr>
                <w:rFonts w:ascii="Arial" w:cs="Arial" w:eastAsia="Arial" w:hAnsi="Arial"/>
                <w:sz w:val="16"/>
                <w:szCs w:val="16"/>
                <w:color w:val="auto"/>
              </w:rPr>
              <w:t>Black Hills Electric Generation</w:t>
            </w:r>
          </w:p>
        </w:tc>
        <w:tc>
          <w:tcPr>
            <w:tcW w:w="7800" w:type="dxa"/>
            <w:vAlign w:val="bottom"/>
          </w:tcPr>
          <w:p>
            <w:pPr>
              <w:ind w:left="180"/>
              <w:spacing w:after="0"/>
              <w:rPr>
                <w:sz w:val="20"/>
                <w:szCs w:val="20"/>
                <w:color w:val="auto"/>
              </w:rPr>
            </w:pPr>
            <w:r>
              <w:rPr>
                <w:rFonts w:ascii="Arial" w:cs="Arial" w:eastAsia="Arial" w:hAnsi="Arial"/>
                <w:sz w:val="16"/>
                <w:szCs w:val="16"/>
                <w:color w:val="auto"/>
              </w:rPr>
              <w:t>Black Hills Electric Generation, LLC, a direct, wholly-owned subsidiary of Black Hills Non-regulated</w:t>
            </w:r>
          </w:p>
        </w:tc>
      </w:tr>
      <w:tr>
        <w:trPr>
          <w:trHeight w:val="222"/>
        </w:trPr>
        <w:tc>
          <w:tcPr>
            <w:tcW w:w="3440" w:type="dxa"/>
            <w:vAlign w:val="bottom"/>
          </w:tcPr>
          <w:p>
            <w:pPr>
              <w:spacing w:after="0"/>
              <w:rPr>
                <w:sz w:val="19"/>
                <w:szCs w:val="19"/>
                <w:color w:val="auto"/>
              </w:rPr>
            </w:pPr>
          </w:p>
        </w:tc>
        <w:tc>
          <w:tcPr>
            <w:tcW w:w="7800" w:type="dxa"/>
            <w:vAlign w:val="bottom"/>
          </w:tcPr>
          <w:p>
            <w:pPr>
              <w:ind w:left="180"/>
              <w:spacing w:after="0"/>
              <w:rPr>
                <w:sz w:val="20"/>
                <w:szCs w:val="20"/>
                <w:color w:val="auto"/>
              </w:rPr>
            </w:pPr>
            <w:r>
              <w:rPr>
                <w:rFonts w:ascii="Arial" w:cs="Arial" w:eastAsia="Arial" w:hAnsi="Arial"/>
                <w:sz w:val="16"/>
                <w:szCs w:val="16"/>
                <w:color w:val="auto"/>
              </w:rPr>
              <w:t>Holdings, providing wholesale electric capacity and energy primarily to our affiliate utilities.</w:t>
            </w:r>
          </w:p>
        </w:tc>
      </w:tr>
      <w:tr>
        <w:trPr>
          <w:trHeight w:val="278"/>
        </w:trPr>
        <w:tc>
          <w:tcPr>
            <w:tcW w:w="3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Black Hills Electric Parent Holdings</w:t>
            </w:r>
          </w:p>
        </w:tc>
        <w:tc>
          <w:tcPr>
            <w:tcW w:w="78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Black Hills Electric Utility Holdings, LLC., a direct, wholly-owned subsidiary of Black Hills Corporation</w:t>
            </w:r>
          </w:p>
        </w:tc>
      </w:tr>
      <w:tr>
        <w:trPr>
          <w:trHeight w:val="262"/>
        </w:trPr>
        <w:tc>
          <w:tcPr>
            <w:tcW w:w="3440" w:type="dxa"/>
            <w:vAlign w:val="bottom"/>
          </w:tcPr>
          <w:p>
            <w:pPr>
              <w:ind w:left="20"/>
              <w:spacing w:after="0"/>
              <w:rPr>
                <w:sz w:val="20"/>
                <w:szCs w:val="20"/>
                <w:color w:val="auto"/>
              </w:rPr>
            </w:pPr>
            <w:r>
              <w:rPr>
                <w:rFonts w:ascii="Arial" w:cs="Arial" w:eastAsia="Arial" w:hAnsi="Arial"/>
                <w:sz w:val="16"/>
                <w:szCs w:val="16"/>
                <w:color w:val="auto"/>
              </w:rPr>
              <w:t>Black Hills Energy</w:t>
            </w:r>
          </w:p>
        </w:tc>
        <w:tc>
          <w:tcPr>
            <w:tcW w:w="7800" w:type="dxa"/>
            <w:vAlign w:val="bottom"/>
          </w:tcPr>
          <w:p>
            <w:pPr>
              <w:ind w:left="180"/>
              <w:spacing w:after="0"/>
              <w:rPr>
                <w:sz w:val="20"/>
                <w:szCs w:val="20"/>
                <w:color w:val="auto"/>
              </w:rPr>
            </w:pPr>
            <w:r>
              <w:rPr>
                <w:rFonts w:ascii="Arial" w:cs="Arial" w:eastAsia="Arial" w:hAnsi="Arial"/>
                <w:sz w:val="16"/>
                <w:szCs w:val="16"/>
                <w:color w:val="auto"/>
              </w:rPr>
              <w:t>The name used to conduct the business of our Utilities</w:t>
            </w:r>
          </w:p>
        </w:tc>
      </w:tr>
      <w:tr>
        <w:trPr>
          <w:trHeight w:val="237"/>
        </w:trPr>
        <w:tc>
          <w:tcPr>
            <w:tcW w:w="3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Black Hills Energy Renewable Resources</w:t>
            </w:r>
          </w:p>
        </w:tc>
        <w:tc>
          <w:tcPr>
            <w:tcW w:w="78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Black Hills Energy Renewable Resources, LLC, a direct, wholly-owned subsidiary of Black Hills Non-</w:t>
            </w:r>
          </w:p>
        </w:tc>
      </w:tr>
      <w:tr>
        <w:trPr>
          <w:trHeight w:val="230"/>
        </w:trPr>
        <w:tc>
          <w:tcPr>
            <w:tcW w:w="3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(BHERR)</w:t>
            </w:r>
          </w:p>
        </w:tc>
        <w:tc>
          <w:tcPr>
            <w:tcW w:w="78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regulated Holdings</w:t>
            </w:r>
          </w:p>
        </w:tc>
      </w:tr>
      <w:tr>
        <w:trPr>
          <w:trHeight w:val="229"/>
        </w:trPr>
        <w:tc>
          <w:tcPr>
            <w:tcW w:w="3440" w:type="dxa"/>
            <w:vAlign w:val="bottom"/>
          </w:tcPr>
          <w:p>
            <w:pPr>
              <w:ind w:left="20"/>
              <w:spacing w:after="0"/>
              <w:rPr>
                <w:sz w:val="20"/>
                <w:szCs w:val="20"/>
                <w:color w:val="auto"/>
              </w:rPr>
            </w:pPr>
            <w:r>
              <w:rPr>
                <w:rFonts w:ascii="Arial" w:cs="Arial" w:eastAsia="Arial" w:hAnsi="Arial"/>
                <w:sz w:val="16"/>
                <w:szCs w:val="16"/>
                <w:color w:val="auto"/>
              </w:rPr>
              <w:t>Black Hills Energy Services</w:t>
            </w:r>
          </w:p>
        </w:tc>
        <w:tc>
          <w:tcPr>
            <w:tcW w:w="7800" w:type="dxa"/>
            <w:vAlign w:val="bottom"/>
          </w:tcPr>
          <w:p>
            <w:pPr>
              <w:ind w:left="180"/>
              <w:spacing w:after="0"/>
              <w:rPr>
                <w:sz w:val="20"/>
                <w:szCs w:val="20"/>
                <w:color w:val="auto"/>
              </w:rPr>
            </w:pPr>
            <w:r>
              <w:rPr>
                <w:rFonts w:ascii="Arial" w:cs="Arial" w:eastAsia="Arial" w:hAnsi="Arial"/>
                <w:sz w:val="16"/>
                <w:szCs w:val="16"/>
                <w:color w:val="auto"/>
              </w:rPr>
              <w:t>Black Hills Energy Services Company, an indirect, wholly-owned subsidiary of Black Hills Utility Holdings,</w:t>
            </w:r>
          </w:p>
        </w:tc>
      </w:tr>
      <w:tr>
        <w:trPr>
          <w:trHeight w:val="189"/>
        </w:trPr>
        <w:tc>
          <w:tcPr>
            <w:tcW w:w="3440" w:type="dxa"/>
            <w:vAlign w:val="bottom"/>
          </w:tcPr>
          <w:p>
            <w:pPr>
              <w:spacing w:after="0"/>
              <w:rPr>
                <w:sz w:val="16"/>
                <w:szCs w:val="16"/>
                <w:color w:val="auto"/>
              </w:rPr>
            </w:pPr>
          </w:p>
        </w:tc>
        <w:tc>
          <w:tcPr>
            <w:tcW w:w="7800" w:type="dxa"/>
            <w:vAlign w:val="bottom"/>
          </w:tcPr>
          <w:p>
            <w:pPr>
              <w:ind w:left="180"/>
              <w:spacing w:after="0"/>
              <w:rPr>
                <w:sz w:val="20"/>
                <w:szCs w:val="20"/>
                <w:color w:val="auto"/>
              </w:rPr>
            </w:pPr>
            <w:r>
              <w:rPr>
                <w:rFonts w:ascii="Arial" w:cs="Arial" w:eastAsia="Arial" w:hAnsi="Arial"/>
                <w:sz w:val="16"/>
                <w:szCs w:val="16"/>
                <w:color w:val="auto"/>
              </w:rPr>
              <w:t>providing natural gas commodity supply for the Choice Gas Programs (doing business as Black Hills</w:t>
            </w:r>
          </w:p>
        </w:tc>
      </w:tr>
      <w:tr>
        <w:trPr>
          <w:trHeight w:val="222"/>
        </w:trPr>
        <w:tc>
          <w:tcPr>
            <w:tcW w:w="3440" w:type="dxa"/>
            <w:vAlign w:val="bottom"/>
          </w:tcPr>
          <w:p>
            <w:pPr>
              <w:spacing w:after="0"/>
              <w:rPr>
                <w:sz w:val="19"/>
                <w:szCs w:val="19"/>
                <w:color w:val="auto"/>
              </w:rPr>
            </w:pPr>
          </w:p>
        </w:tc>
        <w:tc>
          <w:tcPr>
            <w:tcW w:w="7800" w:type="dxa"/>
            <w:vAlign w:val="bottom"/>
          </w:tcPr>
          <w:p>
            <w:pPr>
              <w:ind w:left="180"/>
              <w:spacing w:after="0"/>
              <w:rPr>
                <w:sz w:val="20"/>
                <w:szCs w:val="20"/>
                <w:color w:val="auto"/>
              </w:rPr>
            </w:pPr>
            <w:r>
              <w:rPr>
                <w:rFonts w:ascii="Arial" w:cs="Arial" w:eastAsia="Arial" w:hAnsi="Arial"/>
                <w:sz w:val="16"/>
                <w:szCs w:val="16"/>
                <w:color w:val="auto"/>
              </w:rPr>
              <w:t>Energy).</w:t>
            </w:r>
          </w:p>
        </w:tc>
      </w:tr>
      <w:tr>
        <w:trPr>
          <w:trHeight w:val="278"/>
        </w:trPr>
        <w:tc>
          <w:tcPr>
            <w:tcW w:w="3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Black Hills Non-regulated Holdings</w:t>
            </w:r>
          </w:p>
        </w:tc>
        <w:tc>
          <w:tcPr>
            <w:tcW w:w="78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Black Hills Non-regulated Holdings, LLC, a direct, wholly-owned subsidiary of Black Hills Corporation</w:t>
            </w:r>
          </w:p>
        </w:tc>
      </w:tr>
      <w:tr>
        <w:trPr>
          <w:trHeight w:val="229"/>
        </w:trPr>
        <w:tc>
          <w:tcPr>
            <w:tcW w:w="3440" w:type="dxa"/>
            <w:vAlign w:val="bottom"/>
          </w:tcPr>
          <w:p>
            <w:pPr>
              <w:ind w:left="20"/>
              <w:spacing w:after="0"/>
              <w:rPr>
                <w:sz w:val="20"/>
                <w:szCs w:val="20"/>
                <w:color w:val="auto"/>
              </w:rPr>
            </w:pPr>
            <w:r>
              <w:rPr>
                <w:rFonts w:ascii="Arial" w:cs="Arial" w:eastAsia="Arial" w:hAnsi="Arial"/>
                <w:sz w:val="16"/>
                <w:szCs w:val="16"/>
                <w:color w:val="auto"/>
              </w:rPr>
              <w:t>Black Hills Power</w:t>
            </w:r>
          </w:p>
        </w:tc>
        <w:tc>
          <w:tcPr>
            <w:tcW w:w="7800" w:type="dxa"/>
            <w:vAlign w:val="bottom"/>
          </w:tcPr>
          <w:p>
            <w:pPr>
              <w:ind w:left="180"/>
              <w:spacing w:after="0"/>
              <w:rPr>
                <w:sz w:val="20"/>
                <w:szCs w:val="20"/>
                <w:color w:val="auto"/>
              </w:rPr>
            </w:pPr>
            <w:r>
              <w:rPr>
                <w:rFonts w:ascii="Arial" w:cs="Arial" w:eastAsia="Arial" w:hAnsi="Arial"/>
                <w:sz w:val="16"/>
                <w:szCs w:val="16"/>
                <w:color w:val="auto"/>
              </w:rPr>
              <w:t>Black Hills Power, Inc., a direct, wholly-owned subsidiary of Black Hills Corporation (doing business as</w:t>
            </w:r>
          </w:p>
        </w:tc>
      </w:tr>
      <w:tr>
        <w:trPr>
          <w:trHeight w:val="222"/>
        </w:trPr>
        <w:tc>
          <w:tcPr>
            <w:tcW w:w="3440" w:type="dxa"/>
            <w:vAlign w:val="bottom"/>
          </w:tcPr>
          <w:p>
            <w:pPr>
              <w:spacing w:after="0"/>
              <w:rPr>
                <w:sz w:val="19"/>
                <w:szCs w:val="19"/>
                <w:color w:val="auto"/>
              </w:rPr>
            </w:pPr>
          </w:p>
        </w:tc>
        <w:tc>
          <w:tcPr>
            <w:tcW w:w="7800" w:type="dxa"/>
            <w:vAlign w:val="bottom"/>
          </w:tcPr>
          <w:p>
            <w:pPr>
              <w:ind w:left="180"/>
              <w:spacing w:after="0"/>
              <w:rPr>
                <w:sz w:val="20"/>
                <w:szCs w:val="20"/>
                <w:color w:val="auto"/>
              </w:rPr>
            </w:pPr>
            <w:r>
              <w:rPr>
                <w:rFonts w:ascii="Arial" w:cs="Arial" w:eastAsia="Arial" w:hAnsi="Arial"/>
                <w:sz w:val="16"/>
                <w:szCs w:val="16"/>
                <w:color w:val="auto"/>
              </w:rPr>
              <w:t>Black Hills Energy). Also known as South Dakota Electric.</w:t>
            </w:r>
          </w:p>
        </w:tc>
      </w:tr>
      <w:tr>
        <w:trPr>
          <w:trHeight w:val="237"/>
        </w:trPr>
        <w:tc>
          <w:tcPr>
            <w:tcW w:w="3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Black Hills Utility Holdings</w:t>
            </w:r>
          </w:p>
        </w:tc>
        <w:tc>
          <w:tcPr>
            <w:tcW w:w="78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Black Hills Utility Holdings, Inc., a direct, wholly-owned subsidiary of Black Hills Corporation (doing</w:t>
            </w:r>
          </w:p>
        </w:tc>
      </w:tr>
      <w:tr>
        <w:trPr>
          <w:trHeight w:val="230"/>
        </w:trPr>
        <w:tc>
          <w:tcPr>
            <w:tcW w:w="3440" w:type="dxa"/>
            <w:vAlign w:val="bottom"/>
            <w:shd w:val="clear" w:color="auto" w:fill="CFF0FC"/>
          </w:tcPr>
          <w:p>
            <w:pPr>
              <w:spacing w:after="0"/>
              <w:rPr>
                <w:sz w:val="20"/>
                <w:szCs w:val="20"/>
                <w:color w:val="auto"/>
              </w:rPr>
            </w:pPr>
          </w:p>
        </w:tc>
        <w:tc>
          <w:tcPr>
            <w:tcW w:w="78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business as Black Hills Energy)</w:t>
            </w:r>
          </w:p>
        </w:tc>
      </w:tr>
      <w:tr>
        <w:trPr>
          <w:trHeight w:val="262"/>
        </w:trPr>
        <w:tc>
          <w:tcPr>
            <w:tcW w:w="3440" w:type="dxa"/>
            <w:vAlign w:val="bottom"/>
          </w:tcPr>
          <w:p>
            <w:pPr>
              <w:ind w:left="20"/>
              <w:spacing w:after="0"/>
              <w:rPr>
                <w:sz w:val="20"/>
                <w:szCs w:val="20"/>
                <w:color w:val="auto"/>
              </w:rPr>
            </w:pPr>
            <w:r>
              <w:rPr>
                <w:rFonts w:ascii="Arial" w:cs="Arial" w:eastAsia="Arial" w:hAnsi="Arial"/>
                <w:sz w:val="16"/>
                <w:szCs w:val="16"/>
                <w:color w:val="auto"/>
              </w:rPr>
              <w:t>Black Hills Wyoming</w:t>
            </w:r>
          </w:p>
        </w:tc>
        <w:tc>
          <w:tcPr>
            <w:tcW w:w="7800" w:type="dxa"/>
            <w:vAlign w:val="bottom"/>
          </w:tcPr>
          <w:p>
            <w:pPr>
              <w:ind w:left="180"/>
              <w:spacing w:after="0"/>
              <w:rPr>
                <w:sz w:val="20"/>
                <w:szCs w:val="20"/>
                <w:color w:val="auto"/>
              </w:rPr>
            </w:pPr>
            <w:r>
              <w:rPr>
                <w:rFonts w:ascii="Arial" w:cs="Arial" w:eastAsia="Arial" w:hAnsi="Arial"/>
                <w:sz w:val="16"/>
                <w:szCs w:val="16"/>
                <w:color w:val="auto"/>
              </w:rPr>
              <w:t>Black Hills Wyoming, LLC, a direct, wholly-owned subsidiary of Black Hills Electric Generation</w:t>
            </w:r>
          </w:p>
        </w:tc>
      </w:tr>
      <w:tr>
        <w:trPr>
          <w:trHeight w:val="237"/>
        </w:trPr>
        <w:tc>
          <w:tcPr>
            <w:tcW w:w="3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Blockchain Interruptible Service (BCIS) Tariff</w:t>
            </w:r>
          </w:p>
        </w:tc>
        <w:tc>
          <w:tcPr>
            <w:tcW w:w="78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A WPSC-approved tariff applicable to prospective new Wyoming Electric blockchain customers. The tariff</w:t>
            </w:r>
          </w:p>
        </w:tc>
      </w:tr>
      <w:tr>
        <w:trPr>
          <w:trHeight w:val="189"/>
        </w:trPr>
        <w:tc>
          <w:tcPr>
            <w:tcW w:w="3440" w:type="dxa"/>
            <w:vAlign w:val="bottom"/>
            <w:shd w:val="clear" w:color="auto" w:fill="CFF0FC"/>
          </w:tcPr>
          <w:p>
            <w:pPr>
              <w:spacing w:after="0"/>
              <w:rPr>
                <w:sz w:val="16"/>
                <w:szCs w:val="16"/>
                <w:color w:val="auto"/>
              </w:rPr>
            </w:pPr>
          </w:p>
        </w:tc>
        <w:tc>
          <w:tcPr>
            <w:tcW w:w="78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allows customers to negotiate rates and terms and conditions for interruptible electric utility service of 10</w:t>
            </w:r>
          </w:p>
        </w:tc>
      </w:tr>
      <w:tr>
        <w:trPr>
          <w:trHeight w:val="189"/>
        </w:trPr>
        <w:tc>
          <w:tcPr>
            <w:tcW w:w="3440" w:type="dxa"/>
            <w:vAlign w:val="bottom"/>
            <w:shd w:val="clear" w:color="auto" w:fill="CFF0FC"/>
          </w:tcPr>
          <w:p>
            <w:pPr>
              <w:spacing w:after="0"/>
              <w:rPr>
                <w:sz w:val="16"/>
                <w:szCs w:val="16"/>
                <w:color w:val="auto"/>
              </w:rPr>
            </w:pPr>
          </w:p>
        </w:tc>
        <w:tc>
          <w:tcPr>
            <w:tcW w:w="78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MW or greater that would be interconnected with Wyoming Electric’s system. Agreements under the BCIS</w:t>
            </w:r>
          </w:p>
        </w:tc>
      </w:tr>
      <w:tr>
        <w:trPr>
          <w:trHeight w:val="189"/>
        </w:trPr>
        <w:tc>
          <w:tcPr>
            <w:tcW w:w="3440" w:type="dxa"/>
            <w:vAlign w:val="bottom"/>
            <w:shd w:val="clear" w:color="auto" w:fill="CFF0FC"/>
          </w:tcPr>
          <w:p>
            <w:pPr>
              <w:spacing w:after="0"/>
              <w:rPr>
                <w:sz w:val="16"/>
                <w:szCs w:val="16"/>
                <w:color w:val="auto"/>
              </w:rPr>
            </w:pPr>
          </w:p>
        </w:tc>
        <w:tc>
          <w:tcPr>
            <w:tcW w:w="78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tariff must be filed with the WPSC prior to the first customer billing, be at least 2 years in duration and</w:t>
            </w:r>
          </w:p>
        </w:tc>
      </w:tr>
      <w:tr>
        <w:trPr>
          <w:trHeight w:val="189"/>
        </w:trPr>
        <w:tc>
          <w:tcPr>
            <w:tcW w:w="3440" w:type="dxa"/>
            <w:vAlign w:val="bottom"/>
            <w:shd w:val="clear" w:color="auto" w:fill="CFF0FC"/>
          </w:tcPr>
          <w:p>
            <w:pPr>
              <w:spacing w:after="0"/>
              <w:rPr>
                <w:sz w:val="16"/>
                <w:szCs w:val="16"/>
                <w:color w:val="auto"/>
              </w:rPr>
            </w:pPr>
          </w:p>
        </w:tc>
        <w:tc>
          <w:tcPr>
            <w:tcW w:w="78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include specific pricing for all electricity purchased (with pricing terms subject to renegotiation every three</w:t>
            </w:r>
          </w:p>
        </w:tc>
      </w:tr>
      <w:tr>
        <w:trPr>
          <w:trHeight w:val="230"/>
        </w:trPr>
        <w:tc>
          <w:tcPr>
            <w:tcW w:w="3440" w:type="dxa"/>
            <w:vAlign w:val="bottom"/>
            <w:shd w:val="clear" w:color="auto" w:fill="CFF0FC"/>
          </w:tcPr>
          <w:p>
            <w:pPr>
              <w:spacing w:after="0"/>
              <w:rPr>
                <w:sz w:val="20"/>
                <w:szCs w:val="20"/>
                <w:color w:val="auto"/>
              </w:rPr>
            </w:pPr>
          </w:p>
        </w:tc>
        <w:tc>
          <w:tcPr>
            <w:tcW w:w="78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years). BCIS customers shall not participate in the PCA to the extent of service received under the tariff.</w:t>
            </w:r>
          </w:p>
        </w:tc>
      </w:tr>
      <w:tr>
        <w:trPr>
          <w:trHeight w:val="215"/>
        </w:trPr>
        <w:tc>
          <w:tcPr>
            <w:tcW w:w="3440" w:type="dxa"/>
            <w:vAlign w:val="bottom"/>
          </w:tcPr>
          <w:p>
            <w:pPr>
              <w:spacing w:after="0"/>
              <w:rPr>
                <w:sz w:val="18"/>
                <w:szCs w:val="18"/>
                <w:color w:val="auto"/>
              </w:rPr>
            </w:pPr>
          </w:p>
        </w:tc>
        <w:tc>
          <w:tcPr>
            <w:tcW w:w="7800" w:type="dxa"/>
            <w:vAlign w:val="bottom"/>
          </w:tcPr>
          <w:p>
            <w:pPr>
              <w:ind w:left="2140"/>
              <w:spacing w:after="0"/>
              <w:rPr>
                <w:sz w:val="20"/>
                <w:szCs w:val="20"/>
                <w:color w:val="auto"/>
              </w:rPr>
            </w:pPr>
            <w:r>
              <w:rPr>
                <w:rFonts w:ascii="Arial" w:cs="Arial" w:eastAsia="Arial" w:hAnsi="Arial"/>
                <w:sz w:val="16"/>
                <w:szCs w:val="16"/>
                <w:color w:val="auto"/>
              </w:rPr>
              <w:t>4</w:t>
            </w:r>
          </w:p>
        </w:tc>
      </w:tr>
      <w:tr>
        <w:trPr>
          <w:trHeight w:val="737"/>
        </w:trPr>
        <w:tc>
          <w:tcPr>
            <w:tcW w:w="3440" w:type="dxa"/>
            <w:vAlign w:val="bottom"/>
            <w:tcBorders>
              <w:bottom w:val="single" w:sz="8" w:color="9A9A9A"/>
            </w:tcBorders>
          </w:tcPr>
          <w:p>
            <w:pPr>
              <w:spacing w:after="0"/>
              <w:rPr>
                <w:sz w:val="24"/>
                <w:szCs w:val="24"/>
                <w:color w:val="auto"/>
              </w:rPr>
            </w:pPr>
          </w:p>
        </w:tc>
        <w:tc>
          <w:tcPr>
            <w:tcW w:w="7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00" w:type="dxa"/>
            <w:vAlign w:val="bottom"/>
          </w:tcPr>
          <w:p>
            <w:pPr>
              <w:ind w:left="20"/>
              <w:spacing w:after="0"/>
              <w:rPr>
                <w:sz w:val="20"/>
                <w:szCs w:val="20"/>
                <w:color w:val="auto"/>
              </w:rPr>
            </w:pPr>
            <w:r>
              <w:rPr>
                <w:rFonts w:ascii="Arial" w:cs="Arial" w:eastAsia="Arial" w:hAnsi="Arial"/>
                <w:sz w:val="16"/>
                <w:szCs w:val="16"/>
                <w:color w:val="auto"/>
              </w:rPr>
              <w:t>Busch Ranch I</w:t>
            </w:r>
          </w:p>
        </w:tc>
        <w:tc>
          <w:tcPr>
            <w:tcW w:w="7840" w:type="dxa"/>
            <w:vAlign w:val="bottom"/>
          </w:tcPr>
          <w:p>
            <w:pPr>
              <w:ind w:left="220"/>
              <w:spacing w:after="0"/>
              <w:rPr>
                <w:sz w:val="20"/>
                <w:szCs w:val="20"/>
                <w:color w:val="auto"/>
              </w:rPr>
            </w:pPr>
            <w:r>
              <w:rPr>
                <w:rFonts w:ascii="Arial" w:cs="Arial" w:eastAsia="Arial" w:hAnsi="Arial"/>
                <w:sz w:val="16"/>
                <w:szCs w:val="16"/>
                <w:color w:val="auto"/>
              </w:rPr>
              <w:t>The 29 MW wind farm near Pueblo, Colorado, jointly owned by Colorado Electric and Black Hills Electric</w:t>
            </w:r>
          </w:p>
        </w:tc>
      </w:tr>
      <w:tr>
        <w:trPr>
          <w:trHeight w:val="189"/>
        </w:trPr>
        <w:tc>
          <w:tcPr>
            <w:tcW w:w="3400" w:type="dxa"/>
            <w:vAlign w:val="bottom"/>
          </w:tcPr>
          <w:p>
            <w:pPr>
              <w:spacing w:after="0"/>
              <w:rPr>
                <w:sz w:val="16"/>
                <w:szCs w:val="16"/>
                <w:color w:val="auto"/>
              </w:rPr>
            </w:pPr>
          </w:p>
        </w:tc>
        <w:tc>
          <w:tcPr>
            <w:tcW w:w="7840" w:type="dxa"/>
            <w:vAlign w:val="bottom"/>
          </w:tcPr>
          <w:p>
            <w:pPr>
              <w:ind w:left="220"/>
              <w:spacing w:after="0"/>
              <w:rPr>
                <w:sz w:val="20"/>
                <w:szCs w:val="20"/>
                <w:color w:val="auto"/>
              </w:rPr>
            </w:pPr>
            <w:r>
              <w:rPr>
                <w:rFonts w:ascii="Arial" w:cs="Arial" w:eastAsia="Arial" w:hAnsi="Arial"/>
                <w:sz w:val="16"/>
                <w:szCs w:val="16"/>
                <w:color w:val="auto"/>
              </w:rPr>
              <w:t>Generation. Colorado Electric and Black Hills Electric Generation each have a 50% ownership interest in</w:t>
            </w:r>
          </w:p>
        </w:tc>
      </w:tr>
      <w:tr>
        <w:trPr>
          <w:trHeight w:val="189"/>
        </w:trPr>
        <w:tc>
          <w:tcPr>
            <w:tcW w:w="3400" w:type="dxa"/>
            <w:vAlign w:val="bottom"/>
          </w:tcPr>
          <w:p>
            <w:pPr>
              <w:spacing w:after="0"/>
              <w:rPr>
                <w:sz w:val="16"/>
                <w:szCs w:val="16"/>
                <w:color w:val="auto"/>
              </w:rPr>
            </w:pPr>
          </w:p>
        </w:tc>
        <w:tc>
          <w:tcPr>
            <w:tcW w:w="7840" w:type="dxa"/>
            <w:vAlign w:val="bottom"/>
          </w:tcPr>
          <w:p>
            <w:pPr>
              <w:ind w:left="220"/>
              <w:spacing w:after="0"/>
              <w:rPr>
                <w:sz w:val="20"/>
                <w:szCs w:val="20"/>
                <w:color w:val="auto"/>
              </w:rPr>
            </w:pPr>
            <w:r>
              <w:rPr>
                <w:rFonts w:ascii="Arial" w:cs="Arial" w:eastAsia="Arial" w:hAnsi="Arial"/>
                <w:sz w:val="16"/>
                <w:szCs w:val="16"/>
                <w:color w:val="auto"/>
              </w:rPr>
              <w:t>the wind farm. Black Hills Electric Generation provides its share of energy from the wind farm to Colorado</w:t>
            </w:r>
          </w:p>
        </w:tc>
      </w:tr>
      <w:tr>
        <w:trPr>
          <w:trHeight w:val="222"/>
        </w:trPr>
        <w:tc>
          <w:tcPr>
            <w:tcW w:w="3400" w:type="dxa"/>
            <w:vAlign w:val="bottom"/>
          </w:tcPr>
          <w:p>
            <w:pPr>
              <w:spacing w:after="0"/>
              <w:rPr>
                <w:sz w:val="19"/>
                <w:szCs w:val="19"/>
                <w:color w:val="auto"/>
              </w:rPr>
            </w:pPr>
          </w:p>
        </w:tc>
        <w:tc>
          <w:tcPr>
            <w:tcW w:w="7840" w:type="dxa"/>
            <w:vAlign w:val="bottom"/>
          </w:tcPr>
          <w:p>
            <w:pPr>
              <w:ind w:left="220"/>
              <w:spacing w:after="0"/>
              <w:rPr>
                <w:sz w:val="20"/>
                <w:szCs w:val="20"/>
                <w:color w:val="auto"/>
              </w:rPr>
            </w:pPr>
            <w:r>
              <w:rPr>
                <w:rFonts w:ascii="Arial" w:cs="Arial" w:eastAsia="Arial" w:hAnsi="Arial"/>
                <w:sz w:val="16"/>
                <w:szCs w:val="16"/>
                <w:color w:val="auto"/>
              </w:rPr>
              <w:t>Electric through a PPA, which expires in October 2037.</w:t>
            </w:r>
          </w:p>
        </w:tc>
      </w:tr>
      <w:tr>
        <w:trPr>
          <w:trHeight w:val="237"/>
        </w:trPr>
        <w:tc>
          <w:tcPr>
            <w:tcW w:w="3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Busch Ranch II</w:t>
            </w:r>
          </w:p>
        </w:tc>
        <w:tc>
          <w:tcPr>
            <w:tcW w:w="78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The 59.4 MW wind farm near Pueblo, Colorado owned by Black Hills Electric Generation to provide wind</w:t>
            </w:r>
          </w:p>
        </w:tc>
      </w:tr>
      <w:tr>
        <w:trPr>
          <w:trHeight w:val="230"/>
        </w:trPr>
        <w:tc>
          <w:tcPr>
            <w:tcW w:w="3400" w:type="dxa"/>
            <w:vAlign w:val="bottom"/>
            <w:shd w:val="clear" w:color="auto" w:fill="CFF0FC"/>
          </w:tcPr>
          <w:p>
            <w:pPr>
              <w:spacing w:after="0"/>
              <w:rPr>
                <w:sz w:val="20"/>
                <w:szCs w:val="20"/>
                <w:color w:val="auto"/>
              </w:rPr>
            </w:pPr>
          </w:p>
        </w:tc>
        <w:tc>
          <w:tcPr>
            <w:tcW w:w="78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energy to Colorado Electric through a PPA expiring in November 2044.</w:t>
            </w:r>
          </w:p>
        </w:tc>
      </w:tr>
      <w:tr>
        <w:trPr>
          <w:trHeight w:val="229"/>
        </w:trPr>
        <w:tc>
          <w:tcPr>
            <w:tcW w:w="3400" w:type="dxa"/>
            <w:vAlign w:val="bottom"/>
          </w:tcPr>
          <w:p>
            <w:pPr>
              <w:ind w:left="20"/>
              <w:spacing w:after="0"/>
              <w:rPr>
                <w:sz w:val="20"/>
                <w:szCs w:val="20"/>
                <w:color w:val="auto"/>
              </w:rPr>
            </w:pPr>
            <w:r>
              <w:rPr>
                <w:rFonts w:ascii="Arial" w:cs="Arial" w:eastAsia="Arial" w:hAnsi="Arial"/>
                <w:sz w:val="16"/>
                <w:szCs w:val="16"/>
                <w:color w:val="auto"/>
              </w:rPr>
              <w:t>CACJA Adjustment</w:t>
            </w:r>
          </w:p>
        </w:tc>
        <w:tc>
          <w:tcPr>
            <w:tcW w:w="7840" w:type="dxa"/>
            <w:vAlign w:val="bottom"/>
          </w:tcPr>
          <w:p>
            <w:pPr>
              <w:ind w:left="220"/>
              <w:spacing w:after="0"/>
              <w:rPr>
                <w:sz w:val="20"/>
                <w:szCs w:val="20"/>
                <w:color w:val="auto"/>
              </w:rPr>
            </w:pPr>
            <w:r>
              <w:rPr>
                <w:rFonts w:ascii="Arial" w:cs="Arial" w:eastAsia="Arial" w:hAnsi="Arial"/>
                <w:sz w:val="16"/>
                <w:szCs w:val="16"/>
                <w:color w:val="auto"/>
              </w:rPr>
              <w:t>Clean Air Clean Jobs Act Adjustment is an adjustment mechanism that allows Colorado Electric to collect</w:t>
            </w:r>
          </w:p>
        </w:tc>
      </w:tr>
      <w:tr>
        <w:trPr>
          <w:trHeight w:val="222"/>
        </w:trPr>
        <w:tc>
          <w:tcPr>
            <w:tcW w:w="3400" w:type="dxa"/>
            <w:vAlign w:val="bottom"/>
          </w:tcPr>
          <w:p>
            <w:pPr>
              <w:spacing w:after="0"/>
              <w:rPr>
                <w:sz w:val="19"/>
                <w:szCs w:val="19"/>
                <w:color w:val="auto"/>
              </w:rPr>
            </w:pPr>
          </w:p>
        </w:tc>
        <w:tc>
          <w:tcPr>
            <w:tcW w:w="7840" w:type="dxa"/>
            <w:vAlign w:val="bottom"/>
          </w:tcPr>
          <w:p>
            <w:pPr>
              <w:ind w:left="220"/>
              <w:spacing w:after="0"/>
              <w:rPr>
                <w:sz w:val="20"/>
                <w:szCs w:val="20"/>
                <w:color w:val="auto"/>
              </w:rPr>
            </w:pPr>
            <w:r>
              <w:rPr>
                <w:rFonts w:ascii="Arial" w:cs="Arial" w:eastAsia="Arial" w:hAnsi="Arial"/>
                <w:sz w:val="16"/>
                <w:szCs w:val="16"/>
                <w:color w:val="auto"/>
              </w:rPr>
              <w:t>from customers the capital costs related to Pueblo Airport Generation CT #6.</w:t>
            </w:r>
          </w:p>
        </w:tc>
      </w:tr>
      <w:tr>
        <w:trPr>
          <w:trHeight w:val="237"/>
        </w:trPr>
        <w:tc>
          <w:tcPr>
            <w:tcW w:w="3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CEPR</w:t>
            </w:r>
          </w:p>
        </w:tc>
        <w:tc>
          <w:tcPr>
            <w:tcW w:w="78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Clean Energy Plan Rider, which is a 1.5% surcharge to fund Colorado Electric's recovery of renewable</w:t>
            </w:r>
          </w:p>
        </w:tc>
      </w:tr>
      <w:tr>
        <w:trPr>
          <w:trHeight w:val="189"/>
        </w:trPr>
        <w:tc>
          <w:tcPr>
            <w:tcW w:w="3400" w:type="dxa"/>
            <w:vAlign w:val="bottom"/>
            <w:shd w:val="clear" w:color="auto" w:fill="CFF0FC"/>
          </w:tcPr>
          <w:p>
            <w:pPr>
              <w:spacing w:after="0"/>
              <w:rPr>
                <w:sz w:val="16"/>
                <w:szCs w:val="16"/>
                <w:color w:val="auto"/>
              </w:rPr>
            </w:pPr>
          </w:p>
        </w:tc>
        <w:tc>
          <w:tcPr>
            <w:tcW w:w="78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energy projects under the Clean Energy Plan. In conjunction with the implementation of the CEPR in</w:t>
            </w:r>
          </w:p>
        </w:tc>
      </w:tr>
      <w:tr>
        <w:trPr>
          <w:trHeight w:val="230"/>
        </w:trPr>
        <w:tc>
          <w:tcPr>
            <w:tcW w:w="3400" w:type="dxa"/>
            <w:vAlign w:val="bottom"/>
            <w:shd w:val="clear" w:color="auto" w:fill="CFF0FC"/>
          </w:tcPr>
          <w:p>
            <w:pPr>
              <w:spacing w:after="0"/>
              <w:rPr>
                <w:sz w:val="20"/>
                <w:szCs w:val="20"/>
                <w:color w:val="auto"/>
              </w:rPr>
            </w:pPr>
          </w:p>
        </w:tc>
        <w:tc>
          <w:tcPr>
            <w:tcW w:w="78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January 2025, the RESA surcharge was reduced from 2.0% to 1.5%.</w:t>
            </w:r>
          </w:p>
        </w:tc>
      </w:tr>
      <w:tr>
        <w:trPr>
          <w:trHeight w:val="262"/>
        </w:trPr>
        <w:tc>
          <w:tcPr>
            <w:tcW w:w="3400" w:type="dxa"/>
            <w:vAlign w:val="bottom"/>
          </w:tcPr>
          <w:p>
            <w:pPr>
              <w:ind w:left="20"/>
              <w:spacing w:after="0"/>
              <w:rPr>
                <w:sz w:val="20"/>
                <w:szCs w:val="20"/>
                <w:color w:val="auto"/>
              </w:rPr>
            </w:pPr>
            <w:r>
              <w:rPr>
                <w:rFonts w:ascii="Arial" w:cs="Arial" w:eastAsia="Arial" w:hAnsi="Arial"/>
                <w:sz w:val="16"/>
                <w:szCs w:val="16"/>
                <w:color w:val="auto"/>
              </w:rPr>
              <w:t>CFTC</w:t>
            </w:r>
          </w:p>
        </w:tc>
        <w:tc>
          <w:tcPr>
            <w:tcW w:w="7840" w:type="dxa"/>
            <w:vAlign w:val="bottom"/>
          </w:tcPr>
          <w:p>
            <w:pPr>
              <w:ind w:left="220"/>
              <w:spacing w:after="0"/>
              <w:rPr>
                <w:sz w:val="20"/>
                <w:szCs w:val="20"/>
                <w:color w:val="auto"/>
              </w:rPr>
            </w:pPr>
            <w:r>
              <w:rPr>
                <w:rFonts w:ascii="Arial" w:cs="Arial" w:eastAsia="Arial" w:hAnsi="Arial"/>
                <w:sz w:val="16"/>
                <w:szCs w:val="16"/>
                <w:color w:val="auto"/>
              </w:rPr>
              <w:t>United States Commodity Futures Trading Commission</w:t>
            </w:r>
          </w:p>
        </w:tc>
      </w:tr>
      <w:tr>
        <w:trPr>
          <w:trHeight w:val="237"/>
        </w:trPr>
        <w:tc>
          <w:tcPr>
            <w:tcW w:w="3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Cheyenne Light</w:t>
            </w:r>
          </w:p>
        </w:tc>
        <w:tc>
          <w:tcPr>
            <w:tcW w:w="78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Cheyenne Light, Fuel and Power Company, a direct, wholly-owned subsidiary of Black Hills Corporation,</w:t>
            </w:r>
          </w:p>
        </w:tc>
      </w:tr>
      <w:tr>
        <w:trPr>
          <w:trHeight w:val="189"/>
        </w:trPr>
        <w:tc>
          <w:tcPr>
            <w:tcW w:w="3400" w:type="dxa"/>
            <w:vAlign w:val="bottom"/>
            <w:shd w:val="clear" w:color="auto" w:fill="CFF0FC"/>
          </w:tcPr>
          <w:p>
            <w:pPr>
              <w:spacing w:after="0"/>
              <w:rPr>
                <w:sz w:val="16"/>
                <w:szCs w:val="16"/>
                <w:color w:val="auto"/>
              </w:rPr>
            </w:pPr>
          </w:p>
        </w:tc>
        <w:tc>
          <w:tcPr>
            <w:tcW w:w="78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providing electric service in the Cheyenne, Wyoming area (doing business as Black Hills Energy). Also</w:t>
            </w:r>
          </w:p>
        </w:tc>
      </w:tr>
      <w:tr>
        <w:trPr>
          <w:trHeight w:val="230"/>
        </w:trPr>
        <w:tc>
          <w:tcPr>
            <w:tcW w:w="3400" w:type="dxa"/>
            <w:vAlign w:val="bottom"/>
            <w:shd w:val="clear" w:color="auto" w:fill="CFF0FC"/>
          </w:tcPr>
          <w:p>
            <w:pPr>
              <w:spacing w:after="0"/>
              <w:rPr>
                <w:sz w:val="20"/>
                <w:szCs w:val="20"/>
                <w:color w:val="auto"/>
              </w:rPr>
            </w:pPr>
          </w:p>
        </w:tc>
        <w:tc>
          <w:tcPr>
            <w:tcW w:w="78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known as Wyoming Electric.</w:t>
            </w:r>
          </w:p>
        </w:tc>
      </w:tr>
      <w:tr>
        <w:trPr>
          <w:trHeight w:val="229"/>
        </w:trPr>
        <w:tc>
          <w:tcPr>
            <w:tcW w:w="3400" w:type="dxa"/>
            <w:vAlign w:val="bottom"/>
          </w:tcPr>
          <w:p>
            <w:pPr>
              <w:ind w:left="20"/>
              <w:spacing w:after="0"/>
              <w:rPr>
                <w:sz w:val="20"/>
                <w:szCs w:val="20"/>
                <w:color w:val="auto"/>
              </w:rPr>
            </w:pPr>
            <w:r>
              <w:rPr>
                <w:rFonts w:ascii="Arial" w:cs="Arial" w:eastAsia="Arial" w:hAnsi="Arial"/>
                <w:sz w:val="16"/>
                <w:szCs w:val="16"/>
                <w:color w:val="auto"/>
              </w:rPr>
              <w:t>Cheyenne Prairie</w:t>
            </w:r>
          </w:p>
        </w:tc>
        <w:tc>
          <w:tcPr>
            <w:tcW w:w="7840" w:type="dxa"/>
            <w:vAlign w:val="bottom"/>
          </w:tcPr>
          <w:p>
            <w:pPr>
              <w:ind w:left="220"/>
              <w:spacing w:after="0"/>
              <w:rPr>
                <w:sz w:val="20"/>
                <w:szCs w:val="20"/>
                <w:color w:val="auto"/>
              </w:rPr>
            </w:pPr>
            <w:r>
              <w:rPr>
                <w:rFonts w:ascii="Arial" w:cs="Arial" w:eastAsia="Arial" w:hAnsi="Arial"/>
                <w:sz w:val="16"/>
                <w:szCs w:val="16"/>
                <w:color w:val="auto"/>
              </w:rPr>
              <w:t>Cheyenne Prairie Generating Station located in Cheyenne, Wyoming serves the utility customers of South</w:t>
            </w:r>
          </w:p>
        </w:tc>
      </w:tr>
      <w:tr>
        <w:trPr>
          <w:trHeight w:val="189"/>
        </w:trPr>
        <w:tc>
          <w:tcPr>
            <w:tcW w:w="3400" w:type="dxa"/>
            <w:vAlign w:val="bottom"/>
          </w:tcPr>
          <w:p>
            <w:pPr>
              <w:spacing w:after="0"/>
              <w:rPr>
                <w:sz w:val="16"/>
                <w:szCs w:val="16"/>
                <w:color w:val="auto"/>
              </w:rPr>
            </w:pPr>
          </w:p>
        </w:tc>
        <w:tc>
          <w:tcPr>
            <w:tcW w:w="7840" w:type="dxa"/>
            <w:vAlign w:val="bottom"/>
          </w:tcPr>
          <w:p>
            <w:pPr>
              <w:ind w:left="220"/>
              <w:spacing w:after="0"/>
              <w:rPr>
                <w:sz w:val="20"/>
                <w:szCs w:val="20"/>
                <w:color w:val="auto"/>
              </w:rPr>
            </w:pPr>
            <w:r>
              <w:rPr>
                <w:rFonts w:ascii="Arial" w:cs="Arial" w:eastAsia="Arial" w:hAnsi="Arial"/>
                <w:sz w:val="16"/>
                <w:szCs w:val="16"/>
                <w:color w:val="auto"/>
              </w:rPr>
              <w:t>Dakota Electric and Wyoming Electric. The facility includes one simple-cycle, 40 MW combustion turbine</w:t>
            </w:r>
          </w:p>
        </w:tc>
      </w:tr>
      <w:tr>
        <w:trPr>
          <w:trHeight w:val="189"/>
        </w:trPr>
        <w:tc>
          <w:tcPr>
            <w:tcW w:w="3400" w:type="dxa"/>
            <w:vAlign w:val="bottom"/>
          </w:tcPr>
          <w:p>
            <w:pPr>
              <w:spacing w:after="0"/>
              <w:rPr>
                <w:sz w:val="16"/>
                <w:szCs w:val="16"/>
                <w:color w:val="auto"/>
              </w:rPr>
            </w:pPr>
          </w:p>
        </w:tc>
        <w:tc>
          <w:tcPr>
            <w:tcW w:w="7840" w:type="dxa"/>
            <w:vAlign w:val="bottom"/>
          </w:tcPr>
          <w:p>
            <w:pPr>
              <w:ind w:left="220"/>
              <w:spacing w:after="0"/>
              <w:rPr>
                <w:sz w:val="20"/>
                <w:szCs w:val="20"/>
                <w:color w:val="auto"/>
              </w:rPr>
            </w:pPr>
            <w:r>
              <w:rPr>
                <w:rFonts w:ascii="Arial" w:cs="Arial" w:eastAsia="Arial" w:hAnsi="Arial"/>
                <w:sz w:val="16"/>
                <w:szCs w:val="16"/>
                <w:color w:val="auto"/>
              </w:rPr>
              <w:t>that is wholly-owned by Wyoming Electric and one combined-cycle, 100 MW unit that is jointly-owned by</w:t>
            </w:r>
          </w:p>
        </w:tc>
      </w:tr>
      <w:tr>
        <w:trPr>
          <w:trHeight w:val="222"/>
        </w:trPr>
        <w:tc>
          <w:tcPr>
            <w:tcW w:w="3400" w:type="dxa"/>
            <w:vAlign w:val="bottom"/>
          </w:tcPr>
          <w:p>
            <w:pPr>
              <w:spacing w:after="0"/>
              <w:rPr>
                <w:sz w:val="19"/>
                <w:szCs w:val="19"/>
                <w:color w:val="auto"/>
              </w:rPr>
            </w:pPr>
          </w:p>
        </w:tc>
        <w:tc>
          <w:tcPr>
            <w:tcW w:w="7840" w:type="dxa"/>
            <w:vAlign w:val="bottom"/>
          </w:tcPr>
          <w:p>
            <w:pPr>
              <w:ind w:left="220"/>
              <w:spacing w:after="0"/>
              <w:rPr>
                <w:sz w:val="20"/>
                <w:szCs w:val="20"/>
                <w:color w:val="auto"/>
              </w:rPr>
            </w:pPr>
            <w:r>
              <w:rPr>
                <w:rFonts w:ascii="Arial" w:cs="Arial" w:eastAsia="Arial" w:hAnsi="Arial"/>
                <w:sz w:val="16"/>
                <w:szCs w:val="16"/>
                <w:color w:val="auto"/>
              </w:rPr>
              <w:t>Wyoming Electric (42 MW) and South Dakota Electric (58 MW).</w:t>
            </w:r>
          </w:p>
        </w:tc>
      </w:tr>
      <w:tr>
        <w:trPr>
          <w:trHeight w:val="237"/>
        </w:trPr>
        <w:tc>
          <w:tcPr>
            <w:tcW w:w="3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Choice Gas Program</w:t>
            </w:r>
          </w:p>
        </w:tc>
        <w:tc>
          <w:tcPr>
            <w:tcW w:w="78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Regulator-approved programs in Wyoming and Nebraska that allow certain utility customers to select their</w:t>
            </w:r>
          </w:p>
        </w:tc>
      </w:tr>
      <w:tr>
        <w:trPr>
          <w:trHeight w:val="189"/>
        </w:trPr>
        <w:tc>
          <w:tcPr>
            <w:tcW w:w="3400" w:type="dxa"/>
            <w:vAlign w:val="bottom"/>
            <w:shd w:val="clear" w:color="auto" w:fill="CFF0FC"/>
          </w:tcPr>
          <w:p>
            <w:pPr>
              <w:spacing w:after="0"/>
              <w:rPr>
                <w:sz w:val="16"/>
                <w:szCs w:val="16"/>
                <w:color w:val="auto"/>
              </w:rPr>
            </w:pPr>
          </w:p>
        </w:tc>
        <w:tc>
          <w:tcPr>
            <w:tcW w:w="78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natural gas commodity supplier, providing the unbundling of the commodity service from the distribution</w:t>
            </w:r>
          </w:p>
        </w:tc>
      </w:tr>
      <w:tr>
        <w:trPr>
          <w:trHeight w:val="230"/>
        </w:trPr>
        <w:tc>
          <w:tcPr>
            <w:tcW w:w="3400" w:type="dxa"/>
            <w:vAlign w:val="bottom"/>
            <w:shd w:val="clear" w:color="auto" w:fill="CFF0FC"/>
          </w:tcPr>
          <w:p>
            <w:pPr>
              <w:spacing w:after="0"/>
              <w:rPr>
                <w:sz w:val="20"/>
                <w:szCs w:val="20"/>
                <w:color w:val="auto"/>
              </w:rPr>
            </w:pPr>
          </w:p>
        </w:tc>
        <w:tc>
          <w:tcPr>
            <w:tcW w:w="78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delivery service.</w:t>
            </w:r>
          </w:p>
        </w:tc>
      </w:tr>
      <w:tr>
        <w:trPr>
          <w:trHeight w:val="262"/>
        </w:trPr>
        <w:tc>
          <w:tcPr>
            <w:tcW w:w="3400" w:type="dxa"/>
            <w:vAlign w:val="bottom"/>
          </w:tcPr>
          <w:p>
            <w:pPr>
              <w:ind w:left="20"/>
              <w:spacing w:after="0"/>
              <w:rPr>
                <w:sz w:val="20"/>
                <w:szCs w:val="20"/>
                <w:color w:val="auto"/>
              </w:rPr>
            </w:pPr>
            <w:r>
              <w:rPr>
                <w:rFonts w:ascii="Arial" w:cs="Arial" w:eastAsia="Arial" w:hAnsi="Arial"/>
                <w:sz w:val="16"/>
                <w:szCs w:val="16"/>
                <w:color w:val="auto"/>
              </w:rPr>
              <w:t>CIAC</w:t>
            </w:r>
          </w:p>
        </w:tc>
        <w:tc>
          <w:tcPr>
            <w:tcW w:w="7840" w:type="dxa"/>
            <w:vAlign w:val="bottom"/>
          </w:tcPr>
          <w:p>
            <w:pPr>
              <w:ind w:left="220"/>
              <w:spacing w:after="0"/>
              <w:rPr>
                <w:sz w:val="20"/>
                <w:szCs w:val="20"/>
                <w:color w:val="auto"/>
              </w:rPr>
            </w:pPr>
            <w:r>
              <w:rPr>
                <w:rFonts w:ascii="Arial" w:cs="Arial" w:eastAsia="Arial" w:hAnsi="Arial"/>
                <w:sz w:val="16"/>
                <w:szCs w:val="16"/>
                <w:color w:val="auto"/>
              </w:rPr>
              <w:t>Contribution in aid of construction</w:t>
            </w:r>
          </w:p>
        </w:tc>
      </w:tr>
      <w:tr>
        <w:trPr>
          <w:trHeight w:val="278"/>
        </w:trPr>
        <w:tc>
          <w:tcPr>
            <w:tcW w:w="3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City of Gillette</w:t>
            </w:r>
          </w:p>
        </w:tc>
        <w:tc>
          <w:tcPr>
            <w:tcW w:w="78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Gillette, Wyoming</w:t>
            </w:r>
          </w:p>
        </w:tc>
      </w:tr>
      <w:tr>
        <w:trPr>
          <w:trHeight w:val="229"/>
        </w:trPr>
        <w:tc>
          <w:tcPr>
            <w:tcW w:w="3400" w:type="dxa"/>
            <w:vAlign w:val="bottom"/>
          </w:tcPr>
          <w:p>
            <w:pPr>
              <w:ind w:left="20"/>
              <w:spacing w:after="0"/>
              <w:rPr>
                <w:sz w:val="20"/>
                <w:szCs w:val="20"/>
                <w:color w:val="auto"/>
              </w:rPr>
            </w:pPr>
            <w:r>
              <w:rPr>
                <w:rFonts w:ascii="Arial" w:cs="Arial" w:eastAsia="Arial" w:hAnsi="Arial"/>
                <w:sz w:val="16"/>
                <w:szCs w:val="16"/>
                <w:color w:val="auto"/>
              </w:rPr>
              <w:t>Clean Energy Plan</w:t>
            </w:r>
          </w:p>
        </w:tc>
        <w:tc>
          <w:tcPr>
            <w:tcW w:w="7840" w:type="dxa"/>
            <w:vAlign w:val="bottom"/>
          </w:tcPr>
          <w:p>
            <w:pPr>
              <w:ind w:left="220"/>
              <w:spacing w:after="0"/>
              <w:rPr>
                <w:sz w:val="20"/>
                <w:szCs w:val="20"/>
                <w:color w:val="auto"/>
              </w:rPr>
            </w:pPr>
            <w:r>
              <w:rPr>
                <w:rFonts w:ascii="Arial" w:cs="Arial" w:eastAsia="Arial" w:hAnsi="Arial"/>
                <w:sz w:val="16"/>
                <w:szCs w:val="16"/>
                <w:color w:val="auto"/>
              </w:rPr>
              <w:t>2030 Ready Plan that establishes a roadmap and preferred resource portfolio for Colorado Electric to</w:t>
            </w:r>
          </w:p>
        </w:tc>
      </w:tr>
      <w:tr>
        <w:trPr>
          <w:trHeight w:val="189"/>
        </w:trPr>
        <w:tc>
          <w:tcPr>
            <w:tcW w:w="3400" w:type="dxa"/>
            <w:vAlign w:val="bottom"/>
          </w:tcPr>
          <w:p>
            <w:pPr>
              <w:spacing w:after="0"/>
              <w:rPr>
                <w:sz w:val="16"/>
                <w:szCs w:val="16"/>
                <w:color w:val="auto"/>
              </w:rPr>
            </w:pPr>
          </w:p>
        </w:tc>
        <w:tc>
          <w:tcPr>
            <w:tcW w:w="7840" w:type="dxa"/>
            <w:vAlign w:val="bottom"/>
          </w:tcPr>
          <w:p>
            <w:pPr>
              <w:ind w:left="220"/>
              <w:spacing w:after="0"/>
              <w:rPr>
                <w:sz w:val="20"/>
                <w:szCs w:val="20"/>
                <w:color w:val="auto"/>
              </w:rPr>
            </w:pPr>
            <w:r>
              <w:rPr>
                <w:rFonts w:ascii="Arial" w:cs="Arial" w:eastAsia="Arial" w:hAnsi="Arial"/>
                <w:sz w:val="16"/>
                <w:szCs w:val="16"/>
                <w:color w:val="auto"/>
              </w:rPr>
              <w:t>achieve the State of Colorado’s requirement calling upon electric utilities to reduce greenhouse gas</w:t>
            </w:r>
          </w:p>
        </w:tc>
      </w:tr>
      <w:tr>
        <w:trPr>
          <w:trHeight w:val="189"/>
        </w:trPr>
        <w:tc>
          <w:tcPr>
            <w:tcW w:w="3400" w:type="dxa"/>
            <w:vAlign w:val="bottom"/>
          </w:tcPr>
          <w:p>
            <w:pPr>
              <w:spacing w:after="0"/>
              <w:rPr>
                <w:sz w:val="16"/>
                <w:szCs w:val="16"/>
                <w:color w:val="auto"/>
              </w:rPr>
            </w:pPr>
          </w:p>
        </w:tc>
        <w:tc>
          <w:tcPr>
            <w:tcW w:w="7840" w:type="dxa"/>
            <w:vAlign w:val="bottom"/>
          </w:tcPr>
          <w:p>
            <w:pPr>
              <w:ind w:left="220"/>
              <w:spacing w:after="0"/>
              <w:rPr>
                <w:sz w:val="20"/>
                <w:szCs w:val="20"/>
                <w:color w:val="auto"/>
              </w:rPr>
            </w:pPr>
            <w:r>
              <w:rPr>
                <w:rFonts w:ascii="Arial" w:cs="Arial" w:eastAsia="Arial" w:hAnsi="Arial"/>
                <w:sz w:val="16"/>
                <w:szCs w:val="16"/>
                <w:color w:val="auto"/>
              </w:rPr>
              <w:t>emissions by a minimum of 80% from 2005 levels by 2030. The recommended resource portfolio</w:t>
            </w:r>
          </w:p>
        </w:tc>
      </w:tr>
      <w:tr>
        <w:trPr>
          <w:trHeight w:val="189"/>
        </w:trPr>
        <w:tc>
          <w:tcPr>
            <w:tcW w:w="3400" w:type="dxa"/>
            <w:vAlign w:val="bottom"/>
          </w:tcPr>
          <w:p>
            <w:pPr>
              <w:spacing w:after="0"/>
              <w:rPr>
                <w:sz w:val="16"/>
                <w:szCs w:val="16"/>
                <w:color w:val="auto"/>
              </w:rPr>
            </w:pPr>
          </w:p>
        </w:tc>
        <w:tc>
          <w:tcPr>
            <w:tcW w:w="7840" w:type="dxa"/>
            <w:vAlign w:val="bottom"/>
          </w:tcPr>
          <w:p>
            <w:pPr>
              <w:ind w:left="220"/>
              <w:spacing w:after="0"/>
              <w:rPr>
                <w:sz w:val="20"/>
                <w:szCs w:val="20"/>
                <w:color w:val="auto"/>
              </w:rPr>
            </w:pPr>
            <w:r>
              <w:rPr>
                <w:rFonts w:ascii="Arial" w:cs="Arial" w:eastAsia="Arial" w:hAnsi="Arial"/>
                <w:sz w:val="16"/>
                <w:szCs w:val="16"/>
                <w:color w:val="auto"/>
              </w:rPr>
              <w:t>proposes the addition of 350 MW of clean energy resources to Colorado Electric's system. Colorado</w:t>
            </w:r>
          </w:p>
        </w:tc>
      </w:tr>
      <w:tr>
        <w:trPr>
          <w:trHeight w:val="189"/>
        </w:trPr>
        <w:tc>
          <w:tcPr>
            <w:tcW w:w="3400" w:type="dxa"/>
            <w:vAlign w:val="bottom"/>
          </w:tcPr>
          <w:p>
            <w:pPr>
              <w:spacing w:after="0"/>
              <w:rPr>
                <w:sz w:val="16"/>
                <w:szCs w:val="16"/>
                <w:color w:val="auto"/>
              </w:rPr>
            </w:pPr>
          </w:p>
        </w:tc>
        <w:tc>
          <w:tcPr>
            <w:tcW w:w="7840" w:type="dxa"/>
            <w:vAlign w:val="bottom"/>
          </w:tcPr>
          <w:p>
            <w:pPr>
              <w:ind w:left="220"/>
              <w:spacing w:after="0"/>
              <w:rPr>
                <w:sz w:val="20"/>
                <w:szCs w:val="20"/>
                <w:color w:val="auto"/>
              </w:rPr>
            </w:pPr>
            <w:r>
              <w:rPr>
                <w:rFonts w:ascii="Arial" w:cs="Arial" w:eastAsia="Arial" w:hAnsi="Arial"/>
                <w:sz w:val="16"/>
                <w:szCs w:val="16"/>
                <w:color w:val="auto"/>
              </w:rPr>
              <w:t>legislation allows electric utilities to own up to 50% of the renewable generation assets added to comply</w:t>
            </w:r>
          </w:p>
        </w:tc>
      </w:tr>
      <w:tr>
        <w:trPr>
          <w:trHeight w:val="222"/>
        </w:trPr>
        <w:tc>
          <w:tcPr>
            <w:tcW w:w="3400" w:type="dxa"/>
            <w:vAlign w:val="bottom"/>
          </w:tcPr>
          <w:p>
            <w:pPr>
              <w:spacing w:after="0"/>
              <w:rPr>
                <w:sz w:val="19"/>
                <w:szCs w:val="19"/>
                <w:color w:val="auto"/>
              </w:rPr>
            </w:pPr>
          </w:p>
        </w:tc>
        <w:tc>
          <w:tcPr>
            <w:tcW w:w="7840" w:type="dxa"/>
            <w:vAlign w:val="bottom"/>
          </w:tcPr>
          <w:p>
            <w:pPr>
              <w:ind w:left="220"/>
              <w:spacing w:after="0"/>
              <w:rPr>
                <w:sz w:val="20"/>
                <w:szCs w:val="20"/>
                <w:color w:val="auto"/>
              </w:rPr>
            </w:pPr>
            <w:r>
              <w:rPr>
                <w:rFonts w:ascii="Arial" w:cs="Arial" w:eastAsia="Arial" w:hAnsi="Arial"/>
                <w:sz w:val="16"/>
                <w:szCs w:val="16"/>
                <w:color w:val="auto"/>
              </w:rPr>
              <w:t>with the Clean Energy Plan.</w:t>
            </w:r>
          </w:p>
        </w:tc>
      </w:tr>
      <w:tr>
        <w:trPr>
          <w:trHeight w:val="278"/>
        </w:trPr>
        <w:tc>
          <w:tcPr>
            <w:tcW w:w="3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w:t>
            </w:r>
            <w:r>
              <w:rPr>
                <w:rFonts w:ascii="Arial" w:cs="Arial" w:eastAsia="Arial" w:hAnsi="Arial"/>
                <w:sz w:val="10"/>
                <w:szCs w:val="10"/>
                <w:color w:val="auto"/>
              </w:rPr>
              <w:t>2</w:t>
            </w:r>
          </w:p>
        </w:tc>
        <w:tc>
          <w:tcPr>
            <w:tcW w:w="78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Carbon dioxide</w:t>
            </w:r>
          </w:p>
        </w:tc>
      </w:tr>
      <w:tr>
        <w:trPr>
          <w:trHeight w:val="262"/>
        </w:trPr>
        <w:tc>
          <w:tcPr>
            <w:tcW w:w="3400" w:type="dxa"/>
            <w:vAlign w:val="bottom"/>
          </w:tcPr>
          <w:p>
            <w:pPr>
              <w:ind w:left="20"/>
              <w:spacing w:after="0"/>
              <w:rPr>
                <w:sz w:val="20"/>
                <w:szCs w:val="20"/>
                <w:color w:val="auto"/>
              </w:rPr>
            </w:pPr>
            <w:r>
              <w:rPr>
                <w:rFonts w:ascii="Arial" w:cs="Arial" w:eastAsia="Arial" w:hAnsi="Arial"/>
                <w:sz w:val="16"/>
                <w:szCs w:val="16"/>
                <w:color w:val="auto"/>
              </w:rPr>
              <w:t>Chief Operating Decision Maker (CODM)</w:t>
            </w:r>
          </w:p>
        </w:tc>
        <w:tc>
          <w:tcPr>
            <w:tcW w:w="7840" w:type="dxa"/>
            <w:vAlign w:val="bottom"/>
          </w:tcPr>
          <w:p>
            <w:pPr>
              <w:ind w:left="220"/>
              <w:spacing w:after="0"/>
              <w:rPr>
                <w:sz w:val="20"/>
                <w:szCs w:val="20"/>
                <w:color w:val="auto"/>
              </w:rPr>
            </w:pPr>
            <w:r>
              <w:rPr>
                <w:rFonts w:ascii="Arial" w:cs="Arial" w:eastAsia="Arial" w:hAnsi="Arial"/>
                <w:sz w:val="16"/>
                <w:szCs w:val="16"/>
                <w:color w:val="auto"/>
              </w:rPr>
              <w:t>Chief Executive Officer</w:t>
            </w:r>
          </w:p>
        </w:tc>
      </w:tr>
      <w:tr>
        <w:trPr>
          <w:trHeight w:val="237"/>
        </w:trPr>
        <w:tc>
          <w:tcPr>
            <w:tcW w:w="3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Colorado Electric</w:t>
            </w:r>
          </w:p>
        </w:tc>
        <w:tc>
          <w:tcPr>
            <w:tcW w:w="78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Black Hills Colorado Electric, LLC, a direct, wholly-owned subsidiary of Black Hills Electric Parent</w:t>
            </w:r>
          </w:p>
        </w:tc>
      </w:tr>
      <w:tr>
        <w:trPr>
          <w:trHeight w:val="230"/>
        </w:trPr>
        <w:tc>
          <w:tcPr>
            <w:tcW w:w="3400" w:type="dxa"/>
            <w:vAlign w:val="bottom"/>
            <w:shd w:val="clear" w:color="auto" w:fill="CFF0FC"/>
          </w:tcPr>
          <w:p>
            <w:pPr>
              <w:spacing w:after="0"/>
              <w:rPr>
                <w:sz w:val="20"/>
                <w:szCs w:val="20"/>
                <w:color w:val="auto"/>
              </w:rPr>
            </w:pPr>
          </w:p>
        </w:tc>
        <w:tc>
          <w:tcPr>
            <w:tcW w:w="78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Holdings, providing electric service to customers in Colorado (doing business as Black Hills Energy).</w:t>
            </w:r>
          </w:p>
        </w:tc>
      </w:tr>
      <w:tr>
        <w:trPr>
          <w:trHeight w:val="229"/>
        </w:trPr>
        <w:tc>
          <w:tcPr>
            <w:tcW w:w="3400" w:type="dxa"/>
            <w:vAlign w:val="bottom"/>
          </w:tcPr>
          <w:p>
            <w:pPr>
              <w:ind w:left="20"/>
              <w:spacing w:after="0"/>
              <w:rPr>
                <w:sz w:val="20"/>
                <w:szCs w:val="20"/>
                <w:color w:val="auto"/>
              </w:rPr>
            </w:pPr>
            <w:r>
              <w:rPr>
                <w:rFonts w:ascii="Arial" w:cs="Arial" w:eastAsia="Arial" w:hAnsi="Arial"/>
                <w:sz w:val="16"/>
                <w:szCs w:val="16"/>
                <w:color w:val="auto"/>
              </w:rPr>
              <w:t>Colorado Gas</w:t>
            </w:r>
          </w:p>
        </w:tc>
        <w:tc>
          <w:tcPr>
            <w:tcW w:w="7840" w:type="dxa"/>
            <w:vAlign w:val="bottom"/>
          </w:tcPr>
          <w:p>
            <w:pPr>
              <w:ind w:left="220"/>
              <w:spacing w:after="0"/>
              <w:rPr>
                <w:sz w:val="20"/>
                <w:szCs w:val="20"/>
                <w:color w:val="auto"/>
              </w:rPr>
            </w:pPr>
            <w:r>
              <w:rPr>
                <w:rFonts w:ascii="Arial" w:cs="Arial" w:eastAsia="Arial" w:hAnsi="Arial"/>
                <w:sz w:val="16"/>
                <w:szCs w:val="16"/>
                <w:color w:val="auto"/>
              </w:rPr>
              <w:t>Black Hills Colorado Gas, Inc., an indirect, wholly-owned subsidiary of Black Hills Utility Holdings,</w:t>
            </w:r>
          </w:p>
        </w:tc>
      </w:tr>
      <w:tr>
        <w:trPr>
          <w:trHeight w:val="222"/>
        </w:trPr>
        <w:tc>
          <w:tcPr>
            <w:tcW w:w="3400" w:type="dxa"/>
            <w:vAlign w:val="bottom"/>
          </w:tcPr>
          <w:p>
            <w:pPr>
              <w:spacing w:after="0"/>
              <w:rPr>
                <w:sz w:val="19"/>
                <w:szCs w:val="19"/>
                <w:color w:val="auto"/>
              </w:rPr>
            </w:pPr>
          </w:p>
        </w:tc>
        <w:tc>
          <w:tcPr>
            <w:tcW w:w="7840" w:type="dxa"/>
            <w:vAlign w:val="bottom"/>
          </w:tcPr>
          <w:p>
            <w:pPr>
              <w:ind w:left="220"/>
              <w:spacing w:after="0"/>
              <w:rPr>
                <w:sz w:val="20"/>
                <w:szCs w:val="20"/>
                <w:color w:val="auto"/>
              </w:rPr>
            </w:pPr>
            <w:r>
              <w:rPr>
                <w:rFonts w:ascii="Arial" w:cs="Arial" w:eastAsia="Arial" w:hAnsi="Arial"/>
                <w:sz w:val="16"/>
                <w:szCs w:val="16"/>
                <w:color w:val="auto"/>
              </w:rPr>
              <w:t>providing natural gas services to customers in Colorado (doing business as Black Hills Energy).</w:t>
            </w:r>
          </w:p>
        </w:tc>
      </w:tr>
      <w:tr>
        <w:trPr>
          <w:trHeight w:val="237"/>
        </w:trPr>
        <w:tc>
          <w:tcPr>
            <w:tcW w:w="3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Common Use System</w:t>
            </w:r>
          </w:p>
        </w:tc>
        <w:tc>
          <w:tcPr>
            <w:tcW w:w="78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The Common Use System is a jointly operated transmission system we participate in with Basin Electric</w:t>
            </w:r>
          </w:p>
        </w:tc>
      </w:tr>
      <w:tr>
        <w:trPr>
          <w:trHeight w:val="189"/>
        </w:trPr>
        <w:tc>
          <w:tcPr>
            <w:tcW w:w="3400" w:type="dxa"/>
            <w:vAlign w:val="bottom"/>
            <w:shd w:val="clear" w:color="auto" w:fill="CFF0FC"/>
          </w:tcPr>
          <w:p>
            <w:pPr>
              <w:spacing w:after="0"/>
              <w:rPr>
                <w:sz w:val="16"/>
                <w:szCs w:val="16"/>
                <w:color w:val="auto"/>
              </w:rPr>
            </w:pPr>
          </w:p>
        </w:tc>
        <w:tc>
          <w:tcPr>
            <w:tcW w:w="78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Power Cooperative and Powder River Energy Corporation. The Common Use System provides</w:t>
            </w:r>
          </w:p>
        </w:tc>
      </w:tr>
      <w:tr>
        <w:trPr>
          <w:trHeight w:val="189"/>
        </w:trPr>
        <w:tc>
          <w:tcPr>
            <w:tcW w:w="3400" w:type="dxa"/>
            <w:vAlign w:val="bottom"/>
            <w:shd w:val="clear" w:color="auto" w:fill="CFF0FC"/>
          </w:tcPr>
          <w:p>
            <w:pPr>
              <w:spacing w:after="0"/>
              <w:rPr>
                <w:sz w:val="16"/>
                <w:szCs w:val="16"/>
                <w:color w:val="auto"/>
              </w:rPr>
            </w:pPr>
          </w:p>
        </w:tc>
        <w:tc>
          <w:tcPr>
            <w:tcW w:w="78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transmission service over these utilities' combined 230-kilovolt (kV) and limited 69-kV transmission</w:t>
            </w:r>
          </w:p>
        </w:tc>
      </w:tr>
      <w:tr>
        <w:trPr>
          <w:trHeight w:val="230"/>
        </w:trPr>
        <w:tc>
          <w:tcPr>
            <w:tcW w:w="3400" w:type="dxa"/>
            <w:vAlign w:val="bottom"/>
            <w:shd w:val="clear" w:color="auto" w:fill="CFF0FC"/>
          </w:tcPr>
          <w:p>
            <w:pPr>
              <w:spacing w:after="0"/>
              <w:rPr>
                <w:sz w:val="20"/>
                <w:szCs w:val="20"/>
                <w:color w:val="auto"/>
              </w:rPr>
            </w:pPr>
          </w:p>
        </w:tc>
        <w:tc>
          <w:tcPr>
            <w:tcW w:w="78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facilities within areas of southwestern South Dakota and northeastern Wyoming.</w:t>
            </w:r>
          </w:p>
        </w:tc>
      </w:tr>
      <w:tr>
        <w:trPr>
          <w:trHeight w:val="229"/>
        </w:trPr>
        <w:tc>
          <w:tcPr>
            <w:tcW w:w="3400" w:type="dxa"/>
            <w:vAlign w:val="bottom"/>
          </w:tcPr>
          <w:p>
            <w:pPr>
              <w:ind w:left="20"/>
              <w:spacing w:after="0"/>
              <w:rPr>
                <w:sz w:val="20"/>
                <w:szCs w:val="20"/>
                <w:color w:val="auto"/>
              </w:rPr>
            </w:pPr>
            <w:r>
              <w:rPr>
                <w:rFonts w:ascii="Arial" w:cs="Arial" w:eastAsia="Arial" w:hAnsi="Arial"/>
                <w:sz w:val="16"/>
                <w:szCs w:val="16"/>
                <w:color w:val="auto"/>
              </w:rPr>
              <w:t>Consolidated Indebtedness to Capitalization</w:t>
            </w:r>
          </w:p>
        </w:tc>
        <w:tc>
          <w:tcPr>
            <w:tcW w:w="7840" w:type="dxa"/>
            <w:vAlign w:val="bottom"/>
          </w:tcPr>
          <w:p>
            <w:pPr>
              <w:ind w:left="220"/>
              <w:spacing w:after="0"/>
              <w:rPr>
                <w:sz w:val="20"/>
                <w:szCs w:val="20"/>
                <w:color w:val="auto"/>
              </w:rPr>
            </w:pPr>
            <w:r>
              <w:rPr>
                <w:rFonts w:ascii="Arial" w:cs="Arial" w:eastAsia="Arial" w:hAnsi="Arial"/>
                <w:sz w:val="16"/>
                <w:szCs w:val="16"/>
                <w:color w:val="auto"/>
              </w:rPr>
              <w:t>Any Indebtedness outstanding at such time, divided by capital at such time. Capital being consolidated</w:t>
            </w:r>
          </w:p>
        </w:tc>
      </w:tr>
      <w:tr>
        <w:trPr>
          <w:trHeight w:val="189"/>
        </w:trPr>
        <w:tc>
          <w:tcPr>
            <w:tcW w:w="3400" w:type="dxa"/>
            <w:vAlign w:val="bottom"/>
          </w:tcPr>
          <w:p>
            <w:pPr>
              <w:ind w:left="20"/>
              <w:spacing w:after="0"/>
              <w:rPr>
                <w:sz w:val="20"/>
                <w:szCs w:val="20"/>
                <w:color w:val="auto"/>
              </w:rPr>
            </w:pPr>
            <w:r>
              <w:rPr>
                <w:rFonts w:ascii="Arial" w:cs="Arial" w:eastAsia="Arial" w:hAnsi="Arial"/>
                <w:sz w:val="16"/>
                <w:szCs w:val="16"/>
                <w:color w:val="auto"/>
              </w:rPr>
              <w:t>Ratio</w:t>
            </w:r>
          </w:p>
        </w:tc>
        <w:tc>
          <w:tcPr>
            <w:tcW w:w="7840" w:type="dxa"/>
            <w:vAlign w:val="bottom"/>
          </w:tcPr>
          <w:p>
            <w:pPr>
              <w:ind w:left="220"/>
              <w:spacing w:after="0"/>
              <w:rPr>
                <w:sz w:val="20"/>
                <w:szCs w:val="20"/>
                <w:color w:val="auto"/>
              </w:rPr>
            </w:pPr>
            <w:r>
              <w:rPr>
                <w:rFonts w:ascii="Arial" w:cs="Arial" w:eastAsia="Arial" w:hAnsi="Arial"/>
                <w:sz w:val="16"/>
                <w:szCs w:val="16"/>
                <w:color w:val="auto"/>
              </w:rPr>
              <w:t>net-worth (excluding non-controlling interest) plus consolidated indebtedness (including letters of credit</w:t>
            </w:r>
          </w:p>
        </w:tc>
      </w:tr>
      <w:tr>
        <w:trPr>
          <w:trHeight w:val="215"/>
        </w:trPr>
        <w:tc>
          <w:tcPr>
            <w:tcW w:w="3400" w:type="dxa"/>
            <w:vAlign w:val="bottom"/>
          </w:tcPr>
          <w:p>
            <w:pPr>
              <w:spacing w:after="0"/>
              <w:rPr>
                <w:sz w:val="18"/>
                <w:szCs w:val="18"/>
                <w:color w:val="auto"/>
              </w:rPr>
            </w:pPr>
          </w:p>
        </w:tc>
        <w:tc>
          <w:tcPr>
            <w:tcW w:w="7840" w:type="dxa"/>
            <w:vAlign w:val="bottom"/>
          </w:tcPr>
          <w:p>
            <w:pPr>
              <w:ind w:left="220"/>
              <w:spacing w:after="0"/>
              <w:rPr>
                <w:sz w:val="20"/>
                <w:szCs w:val="20"/>
                <w:color w:val="auto"/>
              </w:rPr>
            </w:pPr>
            <w:r>
              <w:rPr>
                <w:rFonts w:ascii="Arial" w:cs="Arial" w:eastAsia="Arial" w:hAnsi="Arial"/>
                <w:sz w:val="16"/>
                <w:szCs w:val="16"/>
                <w:color w:val="auto"/>
              </w:rPr>
              <w:t>and certain guarantees issued) as defined within the current Revolving Credit Facility.</w:t>
            </w:r>
          </w:p>
        </w:tc>
      </w:tr>
      <w:tr>
        <w:trPr>
          <w:trHeight w:val="216"/>
        </w:trPr>
        <w:tc>
          <w:tcPr>
            <w:tcW w:w="3400" w:type="dxa"/>
            <w:vAlign w:val="bottom"/>
          </w:tcPr>
          <w:p>
            <w:pPr>
              <w:spacing w:after="0"/>
              <w:rPr>
                <w:sz w:val="18"/>
                <w:szCs w:val="18"/>
                <w:color w:val="auto"/>
              </w:rPr>
            </w:pPr>
          </w:p>
        </w:tc>
        <w:tc>
          <w:tcPr>
            <w:tcW w:w="7840" w:type="dxa"/>
            <w:vAlign w:val="bottom"/>
          </w:tcPr>
          <w:p>
            <w:pPr>
              <w:ind w:left="2180"/>
              <w:spacing w:after="0"/>
              <w:rPr>
                <w:sz w:val="20"/>
                <w:szCs w:val="20"/>
                <w:color w:val="auto"/>
              </w:rPr>
            </w:pPr>
            <w:r>
              <w:rPr>
                <w:rFonts w:ascii="Arial" w:cs="Arial" w:eastAsia="Arial" w:hAnsi="Arial"/>
                <w:sz w:val="16"/>
                <w:szCs w:val="16"/>
                <w:color w:val="auto"/>
              </w:rPr>
              <w:t>5</w:t>
            </w:r>
          </w:p>
        </w:tc>
      </w:tr>
      <w:tr>
        <w:trPr>
          <w:trHeight w:val="752"/>
        </w:trPr>
        <w:tc>
          <w:tcPr>
            <w:tcW w:w="3400" w:type="dxa"/>
            <w:vAlign w:val="bottom"/>
            <w:tcBorders>
              <w:bottom w:val="single" w:sz="8" w:color="9A9A9A"/>
            </w:tcBorders>
          </w:tcPr>
          <w:p>
            <w:pPr>
              <w:spacing w:after="0"/>
              <w:rPr>
                <w:sz w:val="24"/>
                <w:szCs w:val="24"/>
                <w:color w:val="auto"/>
              </w:rPr>
            </w:pPr>
          </w:p>
        </w:tc>
        <w:tc>
          <w:tcPr>
            <w:tcW w:w="7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Cooling Degree Day</w:t>
            </w:r>
          </w:p>
        </w:tc>
        <w:tc>
          <w:tcPr>
            <w:tcW w:w="8180" w:type="dxa"/>
            <w:vAlign w:val="bottom"/>
            <w:shd w:val="clear" w:color="auto" w:fill="CFF0FC"/>
          </w:tcPr>
          <w:p>
            <w:pPr>
              <w:ind w:left="560"/>
              <w:spacing w:after="0"/>
              <w:rPr>
                <w:sz w:val="20"/>
                <w:szCs w:val="20"/>
                <w:color w:val="auto"/>
              </w:rPr>
            </w:pPr>
            <w:r>
              <w:rPr>
                <w:rFonts w:ascii="Arial" w:cs="Arial" w:eastAsia="Arial" w:hAnsi="Arial"/>
                <w:sz w:val="16"/>
                <w:szCs w:val="16"/>
                <w:color w:val="auto"/>
              </w:rPr>
              <w:t>A cooling degree day is equivalent to each degree that the average of the high and low temperature for a</w:t>
            </w:r>
          </w:p>
        </w:tc>
      </w:tr>
      <w:tr>
        <w:trPr>
          <w:trHeight w:val="189"/>
        </w:trPr>
        <w:tc>
          <w:tcPr>
            <w:tcW w:w="3060" w:type="dxa"/>
            <w:vAlign w:val="bottom"/>
            <w:shd w:val="clear" w:color="auto" w:fill="CFF0FC"/>
          </w:tcPr>
          <w:p>
            <w:pPr>
              <w:spacing w:after="0"/>
              <w:rPr>
                <w:sz w:val="16"/>
                <w:szCs w:val="16"/>
                <w:color w:val="auto"/>
              </w:rPr>
            </w:pPr>
          </w:p>
        </w:tc>
        <w:tc>
          <w:tcPr>
            <w:tcW w:w="8180" w:type="dxa"/>
            <w:vAlign w:val="bottom"/>
            <w:shd w:val="clear" w:color="auto" w:fill="CFF0FC"/>
          </w:tcPr>
          <w:p>
            <w:pPr>
              <w:ind w:left="560"/>
              <w:spacing w:after="0"/>
              <w:rPr>
                <w:sz w:val="20"/>
                <w:szCs w:val="20"/>
                <w:color w:val="auto"/>
              </w:rPr>
            </w:pPr>
            <w:r>
              <w:rPr>
                <w:rFonts w:ascii="Arial" w:cs="Arial" w:eastAsia="Arial" w:hAnsi="Arial"/>
                <w:sz w:val="16"/>
                <w:szCs w:val="16"/>
                <w:color w:val="auto"/>
              </w:rPr>
              <w:t>day is above 65 degrees. The warmer the climate, the greater the number of cooling degree days. Cooling</w:t>
            </w:r>
          </w:p>
        </w:tc>
      </w:tr>
      <w:tr>
        <w:trPr>
          <w:trHeight w:val="189"/>
        </w:trPr>
        <w:tc>
          <w:tcPr>
            <w:tcW w:w="3060" w:type="dxa"/>
            <w:vAlign w:val="bottom"/>
            <w:shd w:val="clear" w:color="auto" w:fill="CFF0FC"/>
          </w:tcPr>
          <w:p>
            <w:pPr>
              <w:spacing w:after="0"/>
              <w:rPr>
                <w:sz w:val="16"/>
                <w:szCs w:val="16"/>
                <w:color w:val="auto"/>
              </w:rPr>
            </w:pPr>
          </w:p>
        </w:tc>
        <w:tc>
          <w:tcPr>
            <w:tcW w:w="8180" w:type="dxa"/>
            <w:vAlign w:val="bottom"/>
            <w:shd w:val="clear" w:color="auto" w:fill="CFF0FC"/>
          </w:tcPr>
          <w:p>
            <w:pPr>
              <w:ind w:left="560"/>
              <w:spacing w:after="0"/>
              <w:rPr>
                <w:sz w:val="20"/>
                <w:szCs w:val="20"/>
                <w:color w:val="auto"/>
              </w:rPr>
            </w:pPr>
            <w:r>
              <w:rPr>
                <w:rFonts w:ascii="Arial" w:cs="Arial" w:eastAsia="Arial" w:hAnsi="Arial"/>
                <w:sz w:val="16"/>
                <w:szCs w:val="16"/>
                <w:color w:val="auto"/>
              </w:rPr>
              <w:t>degree days are used in the utility industry to measure the relative warmth of weather and to compare</w:t>
            </w:r>
          </w:p>
        </w:tc>
      </w:tr>
      <w:tr>
        <w:trPr>
          <w:trHeight w:val="189"/>
        </w:trPr>
        <w:tc>
          <w:tcPr>
            <w:tcW w:w="3060" w:type="dxa"/>
            <w:vAlign w:val="bottom"/>
            <w:shd w:val="clear" w:color="auto" w:fill="CFF0FC"/>
          </w:tcPr>
          <w:p>
            <w:pPr>
              <w:spacing w:after="0"/>
              <w:rPr>
                <w:sz w:val="16"/>
                <w:szCs w:val="16"/>
                <w:color w:val="auto"/>
              </w:rPr>
            </w:pPr>
          </w:p>
        </w:tc>
        <w:tc>
          <w:tcPr>
            <w:tcW w:w="8180" w:type="dxa"/>
            <w:vAlign w:val="bottom"/>
            <w:shd w:val="clear" w:color="auto" w:fill="CFF0FC"/>
          </w:tcPr>
          <w:p>
            <w:pPr>
              <w:ind w:left="560"/>
              <w:spacing w:after="0"/>
              <w:rPr>
                <w:sz w:val="20"/>
                <w:szCs w:val="20"/>
                <w:color w:val="auto"/>
              </w:rPr>
            </w:pPr>
            <w:r>
              <w:rPr>
                <w:rFonts w:ascii="Arial" w:cs="Arial" w:eastAsia="Arial" w:hAnsi="Arial"/>
                <w:sz w:val="16"/>
                <w:szCs w:val="16"/>
                <w:color w:val="auto"/>
              </w:rPr>
              <w:t>relative temperatures between one geographic area and another. Normal degree days are based on the</w:t>
            </w:r>
          </w:p>
        </w:tc>
      </w:tr>
      <w:tr>
        <w:trPr>
          <w:trHeight w:val="230"/>
        </w:trPr>
        <w:tc>
          <w:tcPr>
            <w:tcW w:w="3060" w:type="dxa"/>
            <w:vAlign w:val="bottom"/>
            <w:shd w:val="clear" w:color="auto" w:fill="CFF0FC"/>
          </w:tcPr>
          <w:p>
            <w:pPr>
              <w:spacing w:after="0"/>
              <w:rPr>
                <w:sz w:val="20"/>
                <w:szCs w:val="20"/>
                <w:color w:val="auto"/>
              </w:rPr>
            </w:pPr>
          </w:p>
        </w:tc>
        <w:tc>
          <w:tcPr>
            <w:tcW w:w="8180" w:type="dxa"/>
            <w:vAlign w:val="bottom"/>
            <w:shd w:val="clear" w:color="auto" w:fill="CFF0FC"/>
          </w:tcPr>
          <w:p>
            <w:pPr>
              <w:ind w:left="560"/>
              <w:spacing w:after="0"/>
              <w:rPr>
                <w:sz w:val="20"/>
                <w:szCs w:val="20"/>
                <w:color w:val="auto"/>
              </w:rPr>
            </w:pPr>
            <w:r>
              <w:rPr>
                <w:rFonts w:ascii="Arial" w:cs="Arial" w:eastAsia="Arial" w:hAnsi="Arial"/>
                <w:sz w:val="16"/>
                <w:szCs w:val="16"/>
                <w:color w:val="auto"/>
              </w:rPr>
              <w:t>National Weather Service data for selected locations.</w:t>
            </w:r>
          </w:p>
        </w:tc>
      </w:tr>
      <w:tr>
        <w:trPr>
          <w:trHeight w:val="229"/>
        </w:trPr>
        <w:tc>
          <w:tcPr>
            <w:tcW w:w="3060" w:type="dxa"/>
            <w:vAlign w:val="bottom"/>
          </w:tcPr>
          <w:p>
            <w:pPr>
              <w:ind w:left="20"/>
              <w:spacing w:after="0"/>
              <w:rPr>
                <w:sz w:val="20"/>
                <w:szCs w:val="20"/>
                <w:color w:val="auto"/>
              </w:rPr>
            </w:pPr>
            <w:r>
              <w:rPr>
                <w:rFonts w:ascii="Arial" w:cs="Arial" w:eastAsia="Arial" w:hAnsi="Arial"/>
                <w:sz w:val="16"/>
                <w:szCs w:val="16"/>
                <w:color w:val="auto"/>
              </w:rPr>
              <w:t>Corriedale</w:t>
            </w:r>
          </w:p>
        </w:tc>
        <w:tc>
          <w:tcPr>
            <w:tcW w:w="8180" w:type="dxa"/>
            <w:vAlign w:val="bottom"/>
          </w:tcPr>
          <w:p>
            <w:pPr>
              <w:ind w:left="560"/>
              <w:spacing w:after="0"/>
              <w:rPr>
                <w:sz w:val="20"/>
                <w:szCs w:val="20"/>
                <w:color w:val="auto"/>
              </w:rPr>
            </w:pPr>
            <w:r>
              <w:rPr>
                <w:rFonts w:ascii="Arial" w:cs="Arial" w:eastAsia="Arial" w:hAnsi="Arial"/>
                <w:sz w:val="16"/>
                <w:szCs w:val="16"/>
                <w:color w:val="auto"/>
              </w:rPr>
              <w:t>The 52.5 MW wind farm near Cheyenne, Wyoming, jointly owned by South Dakota Electric (32.5 MW) and</w:t>
            </w:r>
          </w:p>
        </w:tc>
      </w:tr>
      <w:tr>
        <w:trPr>
          <w:trHeight w:val="189"/>
        </w:trPr>
        <w:tc>
          <w:tcPr>
            <w:tcW w:w="3060" w:type="dxa"/>
            <w:vAlign w:val="bottom"/>
          </w:tcPr>
          <w:p>
            <w:pPr>
              <w:spacing w:after="0"/>
              <w:rPr>
                <w:sz w:val="16"/>
                <w:szCs w:val="16"/>
                <w:color w:val="auto"/>
              </w:rPr>
            </w:pPr>
          </w:p>
        </w:tc>
        <w:tc>
          <w:tcPr>
            <w:tcW w:w="8180" w:type="dxa"/>
            <w:vAlign w:val="bottom"/>
          </w:tcPr>
          <w:p>
            <w:pPr>
              <w:ind w:left="560"/>
              <w:spacing w:after="0"/>
              <w:rPr>
                <w:sz w:val="20"/>
                <w:szCs w:val="20"/>
                <w:color w:val="auto"/>
              </w:rPr>
            </w:pPr>
            <w:r>
              <w:rPr>
                <w:rFonts w:ascii="Arial" w:cs="Arial" w:eastAsia="Arial" w:hAnsi="Arial"/>
                <w:sz w:val="16"/>
                <w:szCs w:val="16"/>
                <w:color w:val="auto"/>
              </w:rPr>
              <w:t>Wyoming Electric (20 MW), serving as the dedicated wind energy supply to the Renewable Ready</w:t>
            </w:r>
          </w:p>
        </w:tc>
      </w:tr>
      <w:tr>
        <w:trPr>
          <w:trHeight w:val="189"/>
        </w:trPr>
        <w:tc>
          <w:tcPr>
            <w:tcW w:w="3060" w:type="dxa"/>
            <w:vAlign w:val="bottom"/>
          </w:tcPr>
          <w:p>
            <w:pPr>
              <w:spacing w:after="0"/>
              <w:rPr>
                <w:sz w:val="16"/>
                <w:szCs w:val="16"/>
                <w:color w:val="auto"/>
              </w:rPr>
            </w:pPr>
          </w:p>
        </w:tc>
        <w:tc>
          <w:tcPr>
            <w:tcW w:w="8180" w:type="dxa"/>
            <w:vAlign w:val="bottom"/>
          </w:tcPr>
          <w:p>
            <w:pPr>
              <w:ind w:left="560"/>
              <w:spacing w:after="0"/>
              <w:rPr>
                <w:sz w:val="20"/>
                <w:szCs w:val="20"/>
                <w:color w:val="auto"/>
              </w:rPr>
            </w:pPr>
            <w:r>
              <w:rPr>
                <w:rFonts w:ascii="Arial" w:cs="Arial" w:eastAsia="Arial" w:hAnsi="Arial"/>
                <w:sz w:val="16"/>
                <w:szCs w:val="16"/>
                <w:color w:val="auto"/>
              </w:rPr>
              <w:t>program, which is a voluntary renewable energy subscription program for large commercial, industrial,</w:t>
            </w:r>
          </w:p>
        </w:tc>
      </w:tr>
      <w:tr>
        <w:trPr>
          <w:trHeight w:val="222"/>
        </w:trPr>
        <w:tc>
          <w:tcPr>
            <w:tcW w:w="3060" w:type="dxa"/>
            <w:vAlign w:val="bottom"/>
          </w:tcPr>
          <w:p>
            <w:pPr>
              <w:spacing w:after="0"/>
              <w:rPr>
                <w:sz w:val="19"/>
                <w:szCs w:val="19"/>
                <w:color w:val="auto"/>
              </w:rPr>
            </w:pPr>
          </w:p>
        </w:tc>
        <w:tc>
          <w:tcPr>
            <w:tcW w:w="8180" w:type="dxa"/>
            <w:vAlign w:val="bottom"/>
          </w:tcPr>
          <w:p>
            <w:pPr>
              <w:ind w:left="560"/>
              <w:spacing w:after="0"/>
              <w:rPr>
                <w:sz w:val="20"/>
                <w:szCs w:val="20"/>
                <w:color w:val="auto"/>
              </w:rPr>
            </w:pPr>
            <w:r>
              <w:rPr>
                <w:rFonts w:ascii="Arial" w:cs="Arial" w:eastAsia="Arial" w:hAnsi="Arial"/>
                <w:sz w:val="16"/>
                <w:szCs w:val="16"/>
                <w:color w:val="auto"/>
              </w:rPr>
              <w:t>and governmental customers in South Dakota and Wyoming.</w:t>
            </w:r>
          </w:p>
        </w:tc>
      </w:tr>
      <w:tr>
        <w:trPr>
          <w:trHeight w:val="278"/>
        </w:trPr>
        <w:tc>
          <w:tcPr>
            <w:tcW w:w="3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CP Program</w:t>
            </w:r>
          </w:p>
        </w:tc>
        <w:tc>
          <w:tcPr>
            <w:tcW w:w="8180" w:type="dxa"/>
            <w:vAlign w:val="bottom"/>
            <w:shd w:val="clear" w:color="auto" w:fill="CFF0FC"/>
          </w:tcPr>
          <w:p>
            <w:pPr>
              <w:ind w:left="560"/>
              <w:spacing w:after="0"/>
              <w:rPr>
                <w:sz w:val="20"/>
                <w:szCs w:val="20"/>
                <w:color w:val="auto"/>
              </w:rPr>
            </w:pPr>
            <w:r>
              <w:rPr>
                <w:rFonts w:ascii="Arial" w:cs="Arial" w:eastAsia="Arial" w:hAnsi="Arial"/>
                <w:sz w:val="16"/>
                <w:szCs w:val="16"/>
                <w:color w:val="auto"/>
              </w:rPr>
              <w:t>Commercial Paper Program</w:t>
            </w:r>
          </w:p>
        </w:tc>
      </w:tr>
      <w:tr>
        <w:trPr>
          <w:trHeight w:val="262"/>
        </w:trPr>
        <w:tc>
          <w:tcPr>
            <w:tcW w:w="3060" w:type="dxa"/>
            <w:vAlign w:val="bottom"/>
          </w:tcPr>
          <w:p>
            <w:pPr>
              <w:ind w:left="20"/>
              <w:spacing w:after="0"/>
              <w:rPr>
                <w:sz w:val="20"/>
                <w:szCs w:val="20"/>
                <w:color w:val="auto"/>
              </w:rPr>
            </w:pPr>
            <w:r>
              <w:rPr>
                <w:rFonts w:ascii="Arial" w:cs="Arial" w:eastAsia="Arial" w:hAnsi="Arial"/>
                <w:sz w:val="16"/>
                <w:szCs w:val="16"/>
                <w:color w:val="auto"/>
              </w:rPr>
              <w:t>CPCN</w:t>
            </w:r>
          </w:p>
        </w:tc>
        <w:tc>
          <w:tcPr>
            <w:tcW w:w="8180" w:type="dxa"/>
            <w:vAlign w:val="bottom"/>
          </w:tcPr>
          <w:p>
            <w:pPr>
              <w:ind w:left="560"/>
              <w:spacing w:after="0"/>
              <w:rPr>
                <w:sz w:val="20"/>
                <w:szCs w:val="20"/>
                <w:color w:val="auto"/>
              </w:rPr>
            </w:pPr>
            <w:r>
              <w:rPr>
                <w:rFonts w:ascii="Arial" w:cs="Arial" w:eastAsia="Arial" w:hAnsi="Arial"/>
                <w:sz w:val="16"/>
                <w:szCs w:val="16"/>
                <w:color w:val="auto"/>
              </w:rPr>
              <w:t>Certificate of Public Convenience and Necessity</w:t>
            </w:r>
          </w:p>
        </w:tc>
      </w:tr>
      <w:tr>
        <w:trPr>
          <w:trHeight w:val="278"/>
        </w:trPr>
        <w:tc>
          <w:tcPr>
            <w:tcW w:w="3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CPUC</w:t>
            </w:r>
          </w:p>
        </w:tc>
        <w:tc>
          <w:tcPr>
            <w:tcW w:w="8180" w:type="dxa"/>
            <w:vAlign w:val="bottom"/>
            <w:shd w:val="clear" w:color="auto" w:fill="CFF0FC"/>
          </w:tcPr>
          <w:p>
            <w:pPr>
              <w:ind w:left="560"/>
              <w:spacing w:after="0"/>
              <w:rPr>
                <w:sz w:val="20"/>
                <w:szCs w:val="20"/>
                <w:color w:val="auto"/>
              </w:rPr>
            </w:pPr>
            <w:r>
              <w:rPr>
                <w:rFonts w:ascii="Arial" w:cs="Arial" w:eastAsia="Arial" w:hAnsi="Arial"/>
                <w:sz w:val="16"/>
                <w:szCs w:val="16"/>
                <w:color w:val="auto"/>
              </w:rPr>
              <w:t>Colorado Public Utilities Commission</w:t>
            </w:r>
          </w:p>
        </w:tc>
      </w:tr>
      <w:tr>
        <w:trPr>
          <w:trHeight w:val="262"/>
        </w:trPr>
        <w:tc>
          <w:tcPr>
            <w:tcW w:w="3060" w:type="dxa"/>
            <w:vAlign w:val="bottom"/>
          </w:tcPr>
          <w:p>
            <w:pPr>
              <w:ind w:left="20"/>
              <w:spacing w:after="0"/>
              <w:rPr>
                <w:sz w:val="20"/>
                <w:szCs w:val="20"/>
                <w:color w:val="auto"/>
              </w:rPr>
            </w:pPr>
            <w:r>
              <w:rPr>
                <w:rFonts w:ascii="Arial" w:cs="Arial" w:eastAsia="Arial" w:hAnsi="Arial"/>
                <w:sz w:val="16"/>
                <w:szCs w:val="16"/>
                <w:color w:val="auto"/>
              </w:rPr>
              <w:t>CSO</w:t>
            </w:r>
          </w:p>
        </w:tc>
        <w:tc>
          <w:tcPr>
            <w:tcW w:w="8180" w:type="dxa"/>
            <w:vAlign w:val="bottom"/>
          </w:tcPr>
          <w:p>
            <w:pPr>
              <w:ind w:left="560"/>
              <w:spacing w:after="0"/>
              <w:rPr>
                <w:sz w:val="20"/>
                <w:szCs w:val="20"/>
                <w:color w:val="auto"/>
              </w:rPr>
            </w:pPr>
            <w:r>
              <w:rPr>
                <w:rFonts w:ascii="Arial" w:cs="Arial" w:eastAsia="Arial" w:hAnsi="Arial"/>
                <w:sz w:val="16"/>
                <w:szCs w:val="16"/>
                <w:color w:val="auto"/>
              </w:rPr>
              <w:t>Chief Security Officer</w:t>
            </w:r>
          </w:p>
        </w:tc>
      </w:tr>
      <w:tr>
        <w:trPr>
          <w:trHeight w:val="278"/>
        </w:trPr>
        <w:tc>
          <w:tcPr>
            <w:tcW w:w="3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CT</w:t>
            </w:r>
          </w:p>
        </w:tc>
        <w:tc>
          <w:tcPr>
            <w:tcW w:w="8180" w:type="dxa"/>
            <w:vAlign w:val="bottom"/>
            <w:shd w:val="clear" w:color="auto" w:fill="CFF0FC"/>
          </w:tcPr>
          <w:p>
            <w:pPr>
              <w:ind w:left="560"/>
              <w:spacing w:after="0"/>
              <w:rPr>
                <w:sz w:val="20"/>
                <w:szCs w:val="20"/>
                <w:color w:val="auto"/>
              </w:rPr>
            </w:pPr>
            <w:r>
              <w:rPr>
                <w:rFonts w:ascii="Arial" w:cs="Arial" w:eastAsia="Arial" w:hAnsi="Arial"/>
                <w:sz w:val="16"/>
                <w:szCs w:val="16"/>
                <w:color w:val="auto"/>
              </w:rPr>
              <w:t>Combustion Turbine</w:t>
            </w:r>
          </w:p>
        </w:tc>
      </w:tr>
      <w:tr>
        <w:trPr>
          <w:trHeight w:val="229"/>
        </w:trPr>
        <w:tc>
          <w:tcPr>
            <w:tcW w:w="3060" w:type="dxa"/>
            <w:vAlign w:val="bottom"/>
          </w:tcPr>
          <w:p>
            <w:pPr>
              <w:ind w:left="20"/>
              <w:spacing w:after="0"/>
              <w:rPr>
                <w:sz w:val="20"/>
                <w:szCs w:val="20"/>
                <w:color w:val="auto"/>
              </w:rPr>
            </w:pPr>
            <w:r>
              <w:rPr>
                <w:rFonts w:ascii="Arial" w:cs="Arial" w:eastAsia="Arial" w:hAnsi="Arial"/>
                <w:sz w:val="16"/>
                <w:szCs w:val="16"/>
                <w:color w:val="auto"/>
              </w:rPr>
              <w:t>Cushion Gas</w:t>
            </w:r>
          </w:p>
        </w:tc>
        <w:tc>
          <w:tcPr>
            <w:tcW w:w="8180" w:type="dxa"/>
            <w:vAlign w:val="bottom"/>
          </w:tcPr>
          <w:p>
            <w:pPr>
              <w:ind w:left="560"/>
              <w:spacing w:after="0"/>
              <w:rPr>
                <w:sz w:val="20"/>
                <w:szCs w:val="20"/>
                <w:color w:val="auto"/>
              </w:rPr>
            </w:pPr>
            <w:r>
              <w:rPr>
                <w:rFonts w:ascii="Arial" w:cs="Arial" w:eastAsia="Arial" w:hAnsi="Arial"/>
                <w:sz w:val="16"/>
                <w:szCs w:val="16"/>
                <w:color w:val="auto"/>
              </w:rPr>
              <w:t>The portion of natural gas necessary to force saleable gas from a storage field into the transmission</w:t>
            </w:r>
          </w:p>
        </w:tc>
      </w:tr>
      <w:tr>
        <w:trPr>
          <w:trHeight w:val="189"/>
        </w:trPr>
        <w:tc>
          <w:tcPr>
            <w:tcW w:w="3060" w:type="dxa"/>
            <w:vAlign w:val="bottom"/>
          </w:tcPr>
          <w:p>
            <w:pPr>
              <w:spacing w:after="0"/>
              <w:rPr>
                <w:sz w:val="16"/>
                <w:szCs w:val="16"/>
                <w:color w:val="auto"/>
              </w:rPr>
            </w:pPr>
          </w:p>
        </w:tc>
        <w:tc>
          <w:tcPr>
            <w:tcW w:w="8180" w:type="dxa"/>
            <w:vAlign w:val="bottom"/>
          </w:tcPr>
          <w:p>
            <w:pPr>
              <w:ind w:left="560"/>
              <w:spacing w:after="0"/>
              <w:rPr>
                <w:sz w:val="20"/>
                <w:szCs w:val="20"/>
                <w:color w:val="auto"/>
              </w:rPr>
            </w:pPr>
            <w:r>
              <w:rPr>
                <w:rFonts w:ascii="Arial" w:cs="Arial" w:eastAsia="Arial" w:hAnsi="Arial"/>
                <w:sz w:val="16"/>
                <w:szCs w:val="16"/>
                <w:color w:val="auto"/>
              </w:rPr>
              <w:t>system and for system balancing, representing a permanent investment necessary to use storage</w:t>
            </w:r>
          </w:p>
        </w:tc>
      </w:tr>
      <w:tr>
        <w:trPr>
          <w:trHeight w:val="222"/>
        </w:trPr>
        <w:tc>
          <w:tcPr>
            <w:tcW w:w="3060" w:type="dxa"/>
            <w:vAlign w:val="bottom"/>
          </w:tcPr>
          <w:p>
            <w:pPr>
              <w:spacing w:after="0"/>
              <w:rPr>
                <w:sz w:val="19"/>
                <w:szCs w:val="19"/>
                <w:color w:val="auto"/>
              </w:rPr>
            </w:pPr>
          </w:p>
        </w:tc>
        <w:tc>
          <w:tcPr>
            <w:tcW w:w="8180" w:type="dxa"/>
            <w:vAlign w:val="bottom"/>
          </w:tcPr>
          <w:p>
            <w:pPr>
              <w:ind w:left="560"/>
              <w:spacing w:after="0"/>
              <w:rPr>
                <w:sz w:val="20"/>
                <w:szCs w:val="20"/>
                <w:color w:val="auto"/>
              </w:rPr>
            </w:pPr>
            <w:r>
              <w:rPr>
                <w:rFonts w:ascii="Arial" w:cs="Arial" w:eastAsia="Arial" w:hAnsi="Arial"/>
                <w:sz w:val="16"/>
                <w:szCs w:val="16"/>
                <w:color w:val="auto"/>
              </w:rPr>
              <w:t>facilities and maintain reliability.</w:t>
            </w:r>
          </w:p>
        </w:tc>
      </w:tr>
      <w:tr>
        <w:trPr>
          <w:trHeight w:val="237"/>
        </w:trPr>
        <w:tc>
          <w:tcPr>
            <w:tcW w:w="3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Cybersecurity incident</w:t>
            </w:r>
          </w:p>
        </w:tc>
        <w:tc>
          <w:tcPr>
            <w:tcW w:w="8180" w:type="dxa"/>
            <w:vAlign w:val="bottom"/>
            <w:shd w:val="clear" w:color="auto" w:fill="CFF0FC"/>
          </w:tcPr>
          <w:p>
            <w:pPr>
              <w:ind w:left="560"/>
              <w:spacing w:after="0"/>
              <w:rPr>
                <w:sz w:val="20"/>
                <w:szCs w:val="20"/>
                <w:color w:val="auto"/>
              </w:rPr>
            </w:pPr>
            <w:r>
              <w:rPr>
                <w:rFonts w:ascii="Arial" w:cs="Arial" w:eastAsia="Arial" w:hAnsi="Arial"/>
                <w:sz w:val="16"/>
                <w:szCs w:val="16"/>
                <w:color w:val="auto"/>
              </w:rPr>
              <w:t>An unauthorized occurrence, or a series of related unauthorized occurrences, on or conducted through a</w:t>
            </w:r>
          </w:p>
        </w:tc>
      </w:tr>
      <w:tr>
        <w:trPr>
          <w:trHeight w:val="189"/>
        </w:trPr>
        <w:tc>
          <w:tcPr>
            <w:tcW w:w="3060" w:type="dxa"/>
            <w:vAlign w:val="bottom"/>
            <w:shd w:val="clear" w:color="auto" w:fill="CFF0FC"/>
          </w:tcPr>
          <w:p>
            <w:pPr>
              <w:spacing w:after="0"/>
              <w:rPr>
                <w:sz w:val="16"/>
                <w:szCs w:val="16"/>
                <w:color w:val="auto"/>
              </w:rPr>
            </w:pPr>
          </w:p>
        </w:tc>
        <w:tc>
          <w:tcPr>
            <w:tcW w:w="8180" w:type="dxa"/>
            <w:vAlign w:val="bottom"/>
            <w:shd w:val="clear" w:color="auto" w:fill="CFF0FC"/>
          </w:tcPr>
          <w:p>
            <w:pPr>
              <w:ind w:left="560"/>
              <w:spacing w:after="0"/>
              <w:rPr>
                <w:sz w:val="20"/>
                <w:szCs w:val="20"/>
                <w:color w:val="auto"/>
              </w:rPr>
            </w:pPr>
            <w:r>
              <w:rPr>
                <w:rFonts w:ascii="Arial" w:cs="Arial" w:eastAsia="Arial" w:hAnsi="Arial"/>
                <w:sz w:val="16"/>
                <w:szCs w:val="16"/>
                <w:color w:val="auto"/>
              </w:rPr>
              <w:t>registrant’s information systems that jeopardizes the confidentiality, integrity, or availability of a registrant’s</w:t>
            </w:r>
          </w:p>
        </w:tc>
      </w:tr>
      <w:tr>
        <w:trPr>
          <w:trHeight w:val="230"/>
        </w:trPr>
        <w:tc>
          <w:tcPr>
            <w:tcW w:w="3060" w:type="dxa"/>
            <w:vAlign w:val="bottom"/>
            <w:shd w:val="clear" w:color="auto" w:fill="CFF0FC"/>
          </w:tcPr>
          <w:p>
            <w:pPr>
              <w:spacing w:after="0"/>
              <w:rPr>
                <w:sz w:val="20"/>
                <w:szCs w:val="20"/>
                <w:color w:val="auto"/>
              </w:rPr>
            </w:pPr>
          </w:p>
        </w:tc>
        <w:tc>
          <w:tcPr>
            <w:tcW w:w="8180" w:type="dxa"/>
            <w:vAlign w:val="bottom"/>
            <w:shd w:val="clear" w:color="auto" w:fill="CFF0FC"/>
          </w:tcPr>
          <w:p>
            <w:pPr>
              <w:ind w:left="560"/>
              <w:spacing w:after="0"/>
              <w:rPr>
                <w:sz w:val="20"/>
                <w:szCs w:val="20"/>
                <w:color w:val="auto"/>
              </w:rPr>
            </w:pPr>
            <w:r>
              <w:rPr>
                <w:rFonts w:ascii="Arial" w:cs="Arial" w:eastAsia="Arial" w:hAnsi="Arial"/>
                <w:sz w:val="16"/>
                <w:szCs w:val="16"/>
                <w:color w:val="auto"/>
              </w:rPr>
              <w:t>information systems or any information residing therein.</w:t>
            </w:r>
          </w:p>
        </w:tc>
      </w:tr>
      <w:tr>
        <w:trPr>
          <w:trHeight w:val="229"/>
        </w:trPr>
        <w:tc>
          <w:tcPr>
            <w:tcW w:w="3060" w:type="dxa"/>
            <w:vAlign w:val="bottom"/>
          </w:tcPr>
          <w:p>
            <w:pPr>
              <w:ind w:left="20"/>
              <w:spacing w:after="0"/>
              <w:rPr>
                <w:sz w:val="20"/>
                <w:szCs w:val="20"/>
                <w:color w:val="auto"/>
              </w:rPr>
            </w:pPr>
            <w:r>
              <w:rPr>
                <w:rFonts w:ascii="Arial" w:cs="Arial" w:eastAsia="Arial" w:hAnsi="Arial"/>
                <w:sz w:val="16"/>
                <w:szCs w:val="16"/>
                <w:color w:val="auto"/>
              </w:rPr>
              <w:t>Cybersecurity threat</w:t>
            </w:r>
          </w:p>
        </w:tc>
        <w:tc>
          <w:tcPr>
            <w:tcW w:w="8180" w:type="dxa"/>
            <w:vAlign w:val="bottom"/>
          </w:tcPr>
          <w:p>
            <w:pPr>
              <w:ind w:left="560"/>
              <w:spacing w:after="0"/>
              <w:rPr>
                <w:sz w:val="20"/>
                <w:szCs w:val="20"/>
                <w:color w:val="auto"/>
              </w:rPr>
            </w:pPr>
            <w:r>
              <w:rPr>
                <w:rFonts w:ascii="Arial" w:cs="Arial" w:eastAsia="Arial" w:hAnsi="Arial"/>
                <w:sz w:val="16"/>
                <w:szCs w:val="16"/>
                <w:color w:val="auto"/>
              </w:rPr>
              <w:t>Any potential unauthorized occurrence on or conducted through a registrant’s information systems that</w:t>
            </w:r>
          </w:p>
        </w:tc>
      </w:tr>
      <w:tr>
        <w:trPr>
          <w:trHeight w:val="189"/>
        </w:trPr>
        <w:tc>
          <w:tcPr>
            <w:tcW w:w="3060" w:type="dxa"/>
            <w:vAlign w:val="bottom"/>
          </w:tcPr>
          <w:p>
            <w:pPr>
              <w:spacing w:after="0"/>
              <w:rPr>
                <w:sz w:val="16"/>
                <w:szCs w:val="16"/>
                <w:color w:val="auto"/>
              </w:rPr>
            </w:pPr>
          </w:p>
        </w:tc>
        <w:tc>
          <w:tcPr>
            <w:tcW w:w="8180" w:type="dxa"/>
            <w:vAlign w:val="bottom"/>
          </w:tcPr>
          <w:p>
            <w:pPr>
              <w:ind w:left="560"/>
              <w:spacing w:after="0"/>
              <w:rPr>
                <w:sz w:val="20"/>
                <w:szCs w:val="20"/>
                <w:color w:val="auto"/>
              </w:rPr>
            </w:pPr>
            <w:r>
              <w:rPr>
                <w:rFonts w:ascii="Arial" w:cs="Arial" w:eastAsia="Arial" w:hAnsi="Arial"/>
                <w:sz w:val="16"/>
                <w:szCs w:val="16"/>
                <w:color w:val="auto"/>
              </w:rPr>
              <w:t>may result in adverse effects on the confidentiality, integrity, or availability of a registrant’s information</w:t>
            </w:r>
          </w:p>
        </w:tc>
      </w:tr>
      <w:tr>
        <w:trPr>
          <w:trHeight w:val="222"/>
        </w:trPr>
        <w:tc>
          <w:tcPr>
            <w:tcW w:w="3060" w:type="dxa"/>
            <w:vAlign w:val="bottom"/>
          </w:tcPr>
          <w:p>
            <w:pPr>
              <w:spacing w:after="0"/>
              <w:rPr>
                <w:sz w:val="19"/>
                <w:szCs w:val="19"/>
                <w:color w:val="auto"/>
              </w:rPr>
            </w:pPr>
          </w:p>
        </w:tc>
        <w:tc>
          <w:tcPr>
            <w:tcW w:w="8180" w:type="dxa"/>
            <w:vAlign w:val="bottom"/>
          </w:tcPr>
          <w:p>
            <w:pPr>
              <w:ind w:left="560"/>
              <w:spacing w:after="0"/>
              <w:rPr>
                <w:sz w:val="20"/>
                <w:szCs w:val="20"/>
                <w:color w:val="auto"/>
              </w:rPr>
            </w:pPr>
            <w:r>
              <w:rPr>
                <w:rFonts w:ascii="Arial" w:cs="Arial" w:eastAsia="Arial" w:hAnsi="Arial"/>
                <w:sz w:val="16"/>
                <w:szCs w:val="16"/>
                <w:color w:val="auto"/>
              </w:rPr>
              <w:t>systems or any information residing therein.</w:t>
            </w:r>
          </w:p>
        </w:tc>
      </w:tr>
      <w:tr>
        <w:trPr>
          <w:trHeight w:val="278"/>
        </w:trPr>
        <w:tc>
          <w:tcPr>
            <w:tcW w:w="3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DC</w:t>
            </w:r>
          </w:p>
        </w:tc>
        <w:tc>
          <w:tcPr>
            <w:tcW w:w="8180" w:type="dxa"/>
            <w:vAlign w:val="bottom"/>
            <w:shd w:val="clear" w:color="auto" w:fill="CFF0FC"/>
          </w:tcPr>
          <w:p>
            <w:pPr>
              <w:ind w:left="560"/>
              <w:spacing w:after="0"/>
              <w:rPr>
                <w:sz w:val="20"/>
                <w:szCs w:val="20"/>
                <w:color w:val="auto"/>
              </w:rPr>
            </w:pPr>
            <w:r>
              <w:rPr>
                <w:rFonts w:ascii="Arial" w:cs="Arial" w:eastAsia="Arial" w:hAnsi="Arial"/>
                <w:sz w:val="16"/>
                <w:szCs w:val="16"/>
                <w:color w:val="auto"/>
              </w:rPr>
              <w:t>Direct Current</w:t>
            </w:r>
          </w:p>
        </w:tc>
      </w:tr>
      <w:tr>
        <w:trPr>
          <w:trHeight w:val="229"/>
        </w:trPr>
        <w:tc>
          <w:tcPr>
            <w:tcW w:w="3060" w:type="dxa"/>
            <w:vAlign w:val="bottom"/>
          </w:tcPr>
          <w:p>
            <w:pPr>
              <w:ind w:left="20"/>
              <w:spacing w:after="0"/>
              <w:rPr>
                <w:sz w:val="20"/>
                <w:szCs w:val="20"/>
                <w:color w:val="auto"/>
              </w:rPr>
            </w:pPr>
            <w:r>
              <w:rPr>
                <w:rFonts w:ascii="Arial" w:cs="Arial" w:eastAsia="Arial" w:hAnsi="Arial"/>
                <w:sz w:val="16"/>
                <w:szCs w:val="16"/>
                <w:color w:val="auto"/>
              </w:rPr>
              <w:t>Dividend Payout Ratio</w:t>
            </w:r>
          </w:p>
        </w:tc>
        <w:tc>
          <w:tcPr>
            <w:tcW w:w="8180" w:type="dxa"/>
            <w:vAlign w:val="bottom"/>
          </w:tcPr>
          <w:p>
            <w:pPr>
              <w:ind w:left="560"/>
              <w:spacing w:after="0"/>
              <w:rPr>
                <w:sz w:val="20"/>
                <w:szCs w:val="20"/>
                <w:color w:val="auto"/>
              </w:rPr>
            </w:pPr>
            <w:r>
              <w:rPr>
                <w:rFonts w:ascii="Arial" w:cs="Arial" w:eastAsia="Arial" w:hAnsi="Arial"/>
                <w:sz w:val="16"/>
                <w:szCs w:val="16"/>
                <w:color w:val="auto"/>
              </w:rPr>
              <w:t>Annual dividends paid on common stock divided by net income from continuing operations available for</w:t>
            </w:r>
          </w:p>
        </w:tc>
      </w:tr>
      <w:tr>
        <w:trPr>
          <w:trHeight w:val="222"/>
        </w:trPr>
        <w:tc>
          <w:tcPr>
            <w:tcW w:w="3060" w:type="dxa"/>
            <w:vAlign w:val="bottom"/>
          </w:tcPr>
          <w:p>
            <w:pPr>
              <w:spacing w:after="0"/>
              <w:rPr>
                <w:sz w:val="19"/>
                <w:szCs w:val="19"/>
                <w:color w:val="auto"/>
              </w:rPr>
            </w:pPr>
          </w:p>
        </w:tc>
        <w:tc>
          <w:tcPr>
            <w:tcW w:w="8180" w:type="dxa"/>
            <w:vAlign w:val="bottom"/>
          </w:tcPr>
          <w:p>
            <w:pPr>
              <w:ind w:left="560"/>
              <w:spacing w:after="0"/>
              <w:rPr>
                <w:sz w:val="20"/>
                <w:szCs w:val="20"/>
                <w:color w:val="auto"/>
              </w:rPr>
            </w:pPr>
            <w:r>
              <w:rPr>
                <w:rFonts w:ascii="Arial" w:cs="Arial" w:eastAsia="Arial" w:hAnsi="Arial"/>
                <w:sz w:val="16"/>
                <w:szCs w:val="16"/>
                <w:color w:val="auto"/>
              </w:rPr>
              <w:t>common stock</w:t>
            </w:r>
          </w:p>
        </w:tc>
      </w:tr>
      <w:tr>
        <w:trPr>
          <w:trHeight w:val="278"/>
        </w:trPr>
        <w:tc>
          <w:tcPr>
            <w:tcW w:w="3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DSM</w:t>
            </w:r>
          </w:p>
        </w:tc>
        <w:tc>
          <w:tcPr>
            <w:tcW w:w="8180" w:type="dxa"/>
            <w:vAlign w:val="bottom"/>
            <w:shd w:val="clear" w:color="auto" w:fill="CFF0FC"/>
          </w:tcPr>
          <w:p>
            <w:pPr>
              <w:ind w:left="560"/>
              <w:spacing w:after="0"/>
              <w:rPr>
                <w:sz w:val="20"/>
                <w:szCs w:val="20"/>
                <w:color w:val="auto"/>
              </w:rPr>
            </w:pPr>
            <w:r>
              <w:rPr>
                <w:rFonts w:ascii="Arial" w:cs="Arial" w:eastAsia="Arial" w:hAnsi="Arial"/>
                <w:sz w:val="16"/>
                <w:szCs w:val="16"/>
                <w:color w:val="auto"/>
              </w:rPr>
              <w:t>Demand Side Management</w:t>
            </w:r>
          </w:p>
        </w:tc>
      </w:tr>
      <w:tr>
        <w:trPr>
          <w:trHeight w:val="262"/>
        </w:trPr>
        <w:tc>
          <w:tcPr>
            <w:tcW w:w="3060" w:type="dxa"/>
            <w:vAlign w:val="bottom"/>
          </w:tcPr>
          <w:p>
            <w:pPr>
              <w:ind w:left="20"/>
              <w:spacing w:after="0"/>
              <w:rPr>
                <w:sz w:val="20"/>
                <w:szCs w:val="20"/>
                <w:color w:val="auto"/>
              </w:rPr>
            </w:pPr>
            <w:r>
              <w:rPr>
                <w:rFonts w:ascii="Arial" w:cs="Arial" w:eastAsia="Arial" w:hAnsi="Arial"/>
                <w:sz w:val="16"/>
                <w:szCs w:val="16"/>
                <w:color w:val="auto"/>
              </w:rPr>
              <w:t>Dth</w:t>
            </w:r>
          </w:p>
        </w:tc>
        <w:tc>
          <w:tcPr>
            <w:tcW w:w="8180" w:type="dxa"/>
            <w:vAlign w:val="bottom"/>
          </w:tcPr>
          <w:p>
            <w:pPr>
              <w:ind w:left="560"/>
              <w:spacing w:after="0"/>
              <w:rPr>
                <w:sz w:val="20"/>
                <w:szCs w:val="20"/>
                <w:color w:val="auto"/>
              </w:rPr>
            </w:pPr>
            <w:r>
              <w:rPr>
                <w:rFonts w:ascii="Arial" w:cs="Arial" w:eastAsia="Arial" w:hAnsi="Arial"/>
                <w:sz w:val="16"/>
                <w:szCs w:val="16"/>
                <w:color w:val="auto"/>
              </w:rPr>
              <w:t>Dekatherm. A unit of energy equal to 10 therms or one million British thermal units (MMBtu).</w:t>
            </w:r>
          </w:p>
        </w:tc>
      </w:tr>
      <w:tr>
        <w:trPr>
          <w:trHeight w:val="278"/>
        </w:trPr>
        <w:tc>
          <w:tcPr>
            <w:tcW w:w="3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EBITDA</w:t>
            </w:r>
          </w:p>
        </w:tc>
        <w:tc>
          <w:tcPr>
            <w:tcW w:w="8180" w:type="dxa"/>
            <w:vAlign w:val="bottom"/>
            <w:shd w:val="clear" w:color="auto" w:fill="CFF0FC"/>
          </w:tcPr>
          <w:p>
            <w:pPr>
              <w:ind w:left="560"/>
              <w:spacing w:after="0"/>
              <w:rPr>
                <w:sz w:val="20"/>
                <w:szCs w:val="20"/>
                <w:color w:val="auto"/>
              </w:rPr>
            </w:pPr>
            <w:r>
              <w:rPr>
                <w:rFonts w:ascii="Arial" w:cs="Arial" w:eastAsia="Arial" w:hAnsi="Arial"/>
                <w:sz w:val="16"/>
                <w:szCs w:val="16"/>
                <w:color w:val="auto"/>
              </w:rPr>
              <w:t>Earnings before interest, taxes, depreciation and amortization, a non-GAAP measure.</w:t>
            </w:r>
          </w:p>
        </w:tc>
      </w:tr>
      <w:tr>
        <w:trPr>
          <w:trHeight w:val="229"/>
        </w:trPr>
        <w:tc>
          <w:tcPr>
            <w:tcW w:w="3060" w:type="dxa"/>
            <w:vAlign w:val="bottom"/>
          </w:tcPr>
          <w:p>
            <w:pPr>
              <w:ind w:left="20"/>
              <w:spacing w:after="0"/>
              <w:rPr>
                <w:sz w:val="20"/>
                <w:szCs w:val="20"/>
                <w:color w:val="auto"/>
              </w:rPr>
            </w:pPr>
            <w:r>
              <w:rPr>
                <w:rFonts w:ascii="Arial" w:cs="Arial" w:eastAsia="Arial" w:hAnsi="Arial"/>
                <w:sz w:val="16"/>
                <w:szCs w:val="16"/>
                <w:color w:val="auto"/>
              </w:rPr>
              <w:t>ECA</w:t>
            </w:r>
          </w:p>
        </w:tc>
        <w:tc>
          <w:tcPr>
            <w:tcW w:w="8180" w:type="dxa"/>
            <w:vAlign w:val="bottom"/>
          </w:tcPr>
          <w:p>
            <w:pPr>
              <w:ind w:left="560"/>
              <w:spacing w:after="0"/>
              <w:rPr>
                <w:sz w:val="20"/>
                <w:szCs w:val="20"/>
                <w:color w:val="auto"/>
              </w:rPr>
            </w:pPr>
            <w:r>
              <w:rPr>
                <w:rFonts w:ascii="Arial" w:cs="Arial" w:eastAsia="Arial" w:hAnsi="Arial"/>
                <w:sz w:val="16"/>
                <w:szCs w:val="16"/>
                <w:color w:val="auto"/>
              </w:rPr>
              <w:t>Energy Cost Adjustment is an adjustment that allows us to pass the prudently-incurred cost of fuel and</w:t>
            </w:r>
          </w:p>
        </w:tc>
      </w:tr>
      <w:tr>
        <w:trPr>
          <w:trHeight w:val="222"/>
        </w:trPr>
        <w:tc>
          <w:tcPr>
            <w:tcW w:w="3060" w:type="dxa"/>
            <w:vAlign w:val="bottom"/>
          </w:tcPr>
          <w:p>
            <w:pPr>
              <w:spacing w:after="0"/>
              <w:rPr>
                <w:sz w:val="19"/>
                <w:szCs w:val="19"/>
                <w:color w:val="auto"/>
              </w:rPr>
            </w:pPr>
          </w:p>
        </w:tc>
        <w:tc>
          <w:tcPr>
            <w:tcW w:w="8180" w:type="dxa"/>
            <w:vAlign w:val="bottom"/>
          </w:tcPr>
          <w:p>
            <w:pPr>
              <w:ind w:left="560"/>
              <w:spacing w:after="0"/>
              <w:rPr>
                <w:sz w:val="20"/>
                <w:szCs w:val="20"/>
                <w:color w:val="auto"/>
              </w:rPr>
            </w:pPr>
            <w:r>
              <w:rPr>
                <w:rFonts w:ascii="Arial" w:cs="Arial" w:eastAsia="Arial" w:hAnsi="Arial"/>
                <w:sz w:val="16"/>
                <w:szCs w:val="16"/>
                <w:color w:val="auto"/>
              </w:rPr>
              <w:t>purchased energy through to customers.</w:t>
            </w:r>
          </w:p>
        </w:tc>
      </w:tr>
      <w:tr>
        <w:trPr>
          <w:trHeight w:val="237"/>
        </w:trPr>
        <w:tc>
          <w:tcPr>
            <w:tcW w:w="3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EECR</w:t>
            </w:r>
          </w:p>
        </w:tc>
        <w:tc>
          <w:tcPr>
            <w:tcW w:w="8180" w:type="dxa"/>
            <w:vAlign w:val="bottom"/>
            <w:shd w:val="clear" w:color="auto" w:fill="CFF0FC"/>
          </w:tcPr>
          <w:p>
            <w:pPr>
              <w:ind w:left="560"/>
              <w:spacing w:after="0"/>
              <w:rPr>
                <w:sz w:val="20"/>
                <w:szCs w:val="20"/>
                <w:color w:val="auto"/>
              </w:rPr>
            </w:pPr>
            <w:r>
              <w:rPr>
                <w:rFonts w:ascii="Arial" w:cs="Arial" w:eastAsia="Arial" w:hAnsi="Arial"/>
                <w:sz w:val="16"/>
                <w:szCs w:val="16"/>
                <w:color w:val="auto"/>
              </w:rPr>
              <w:t>Energy Efficiency Cost Recovery is an adjustment mechanism that allows us to recover from customers</w:t>
            </w:r>
          </w:p>
        </w:tc>
      </w:tr>
      <w:tr>
        <w:trPr>
          <w:trHeight w:val="230"/>
        </w:trPr>
        <w:tc>
          <w:tcPr>
            <w:tcW w:w="3060" w:type="dxa"/>
            <w:vAlign w:val="bottom"/>
            <w:shd w:val="clear" w:color="auto" w:fill="CFF0FC"/>
          </w:tcPr>
          <w:p>
            <w:pPr>
              <w:spacing w:after="0"/>
              <w:rPr>
                <w:sz w:val="20"/>
                <w:szCs w:val="20"/>
                <w:color w:val="auto"/>
              </w:rPr>
            </w:pPr>
          </w:p>
        </w:tc>
        <w:tc>
          <w:tcPr>
            <w:tcW w:w="8180" w:type="dxa"/>
            <w:vAlign w:val="bottom"/>
            <w:shd w:val="clear" w:color="auto" w:fill="CFF0FC"/>
          </w:tcPr>
          <w:p>
            <w:pPr>
              <w:ind w:left="560"/>
              <w:spacing w:after="0"/>
              <w:rPr>
                <w:sz w:val="20"/>
                <w:szCs w:val="20"/>
                <w:color w:val="auto"/>
              </w:rPr>
            </w:pPr>
            <w:r>
              <w:rPr>
                <w:rFonts w:ascii="Arial" w:cs="Arial" w:eastAsia="Arial" w:hAnsi="Arial"/>
                <w:sz w:val="16"/>
                <w:szCs w:val="16"/>
                <w:color w:val="auto"/>
              </w:rPr>
              <w:t>the costs associated with providing energy efficiency programs.</w:t>
            </w:r>
          </w:p>
        </w:tc>
      </w:tr>
      <w:tr>
        <w:trPr>
          <w:trHeight w:val="229"/>
        </w:trPr>
        <w:tc>
          <w:tcPr>
            <w:tcW w:w="3060" w:type="dxa"/>
            <w:vAlign w:val="bottom"/>
          </w:tcPr>
          <w:p>
            <w:pPr>
              <w:ind w:left="20"/>
              <w:spacing w:after="0"/>
              <w:rPr>
                <w:sz w:val="20"/>
                <w:szCs w:val="20"/>
                <w:color w:val="auto"/>
              </w:rPr>
            </w:pPr>
            <w:r>
              <w:rPr>
                <w:rFonts w:ascii="Arial" w:cs="Arial" w:eastAsia="Arial" w:hAnsi="Arial"/>
                <w:sz w:val="16"/>
                <w:szCs w:val="16"/>
                <w:color w:val="auto"/>
              </w:rPr>
              <w:t>EIA</w:t>
            </w:r>
          </w:p>
        </w:tc>
        <w:tc>
          <w:tcPr>
            <w:tcW w:w="8180" w:type="dxa"/>
            <w:vAlign w:val="bottom"/>
          </w:tcPr>
          <w:p>
            <w:pPr>
              <w:ind w:left="560"/>
              <w:spacing w:after="0"/>
              <w:rPr>
                <w:sz w:val="20"/>
                <w:szCs w:val="20"/>
                <w:color w:val="auto"/>
              </w:rPr>
            </w:pPr>
            <w:r>
              <w:rPr>
                <w:rFonts w:ascii="Arial" w:cs="Arial" w:eastAsia="Arial" w:hAnsi="Arial"/>
                <w:sz w:val="16"/>
                <w:szCs w:val="16"/>
                <w:color w:val="auto"/>
              </w:rPr>
              <w:t>Environmental Improvement Adjustment is an annual adjustment mechanism that allows South Dakota</w:t>
            </w:r>
          </w:p>
        </w:tc>
      </w:tr>
      <w:tr>
        <w:trPr>
          <w:trHeight w:val="189"/>
        </w:trPr>
        <w:tc>
          <w:tcPr>
            <w:tcW w:w="3060" w:type="dxa"/>
            <w:vAlign w:val="bottom"/>
          </w:tcPr>
          <w:p>
            <w:pPr>
              <w:spacing w:after="0"/>
              <w:rPr>
                <w:sz w:val="16"/>
                <w:szCs w:val="16"/>
                <w:color w:val="auto"/>
              </w:rPr>
            </w:pPr>
          </w:p>
        </w:tc>
        <w:tc>
          <w:tcPr>
            <w:tcW w:w="8180" w:type="dxa"/>
            <w:vAlign w:val="bottom"/>
          </w:tcPr>
          <w:p>
            <w:pPr>
              <w:ind w:left="560"/>
              <w:spacing w:after="0"/>
              <w:rPr>
                <w:sz w:val="20"/>
                <w:szCs w:val="20"/>
                <w:color w:val="auto"/>
              </w:rPr>
            </w:pPr>
            <w:r>
              <w:rPr>
                <w:rFonts w:ascii="Arial" w:cs="Arial" w:eastAsia="Arial" w:hAnsi="Arial"/>
                <w:sz w:val="16"/>
                <w:szCs w:val="16"/>
                <w:color w:val="auto"/>
              </w:rPr>
              <w:t>Electric to recover from customers eligible investments in, and expense related to, new environmental</w:t>
            </w:r>
          </w:p>
        </w:tc>
      </w:tr>
      <w:tr>
        <w:trPr>
          <w:trHeight w:val="222"/>
        </w:trPr>
        <w:tc>
          <w:tcPr>
            <w:tcW w:w="3060" w:type="dxa"/>
            <w:vAlign w:val="bottom"/>
          </w:tcPr>
          <w:p>
            <w:pPr>
              <w:spacing w:after="0"/>
              <w:rPr>
                <w:sz w:val="19"/>
                <w:szCs w:val="19"/>
                <w:color w:val="auto"/>
              </w:rPr>
            </w:pPr>
          </w:p>
        </w:tc>
        <w:tc>
          <w:tcPr>
            <w:tcW w:w="8180" w:type="dxa"/>
            <w:vAlign w:val="bottom"/>
          </w:tcPr>
          <w:p>
            <w:pPr>
              <w:ind w:left="560"/>
              <w:spacing w:after="0"/>
              <w:rPr>
                <w:sz w:val="20"/>
                <w:szCs w:val="20"/>
                <w:color w:val="auto"/>
              </w:rPr>
            </w:pPr>
            <w:r>
              <w:rPr>
                <w:rFonts w:ascii="Arial" w:cs="Arial" w:eastAsia="Arial" w:hAnsi="Arial"/>
                <w:sz w:val="16"/>
                <w:szCs w:val="16"/>
                <w:color w:val="auto"/>
              </w:rPr>
              <w:t>measures.</w:t>
            </w:r>
          </w:p>
        </w:tc>
      </w:tr>
      <w:tr>
        <w:trPr>
          <w:trHeight w:val="237"/>
        </w:trPr>
        <w:tc>
          <w:tcPr>
            <w:tcW w:w="3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Energy Assistance Benefit Charge</w:t>
            </w:r>
          </w:p>
        </w:tc>
        <w:tc>
          <w:tcPr>
            <w:tcW w:w="8180" w:type="dxa"/>
            <w:vAlign w:val="bottom"/>
            <w:shd w:val="clear" w:color="auto" w:fill="CFF0FC"/>
          </w:tcPr>
          <w:p>
            <w:pPr>
              <w:ind w:left="560"/>
              <w:spacing w:after="0"/>
              <w:rPr>
                <w:sz w:val="20"/>
                <w:szCs w:val="20"/>
                <w:color w:val="auto"/>
              </w:rPr>
            </w:pPr>
            <w:r>
              <w:rPr>
                <w:rFonts w:ascii="Arial" w:cs="Arial" w:eastAsia="Arial" w:hAnsi="Arial"/>
                <w:sz w:val="16"/>
                <w:szCs w:val="16"/>
                <w:color w:val="auto"/>
              </w:rPr>
              <w:t>Energy Assistance Benefit Charge is a Colorado statutory-created surcharge to provide additional funding</w:t>
            </w:r>
          </w:p>
        </w:tc>
      </w:tr>
      <w:tr>
        <w:trPr>
          <w:trHeight w:val="189"/>
        </w:trPr>
        <w:tc>
          <w:tcPr>
            <w:tcW w:w="3060" w:type="dxa"/>
            <w:vAlign w:val="bottom"/>
            <w:shd w:val="clear" w:color="auto" w:fill="CFF0FC"/>
          </w:tcPr>
          <w:p>
            <w:pPr>
              <w:spacing w:after="0"/>
              <w:rPr>
                <w:sz w:val="16"/>
                <w:szCs w:val="16"/>
                <w:color w:val="auto"/>
              </w:rPr>
            </w:pPr>
          </w:p>
        </w:tc>
        <w:tc>
          <w:tcPr>
            <w:tcW w:w="8180" w:type="dxa"/>
            <w:vAlign w:val="bottom"/>
            <w:shd w:val="clear" w:color="auto" w:fill="CFF0FC"/>
          </w:tcPr>
          <w:p>
            <w:pPr>
              <w:ind w:left="560"/>
              <w:spacing w:after="0"/>
              <w:rPr>
                <w:sz w:val="20"/>
                <w:szCs w:val="20"/>
                <w:color w:val="auto"/>
              </w:rPr>
            </w:pPr>
            <w:r>
              <w:rPr>
                <w:rFonts w:ascii="Arial" w:cs="Arial" w:eastAsia="Arial" w:hAnsi="Arial"/>
                <w:sz w:val="16"/>
                <w:szCs w:val="16"/>
                <w:color w:val="auto"/>
              </w:rPr>
              <w:t>for bill assistance and weatherization for income-qualified customers. We collect these funds and remit</w:t>
            </w:r>
          </w:p>
        </w:tc>
      </w:tr>
      <w:tr>
        <w:trPr>
          <w:trHeight w:val="189"/>
        </w:trPr>
        <w:tc>
          <w:tcPr>
            <w:tcW w:w="3060" w:type="dxa"/>
            <w:vAlign w:val="bottom"/>
            <w:shd w:val="clear" w:color="auto" w:fill="CFF0FC"/>
          </w:tcPr>
          <w:p>
            <w:pPr>
              <w:spacing w:after="0"/>
              <w:rPr>
                <w:sz w:val="16"/>
                <w:szCs w:val="16"/>
                <w:color w:val="auto"/>
              </w:rPr>
            </w:pPr>
          </w:p>
        </w:tc>
        <w:tc>
          <w:tcPr>
            <w:tcW w:w="8180" w:type="dxa"/>
            <w:vAlign w:val="bottom"/>
            <w:shd w:val="clear" w:color="auto" w:fill="CFF0FC"/>
          </w:tcPr>
          <w:p>
            <w:pPr>
              <w:ind w:left="560"/>
              <w:spacing w:after="0"/>
              <w:rPr>
                <w:sz w:val="20"/>
                <w:szCs w:val="20"/>
                <w:color w:val="auto"/>
              </w:rPr>
            </w:pPr>
            <w:r>
              <w:rPr>
                <w:rFonts w:ascii="Arial" w:cs="Arial" w:eastAsia="Arial" w:hAnsi="Arial"/>
                <w:sz w:val="16"/>
                <w:szCs w:val="16"/>
                <w:color w:val="auto"/>
              </w:rPr>
              <w:t>them to a Colorado non-profit organization that assists low-income residents with utility bills, repairs, and</w:t>
            </w:r>
          </w:p>
        </w:tc>
      </w:tr>
      <w:tr>
        <w:trPr>
          <w:trHeight w:val="230"/>
        </w:trPr>
        <w:tc>
          <w:tcPr>
            <w:tcW w:w="3060" w:type="dxa"/>
            <w:vAlign w:val="bottom"/>
            <w:shd w:val="clear" w:color="auto" w:fill="CFF0FC"/>
          </w:tcPr>
          <w:p>
            <w:pPr>
              <w:spacing w:after="0"/>
              <w:rPr>
                <w:sz w:val="20"/>
                <w:szCs w:val="20"/>
                <w:color w:val="auto"/>
              </w:rPr>
            </w:pPr>
          </w:p>
        </w:tc>
        <w:tc>
          <w:tcPr>
            <w:tcW w:w="8180" w:type="dxa"/>
            <w:vAlign w:val="bottom"/>
            <w:shd w:val="clear" w:color="auto" w:fill="CFF0FC"/>
          </w:tcPr>
          <w:p>
            <w:pPr>
              <w:ind w:left="560"/>
              <w:spacing w:after="0"/>
              <w:rPr>
                <w:sz w:val="20"/>
                <w:szCs w:val="20"/>
                <w:color w:val="auto"/>
              </w:rPr>
            </w:pPr>
            <w:r>
              <w:rPr>
                <w:rFonts w:ascii="Arial" w:cs="Arial" w:eastAsia="Arial" w:hAnsi="Arial"/>
                <w:sz w:val="16"/>
                <w:szCs w:val="16"/>
                <w:color w:val="auto"/>
              </w:rPr>
              <w:t>energy efficiency upgrades.</w:t>
            </w:r>
          </w:p>
        </w:tc>
      </w:tr>
      <w:tr>
        <w:trPr>
          <w:trHeight w:val="229"/>
        </w:trPr>
        <w:tc>
          <w:tcPr>
            <w:tcW w:w="3060" w:type="dxa"/>
            <w:vAlign w:val="bottom"/>
          </w:tcPr>
          <w:p>
            <w:pPr>
              <w:ind w:left="20"/>
              <w:spacing w:after="0"/>
              <w:rPr>
                <w:sz w:val="20"/>
                <w:szCs w:val="20"/>
                <w:color w:val="auto"/>
              </w:rPr>
            </w:pPr>
            <w:r>
              <w:rPr>
                <w:rFonts w:ascii="Arial" w:cs="Arial" w:eastAsia="Arial" w:hAnsi="Arial"/>
                <w:sz w:val="16"/>
                <w:szCs w:val="16"/>
                <w:color w:val="auto"/>
              </w:rPr>
              <w:t>Energy Transition</w:t>
            </w:r>
          </w:p>
        </w:tc>
        <w:tc>
          <w:tcPr>
            <w:tcW w:w="8180" w:type="dxa"/>
            <w:vAlign w:val="bottom"/>
          </w:tcPr>
          <w:p>
            <w:pPr>
              <w:ind w:left="560"/>
              <w:spacing w:after="0"/>
              <w:rPr>
                <w:sz w:val="20"/>
                <w:szCs w:val="20"/>
                <w:color w:val="auto"/>
              </w:rPr>
            </w:pPr>
            <w:r>
              <w:rPr>
                <w:rFonts w:ascii="Arial" w:cs="Arial" w:eastAsia="Arial" w:hAnsi="Arial"/>
                <w:sz w:val="16"/>
                <w:szCs w:val="16"/>
                <w:color w:val="auto"/>
              </w:rPr>
              <w:t>The global energy sector’s shift from fossil-based systems of energy production and consumption,</w:t>
            </w:r>
          </w:p>
        </w:tc>
      </w:tr>
      <w:tr>
        <w:trPr>
          <w:trHeight w:val="189"/>
        </w:trPr>
        <w:tc>
          <w:tcPr>
            <w:tcW w:w="3060" w:type="dxa"/>
            <w:vAlign w:val="bottom"/>
          </w:tcPr>
          <w:p>
            <w:pPr>
              <w:spacing w:after="0"/>
              <w:rPr>
                <w:sz w:val="16"/>
                <w:szCs w:val="16"/>
                <w:color w:val="auto"/>
              </w:rPr>
            </w:pPr>
          </w:p>
        </w:tc>
        <w:tc>
          <w:tcPr>
            <w:tcW w:w="8180" w:type="dxa"/>
            <w:vAlign w:val="bottom"/>
          </w:tcPr>
          <w:p>
            <w:pPr>
              <w:ind w:left="560"/>
              <w:spacing w:after="0"/>
              <w:rPr>
                <w:sz w:val="20"/>
                <w:szCs w:val="20"/>
                <w:color w:val="auto"/>
              </w:rPr>
            </w:pPr>
            <w:r>
              <w:rPr>
                <w:rFonts w:ascii="Arial" w:cs="Arial" w:eastAsia="Arial" w:hAnsi="Arial"/>
                <w:sz w:val="16"/>
                <w:szCs w:val="16"/>
                <w:color w:val="auto"/>
              </w:rPr>
              <w:t>including oil, natural gas and coal to renewable energy sources like wind and solar, as well as battery</w:t>
            </w:r>
          </w:p>
        </w:tc>
      </w:tr>
      <w:tr>
        <w:trPr>
          <w:trHeight w:val="222"/>
        </w:trPr>
        <w:tc>
          <w:tcPr>
            <w:tcW w:w="3060" w:type="dxa"/>
            <w:vAlign w:val="bottom"/>
          </w:tcPr>
          <w:p>
            <w:pPr>
              <w:spacing w:after="0"/>
              <w:rPr>
                <w:sz w:val="19"/>
                <w:szCs w:val="19"/>
                <w:color w:val="auto"/>
              </w:rPr>
            </w:pPr>
          </w:p>
        </w:tc>
        <w:tc>
          <w:tcPr>
            <w:tcW w:w="8180" w:type="dxa"/>
            <w:vAlign w:val="bottom"/>
          </w:tcPr>
          <w:p>
            <w:pPr>
              <w:ind w:left="560"/>
              <w:spacing w:after="0"/>
              <w:rPr>
                <w:sz w:val="20"/>
                <w:szCs w:val="20"/>
                <w:color w:val="auto"/>
              </w:rPr>
            </w:pPr>
            <w:r>
              <w:rPr>
                <w:rFonts w:ascii="Arial" w:cs="Arial" w:eastAsia="Arial" w:hAnsi="Arial"/>
                <w:sz w:val="16"/>
                <w:szCs w:val="16"/>
                <w:color w:val="auto"/>
              </w:rPr>
              <w:t>storage solutions.</w:t>
            </w:r>
          </w:p>
        </w:tc>
      </w:tr>
      <w:tr>
        <w:trPr>
          <w:trHeight w:val="278"/>
        </w:trPr>
        <w:tc>
          <w:tcPr>
            <w:tcW w:w="3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EPA</w:t>
            </w:r>
          </w:p>
        </w:tc>
        <w:tc>
          <w:tcPr>
            <w:tcW w:w="8180" w:type="dxa"/>
            <w:vAlign w:val="bottom"/>
            <w:shd w:val="clear" w:color="auto" w:fill="CFF0FC"/>
          </w:tcPr>
          <w:p>
            <w:pPr>
              <w:ind w:left="560"/>
              <w:spacing w:after="0"/>
              <w:rPr>
                <w:sz w:val="20"/>
                <w:szCs w:val="20"/>
                <w:color w:val="auto"/>
              </w:rPr>
            </w:pPr>
            <w:r>
              <w:rPr>
                <w:rFonts w:ascii="Arial" w:cs="Arial" w:eastAsia="Arial" w:hAnsi="Arial"/>
                <w:sz w:val="16"/>
                <w:szCs w:val="16"/>
                <w:color w:val="auto"/>
              </w:rPr>
              <w:t>United States Environmental Protection Agency</w:t>
            </w:r>
          </w:p>
        </w:tc>
      </w:tr>
      <w:tr>
        <w:trPr>
          <w:trHeight w:val="262"/>
        </w:trPr>
        <w:tc>
          <w:tcPr>
            <w:tcW w:w="3060" w:type="dxa"/>
            <w:vAlign w:val="bottom"/>
          </w:tcPr>
          <w:p>
            <w:pPr>
              <w:ind w:left="20"/>
              <w:spacing w:after="0"/>
              <w:rPr>
                <w:sz w:val="20"/>
                <w:szCs w:val="20"/>
                <w:color w:val="auto"/>
              </w:rPr>
            </w:pPr>
            <w:r>
              <w:rPr>
                <w:rFonts w:ascii="Arial" w:cs="Arial" w:eastAsia="Arial" w:hAnsi="Arial"/>
                <w:sz w:val="16"/>
                <w:szCs w:val="16"/>
                <w:color w:val="auto"/>
              </w:rPr>
              <w:t>ESG</w:t>
            </w:r>
          </w:p>
        </w:tc>
        <w:tc>
          <w:tcPr>
            <w:tcW w:w="8180" w:type="dxa"/>
            <w:vAlign w:val="bottom"/>
          </w:tcPr>
          <w:p>
            <w:pPr>
              <w:ind w:left="560"/>
              <w:spacing w:after="0"/>
              <w:rPr>
                <w:sz w:val="20"/>
                <w:szCs w:val="20"/>
                <w:color w:val="auto"/>
              </w:rPr>
            </w:pPr>
            <w:r>
              <w:rPr>
                <w:rFonts w:ascii="Arial" w:cs="Arial" w:eastAsia="Arial" w:hAnsi="Arial"/>
                <w:sz w:val="16"/>
                <w:szCs w:val="16"/>
                <w:color w:val="auto"/>
              </w:rPr>
              <w:t>Environmental, Social and Governance</w:t>
            </w:r>
          </w:p>
        </w:tc>
      </w:tr>
      <w:tr>
        <w:trPr>
          <w:trHeight w:val="278"/>
        </w:trPr>
        <w:tc>
          <w:tcPr>
            <w:tcW w:w="3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EV</w:t>
            </w:r>
          </w:p>
        </w:tc>
        <w:tc>
          <w:tcPr>
            <w:tcW w:w="8180" w:type="dxa"/>
            <w:vAlign w:val="bottom"/>
            <w:shd w:val="clear" w:color="auto" w:fill="CFF0FC"/>
          </w:tcPr>
          <w:p>
            <w:pPr>
              <w:ind w:left="560"/>
              <w:spacing w:after="0"/>
              <w:rPr>
                <w:sz w:val="20"/>
                <w:szCs w:val="20"/>
                <w:color w:val="auto"/>
              </w:rPr>
            </w:pPr>
            <w:r>
              <w:rPr>
                <w:rFonts w:ascii="Arial" w:cs="Arial" w:eastAsia="Arial" w:hAnsi="Arial"/>
                <w:sz w:val="16"/>
                <w:szCs w:val="16"/>
                <w:color w:val="auto"/>
              </w:rPr>
              <w:t>Electric Vehicle</w:t>
            </w:r>
          </w:p>
        </w:tc>
      </w:tr>
      <w:tr>
        <w:trPr>
          <w:trHeight w:val="262"/>
        </w:trPr>
        <w:tc>
          <w:tcPr>
            <w:tcW w:w="3060" w:type="dxa"/>
            <w:vAlign w:val="bottom"/>
          </w:tcPr>
          <w:p>
            <w:pPr>
              <w:ind w:left="20"/>
              <w:spacing w:after="0"/>
              <w:rPr>
                <w:sz w:val="20"/>
                <w:szCs w:val="20"/>
                <w:color w:val="auto"/>
              </w:rPr>
            </w:pPr>
            <w:r>
              <w:rPr>
                <w:rFonts w:ascii="Arial" w:cs="Arial" w:eastAsia="Arial" w:hAnsi="Arial"/>
                <w:sz w:val="16"/>
                <w:szCs w:val="16"/>
                <w:color w:val="auto"/>
              </w:rPr>
              <w:t>EWG</w:t>
            </w:r>
          </w:p>
        </w:tc>
        <w:tc>
          <w:tcPr>
            <w:tcW w:w="8180" w:type="dxa"/>
            <w:vAlign w:val="bottom"/>
          </w:tcPr>
          <w:p>
            <w:pPr>
              <w:ind w:left="560"/>
              <w:spacing w:after="0"/>
              <w:rPr>
                <w:sz w:val="20"/>
                <w:szCs w:val="20"/>
                <w:color w:val="auto"/>
              </w:rPr>
            </w:pPr>
            <w:r>
              <w:rPr>
                <w:rFonts w:ascii="Arial" w:cs="Arial" w:eastAsia="Arial" w:hAnsi="Arial"/>
                <w:sz w:val="16"/>
                <w:szCs w:val="16"/>
                <w:color w:val="auto"/>
              </w:rPr>
              <w:t>Exempt Wholesale Generator</w:t>
            </w:r>
          </w:p>
        </w:tc>
      </w:tr>
      <w:tr>
        <w:trPr>
          <w:trHeight w:val="278"/>
        </w:trPr>
        <w:tc>
          <w:tcPr>
            <w:tcW w:w="3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FASB</w:t>
            </w:r>
          </w:p>
        </w:tc>
        <w:tc>
          <w:tcPr>
            <w:tcW w:w="8180" w:type="dxa"/>
            <w:vAlign w:val="bottom"/>
            <w:shd w:val="clear" w:color="auto" w:fill="CFF0FC"/>
          </w:tcPr>
          <w:p>
            <w:pPr>
              <w:ind w:left="560"/>
              <w:spacing w:after="0"/>
              <w:rPr>
                <w:sz w:val="20"/>
                <w:szCs w:val="20"/>
                <w:color w:val="auto"/>
              </w:rPr>
            </w:pPr>
            <w:r>
              <w:rPr>
                <w:rFonts w:ascii="Arial" w:cs="Arial" w:eastAsia="Arial" w:hAnsi="Arial"/>
                <w:sz w:val="16"/>
                <w:szCs w:val="16"/>
                <w:color w:val="auto"/>
              </w:rPr>
              <w:t>Financial Accounting Standards Board</w:t>
            </w:r>
          </w:p>
        </w:tc>
      </w:tr>
      <w:tr>
        <w:trPr>
          <w:trHeight w:val="262"/>
        </w:trPr>
        <w:tc>
          <w:tcPr>
            <w:tcW w:w="3060" w:type="dxa"/>
            <w:vAlign w:val="bottom"/>
          </w:tcPr>
          <w:p>
            <w:pPr>
              <w:ind w:left="20"/>
              <w:spacing w:after="0"/>
              <w:rPr>
                <w:sz w:val="20"/>
                <w:szCs w:val="20"/>
                <w:color w:val="auto"/>
              </w:rPr>
            </w:pPr>
            <w:r>
              <w:rPr>
                <w:rFonts w:ascii="Arial" w:cs="Arial" w:eastAsia="Arial" w:hAnsi="Arial"/>
                <w:sz w:val="16"/>
                <w:szCs w:val="16"/>
                <w:color w:val="auto"/>
              </w:rPr>
              <w:t>FERC</w:t>
            </w:r>
          </w:p>
        </w:tc>
        <w:tc>
          <w:tcPr>
            <w:tcW w:w="8180" w:type="dxa"/>
            <w:vAlign w:val="bottom"/>
          </w:tcPr>
          <w:p>
            <w:pPr>
              <w:ind w:left="560"/>
              <w:spacing w:after="0"/>
              <w:rPr>
                <w:sz w:val="20"/>
                <w:szCs w:val="20"/>
                <w:color w:val="auto"/>
              </w:rPr>
            </w:pPr>
            <w:r>
              <w:rPr>
                <w:rFonts w:ascii="Arial" w:cs="Arial" w:eastAsia="Arial" w:hAnsi="Arial"/>
                <w:sz w:val="16"/>
                <w:szCs w:val="16"/>
                <w:color w:val="auto"/>
              </w:rPr>
              <w:t>United States Department of Energy's Federal Energy Regulatory Commission</w:t>
            </w:r>
          </w:p>
        </w:tc>
      </w:tr>
      <w:tr>
        <w:trPr>
          <w:trHeight w:val="278"/>
        </w:trPr>
        <w:tc>
          <w:tcPr>
            <w:tcW w:w="3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Fitch</w:t>
            </w:r>
          </w:p>
        </w:tc>
        <w:tc>
          <w:tcPr>
            <w:tcW w:w="8180" w:type="dxa"/>
            <w:vAlign w:val="bottom"/>
            <w:shd w:val="clear" w:color="auto" w:fill="CFF0FC"/>
          </w:tcPr>
          <w:p>
            <w:pPr>
              <w:ind w:left="560"/>
              <w:spacing w:after="0"/>
              <w:rPr>
                <w:sz w:val="20"/>
                <w:szCs w:val="20"/>
                <w:color w:val="auto"/>
              </w:rPr>
            </w:pPr>
            <w:r>
              <w:rPr>
                <w:rFonts w:ascii="Arial" w:cs="Arial" w:eastAsia="Arial" w:hAnsi="Arial"/>
                <w:sz w:val="16"/>
                <w:szCs w:val="16"/>
                <w:color w:val="auto"/>
              </w:rPr>
              <w:t>Fitch Ratings Inc.</w:t>
            </w:r>
          </w:p>
        </w:tc>
      </w:tr>
      <w:tr>
        <w:trPr>
          <w:trHeight w:val="215"/>
        </w:trPr>
        <w:tc>
          <w:tcPr>
            <w:tcW w:w="3060" w:type="dxa"/>
            <w:vAlign w:val="bottom"/>
          </w:tcPr>
          <w:p>
            <w:pPr>
              <w:spacing w:after="0"/>
              <w:rPr>
                <w:sz w:val="18"/>
                <w:szCs w:val="18"/>
                <w:color w:val="auto"/>
              </w:rPr>
            </w:pPr>
          </w:p>
        </w:tc>
        <w:tc>
          <w:tcPr>
            <w:tcW w:w="8180" w:type="dxa"/>
            <w:vAlign w:val="bottom"/>
          </w:tcPr>
          <w:p>
            <w:pPr>
              <w:ind w:left="2520"/>
              <w:spacing w:after="0"/>
              <w:rPr>
                <w:sz w:val="20"/>
                <w:szCs w:val="20"/>
                <w:color w:val="auto"/>
              </w:rPr>
            </w:pPr>
            <w:r>
              <w:rPr>
                <w:rFonts w:ascii="Arial" w:cs="Arial" w:eastAsia="Arial" w:hAnsi="Arial"/>
                <w:sz w:val="16"/>
                <w:szCs w:val="16"/>
                <w:color w:val="auto"/>
              </w:rPr>
              <w:t>6</w:t>
            </w:r>
          </w:p>
        </w:tc>
      </w:tr>
      <w:tr>
        <w:trPr>
          <w:trHeight w:val="737"/>
        </w:trPr>
        <w:tc>
          <w:tcPr>
            <w:tcW w:w="3060" w:type="dxa"/>
            <w:vAlign w:val="bottom"/>
            <w:tcBorders>
              <w:bottom w:val="single" w:sz="8" w:color="9A9A9A"/>
            </w:tcBorders>
          </w:tcPr>
          <w:p>
            <w:pPr>
              <w:spacing w:after="0"/>
              <w:rPr>
                <w:sz w:val="24"/>
                <w:szCs w:val="24"/>
                <w:color w:val="auto"/>
              </w:rPr>
            </w:pPr>
          </w:p>
        </w:tc>
        <w:tc>
          <w:tcPr>
            <w:tcW w:w="8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00" w:type="dxa"/>
            <w:vAlign w:val="bottom"/>
          </w:tcPr>
          <w:p>
            <w:pPr>
              <w:ind w:left="20"/>
              <w:spacing w:after="0"/>
              <w:rPr>
                <w:sz w:val="20"/>
                <w:szCs w:val="20"/>
                <w:color w:val="auto"/>
              </w:rPr>
            </w:pPr>
            <w:r>
              <w:rPr>
                <w:rFonts w:ascii="Arial" w:cs="Arial" w:eastAsia="Arial" w:hAnsi="Arial"/>
                <w:sz w:val="16"/>
                <w:szCs w:val="16"/>
                <w:color w:val="auto"/>
              </w:rPr>
              <w:t>GAAP</w:t>
            </w:r>
          </w:p>
        </w:tc>
        <w:tc>
          <w:tcPr>
            <w:tcW w:w="7840" w:type="dxa"/>
            <w:vAlign w:val="bottom"/>
          </w:tcPr>
          <w:p>
            <w:pPr>
              <w:ind w:left="220"/>
              <w:spacing w:after="0"/>
              <w:rPr>
                <w:sz w:val="20"/>
                <w:szCs w:val="20"/>
                <w:color w:val="auto"/>
              </w:rPr>
            </w:pPr>
            <w:r>
              <w:rPr>
                <w:rFonts w:ascii="Arial" w:cs="Arial" w:eastAsia="Arial" w:hAnsi="Arial"/>
                <w:sz w:val="16"/>
                <w:szCs w:val="16"/>
                <w:color w:val="auto"/>
              </w:rPr>
              <w:t>Accounting principles generally accepted in the United States of America</w:t>
            </w:r>
          </w:p>
        </w:tc>
      </w:tr>
      <w:tr>
        <w:trPr>
          <w:trHeight w:val="237"/>
        </w:trPr>
        <w:tc>
          <w:tcPr>
            <w:tcW w:w="3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Gas Price Risk Management Rider</w:t>
            </w:r>
          </w:p>
        </w:tc>
        <w:tc>
          <w:tcPr>
            <w:tcW w:w="78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Gas Price Risk Management Rider is a Colorado Gas mechanism that is similar to GCA but designed to</w:t>
            </w:r>
          </w:p>
        </w:tc>
      </w:tr>
      <w:tr>
        <w:trPr>
          <w:trHeight w:val="230"/>
        </w:trPr>
        <w:tc>
          <w:tcPr>
            <w:tcW w:w="3400" w:type="dxa"/>
            <w:vAlign w:val="bottom"/>
            <w:shd w:val="clear" w:color="auto" w:fill="CFF0FC"/>
          </w:tcPr>
          <w:p>
            <w:pPr>
              <w:spacing w:after="0"/>
              <w:rPr>
                <w:sz w:val="20"/>
                <w:szCs w:val="20"/>
                <w:color w:val="auto"/>
              </w:rPr>
            </w:pPr>
          </w:p>
        </w:tc>
        <w:tc>
          <w:tcPr>
            <w:tcW w:w="78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also provide a price floor and price ceiling.</w:t>
            </w:r>
          </w:p>
        </w:tc>
      </w:tr>
      <w:tr>
        <w:trPr>
          <w:trHeight w:val="229"/>
        </w:trPr>
        <w:tc>
          <w:tcPr>
            <w:tcW w:w="3400" w:type="dxa"/>
            <w:vAlign w:val="bottom"/>
          </w:tcPr>
          <w:p>
            <w:pPr>
              <w:ind w:left="20"/>
              <w:spacing w:after="0"/>
              <w:rPr>
                <w:sz w:val="20"/>
                <w:szCs w:val="20"/>
                <w:color w:val="auto"/>
              </w:rPr>
            </w:pPr>
            <w:r>
              <w:rPr>
                <w:rFonts w:ascii="Arial" w:cs="Arial" w:eastAsia="Arial" w:hAnsi="Arial"/>
                <w:sz w:val="16"/>
                <w:szCs w:val="16"/>
                <w:color w:val="auto"/>
              </w:rPr>
              <w:t>GCA</w:t>
            </w:r>
          </w:p>
        </w:tc>
        <w:tc>
          <w:tcPr>
            <w:tcW w:w="7840" w:type="dxa"/>
            <w:vAlign w:val="bottom"/>
          </w:tcPr>
          <w:p>
            <w:pPr>
              <w:ind w:left="220"/>
              <w:spacing w:after="0"/>
              <w:rPr>
                <w:sz w:val="20"/>
                <w:szCs w:val="20"/>
                <w:color w:val="auto"/>
              </w:rPr>
            </w:pPr>
            <w:r>
              <w:rPr>
                <w:rFonts w:ascii="Arial" w:cs="Arial" w:eastAsia="Arial" w:hAnsi="Arial"/>
                <w:sz w:val="16"/>
                <w:szCs w:val="16"/>
                <w:color w:val="auto"/>
              </w:rPr>
              <w:t>Gas Cost Adjustment is a mechanism that allows us to pass the prudently-incurred cost of gas and certain</w:t>
            </w:r>
          </w:p>
        </w:tc>
      </w:tr>
      <w:tr>
        <w:trPr>
          <w:trHeight w:val="222"/>
        </w:trPr>
        <w:tc>
          <w:tcPr>
            <w:tcW w:w="3400" w:type="dxa"/>
            <w:vAlign w:val="bottom"/>
          </w:tcPr>
          <w:p>
            <w:pPr>
              <w:spacing w:after="0"/>
              <w:rPr>
                <w:sz w:val="19"/>
                <w:szCs w:val="19"/>
                <w:color w:val="auto"/>
              </w:rPr>
            </w:pPr>
          </w:p>
        </w:tc>
        <w:tc>
          <w:tcPr>
            <w:tcW w:w="7840" w:type="dxa"/>
            <w:vAlign w:val="bottom"/>
          </w:tcPr>
          <w:p>
            <w:pPr>
              <w:ind w:left="220"/>
              <w:spacing w:after="0"/>
              <w:rPr>
                <w:sz w:val="20"/>
                <w:szCs w:val="20"/>
                <w:color w:val="auto"/>
              </w:rPr>
            </w:pPr>
            <w:r>
              <w:rPr>
                <w:rFonts w:ascii="Arial" w:cs="Arial" w:eastAsia="Arial" w:hAnsi="Arial"/>
                <w:sz w:val="16"/>
                <w:szCs w:val="16"/>
                <w:color w:val="auto"/>
              </w:rPr>
              <w:t>services through to customers.</w:t>
            </w:r>
          </w:p>
        </w:tc>
      </w:tr>
      <w:tr>
        <w:trPr>
          <w:trHeight w:val="278"/>
        </w:trPr>
        <w:tc>
          <w:tcPr>
            <w:tcW w:w="3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GHG</w:t>
            </w:r>
          </w:p>
        </w:tc>
        <w:tc>
          <w:tcPr>
            <w:tcW w:w="78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Greenhouse gases</w:t>
            </w:r>
          </w:p>
        </w:tc>
      </w:tr>
      <w:tr>
        <w:trPr>
          <w:trHeight w:val="229"/>
        </w:trPr>
        <w:tc>
          <w:tcPr>
            <w:tcW w:w="3400" w:type="dxa"/>
            <w:vAlign w:val="bottom"/>
          </w:tcPr>
          <w:p>
            <w:pPr>
              <w:ind w:left="20"/>
              <w:spacing w:after="0"/>
              <w:rPr>
                <w:sz w:val="20"/>
                <w:szCs w:val="20"/>
                <w:color w:val="auto"/>
              </w:rPr>
            </w:pPr>
            <w:r>
              <w:rPr>
                <w:rFonts w:ascii="Arial" w:cs="Arial" w:eastAsia="Arial" w:hAnsi="Arial"/>
                <w:sz w:val="16"/>
                <w:szCs w:val="16"/>
                <w:color w:val="auto"/>
              </w:rPr>
              <w:t>Gillette Energy Complex</w:t>
            </w:r>
          </w:p>
        </w:tc>
        <w:tc>
          <w:tcPr>
            <w:tcW w:w="7840" w:type="dxa"/>
            <w:vAlign w:val="bottom"/>
          </w:tcPr>
          <w:p>
            <w:pPr>
              <w:ind w:left="220"/>
              <w:spacing w:after="0"/>
              <w:rPr>
                <w:sz w:val="20"/>
                <w:szCs w:val="20"/>
                <w:color w:val="auto"/>
              </w:rPr>
            </w:pPr>
            <w:r>
              <w:rPr>
                <w:rFonts w:ascii="Arial" w:cs="Arial" w:eastAsia="Arial" w:hAnsi="Arial"/>
                <w:sz w:val="16"/>
                <w:szCs w:val="16"/>
                <w:color w:val="auto"/>
              </w:rPr>
              <w:t>The Gillette Energy Complex located in Gillette, Wyoming includes 793 MW of coal-fired generating</w:t>
            </w:r>
          </w:p>
        </w:tc>
      </w:tr>
      <w:tr>
        <w:trPr>
          <w:trHeight w:val="189"/>
        </w:trPr>
        <w:tc>
          <w:tcPr>
            <w:tcW w:w="3400" w:type="dxa"/>
            <w:vAlign w:val="bottom"/>
          </w:tcPr>
          <w:p>
            <w:pPr>
              <w:spacing w:after="0"/>
              <w:rPr>
                <w:sz w:val="16"/>
                <w:szCs w:val="16"/>
                <w:color w:val="auto"/>
              </w:rPr>
            </w:pPr>
          </w:p>
        </w:tc>
        <w:tc>
          <w:tcPr>
            <w:tcW w:w="7840" w:type="dxa"/>
            <w:vAlign w:val="bottom"/>
          </w:tcPr>
          <w:p>
            <w:pPr>
              <w:ind w:left="220"/>
              <w:spacing w:after="0"/>
              <w:rPr>
                <w:sz w:val="20"/>
                <w:szCs w:val="20"/>
                <w:color w:val="auto"/>
              </w:rPr>
            </w:pPr>
            <w:r>
              <w:rPr>
                <w:rFonts w:ascii="Arial" w:cs="Arial" w:eastAsia="Arial" w:hAnsi="Arial"/>
                <w:sz w:val="16"/>
                <w:szCs w:val="16"/>
                <w:color w:val="auto"/>
              </w:rPr>
              <w:t>facilities (Neil Simpson II, Wygen I, Wygen II, Wygen III, Wyodak Plant) which are supplied by WRDC and</w:t>
            </w:r>
          </w:p>
        </w:tc>
      </w:tr>
      <w:tr>
        <w:trPr>
          <w:trHeight w:val="189"/>
        </w:trPr>
        <w:tc>
          <w:tcPr>
            <w:tcW w:w="3400" w:type="dxa"/>
            <w:vAlign w:val="bottom"/>
          </w:tcPr>
          <w:p>
            <w:pPr>
              <w:spacing w:after="0"/>
              <w:rPr>
                <w:sz w:val="16"/>
                <w:szCs w:val="16"/>
                <w:color w:val="auto"/>
              </w:rPr>
            </w:pPr>
          </w:p>
        </w:tc>
        <w:tc>
          <w:tcPr>
            <w:tcW w:w="7840" w:type="dxa"/>
            <w:vAlign w:val="bottom"/>
          </w:tcPr>
          <w:p>
            <w:pPr>
              <w:ind w:left="220"/>
              <w:spacing w:after="0"/>
              <w:rPr>
                <w:sz w:val="20"/>
                <w:szCs w:val="20"/>
                <w:color w:val="auto"/>
              </w:rPr>
            </w:pPr>
            <w:r>
              <w:rPr>
                <w:rFonts w:ascii="Arial" w:cs="Arial" w:eastAsia="Arial" w:hAnsi="Arial"/>
                <w:sz w:val="16"/>
                <w:szCs w:val="16"/>
                <w:color w:val="auto"/>
              </w:rPr>
              <w:t>a 40 MW gas-fired generation facility (Neil Simpson CT). We operate and own majority interests in five of</w:t>
            </w:r>
          </w:p>
        </w:tc>
      </w:tr>
      <w:tr>
        <w:trPr>
          <w:trHeight w:val="222"/>
        </w:trPr>
        <w:tc>
          <w:tcPr>
            <w:tcW w:w="3400" w:type="dxa"/>
            <w:vAlign w:val="bottom"/>
          </w:tcPr>
          <w:p>
            <w:pPr>
              <w:spacing w:after="0"/>
              <w:rPr>
                <w:sz w:val="19"/>
                <w:szCs w:val="19"/>
                <w:color w:val="auto"/>
              </w:rPr>
            </w:pPr>
          </w:p>
        </w:tc>
        <w:tc>
          <w:tcPr>
            <w:tcW w:w="7840" w:type="dxa"/>
            <w:vAlign w:val="bottom"/>
          </w:tcPr>
          <w:p>
            <w:pPr>
              <w:ind w:left="220"/>
              <w:spacing w:after="0"/>
              <w:rPr>
                <w:sz w:val="20"/>
                <w:szCs w:val="20"/>
                <w:color w:val="auto"/>
              </w:rPr>
            </w:pPr>
            <w:r>
              <w:rPr>
                <w:rFonts w:ascii="Arial" w:cs="Arial" w:eastAsia="Arial" w:hAnsi="Arial"/>
                <w:sz w:val="16"/>
                <w:szCs w:val="16"/>
                <w:color w:val="auto"/>
              </w:rPr>
              <w:t>the six facilities and own 20% of Wyodak Plant.</w:t>
            </w:r>
          </w:p>
        </w:tc>
      </w:tr>
      <w:tr>
        <w:trPr>
          <w:trHeight w:val="278"/>
        </w:trPr>
        <w:tc>
          <w:tcPr>
            <w:tcW w:w="3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GWh</w:t>
            </w:r>
          </w:p>
        </w:tc>
        <w:tc>
          <w:tcPr>
            <w:tcW w:w="78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Gigawatt Hours</w:t>
            </w:r>
          </w:p>
        </w:tc>
      </w:tr>
      <w:tr>
        <w:trPr>
          <w:trHeight w:val="229"/>
        </w:trPr>
        <w:tc>
          <w:tcPr>
            <w:tcW w:w="3400" w:type="dxa"/>
            <w:vAlign w:val="bottom"/>
          </w:tcPr>
          <w:p>
            <w:pPr>
              <w:ind w:left="20"/>
              <w:spacing w:after="0"/>
              <w:rPr>
                <w:sz w:val="20"/>
                <w:szCs w:val="20"/>
                <w:color w:val="auto"/>
              </w:rPr>
            </w:pPr>
            <w:r>
              <w:rPr>
                <w:rFonts w:ascii="Arial" w:cs="Arial" w:eastAsia="Arial" w:hAnsi="Arial"/>
                <w:sz w:val="16"/>
                <w:szCs w:val="16"/>
                <w:color w:val="auto"/>
              </w:rPr>
              <w:t>Heating Degree Day</w:t>
            </w:r>
          </w:p>
        </w:tc>
        <w:tc>
          <w:tcPr>
            <w:tcW w:w="7840" w:type="dxa"/>
            <w:vAlign w:val="bottom"/>
          </w:tcPr>
          <w:p>
            <w:pPr>
              <w:ind w:left="220"/>
              <w:spacing w:after="0"/>
              <w:rPr>
                <w:sz w:val="20"/>
                <w:szCs w:val="20"/>
                <w:color w:val="auto"/>
              </w:rPr>
            </w:pPr>
            <w:r>
              <w:rPr>
                <w:rFonts w:ascii="Arial" w:cs="Arial" w:eastAsia="Arial" w:hAnsi="Arial"/>
                <w:sz w:val="16"/>
                <w:szCs w:val="16"/>
                <w:color w:val="auto"/>
              </w:rPr>
              <w:t>A heating degree day is equivalent to each degree that the average of the high and the low temperatures</w:t>
            </w:r>
          </w:p>
        </w:tc>
      </w:tr>
      <w:tr>
        <w:trPr>
          <w:trHeight w:val="189"/>
        </w:trPr>
        <w:tc>
          <w:tcPr>
            <w:tcW w:w="3400" w:type="dxa"/>
            <w:vAlign w:val="bottom"/>
          </w:tcPr>
          <w:p>
            <w:pPr>
              <w:spacing w:after="0"/>
              <w:rPr>
                <w:sz w:val="16"/>
                <w:szCs w:val="16"/>
                <w:color w:val="auto"/>
              </w:rPr>
            </w:pPr>
          </w:p>
        </w:tc>
        <w:tc>
          <w:tcPr>
            <w:tcW w:w="7840" w:type="dxa"/>
            <w:vAlign w:val="bottom"/>
          </w:tcPr>
          <w:p>
            <w:pPr>
              <w:ind w:left="220"/>
              <w:spacing w:after="0"/>
              <w:rPr>
                <w:sz w:val="20"/>
                <w:szCs w:val="20"/>
                <w:color w:val="auto"/>
              </w:rPr>
            </w:pPr>
            <w:r>
              <w:rPr>
                <w:rFonts w:ascii="Arial" w:cs="Arial" w:eastAsia="Arial" w:hAnsi="Arial"/>
                <w:sz w:val="16"/>
                <w:szCs w:val="16"/>
                <w:color w:val="auto"/>
              </w:rPr>
              <w:t>for a day is below 65 degrees. The colder the climate, the greater the number of heating degree days.</w:t>
            </w:r>
          </w:p>
        </w:tc>
      </w:tr>
      <w:tr>
        <w:trPr>
          <w:trHeight w:val="189"/>
        </w:trPr>
        <w:tc>
          <w:tcPr>
            <w:tcW w:w="3400" w:type="dxa"/>
            <w:vAlign w:val="bottom"/>
          </w:tcPr>
          <w:p>
            <w:pPr>
              <w:spacing w:after="0"/>
              <w:rPr>
                <w:sz w:val="16"/>
                <w:szCs w:val="16"/>
                <w:color w:val="auto"/>
              </w:rPr>
            </w:pPr>
          </w:p>
        </w:tc>
        <w:tc>
          <w:tcPr>
            <w:tcW w:w="7840" w:type="dxa"/>
            <w:vAlign w:val="bottom"/>
          </w:tcPr>
          <w:p>
            <w:pPr>
              <w:ind w:left="220"/>
              <w:spacing w:after="0"/>
              <w:rPr>
                <w:sz w:val="20"/>
                <w:szCs w:val="20"/>
                <w:color w:val="auto"/>
              </w:rPr>
            </w:pPr>
            <w:r>
              <w:rPr>
                <w:rFonts w:ascii="Arial" w:cs="Arial" w:eastAsia="Arial" w:hAnsi="Arial"/>
                <w:sz w:val="16"/>
                <w:szCs w:val="16"/>
                <w:color w:val="auto"/>
              </w:rPr>
              <w:t>Heating degree days are used in the utility industry to measure the relative coldness of weather and to</w:t>
            </w:r>
          </w:p>
        </w:tc>
      </w:tr>
      <w:tr>
        <w:trPr>
          <w:trHeight w:val="189"/>
        </w:trPr>
        <w:tc>
          <w:tcPr>
            <w:tcW w:w="3400" w:type="dxa"/>
            <w:vAlign w:val="bottom"/>
          </w:tcPr>
          <w:p>
            <w:pPr>
              <w:spacing w:after="0"/>
              <w:rPr>
                <w:sz w:val="16"/>
                <w:szCs w:val="16"/>
                <w:color w:val="auto"/>
              </w:rPr>
            </w:pPr>
          </w:p>
        </w:tc>
        <w:tc>
          <w:tcPr>
            <w:tcW w:w="7840" w:type="dxa"/>
            <w:vAlign w:val="bottom"/>
          </w:tcPr>
          <w:p>
            <w:pPr>
              <w:ind w:left="220"/>
              <w:spacing w:after="0"/>
              <w:rPr>
                <w:sz w:val="20"/>
                <w:szCs w:val="20"/>
                <w:color w:val="auto"/>
              </w:rPr>
            </w:pPr>
            <w:r>
              <w:rPr>
                <w:rFonts w:ascii="Arial" w:cs="Arial" w:eastAsia="Arial" w:hAnsi="Arial"/>
                <w:sz w:val="16"/>
                <w:szCs w:val="16"/>
                <w:color w:val="auto"/>
              </w:rPr>
              <w:t>compare relative temperatures between one geographic area and another. Normal degree days are</w:t>
            </w:r>
          </w:p>
        </w:tc>
      </w:tr>
      <w:tr>
        <w:trPr>
          <w:trHeight w:val="222"/>
        </w:trPr>
        <w:tc>
          <w:tcPr>
            <w:tcW w:w="3400" w:type="dxa"/>
            <w:vAlign w:val="bottom"/>
          </w:tcPr>
          <w:p>
            <w:pPr>
              <w:spacing w:after="0"/>
              <w:rPr>
                <w:sz w:val="19"/>
                <w:szCs w:val="19"/>
                <w:color w:val="auto"/>
              </w:rPr>
            </w:pPr>
          </w:p>
        </w:tc>
        <w:tc>
          <w:tcPr>
            <w:tcW w:w="7840" w:type="dxa"/>
            <w:vAlign w:val="bottom"/>
          </w:tcPr>
          <w:p>
            <w:pPr>
              <w:ind w:left="220"/>
              <w:spacing w:after="0"/>
              <w:rPr>
                <w:sz w:val="20"/>
                <w:szCs w:val="20"/>
                <w:color w:val="auto"/>
              </w:rPr>
            </w:pPr>
            <w:r>
              <w:rPr>
                <w:rFonts w:ascii="Arial" w:cs="Arial" w:eastAsia="Arial" w:hAnsi="Arial"/>
                <w:sz w:val="16"/>
                <w:szCs w:val="16"/>
                <w:color w:val="auto"/>
              </w:rPr>
              <w:t>based on the National Weather Service data for selected locations.</w:t>
            </w:r>
          </w:p>
        </w:tc>
      </w:tr>
      <w:tr>
        <w:trPr>
          <w:trHeight w:val="237"/>
        </w:trPr>
        <w:tc>
          <w:tcPr>
            <w:tcW w:w="3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HomeServe</w:t>
            </w:r>
          </w:p>
        </w:tc>
        <w:tc>
          <w:tcPr>
            <w:tcW w:w="78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Products offered to our natural gas residential customers interested in purchasing additional home repair</w:t>
            </w:r>
          </w:p>
        </w:tc>
      </w:tr>
      <w:tr>
        <w:trPr>
          <w:trHeight w:val="230"/>
        </w:trPr>
        <w:tc>
          <w:tcPr>
            <w:tcW w:w="3400" w:type="dxa"/>
            <w:vAlign w:val="bottom"/>
            <w:shd w:val="clear" w:color="auto" w:fill="CFF0FC"/>
          </w:tcPr>
          <w:p>
            <w:pPr>
              <w:spacing w:after="0"/>
              <w:rPr>
                <w:sz w:val="20"/>
                <w:szCs w:val="20"/>
                <w:color w:val="auto"/>
              </w:rPr>
            </w:pPr>
          </w:p>
        </w:tc>
        <w:tc>
          <w:tcPr>
            <w:tcW w:w="78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service plans.</w:t>
            </w:r>
          </w:p>
        </w:tc>
      </w:tr>
      <w:tr>
        <w:trPr>
          <w:trHeight w:val="229"/>
        </w:trPr>
        <w:tc>
          <w:tcPr>
            <w:tcW w:w="3400" w:type="dxa"/>
            <w:vAlign w:val="bottom"/>
          </w:tcPr>
          <w:p>
            <w:pPr>
              <w:ind w:left="20"/>
              <w:spacing w:after="0"/>
              <w:rPr>
                <w:sz w:val="20"/>
                <w:szCs w:val="20"/>
                <w:color w:val="auto"/>
              </w:rPr>
            </w:pPr>
            <w:r>
              <w:rPr>
                <w:rFonts w:ascii="Arial" w:cs="Arial" w:eastAsia="Arial" w:hAnsi="Arial"/>
                <w:sz w:val="16"/>
                <w:szCs w:val="16"/>
                <w:color w:val="auto"/>
              </w:rPr>
              <w:t>Information systems</w:t>
            </w:r>
          </w:p>
        </w:tc>
        <w:tc>
          <w:tcPr>
            <w:tcW w:w="7840" w:type="dxa"/>
            <w:vAlign w:val="bottom"/>
          </w:tcPr>
          <w:p>
            <w:pPr>
              <w:ind w:left="220"/>
              <w:spacing w:after="0"/>
              <w:rPr>
                <w:sz w:val="20"/>
                <w:szCs w:val="20"/>
                <w:color w:val="auto"/>
              </w:rPr>
            </w:pPr>
            <w:r>
              <w:rPr>
                <w:rFonts w:ascii="Arial" w:cs="Arial" w:eastAsia="Arial" w:hAnsi="Arial"/>
                <w:sz w:val="16"/>
                <w:szCs w:val="16"/>
                <w:color w:val="auto"/>
              </w:rPr>
              <w:t>Electronic information resources, owned or used by the registrant, including physical or virtual</w:t>
            </w:r>
          </w:p>
        </w:tc>
      </w:tr>
      <w:tr>
        <w:trPr>
          <w:trHeight w:val="189"/>
        </w:trPr>
        <w:tc>
          <w:tcPr>
            <w:tcW w:w="3400" w:type="dxa"/>
            <w:vAlign w:val="bottom"/>
          </w:tcPr>
          <w:p>
            <w:pPr>
              <w:spacing w:after="0"/>
              <w:rPr>
                <w:sz w:val="16"/>
                <w:szCs w:val="16"/>
                <w:color w:val="auto"/>
              </w:rPr>
            </w:pPr>
          </w:p>
        </w:tc>
        <w:tc>
          <w:tcPr>
            <w:tcW w:w="7840" w:type="dxa"/>
            <w:vAlign w:val="bottom"/>
          </w:tcPr>
          <w:p>
            <w:pPr>
              <w:ind w:left="220"/>
              <w:spacing w:after="0"/>
              <w:rPr>
                <w:sz w:val="20"/>
                <w:szCs w:val="20"/>
                <w:color w:val="auto"/>
              </w:rPr>
            </w:pPr>
            <w:r>
              <w:rPr>
                <w:rFonts w:ascii="Arial" w:cs="Arial" w:eastAsia="Arial" w:hAnsi="Arial"/>
                <w:sz w:val="16"/>
                <w:szCs w:val="16"/>
                <w:color w:val="auto"/>
              </w:rPr>
              <w:t>infrastructure controlled by such information resources, or components thereof, organized for the</w:t>
            </w:r>
          </w:p>
        </w:tc>
      </w:tr>
      <w:tr>
        <w:trPr>
          <w:trHeight w:val="189"/>
        </w:trPr>
        <w:tc>
          <w:tcPr>
            <w:tcW w:w="3400" w:type="dxa"/>
            <w:vAlign w:val="bottom"/>
          </w:tcPr>
          <w:p>
            <w:pPr>
              <w:spacing w:after="0"/>
              <w:rPr>
                <w:sz w:val="16"/>
                <w:szCs w:val="16"/>
                <w:color w:val="auto"/>
              </w:rPr>
            </w:pPr>
          </w:p>
        </w:tc>
        <w:tc>
          <w:tcPr>
            <w:tcW w:w="7840" w:type="dxa"/>
            <w:vAlign w:val="bottom"/>
          </w:tcPr>
          <w:p>
            <w:pPr>
              <w:ind w:left="220"/>
              <w:spacing w:after="0"/>
              <w:rPr>
                <w:sz w:val="20"/>
                <w:szCs w:val="20"/>
                <w:color w:val="auto"/>
              </w:rPr>
            </w:pPr>
            <w:r>
              <w:rPr>
                <w:rFonts w:ascii="Arial" w:cs="Arial" w:eastAsia="Arial" w:hAnsi="Arial"/>
                <w:sz w:val="16"/>
                <w:szCs w:val="16"/>
                <w:color w:val="auto"/>
              </w:rPr>
              <w:t>collection, processing, maintenance, use, sharing, dissemination, or disposition of the registrant’s</w:t>
            </w:r>
          </w:p>
        </w:tc>
      </w:tr>
      <w:tr>
        <w:trPr>
          <w:trHeight w:val="222"/>
        </w:trPr>
        <w:tc>
          <w:tcPr>
            <w:tcW w:w="3400" w:type="dxa"/>
            <w:vAlign w:val="bottom"/>
          </w:tcPr>
          <w:p>
            <w:pPr>
              <w:spacing w:after="0"/>
              <w:rPr>
                <w:sz w:val="19"/>
                <w:szCs w:val="19"/>
                <w:color w:val="auto"/>
              </w:rPr>
            </w:pPr>
          </w:p>
        </w:tc>
        <w:tc>
          <w:tcPr>
            <w:tcW w:w="7840" w:type="dxa"/>
            <w:vAlign w:val="bottom"/>
          </w:tcPr>
          <w:p>
            <w:pPr>
              <w:ind w:left="220"/>
              <w:spacing w:after="0"/>
              <w:rPr>
                <w:sz w:val="20"/>
                <w:szCs w:val="20"/>
                <w:color w:val="auto"/>
              </w:rPr>
            </w:pPr>
            <w:r>
              <w:rPr>
                <w:rFonts w:ascii="Arial" w:cs="Arial" w:eastAsia="Arial" w:hAnsi="Arial"/>
                <w:sz w:val="16"/>
                <w:szCs w:val="16"/>
                <w:color w:val="auto"/>
              </w:rPr>
              <w:t>information to maintain or support the registrant’s operations.</w:t>
            </w:r>
          </w:p>
        </w:tc>
      </w:tr>
      <w:tr>
        <w:trPr>
          <w:trHeight w:val="237"/>
        </w:trPr>
        <w:tc>
          <w:tcPr>
            <w:tcW w:w="3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Integrated Generation</w:t>
            </w:r>
          </w:p>
        </w:tc>
        <w:tc>
          <w:tcPr>
            <w:tcW w:w="78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Non-regulated power generation and mining businesses (Black Hills Electric Generation and WRDC) that</w:t>
            </w:r>
          </w:p>
        </w:tc>
      </w:tr>
      <w:tr>
        <w:trPr>
          <w:trHeight w:val="230"/>
        </w:trPr>
        <w:tc>
          <w:tcPr>
            <w:tcW w:w="3400" w:type="dxa"/>
            <w:vAlign w:val="bottom"/>
            <w:shd w:val="clear" w:color="auto" w:fill="CFF0FC"/>
          </w:tcPr>
          <w:p>
            <w:pPr>
              <w:spacing w:after="0"/>
              <w:rPr>
                <w:sz w:val="20"/>
                <w:szCs w:val="20"/>
                <w:color w:val="auto"/>
              </w:rPr>
            </w:pPr>
          </w:p>
        </w:tc>
        <w:tc>
          <w:tcPr>
            <w:tcW w:w="78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are vertically integrated within our Electric Utilities segment.</w:t>
            </w:r>
          </w:p>
        </w:tc>
      </w:tr>
      <w:tr>
        <w:trPr>
          <w:trHeight w:val="229"/>
        </w:trPr>
        <w:tc>
          <w:tcPr>
            <w:tcW w:w="3400" w:type="dxa"/>
            <w:vAlign w:val="bottom"/>
          </w:tcPr>
          <w:p>
            <w:pPr>
              <w:ind w:left="20"/>
              <w:spacing w:after="0"/>
              <w:rPr>
                <w:sz w:val="20"/>
                <w:szCs w:val="20"/>
                <w:color w:val="auto"/>
              </w:rPr>
            </w:pPr>
            <w:r>
              <w:rPr>
                <w:rFonts w:ascii="Arial" w:cs="Arial" w:eastAsia="Arial" w:hAnsi="Arial"/>
                <w:sz w:val="16"/>
                <w:szCs w:val="16"/>
                <w:color w:val="auto"/>
              </w:rPr>
              <w:t>Iowa Gas</w:t>
            </w:r>
          </w:p>
        </w:tc>
        <w:tc>
          <w:tcPr>
            <w:tcW w:w="7840" w:type="dxa"/>
            <w:vAlign w:val="bottom"/>
          </w:tcPr>
          <w:p>
            <w:pPr>
              <w:ind w:left="220"/>
              <w:spacing w:after="0"/>
              <w:rPr>
                <w:sz w:val="20"/>
                <w:szCs w:val="20"/>
                <w:color w:val="auto"/>
              </w:rPr>
            </w:pPr>
            <w:r>
              <w:rPr>
                <w:rFonts w:ascii="Arial" w:cs="Arial" w:eastAsia="Arial" w:hAnsi="Arial"/>
                <w:sz w:val="16"/>
                <w:szCs w:val="16"/>
                <w:color w:val="auto"/>
              </w:rPr>
              <w:t>Black Hills Iowa Gas Utility Company, LLC, a direct, wholly-owned subsidiary of Black Hills Utility</w:t>
            </w:r>
          </w:p>
        </w:tc>
      </w:tr>
      <w:tr>
        <w:trPr>
          <w:trHeight w:val="222"/>
        </w:trPr>
        <w:tc>
          <w:tcPr>
            <w:tcW w:w="3400" w:type="dxa"/>
            <w:vAlign w:val="bottom"/>
          </w:tcPr>
          <w:p>
            <w:pPr>
              <w:spacing w:after="0"/>
              <w:rPr>
                <w:sz w:val="19"/>
                <w:szCs w:val="19"/>
                <w:color w:val="auto"/>
              </w:rPr>
            </w:pPr>
          </w:p>
        </w:tc>
        <w:tc>
          <w:tcPr>
            <w:tcW w:w="7840" w:type="dxa"/>
            <w:vAlign w:val="bottom"/>
          </w:tcPr>
          <w:p>
            <w:pPr>
              <w:ind w:left="220"/>
              <w:spacing w:after="0"/>
              <w:rPr>
                <w:sz w:val="20"/>
                <w:szCs w:val="20"/>
                <w:color w:val="auto"/>
              </w:rPr>
            </w:pPr>
            <w:r>
              <w:rPr>
                <w:rFonts w:ascii="Arial" w:cs="Arial" w:eastAsia="Arial" w:hAnsi="Arial"/>
                <w:sz w:val="16"/>
                <w:szCs w:val="16"/>
                <w:color w:val="auto"/>
              </w:rPr>
              <w:t>Holdings, providing natural gas services to customers in Iowa (doing business as Black Hills Energy).</w:t>
            </w:r>
          </w:p>
        </w:tc>
      </w:tr>
      <w:tr>
        <w:trPr>
          <w:trHeight w:val="278"/>
        </w:trPr>
        <w:tc>
          <w:tcPr>
            <w:tcW w:w="3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IPP</w:t>
            </w:r>
          </w:p>
        </w:tc>
        <w:tc>
          <w:tcPr>
            <w:tcW w:w="78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Independent Power Producer</w:t>
            </w:r>
          </w:p>
        </w:tc>
      </w:tr>
      <w:tr>
        <w:trPr>
          <w:trHeight w:val="262"/>
        </w:trPr>
        <w:tc>
          <w:tcPr>
            <w:tcW w:w="3400" w:type="dxa"/>
            <w:vAlign w:val="bottom"/>
          </w:tcPr>
          <w:p>
            <w:pPr>
              <w:ind w:left="20"/>
              <w:spacing w:after="0"/>
              <w:rPr>
                <w:sz w:val="20"/>
                <w:szCs w:val="20"/>
                <w:color w:val="auto"/>
              </w:rPr>
            </w:pPr>
            <w:r>
              <w:rPr>
                <w:rFonts w:ascii="Arial" w:cs="Arial" w:eastAsia="Arial" w:hAnsi="Arial"/>
                <w:sz w:val="16"/>
                <w:szCs w:val="16"/>
                <w:color w:val="auto"/>
              </w:rPr>
              <w:t>IRA</w:t>
            </w:r>
          </w:p>
        </w:tc>
        <w:tc>
          <w:tcPr>
            <w:tcW w:w="7840" w:type="dxa"/>
            <w:vAlign w:val="bottom"/>
          </w:tcPr>
          <w:p>
            <w:pPr>
              <w:ind w:left="220"/>
              <w:spacing w:after="0"/>
              <w:rPr>
                <w:sz w:val="20"/>
                <w:szCs w:val="20"/>
                <w:color w:val="auto"/>
              </w:rPr>
            </w:pPr>
            <w:r>
              <w:rPr>
                <w:rFonts w:ascii="Arial" w:cs="Arial" w:eastAsia="Arial" w:hAnsi="Arial"/>
                <w:sz w:val="16"/>
                <w:szCs w:val="16"/>
                <w:color w:val="auto"/>
              </w:rPr>
              <w:t>Inflation Reduction Act of 2022</w:t>
            </w:r>
          </w:p>
        </w:tc>
      </w:tr>
      <w:tr>
        <w:trPr>
          <w:trHeight w:val="278"/>
        </w:trPr>
        <w:tc>
          <w:tcPr>
            <w:tcW w:w="3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IRC</w:t>
            </w:r>
          </w:p>
        </w:tc>
        <w:tc>
          <w:tcPr>
            <w:tcW w:w="78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Internal Revenue Code</w:t>
            </w:r>
          </w:p>
        </w:tc>
      </w:tr>
      <w:tr>
        <w:trPr>
          <w:trHeight w:val="262"/>
        </w:trPr>
        <w:tc>
          <w:tcPr>
            <w:tcW w:w="3400" w:type="dxa"/>
            <w:vAlign w:val="bottom"/>
          </w:tcPr>
          <w:p>
            <w:pPr>
              <w:ind w:left="20"/>
              <w:spacing w:after="0"/>
              <w:rPr>
                <w:sz w:val="20"/>
                <w:szCs w:val="20"/>
                <w:color w:val="auto"/>
              </w:rPr>
            </w:pPr>
            <w:r>
              <w:rPr>
                <w:rFonts w:ascii="Arial" w:cs="Arial" w:eastAsia="Arial" w:hAnsi="Arial"/>
                <w:sz w:val="16"/>
                <w:szCs w:val="16"/>
                <w:color w:val="auto"/>
              </w:rPr>
              <w:t>IRP</w:t>
            </w:r>
          </w:p>
        </w:tc>
        <w:tc>
          <w:tcPr>
            <w:tcW w:w="7840" w:type="dxa"/>
            <w:vAlign w:val="bottom"/>
          </w:tcPr>
          <w:p>
            <w:pPr>
              <w:ind w:left="220"/>
              <w:spacing w:after="0"/>
              <w:rPr>
                <w:sz w:val="20"/>
                <w:szCs w:val="20"/>
                <w:color w:val="auto"/>
              </w:rPr>
            </w:pPr>
            <w:r>
              <w:rPr>
                <w:rFonts w:ascii="Arial" w:cs="Arial" w:eastAsia="Arial" w:hAnsi="Arial"/>
                <w:sz w:val="16"/>
                <w:szCs w:val="16"/>
                <w:color w:val="auto"/>
              </w:rPr>
              <w:t>Integrated Resource Plan</w:t>
            </w:r>
          </w:p>
        </w:tc>
      </w:tr>
      <w:tr>
        <w:trPr>
          <w:trHeight w:val="278"/>
        </w:trPr>
        <w:tc>
          <w:tcPr>
            <w:tcW w:w="3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IRS</w:t>
            </w:r>
          </w:p>
        </w:tc>
        <w:tc>
          <w:tcPr>
            <w:tcW w:w="78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United States Internal Revenue Service</w:t>
            </w:r>
          </w:p>
        </w:tc>
      </w:tr>
      <w:tr>
        <w:trPr>
          <w:trHeight w:val="262"/>
        </w:trPr>
        <w:tc>
          <w:tcPr>
            <w:tcW w:w="3400" w:type="dxa"/>
            <w:vAlign w:val="bottom"/>
          </w:tcPr>
          <w:p>
            <w:pPr>
              <w:ind w:left="20"/>
              <w:spacing w:after="0"/>
              <w:rPr>
                <w:sz w:val="20"/>
                <w:szCs w:val="20"/>
                <w:color w:val="auto"/>
              </w:rPr>
            </w:pPr>
            <w:r>
              <w:rPr>
                <w:rFonts w:ascii="Arial" w:cs="Arial" w:eastAsia="Arial" w:hAnsi="Arial"/>
                <w:sz w:val="16"/>
                <w:szCs w:val="16"/>
                <w:color w:val="auto"/>
              </w:rPr>
              <w:t>ITC</w:t>
            </w:r>
          </w:p>
        </w:tc>
        <w:tc>
          <w:tcPr>
            <w:tcW w:w="7840" w:type="dxa"/>
            <w:vAlign w:val="bottom"/>
          </w:tcPr>
          <w:p>
            <w:pPr>
              <w:ind w:left="220"/>
              <w:spacing w:after="0"/>
              <w:rPr>
                <w:sz w:val="20"/>
                <w:szCs w:val="20"/>
                <w:color w:val="auto"/>
              </w:rPr>
            </w:pPr>
            <w:r>
              <w:rPr>
                <w:rFonts w:ascii="Arial" w:cs="Arial" w:eastAsia="Arial" w:hAnsi="Arial"/>
                <w:sz w:val="16"/>
                <w:szCs w:val="16"/>
                <w:color w:val="auto"/>
              </w:rPr>
              <w:t>Investment Tax Credit</w:t>
            </w:r>
          </w:p>
        </w:tc>
      </w:tr>
      <w:tr>
        <w:trPr>
          <w:trHeight w:val="278"/>
        </w:trPr>
        <w:tc>
          <w:tcPr>
            <w:tcW w:w="3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IUC</w:t>
            </w:r>
          </w:p>
        </w:tc>
        <w:tc>
          <w:tcPr>
            <w:tcW w:w="78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Iowa Utilities Commission</w:t>
            </w:r>
          </w:p>
        </w:tc>
      </w:tr>
      <w:tr>
        <w:trPr>
          <w:trHeight w:val="229"/>
        </w:trPr>
        <w:tc>
          <w:tcPr>
            <w:tcW w:w="3400" w:type="dxa"/>
            <w:vAlign w:val="bottom"/>
          </w:tcPr>
          <w:p>
            <w:pPr>
              <w:ind w:left="20"/>
              <w:spacing w:after="0"/>
              <w:rPr>
                <w:sz w:val="20"/>
                <w:szCs w:val="20"/>
                <w:color w:val="auto"/>
              </w:rPr>
            </w:pPr>
            <w:r>
              <w:rPr>
                <w:rFonts w:ascii="Arial" w:cs="Arial" w:eastAsia="Arial" w:hAnsi="Arial"/>
                <w:sz w:val="16"/>
                <w:szCs w:val="16"/>
                <w:color w:val="auto"/>
              </w:rPr>
              <w:t>Kansas Gas</w:t>
            </w:r>
          </w:p>
        </w:tc>
        <w:tc>
          <w:tcPr>
            <w:tcW w:w="7840" w:type="dxa"/>
            <w:vAlign w:val="bottom"/>
          </w:tcPr>
          <w:p>
            <w:pPr>
              <w:ind w:left="220"/>
              <w:spacing w:after="0"/>
              <w:rPr>
                <w:sz w:val="20"/>
                <w:szCs w:val="20"/>
                <w:color w:val="auto"/>
              </w:rPr>
            </w:pPr>
            <w:r>
              <w:rPr>
                <w:rFonts w:ascii="Arial" w:cs="Arial" w:eastAsia="Arial" w:hAnsi="Arial"/>
                <w:sz w:val="16"/>
                <w:szCs w:val="16"/>
                <w:color w:val="auto"/>
              </w:rPr>
              <w:t>Black Hills Kansas Gas Utility Company, LLC, a direct, wholly-owned subsidiary of Black Hills Utility</w:t>
            </w:r>
          </w:p>
        </w:tc>
      </w:tr>
      <w:tr>
        <w:trPr>
          <w:trHeight w:val="222"/>
        </w:trPr>
        <w:tc>
          <w:tcPr>
            <w:tcW w:w="3400" w:type="dxa"/>
            <w:vAlign w:val="bottom"/>
          </w:tcPr>
          <w:p>
            <w:pPr>
              <w:spacing w:after="0"/>
              <w:rPr>
                <w:sz w:val="19"/>
                <w:szCs w:val="19"/>
                <w:color w:val="auto"/>
              </w:rPr>
            </w:pPr>
          </w:p>
        </w:tc>
        <w:tc>
          <w:tcPr>
            <w:tcW w:w="7840" w:type="dxa"/>
            <w:vAlign w:val="bottom"/>
          </w:tcPr>
          <w:p>
            <w:pPr>
              <w:ind w:left="220"/>
              <w:spacing w:after="0"/>
              <w:rPr>
                <w:sz w:val="20"/>
                <w:szCs w:val="20"/>
                <w:color w:val="auto"/>
              </w:rPr>
            </w:pPr>
            <w:r>
              <w:rPr>
                <w:rFonts w:ascii="Arial" w:cs="Arial" w:eastAsia="Arial" w:hAnsi="Arial"/>
                <w:sz w:val="16"/>
                <w:szCs w:val="16"/>
                <w:color w:val="auto"/>
              </w:rPr>
              <w:t>Holdings, providing natural gas services to customers in Kansas (doing business as Black Hills Energy).</w:t>
            </w:r>
          </w:p>
        </w:tc>
      </w:tr>
      <w:tr>
        <w:trPr>
          <w:trHeight w:val="278"/>
        </w:trPr>
        <w:tc>
          <w:tcPr>
            <w:tcW w:w="3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KCC</w:t>
            </w:r>
          </w:p>
        </w:tc>
        <w:tc>
          <w:tcPr>
            <w:tcW w:w="78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Kansas Corporation Commission</w:t>
            </w:r>
          </w:p>
        </w:tc>
      </w:tr>
      <w:tr>
        <w:trPr>
          <w:trHeight w:val="262"/>
        </w:trPr>
        <w:tc>
          <w:tcPr>
            <w:tcW w:w="3400" w:type="dxa"/>
            <w:vAlign w:val="bottom"/>
          </w:tcPr>
          <w:p>
            <w:pPr>
              <w:ind w:left="20"/>
              <w:spacing w:after="0"/>
              <w:rPr>
                <w:sz w:val="20"/>
                <w:szCs w:val="20"/>
                <w:color w:val="auto"/>
              </w:rPr>
            </w:pPr>
            <w:r>
              <w:rPr>
                <w:rFonts w:ascii="Arial" w:cs="Arial" w:eastAsia="Arial" w:hAnsi="Arial"/>
                <w:sz w:val="16"/>
                <w:szCs w:val="16"/>
                <w:color w:val="auto"/>
              </w:rPr>
              <w:t>kV</w:t>
            </w:r>
          </w:p>
        </w:tc>
        <w:tc>
          <w:tcPr>
            <w:tcW w:w="7840" w:type="dxa"/>
            <w:vAlign w:val="bottom"/>
          </w:tcPr>
          <w:p>
            <w:pPr>
              <w:ind w:left="220"/>
              <w:spacing w:after="0"/>
              <w:rPr>
                <w:sz w:val="20"/>
                <w:szCs w:val="20"/>
                <w:color w:val="auto"/>
              </w:rPr>
            </w:pPr>
            <w:r>
              <w:rPr>
                <w:rFonts w:ascii="Arial" w:cs="Arial" w:eastAsia="Arial" w:hAnsi="Arial"/>
                <w:sz w:val="16"/>
                <w:szCs w:val="16"/>
                <w:color w:val="auto"/>
              </w:rPr>
              <w:t>Kilovolt</w:t>
            </w:r>
          </w:p>
        </w:tc>
      </w:tr>
      <w:tr>
        <w:trPr>
          <w:trHeight w:val="237"/>
        </w:trPr>
        <w:tc>
          <w:tcPr>
            <w:tcW w:w="3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Large Power Contract Service (LPCS) Tariff</w:t>
            </w:r>
          </w:p>
        </w:tc>
        <w:tc>
          <w:tcPr>
            <w:tcW w:w="78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Innovative tariff solution developed in collaboration with Microsoft and approved by the WPSC in 2016.</w:t>
            </w:r>
          </w:p>
        </w:tc>
      </w:tr>
      <w:tr>
        <w:trPr>
          <w:trHeight w:val="189"/>
        </w:trPr>
        <w:tc>
          <w:tcPr>
            <w:tcW w:w="3400" w:type="dxa"/>
            <w:vAlign w:val="bottom"/>
            <w:shd w:val="clear" w:color="auto" w:fill="CFF0FC"/>
          </w:tcPr>
          <w:p>
            <w:pPr>
              <w:spacing w:after="0"/>
              <w:rPr>
                <w:sz w:val="16"/>
                <w:szCs w:val="16"/>
                <w:color w:val="auto"/>
              </w:rPr>
            </w:pPr>
          </w:p>
        </w:tc>
        <w:tc>
          <w:tcPr>
            <w:tcW w:w="78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The LPSC is applicable to Wyoming Electric retail customers with new loads of 13 MW or greater who</w:t>
            </w:r>
          </w:p>
        </w:tc>
      </w:tr>
      <w:tr>
        <w:trPr>
          <w:trHeight w:val="189"/>
        </w:trPr>
        <w:tc>
          <w:tcPr>
            <w:tcW w:w="3400" w:type="dxa"/>
            <w:vAlign w:val="bottom"/>
            <w:shd w:val="clear" w:color="auto" w:fill="CFF0FC"/>
          </w:tcPr>
          <w:p>
            <w:pPr>
              <w:spacing w:after="0"/>
              <w:rPr>
                <w:sz w:val="16"/>
                <w:szCs w:val="16"/>
                <w:color w:val="auto"/>
              </w:rPr>
            </w:pPr>
          </w:p>
        </w:tc>
        <w:tc>
          <w:tcPr>
            <w:tcW w:w="78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agree to Black Hills Energy-dispatched, customer-owned generation, on-site for the purpose of providing</w:t>
            </w:r>
          </w:p>
        </w:tc>
      </w:tr>
      <w:tr>
        <w:trPr>
          <w:trHeight w:val="189"/>
        </w:trPr>
        <w:tc>
          <w:tcPr>
            <w:tcW w:w="3400" w:type="dxa"/>
            <w:vAlign w:val="bottom"/>
            <w:shd w:val="clear" w:color="auto" w:fill="CFF0FC"/>
          </w:tcPr>
          <w:p>
            <w:pPr>
              <w:spacing w:after="0"/>
              <w:rPr>
                <w:sz w:val="16"/>
                <w:szCs w:val="16"/>
                <w:color w:val="auto"/>
              </w:rPr>
            </w:pPr>
          </w:p>
        </w:tc>
        <w:tc>
          <w:tcPr>
            <w:tcW w:w="78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backup service for the customer’s load and maintaining reliability. If the parties agree through negotiations</w:t>
            </w:r>
          </w:p>
        </w:tc>
      </w:tr>
      <w:tr>
        <w:trPr>
          <w:trHeight w:val="189"/>
        </w:trPr>
        <w:tc>
          <w:tcPr>
            <w:tcW w:w="3400" w:type="dxa"/>
            <w:vAlign w:val="bottom"/>
            <w:shd w:val="clear" w:color="auto" w:fill="CFF0FC"/>
          </w:tcPr>
          <w:p>
            <w:pPr>
              <w:spacing w:after="0"/>
              <w:rPr>
                <w:sz w:val="16"/>
                <w:szCs w:val="16"/>
                <w:color w:val="auto"/>
              </w:rPr>
            </w:pPr>
          </w:p>
        </w:tc>
        <w:tc>
          <w:tcPr>
            <w:tcW w:w="78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to electric service through this tariff, a Large Power Service Agreement will be executed. The associated</w:t>
            </w:r>
          </w:p>
        </w:tc>
      </w:tr>
      <w:tr>
        <w:trPr>
          <w:trHeight w:val="189"/>
        </w:trPr>
        <w:tc>
          <w:tcPr>
            <w:tcW w:w="3400" w:type="dxa"/>
            <w:vAlign w:val="bottom"/>
            <w:shd w:val="clear" w:color="auto" w:fill="CFF0FC"/>
          </w:tcPr>
          <w:p>
            <w:pPr>
              <w:spacing w:after="0"/>
              <w:rPr>
                <w:sz w:val="16"/>
                <w:szCs w:val="16"/>
                <w:color w:val="auto"/>
              </w:rPr>
            </w:pPr>
          </w:p>
        </w:tc>
        <w:tc>
          <w:tcPr>
            <w:tcW w:w="78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service agreement provides qualifying customers with market-based energy rates and access to</w:t>
            </w:r>
          </w:p>
        </w:tc>
      </w:tr>
      <w:tr>
        <w:trPr>
          <w:trHeight w:val="189"/>
        </w:trPr>
        <w:tc>
          <w:tcPr>
            <w:tcW w:w="3400" w:type="dxa"/>
            <w:vAlign w:val="bottom"/>
            <w:shd w:val="clear" w:color="auto" w:fill="CFF0FC"/>
          </w:tcPr>
          <w:p>
            <w:pPr>
              <w:spacing w:after="0"/>
              <w:rPr>
                <w:sz w:val="16"/>
                <w:szCs w:val="16"/>
                <w:color w:val="auto"/>
              </w:rPr>
            </w:pPr>
          </w:p>
        </w:tc>
        <w:tc>
          <w:tcPr>
            <w:tcW w:w="78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renewable energy resources that is not served from utility-owned generation (i.e. minimal capital model for</w:t>
            </w:r>
          </w:p>
        </w:tc>
      </w:tr>
      <w:tr>
        <w:trPr>
          <w:trHeight w:val="189"/>
        </w:trPr>
        <w:tc>
          <w:tcPr>
            <w:tcW w:w="3400" w:type="dxa"/>
            <w:vAlign w:val="bottom"/>
            <w:shd w:val="clear" w:color="auto" w:fill="CFF0FC"/>
          </w:tcPr>
          <w:p>
            <w:pPr>
              <w:spacing w:after="0"/>
              <w:rPr>
                <w:sz w:val="16"/>
                <w:szCs w:val="16"/>
                <w:color w:val="auto"/>
              </w:rPr>
            </w:pPr>
          </w:p>
        </w:tc>
        <w:tc>
          <w:tcPr>
            <w:tcW w:w="78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Wyoming Electric). Customers shall not participate in the PCA or TCAM to the extent of service received</w:t>
            </w:r>
          </w:p>
        </w:tc>
      </w:tr>
      <w:tr>
        <w:trPr>
          <w:trHeight w:val="230"/>
        </w:trPr>
        <w:tc>
          <w:tcPr>
            <w:tcW w:w="3400" w:type="dxa"/>
            <w:vAlign w:val="bottom"/>
            <w:shd w:val="clear" w:color="auto" w:fill="CFF0FC"/>
          </w:tcPr>
          <w:p>
            <w:pPr>
              <w:spacing w:after="0"/>
              <w:rPr>
                <w:sz w:val="20"/>
                <w:szCs w:val="20"/>
                <w:color w:val="auto"/>
              </w:rPr>
            </w:pPr>
          </w:p>
        </w:tc>
        <w:tc>
          <w:tcPr>
            <w:tcW w:w="78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under the tariff.</w:t>
            </w:r>
          </w:p>
        </w:tc>
      </w:tr>
      <w:tr>
        <w:trPr>
          <w:trHeight w:val="262"/>
        </w:trPr>
        <w:tc>
          <w:tcPr>
            <w:tcW w:w="3400" w:type="dxa"/>
            <w:vAlign w:val="bottom"/>
          </w:tcPr>
          <w:p>
            <w:pPr>
              <w:ind w:left="20"/>
              <w:spacing w:after="0"/>
              <w:rPr>
                <w:sz w:val="20"/>
                <w:szCs w:val="20"/>
                <w:color w:val="auto"/>
              </w:rPr>
            </w:pPr>
            <w:r>
              <w:rPr>
                <w:rFonts w:ascii="Arial" w:cs="Arial" w:eastAsia="Arial" w:hAnsi="Arial"/>
                <w:sz w:val="16"/>
                <w:szCs w:val="16"/>
                <w:color w:val="auto"/>
              </w:rPr>
              <w:t>Mcf</w:t>
            </w:r>
          </w:p>
        </w:tc>
        <w:tc>
          <w:tcPr>
            <w:tcW w:w="7840" w:type="dxa"/>
            <w:vAlign w:val="bottom"/>
          </w:tcPr>
          <w:p>
            <w:pPr>
              <w:ind w:left="220"/>
              <w:spacing w:after="0"/>
              <w:rPr>
                <w:sz w:val="20"/>
                <w:szCs w:val="20"/>
                <w:color w:val="auto"/>
              </w:rPr>
            </w:pPr>
            <w:r>
              <w:rPr>
                <w:rFonts w:ascii="Arial" w:cs="Arial" w:eastAsia="Arial" w:hAnsi="Arial"/>
                <w:sz w:val="16"/>
                <w:szCs w:val="16"/>
                <w:color w:val="auto"/>
              </w:rPr>
              <w:t>Thousand cubic feet</w:t>
            </w:r>
          </w:p>
        </w:tc>
      </w:tr>
      <w:tr>
        <w:trPr>
          <w:trHeight w:val="278"/>
        </w:trPr>
        <w:tc>
          <w:tcPr>
            <w:tcW w:w="3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Mcfd</w:t>
            </w:r>
          </w:p>
        </w:tc>
        <w:tc>
          <w:tcPr>
            <w:tcW w:w="78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Thousand cubic feet per day</w:t>
            </w:r>
          </w:p>
        </w:tc>
      </w:tr>
      <w:tr>
        <w:trPr>
          <w:trHeight w:val="215"/>
        </w:trPr>
        <w:tc>
          <w:tcPr>
            <w:tcW w:w="3400" w:type="dxa"/>
            <w:vAlign w:val="bottom"/>
          </w:tcPr>
          <w:p>
            <w:pPr>
              <w:spacing w:after="0"/>
              <w:rPr>
                <w:sz w:val="18"/>
                <w:szCs w:val="18"/>
                <w:color w:val="auto"/>
              </w:rPr>
            </w:pPr>
          </w:p>
        </w:tc>
        <w:tc>
          <w:tcPr>
            <w:tcW w:w="7840" w:type="dxa"/>
            <w:vAlign w:val="bottom"/>
          </w:tcPr>
          <w:p>
            <w:pPr>
              <w:ind w:left="2180"/>
              <w:spacing w:after="0"/>
              <w:rPr>
                <w:sz w:val="20"/>
                <w:szCs w:val="20"/>
                <w:color w:val="auto"/>
              </w:rPr>
            </w:pPr>
            <w:r>
              <w:rPr>
                <w:rFonts w:ascii="Arial" w:cs="Arial" w:eastAsia="Arial" w:hAnsi="Arial"/>
                <w:sz w:val="16"/>
                <w:szCs w:val="16"/>
                <w:color w:val="auto"/>
              </w:rPr>
              <w:t>7</w:t>
            </w:r>
          </w:p>
        </w:tc>
      </w:tr>
      <w:tr>
        <w:trPr>
          <w:trHeight w:val="737"/>
        </w:trPr>
        <w:tc>
          <w:tcPr>
            <w:tcW w:w="3400" w:type="dxa"/>
            <w:vAlign w:val="bottom"/>
            <w:tcBorders>
              <w:bottom w:val="single" w:sz="8" w:color="9A9A9A"/>
            </w:tcBorders>
          </w:tcPr>
          <w:p>
            <w:pPr>
              <w:spacing w:after="0"/>
              <w:rPr>
                <w:sz w:val="24"/>
                <w:szCs w:val="24"/>
                <w:color w:val="auto"/>
              </w:rPr>
            </w:pPr>
          </w:p>
        </w:tc>
        <w:tc>
          <w:tcPr>
            <w:tcW w:w="7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760" w:type="dxa"/>
            <w:vAlign w:val="bottom"/>
          </w:tcPr>
          <w:p>
            <w:pPr>
              <w:ind w:left="20"/>
              <w:spacing w:after="0"/>
              <w:rPr>
                <w:sz w:val="20"/>
                <w:szCs w:val="20"/>
                <w:color w:val="auto"/>
              </w:rPr>
            </w:pPr>
            <w:r>
              <w:rPr>
                <w:rFonts w:ascii="Arial" w:cs="Arial" w:eastAsia="Arial" w:hAnsi="Arial"/>
                <w:sz w:val="16"/>
                <w:szCs w:val="16"/>
                <w:color w:val="auto"/>
              </w:rPr>
              <w:t>MDU</w:t>
            </w:r>
          </w:p>
        </w:tc>
        <w:tc>
          <w:tcPr>
            <w:tcW w:w="8480" w:type="dxa"/>
            <w:vAlign w:val="bottom"/>
          </w:tcPr>
          <w:p>
            <w:pPr>
              <w:ind w:left="860"/>
              <w:spacing w:after="0"/>
              <w:rPr>
                <w:sz w:val="20"/>
                <w:szCs w:val="20"/>
                <w:color w:val="auto"/>
              </w:rPr>
            </w:pPr>
            <w:r>
              <w:rPr>
                <w:rFonts w:ascii="Arial" w:cs="Arial" w:eastAsia="Arial" w:hAnsi="Arial"/>
                <w:sz w:val="16"/>
                <w:szCs w:val="16"/>
                <w:color w:val="auto"/>
              </w:rPr>
              <w:t>Montana-Dakota Utilities Co., a subsidiary of MDU Resources Group, Inc.</w:t>
            </w:r>
          </w:p>
        </w:tc>
      </w:tr>
      <w:tr>
        <w:trPr>
          <w:trHeight w:val="278"/>
        </w:trPr>
        <w:tc>
          <w:tcPr>
            <w:tcW w:w="2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MMBtu</w:t>
            </w:r>
          </w:p>
        </w:tc>
        <w:tc>
          <w:tcPr>
            <w:tcW w:w="8480" w:type="dxa"/>
            <w:vAlign w:val="bottom"/>
            <w:shd w:val="clear" w:color="auto" w:fill="CFF0FC"/>
          </w:tcPr>
          <w:p>
            <w:pPr>
              <w:ind w:left="860"/>
              <w:spacing w:after="0"/>
              <w:rPr>
                <w:sz w:val="20"/>
                <w:szCs w:val="20"/>
                <w:color w:val="auto"/>
              </w:rPr>
            </w:pPr>
            <w:r>
              <w:rPr>
                <w:rFonts w:ascii="Arial" w:cs="Arial" w:eastAsia="Arial" w:hAnsi="Arial"/>
                <w:sz w:val="16"/>
                <w:szCs w:val="16"/>
                <w:color w:val="auto"/>
              </w:rPr>
              <w:t>Million British thermal units</w:t>
            </w:r>
          </w:p>
        </w:tc>
      </w:tr>
      <w:tr>
        <w:trPr>
          <w:trHeight w:val="262"/>
        </w:trPr>
        <w:tc>
          <w:tcPr>
            <w:tcW w:w="2760" w:type="dxa"/>
            <w:vAlign w:val="bottom"/>
          </w:tcPr>
          <w:p>
            <w:pPr>
              <w:ind w:left="20"/>
              <w:spacing w:after="0"/>
              <w:rPr>
                <w:sz w:val="20"/>
                <w:szCs w:val="20"/>
                <w:color w:val="auto"/>
              </w:rPr>
            </w:pPr>
            <w:r>
              <w:rPr>
                <w:rFonts w:ascii="Arial" w:cs="Arial" w:eastAsia="Arial" w:hAnsi="Arial"/>
                <w:sz w:val="16"/>
                <w:szCs w:val="16"/>
                <w:color w:val="auto"/>
              </w:rPr>
              <w:t>Moody’s</w:t>
            </w:r>
          </w:p>
        </w:tc>
        <w:tc>
          <w:tcPr>
            <w:tcW w:w="8480" w:type="dxa"/>
            <w:vAlign w:val="bottom"/>
          </w:tcPr>
          <w:p>
            <w:pPr>
              <w:ind w:left="860"/>
              <w:spacing w:after="0"/>
              <w:rPr>
                <w:sz w:val="20"/>
                <w:szCs w:val="20"/>
                <w:color w:val="auto"/>
              </w:rPr>
            </w:pPr>
            <w:r>
              <w:rPr>
                <w:rFonts w:ascii="Arial" w:cs="Arial" w:eastAsia="Arial" w:hAnsi="Arial"/>
                <w:sz w:val="16"/>
                <w:szCs w:val="16"/>
                <w:color w:val="auto"/>
              </w:rPr>
              <w:t>Moody’s Investors Service, Inc.</w:t>
            </w:r>
          </w:p>
        </w:tc>
      </w:tr>
      <w:tr>
        <w:trPr>
          <w:trHeight w:val="278"/>
        </w:trPr>
        <w:tc>
          <w:tcPr>
            <w:tcW w:w="2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MSHA</w:t>
            </w:r>
          </w:p>
        </w:tc>
        <w:tc>
          <w:tcPr>
            <w:tcW w:w="8480" w:type="dxa"/>
            <w:vAlign w:val="bottom"/>
            <w:shd w:val="clear" w:color="auto" w:fill="CFF0FC"/>
          </w:tcPr>
          <w:p>
            <w:pPr>
              <w:ind w:left="860"/>
              <w:spacing w:after="0"/>
              <w:rPr>
                <w:sz w:val="20"/>
                <w:szCs w:val="20"/>
                <w:color w:val="auto"/>
              </w:rPr>
            </w:pPr>
            <w:r>
              <w:rPr>
                <w:rFonts w:ascii="Arial" w:cs="Arial" w:eastAsia="Arial" w:hAnsi="Arial"/>
                <w:sz w:val="16"/>
                <w:szCs w:val="16"/>
                <w:color w:val="auto"/>
              </w:rPr>
              <w:t>United States Department of Labor’s Mine Safety and Health Administration</w:t>
            </w:r>
          </w:p>
        </w:tc>
      </w:tr>
      <w:tr>
        <w:trPr>
          <w:trHeight w:val="262"/>
        </w:trPr>
        <w:tc>
          <w:tcPr>
            <w:tcW w:w="2760" w:type="dxa"/>
            <w:vAlign w:val="bottom"/>
          </w:tcPr>
          <w:p>
            <w:pPr>
              <w:ind w:left="20"/>
              <w:spacing w:after="0"/>
              <w:rPr>
                <w:sz w:val="20"/>
                <w:szCs w:val="20"/>
                <w:color w:val="auto"/>
              </w:rPr>
            </w:pPr>
            <w:r>
              <w:rPr>
                <w:rFonts w:ascii="Arial" w:cs="Arial" w:eastAsia="Arial" w:hAnsi="Arial"/>
                <w:sz w:val="16"/>
                <w:szCs w:val="16"/>
                <w:color w:val="auto"/>
              </w:rPr>
              <w:t>MW</w:t>
            </w:r>
          </w:p>
        </w:tc>
        <w:tc>
          <w:tcPr>
            <w:tcW w:w="8480" w:type="dxa"/>
            <w:vAlign w:val="bottom"/>
          </w:tcPr>
          <w:p>
            <w:pPr>
              <w:ind w:left="860"/>
              <w:spacing w:after="0"/>
              <w:rPr>
                <w:sz w:val="20"/>
                <w:szCs w:val="20"/>
                <w:color w:val="auto"/>
              </w:rPr>
            </w:pPr>
            <w:r>
              <w:rPr>
                <w:rFonts w:ascii="Arial" w:cs="Arial" w:eastAsia="Arial" w:hAnsi="Arial"/>
                <w:sz w:val="16"/>
                <w:szCs w:val="16"/>
                <w:color w:val="auto"/>
              </w:rPr>
              <w:t>Megawatt</w:t>
            </w:r>
          </w:p>
        </w:tc>
      </w:tr>
      <w:tr>
        <w:trPr>
          <w:trHeight w:val="278"/>
        </w:trPr>
        <w:tc>
          <w:tcPr>
            <w:tcW w:w="2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MWh</w:t>
            </w:r>
          </w:p>
        </w:tc>
        <w:tc>
          <w:tcPr>
            <w:tcW w:w="8480" w:type="dxa"/>
            <w:vAlign w:val="bottom"/>
            <w:shd w:val="clear" w:color="auto" w:fill="CFF0FC"/>
          </w:tcPr>
          <w:p>
            <w:pPr>
              <w:ind w:left="860"/>
              <w:spacing w:after="0"/>
              <w:rPr>
                <w:sz w:val="20"/>
                <w:szCs w:val="20"/>
                <w:color w:val="auto"/>
              </w:rPr>
            </w:pPr>
            <w:r>
              <w:rPr>
                <w:rFonts w:ascii="Arial" w:cs="Arial" w:eastAsia="Arial" w:hAnsi="Arial"/>
                <w:sz w:val="16"/>
                <w:szCs w:val="16"/>
                <w:color w:val="auto"/>
              </w:rPr>
              <w:t>Megawatt-hour</w:t>
            </w:r>
          </w:p>
        </w:tc>
      </w:tr>
      <w:tr>
        <w:trPr>
          <w:trHeight w:val="262"/>
        </w:trPr>
        <w:tc>
          <w:tcPr>
            <w:tcW w:w="2760" w:type="dxa"/>
            <w:vAlign w:val="bottom"/>
          </w:tcPr>
          <w:p>
            <w:pPr>
              <w:ind w:left="20"/>
              <w:spacing w:after="0"/>
              <w:rPr>
                <w:sz w:val="20"/>
                <w:szCs w:val="20"/>
                <w:color w:val="auto"/>
              </w:rPr>
            </w:pPr>
            <w:r>
              <w:rPr>
                <w:rFonts w:ascii="Arial" w:cs="Arial" w:eastAsia="Arial" w:hAnsi="Arial"/>
                <w:sz w:val="16"/>
                <w:szCs w:val="16"/>
                <w:color w:val="auto"/>
              </w:rPr>
              <w:t>N/A</w:t>
            </w:r>
          </w:p>
        </w:tc>
        <w:tc>
          <w:tcPr>
            <w:tcW w:w="8480" w:type="dxa"/>
            <w:vAlign w:val="bottom"/>
          </w:tcPr>
          <w:p>
            <w:pPr>
              <w:ind w:left="860"/>
              <w:spacing w:after="0"/>
              <w:rPr>
                <w:sz w:val="20"/>
                <w:szCs w:val="20"/>
                <w:color w:val="auto"/>
              </w:rPr>
            </w:pPr>
            <w:r>
              <w:rPr>
                <w:rFonts w:ascii="Arial" w:cs="Arial" w:eastAsia="Arial" w:hAnsi="Arial"/>
                <w:sz w:val="16"/>
                <w:szCs w:val="16"/>
                <w:color w:val="auto"/>
              </w:rPr>
              <w:t>Not Applicable</w:t>
            </w:r>
          </w:p>
        </w:tc>
      </w:tr>
      <w:tr>
        <w:trPr>
          <w:trHeight w:val="278"/>
        </w:trPr>
        <w:tc>
          <w:tcPr>
            <w:tcW w:w="2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NAV</w:t>
            </w:r>
          </w:p>
        </w:tc>
        <w:tc>
          <w:tcPr>
            <w:tcW w:w="8480" w:type="dxa"/>
            <w:vAlign w:val="bottom"/>
            <w:shd w:val="clear" w:color="auto" w:fill="CFF0FC"/>
          </w:tcPr>
          <w:p>
            <w:pPr>
              <w:ind w:left="860"/>
              <w:spacing w:after="0"/>
              <w:rPr>
                <w:sz w:val="20"/>
                <w:szCs w:val="20"/>
                <w:color w:val="auto"/>
              </w:rPr>
            </w:pPr>
            <w:r>
              <w:rPr>
                <w:rFonts w:ascii="Arial" w:cs="Arial" w:eastAsia="Arial" w:hAnsi="Arial"/>
                <w:sz w:val="16"/>
                <w:szCs w:val="16"/>
                <w:color w:val="auto"/>
              </w:rPr>
              <w:t>Net Asset Value</w:t>
            </w:r>
          </w:p>
        </w:tc>
      </w:tr>
      <w:tr>
        <w:trPr>
          <w:trHeight w:val="229"/>
        </w:trPr>
        <w:tc>
          <w:tcPr>
            <w:tcW w:w="2760" w:type="dxa"/>
            <w:vAlign w:val="bottom"/>
          </w:tcPr>
          <w:p>
            <w:pPr>
              <w:ind w:left="20"/>
              <w:spacing w:after="0"/>
              <w:rPr>
                <w:sz w:val="20"/>
                <w:szCs w:val="20"/>
                <w:color w:val="auto"/>
              </w:rPr>
            </w:pPr>
            <w:r>
              <w:rPr>
                <w:rFonts w:ascii="Arial" w:cs="Arial" w:eastAsia="Arial" w:hAnsi="Arial"/>
                <w:sz w:val="16"/>
                <w:szCs w:val="16"/>
                <w:color w:val="auto"/>
              </w:rPr>
              <w:t>Nebraska Gas</w:t>
            </w:r>
          </w:p>
        </w:tc>
        <w:tc>
          <w:tcPr>
            <w:tcW w:w="8480" w:type="dxa"/>
            <w:vAlign w:val="bottom"/>
          </w:tcPr>
          <w:p>
            <w:pPr>
              <w:ind w:left="860"/>
              <w:spacing w:after="0"/>
              <w:rPr>
                <w:sz w:val="20"/>
                <w:szCs w:val="20"/>
                <w:color w:val="auto"/>
              </w:rPr>
            </w:pPr>
            <w:r>
              <w:rPr>
                <w:rFonts w:ascii="Arial" w:cs="Arial" w:eastAsia="Arial" w:hAnsi="Arial"/>
                <w:sz w:val="16"/>
                <w:szCs w:val="16"/>
                <w:color w:val="auto"/>
              </w:rPr>
              <w:t>Black Hills Nebraska Gas, LLC, an indirect, wholly-owned subsidiary of Black Hills Utility Holdings,</w:t>
            </w:r>
          </w:p>
        </w:tc>
      </w:tr>
      <w:tr>
        <w:trPr>
          <w:trHeight w:val="222"/>
        </w:trPr>
        <w:tc>
          <w:tcPr>
            <w:tcW w:w="2760" w:type="dxa"/>
            <w:vAlign w:val="bottom"/>
          </w:tcPr>
          <w:p>
            <w:pPr>
              <w:spacing w:after="0"/>
              <w:rPr>
                <w:sz w:val="19"/>
                <w:szCs w:val="19"/>
                <w:color w:val="auto"/>
              </w:rPr>
            </w:pPr>
          </w:p>
        </w:tc>
        <w:tc>
          <w:tcPr>
            <w:tcW w:w="8480" w:type="dxa"/>
            <w:vAlign w:val="bottom"/>
          </w:tcPr>
          <w:p>
            <w:pPr>
              <w:ind w:left="860"/>
              <w:spacing w:after="0"/>
              <w:rPr>
                <w:sz w:val="20"/>
                <w:szCs w:val="20"/>
                <w:color w:val="auto"/>
              </w:rPr>
            </w:pPr>
            <w:r>
              <w:rPr>
                <w:rFonts w:ascii="Arial" w:cs="Arial" w:eastAsia="Arial" w:hAnsi="Arial"/>
                <w:sz w:val="16"/>
                <w:szCs w:val="16"/>
                <w:color w:val="auto"/>
              </w:rPr>
              <w:t>providing natural gas services to customers in Nebraska (doing business as Black Hills Energy).</w:t>
            </w:r>
          </w:p>
        </w:tc>
      </w:tr>
      <w:tr>
        <w:trPr>
          <w:trHeight w:val="237"/>
        </w:trPr>
        <w:tc>
          <w:tcPr>
            <w:tcW w:w="2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Neil Simpson II</w:t>
            </w:r>
          </w:p>
        </w:tc>
        <w:tc>
          <w:tcPr>
            <w:tcW w:w="8480" w:type="dxa"/>
            <w:vAlign w:val="bottom"/>
            <w:shd w:val="clear" w:color="auto" w:fill="CFF0FC"/>
          </w:tcPr>
          <w:p>
            <w:pPr>
              <w:ind w:left="860"/>
              <w:spacing w:after="0"/>
              <w:rPr>
                <w:sz w:val="20"/>
                <w:szCs w:val="20"/>
                <w:color w:val="auto"/>
              </w:rPr>
            </w:pPr>
            <w:r>
              <w:rPr>
                <w:rFonts w:ascii="Arial" w:cs="Arial" w:eastAsia="Arial" w:hAnsi="Arial"/>
                <w:sz w:val="16"/>
                <w:szCs w:val="16"/>
                <w:color w:val="auto"/>
              </w:rPr>
              <w:t>A mine-mouth, coal-fired power plant owned and operated by South Dakota Electric with a total capacity</w:t>
            </w:r>
          </w:p>
        </w:tc>
      </w:tr>
      <w:tr>
        <w:trPr>
          <w:trHeight w:val="230"/>
        </w:trPr>
        <w:tc>
          <w:tcPr>
            <w:tcW w:w="2760" w:type="dxa"/>
            <w:vAlign w:val="bottom"/>
            <w:shd w:val="clear" w:color="auto" w:fill="CFF0FC"/>
          </w:tcPr>
          <w:p>
            <w:pPr>
              <w:spacing w:after="0"/>
              <w:rPr>
                <w:sz w:val="20"/>
                <w:szCs w:val="20"/>
                <w:color w:val="auto"/>
              </w:rPr>
            </w:pPr>
          </w:p>
        </w:tc>
        <w:tc>
          <w:tcPr>
            <w:tcW w:w="8480" w:type="dxa"/>
            <w:vAlign w:val="bottom"/>
            <w:shd w:val="clear" w:color="auto" w:fill="CFF0FC"/>
          </w:tcPr>
          <w:p>
            <w:pPr>
              <w:ind w:left="860"/>
              <w:spacing w:after="0"/>
              <w:rPr>
                <w:sz w:val="20"/>
                <w:szCs w:val="20"/>
                <w:color w:val="auto"/>
              </w:rPr>
            </w:pPr>
            <w:r>
              <w:rPr>
                <w:rFonts w:ascii="Arial" w:cs="Arial" w:eastAsia="Arial" w:hAnsi="Arial"/>
                <w:sz w:val="16"/>
                <w:szCs w:val="16"/>
                <w:color w:val="auto"/>
              </w:rPr>
              <w:t>of 90 MW located at our Gillette Energy Complex.</w:t>
            </w:r>
          </w:p>
        </w:tc>
      </w:tr>
      <w:tr>
        <w:trPr>
          <w:trHeight w:val="262"/>
        </w:trPr>
        <w:tc>
          <w:tcPr>
            <w:tcW w:w="2760" w:type="dxa"/>
            <w:vAlign w:val="bottom"/>
          </w:tcPr>
          <w:p>
            <w:pPr>
              <w:ind w:left="20"/>
              <w:spacing w:after="0"/>
              <w:rPr>
                <w:sz w:val="20"/>
                <w:szCs w:val="20"/>
                <w:color w:val="auto"/>
              </w:rPr>
            </w:pPr>
            <w:r>
              <w:rPr>
                <w:rFonts w:ascii="Arial" w:cs="Arial" w:eastAsia="Arial" w:hAnsi="Arial"/>
                <w:sz w:val="16"/>
                <w:szCs w:val="16"/>
                <w:color w:val="auto"/>
              </w:rPr>
              <w:t>NERC</w:t>
            </w:r>
          </w:p>
        </w:tc>
        <w:tc>
          <w:tcPr>
            <w:tcW w:w="8480" w:type="dxa"/>
            <w:vAlign w:val="bottom"/>
          </w:tcPr>
          <w:p>
            <w:pPr>
              <w:ind w:left="860"/>
              <w:spacing w:after="0"/>
              <w:rPr>
                <w:sz w:val="20"/>
                <w:szCs w:val="20"/>
                <w:color w:val="auto"/>
              </w:rPr>
            </w:pPr>
            <w:r>
              <w:rPr>
                <w:rFonts w:ascii="Arial" w:cs="Arial" w:eastAsia="Arial" w:hAnsi="Arial"/>
                <w:sz w:val="16"/>
                <w:szCs w:val="16"/>
                <w:color w:val="auto"/>
              </w:rPr>
              <w:t>North American Electric Reliability Corporation</w:t>
            </w:r>
          </w:p>
        </w:tc>
      </w:tr>
      <w:tr>
        <w:trPr>
          <w:trHeight w:val="278"/>
        </w:trPr>
        <w:tc>
          <w:tcPr>
            <w:tcW w:w="2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w:t>
            </w:r>
            <w:r>
              <w:rPr>
                <w:rFonts w:ascii="Arial" w:cs="Arial" w:eastAsia="Arial" w:hAnsi="Arial"/>
                <w:sz w:val="10"/>
                <w:szCs w:val="10"/>
                <w:color w:val="auto"/>
              </w:rPr>
              <w:t>X</w:t>
            </w:r>
          </w:p>
        </w:tc>
        <w:tc>
          <w:tcPr>
            <w:tcW w:w="8480" w:type="dxa"/>
            <w:vAlign w:val="bottom"/>
            <w:shd w:val="clear" w:color="auto" w:fill="CFF0FC"/>
          </w:tcPr>
          <w:p>
            <w:pPr>
              <w:ind w:left="860"/>
              <w:spacing w:after="0"/>
              <w:rPr>
                <w:sz w:val="20"/>
                <w:szCs w:val="20"/>
                <w:color w:val="auto"/>
              </w:rPr>
            </w:pPr>
            <w:r>
              <w:rPr>
                <w:rFonts w:ascii="Arial" w:cs="Arial" w:eastAsia="Arial" w:hAnsi="Arial"/>
                <w:sz w:val="16"/>
                <w:szCs w:val="16"/>
                <w:color w:val="auto"/>
              </w:rPr>
              <w:t>Nitrogen oxide</w:t>
            </w:r>
          </w:p>
        </w:tc>
      </w:tr>
      <w:tr>
        <w:trPr>
          <w:trHeight w:val="262"/>
        </w:trPr>
        <w:tc>
          <w:tcPr>
            <w:tcW w:w="2760" w:type="dxa"/>
            <w:vAlign w:val="bottom"/>
          </w:tcPr>
          <w:p>
            <w:pPr>
              <w:ind w:left="20"/>
              <w:spacing w:after="0"/>
              <w:rPr>
                <w:sz w:val="20"/>
                <w:szCs w:val="20"/>
                <w:color w:val="auto"/>
              </w:rPr>
            </w:pPr>
            <w:r>
              <w:rPr>
                <w:rFonts w:ascii="Arial" w:cs="Arial" w:eastAsia="Arial" w:hAnsi="Arial"/>
                <w:sz w:val="16"/>
                <w:szCs w:val="16"/>
                <w:color w:val="auto"/>
              </w:rPr>
              <w:t>NOL</w:t>
            </w:r>
          </w:p>
        </w:tc>
        <w:tc>
          <w:tcPr>
            <w:tcW w:w="8480" w:type="dxa"/>
            <w:vAlign w:val="bottom"/>
          </w:tcPr>
          <w:p>
            <w:pPr>
              <w:ind w:left="860"/>
              <w:spacing w:after="0"/>
              <w:rPr>
                <w:sz w:val="20"/>
                <w:szCs w:val="20"/>
                <w:color w:val="auto"/>
              </w:rPr>
            </w:pPr>
            <w:r>
              <w:rPr>
                <w:rFonts w:ascii="Arial" w:cs="Arial" w:eastAsia="Arial" w:hAnsi="Arial"/>
                <w:sz w:val="16"/>
                <w:szCs w:val="16"/>
                <w:color w:val="auto"/>
              </w:rPr>
              <w:t>Net Operating Loss</w:t>
            </w:r>
          </w:p>
        </w:tc>
      </w:tr>
      <w:tr>
        <w:trPr>
          <w:trHeight w:val="237"/>
        </w:trPr>
        <w:tc>
          <w:tcPr>
            <w:tcW w:w="2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Northern Iowa Windpower</w:t>
            </w:r>
          </w:p>
        </w:tc>
        <w:tc>
          <w:tcPr>
            <w:tcW w:w="8480" w:type="dxa"/>
            <w:vAlign w:val="bottom"/>
            <w:shd w:val="clear" w:color="auto" w:fill="CFF0FC"/>
          </w:tcPr>
          <w:p>
            <w:pPr>
              <w:ind w:left="860"/>
              <w:spacing w:after="0"/>
              <w:rPr>
                <w:sz w:val="20"/>
                <w:szCs w:val="20"/>
                <w:color w:val="auto"/>
              </w:rPr>
            </w:pPr>
            <w:r>
              <w:rPr>
                <w:rFonts w:ascii="Arial" w:cs="Arial" w:eastAsia="Arial" w:hAnsi="Arial"/>
                <w:sz w:val="16"/>
                <w:szCs w:val="16"/>
                <w:color w:val="auto"/>
              </w:rPr>
              <w:t>Northern Iowa Windpower, LLC, a 87.1 MW wind farm located near Joice, Iowa, previously owned by</w:t>
            </w:r>
          </w:p>
        </w:tc>
      </w:tr>
      <w:tr>
        <w:trPr>
          <w:trHeight w:val="189"/>
        </w:trPr>
        <w:tc>
          <w:tcPr>
            <w:tcW w:w="2760" w:type="dxa"/>
            <w:vAlign w:val="bottom"/>
            <w:shd w:val="clear" w:color="auto" w:fill="CFF0FC"/>
          </w:tcPr>
          <w:p>
            <w:pPr>
              <w:spacing w:after="0"/>
              <w:rPr>
                <w:sz w:val="16"/>
                <w:szCs w:val="16"/>
                <w:color w:val="auto"/>
              </w:rPr>
            </w:pPr>
          </w:p>
        </w:tc>
        <w:tc>
          <w:tcPr>
            <w:tcW w:w="8480" w:type="dxa"/>
            <w:vAlign w:val="bottom"/>
            <w:shd w:val="clear" w:color="auto" w:fill="CFF0FC"/>
          </w:tcPr>
          <w:p>
            <w:pPr>
              <w:ind w:left="860"/>
              <w:spacing w:after="0"/>
              <w:rPr>
                <w:sz w:val="20"/>
                <w:szCs w:val="20"/>
                <w:color w:val="auto"/>
              </w:rPr>
            </w:pPr>
            <w:r>
              <w:rPr>
                <w:rFonts w:ascii="Arial" w:cs="Arial" w:eastAsia="Arial" w:hAnsi="Arial"/>
                <w:sz w:val="16"/>
                <w:szCs w:val="16"/>
                <w:color w:val="auto"/>
              </w:rPr>
              <w:t>Black Hills Electric Generation. In March 2023, Black Hills Electric Generation completed the sale of</w:t>
            </w:r>
          </w:p>
        </w:tc>
      </w:tr>
      <w:tr>
        <w:trPr>
          <w:trHeight w:val="230"/>
        </w:trPr>
        <w:tc>
          <w:tcPr>
            <w:tcW w:w="2760" w:type="dxa"/>
            <w:vAlign w:val="bottom"/>
            <w:shd w:val="clear" w:color="auto" w:fill="CFF0FC"/>
          </w:tcPr>
          <w:p>
            <w:pPr>
              <w:spacing w:after="0"/>
              <w:rPr>
                <w:sz w:val="20"/>
                <w:szCs w:val="20"/>
                <w:color w:val="auto"/>
              </w:rPr>
            </w:pPr>
          </w:p>
        </w:tc>
        <w:tc>
          <w:tcPr>
            <w:tcW w:w="8480" w:type="dxa"/>
            <w:vAlign w:val="bottom"/>
            <w:shd w:val="clear" w:color="auto" w:fill="CFF0FC"/>
          </w:tcPr>
          <w:p>
            <w:pPr>
              <w:ind w:left="860"/>
              <w:spacing w:after="0"/>
              <w:rPr>
                <w:sz w:val="20"/>
                <w:szCs w:val="20"/>
                <w:color w:val="auto"/>
              </w:rPr>
            </w:pPr>
            <w:r>
              <w:rPr>
                <w:rFonts w:ascii="Arial" w:cs="Arial" w:eastAsia="Arial" w:hAnsi="Arial"/>
                <w:sz w:val="16"/>
                <w:szCs w:val="16"/>
                <w:color w:val="auto"/>
              </w:rPr>
              <w:t>Northern Iowa Windpower assets to a third-party.</w:t>
            </w:r>
          </w:p>
        </w:tc>
      </w:tr>
      <w:tr>
        <w:trPr>
          <w:trHeight w:val="262"/>
        </w:trPr>
        <w:tc>
          <w:tcPr>
            <w:tcW w:w="2760" w:type="dxa"/>
            <w:vAlign w:val="bottom"/>
          </w:tcPr>
          <w:p>
            <w:pPr>
              <w:ind w:left="20"/>
              <w:spacing w:after="0"/>
              <w:rPr>
                <w:sz w:val="20"/>
                <w:szCs w:val="20"/>
                <w:color w:val="auto"/>
              </w:rPr>
            </w:pPr>
            <w:r>
              <w:rPr>
                <w:rFonts w:ascii="Arial" w:cs="Arial" w:eastAsia="Arial" w:hAnsi="Arial"/>
                <w:sz w:val="16"/>
                <w:szCs w:val="16"/>
                <w:color w:val="auto"/>
              </w:rPr>
              <w:t>OCI</w:t>
            </w:r>
          </w:p>
        </w:tc>
        <w:tc>
          <w:tcPr>
            <w:tcW w:w="8480" w:type="dxa"/>
            <w:vAlign w:val="bottom"/>
          </w:tcPr>
          <w:p>
            <w:pPr>
              <w:ind w:left="860"/>
              <w:spacing w:after="0"/>
              <w:rPr>
                <w:sz w:val="20"/>
                <w:szCs w:val="20"/>
                <w:color w:val="auto"/>
              </w:rPr>
            </w:pPr>
            <w:r>
              <w:rPr>
                <w:rFonts w:ascii="Arial" w:cs="Arial" w:eastAsia="Arial" w:hAnsi="Arial"/>
                <w:sz w:val="16"/>
                <w:szCs w:val="16"/>
                <w:color w:val="auto"/>
              </w:rPr>
              <w:t>Other Comprehensive Income</w:t>
            </w:r>
          </w:p>
        </w:tc>
      </w:tr>
      <w:tr>
        <w:trPr>
          <w:trHeight w:val="278"/>
        </w:trPr>
        <w:tc>
          <w:tcPr>
            <w:tcW w:w="2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OSHA</w:t>
            </w:r>
          </w:p>
        </w:tc>
        <w:tc>
          <w:tcPr>
            <w:tcW w:w="8480" w:type="dxa"/>
            <w:vAlign w:val="bottom"/>
            <w:shd w:val="clear" w:color="auto" w:fill="CFF0FC"/>
          </w:tcPr>
          <w:p>
            <w:pPr>
              <w:ind w:left="860"/>
              <w:spacing w:after="0"/>
              <w:rPr>
                <w:sz w:val="20"/>
                <w:szCs w:val="20"/>
                <w:color w:val="auto"/>
              </w:rPr>
            </w:pPr>
            <w:r>
              <w:rPr>
                <w:rFonts w:ascii="Arial" w:cs="Arial" w:eastAsia="Arial" w:hAnsi="Arial"/>
                <w:sz w:val="16"/>
                <w:szCs w:val="16"/>
                <w:color w:val="auto"/>
              </w:rPr>
              <w:t>United States Department of Labor’s Occupational Safety &amp; Health Administration</w:t>
            </w:r>
          </w:p>
        </w:tc>
      </w:tr>
      <w:tr>
        <w:trPr>
          <w:trHeight w:val="229"/>
        </w:trPr>
        <w:tc>
          <w:tcPr>
            <w:tcW w:w="2760" w:type="dxa"/>
            <w:vAlign w:val="bottom"/>
          </w:tcPr>
          <w:p>
            <w:pPr>
              <w:ind w:left="20"/>
              <w:spacing w:after="0"/>
              <w:rPr>
                <w:sz w:val="20"/>
                <w:szCs w:val="20"/>
                <w:color w:val="auto"/>
              </w:rPr>
            </w:pPr>
            <w:r>
              <w:rPr>
                <w:rFonts w:ascii="Arial" w:cs="Arial" w:eastAsia="Arial" w:hAnsi="Arial"/>
                <w:sz w:val="16"/>
                <w:szCs w:val="16"/>
                <w:color w:val="auto"/>
              </w:rPr>
              <w:t>PacifiCorp</w:t>
            </w:r>
          </w:p>
        </w:tc>
        <w:tc>
          <w:tcPr>
            <w:tcW w:w="8480" w:type="dxa"/>
            <w:vAlign w:val="bottom"/>
          </w:tcPr>
          <w:p>
            <w:pPr>
              <w:ind w:left="860"/>
              <w:spacing w:after="0"/>
              <w:rPr>
                <w:sz w:val="20"/>
                <w:szCs w:val="20"/>
                <w:color w:val="auto"/>
              </w:rPr>
            </w:pPr>
            <w:r>
              <w:rPr>
                <w:rFonts w:ascii="Arial" w:cs="Arial" w:eastAsia="Arial" w:hAnsi="Arial"/>
                <w:sz w:val="16"/>
                <w:szCs w:val="16"/>
                <w:color w:val="auto"/>
              </w:rPr>
              <w:t>PacifiCorp, a wholly owned subsidiary of MidAmerican Energy Holdings Company, itself an affiliate of</w:t>
            </w:r>
          </w:p>
        </w:tc>
      </w:tr>
      <w:tr>
        <w:trPr>
          <w:trHeight w:val="222"/>
        </w:trPr>
        <w:tc>
          <w:tcPr>
            <w:tcW w:w="2760" w:type="dxa"/>
            <w:vAlign w:val="bottom"/>
          </w:tcPr>
          <w:p>
            <w:pPr>
              <w:spacing w:after="0"/>
              <w:rPr>
                <w:sz w:val="19"/>
                <w:szCs w:val="19"/>
                <w:color w:val="auto"/>
              </w:rPr>
            </w:pPr>
          </w:p>
        </w:tc>
        <w:tc>
          <w:tcPr>
            <w:tcW w:w="8480" w:type="dxa"/>
            <w:vAlign w:val="bottom"/>
          </w:tcPr>
          <w:p>
            <w:pPr>
              <w:ind w:left="860"/>
              <w:spacing w:after="0"/>
              <w:rPr>
                <w:sz w:val="20"/>
                <w:szCs w:val="20"/>
                <w:color w:val="auto"/>
              </w:rPr>
            </w:pPr>
            <w:r>
              <w:rPr>
                <w:rFonts w:ascii="Arial" w:cs="Arial" w:eastAsia="Arial" w:hAnsi="Arial"/>
                <w:sz w:val="16"/>
                <w:szCs w:val="16"/>
                <w:color w:val="auto"/>
              </w:rPr>
              <w:t>Berkshire Hathaway.</w:t>
            </w:r>
          </w:p>
        </w:tc>
      </w:tr>
      <w:tr>
        <w:trPr>
          <w:trHeight w:val="237"/>
        </w:trPr>
        <w:tc>
          <w:tcPr>
            <w:tcW w:w="2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PCA</w:t>
            </w:r>
          </w:p>
        </w:tc>
        <w:tc>
          <w:tcPr>
            <w:tcW w:w="8480" w:type="dxa"/>
            <w:vAlign w:val="bottom"/>
            <w:shd w:val="clear" w:color="auto" w:fill="CFF0FC"/>
          </w:tcPr>
          <w:p>
            <w:pPr>
              <w:ind w:left="860"/>
              <w:spacing w:after="0"/>
              <w:rPr>
                <w:sz w:val="20"/>
                <w:szCs w:val="20"/>
                <w:color w:val="auto"/>
              </w:rPr>
            </w:pPr>
            <w:r>
              <w:rPr>
                <w:rFonts w:ascii="Arial" w:cs="Arial" w:eastAsia="Arial" w:hAnsi="Arial"/>
                <w:sz w:val="16"/>
                <w:szCs w:val="16"/>
                <w:color w:val="auto"/>
              </w:rPr>
              <w:t>Power Cost Adjustment is an annual adjustment mechanism that allows Wyoming Electric to pass a</w:t>
            </w:r>
          </w:p>
        </w:tc>
      </w:tr>
      <w:tr>
        <w:trPr>
          <w:trHeight w:val="189"/>
        </w:trPr>
        <w:tc>
          <w:tcPr>
            <w:tcW w:w="2760" w:type="dxa"/>
            <w:vAlign w:val="bottom"/>
            <w:shd w:val="clear" w:color="auto" w:fill="CFF0FC"/>
          </w:tcPr>
          <w:p>
            <w:pPr>
              <w:spacing w:after="0"/>
              <w:rPr>
                <w:sz w:val="16"/>
                <w:szCs w:val="16"/>
                <w:color w:val="auto"/>
              </w:rPr>
            </w:pPr>
          </w:p>
        </w:tc>
        <w:tc>
          <w:tcPr>
            <w:tcW w:w="8480" w:type="dxa"/>
            <w:vAlign w:val="bottom"/>
            <w:shd w:val="clear" w:color="auto" w:fill="CFF0FC"/>
          </w:tcPr>
          <w:p>
            <w:pPr>
              <w:ind w:left="860"/>
              <w:spacing w:after="0"/>
              <w:rPr>
                <w:sz w:val="20"/>
                <w:szCs w:val="20"/>
                <w:color w:val="auto"/>
              </w:rPr>
            </w:pPr>
            <w:r>
              <w:rPr>
                <w:rFonts w:ascii="Arial" w:cs="Arial" w:eastAsia="Arial" w:hAnsi="Arial"/>
                <w:sz w:val="16"/>
                <w:szCs w:val="16"/>
                <w:color w:val="auto"/>
              </w:rPr>
              <w:t>portion of prudently-incurred delivered power costs, including fuel, purchased capacity and energy, and</w:t>
            </w:r>
          </w:p>
        </w:tc>
      </w:tr>
      <w:tr>
        <w:trPr>
          <w:trHeight w:val="230"/>
        </w:trPr>
        <w:tc>
          <w:tcPr>
            <w:tcW w:w="2760" w:type="dxa"/>
            <w:vAlign w:val="bottom"/>
            <w:shd w:val="clear" w:color="auto" w:fill="CFF0FC"/>
          </w:tcPr>
          <w:p>
            <w:pPr>
              <w:spacing w:after="0"/>
              <w:rPr>
                <w:sz w:val="20"/>
                <w:szCs w:val="20"/>
                <w:color w:val="auto"/>
              </w:rPr>
            </w:pPr>
          </w:p>
        </w:tc>
        <w:tc>
          <w:tcPr>
            <w:tcW w:w="8480" w:type="dxa"/>
            <w:vAlign w:val="bottom"/>
            <w:shd w:val="clear" w:color="auto" w:fill="CFF0FC"/>
          </w:tcPr>
          <w:p>
            <w:pPr>
              <w:ind w:left="860"/>
              <w:spacing w:after="0"/>
              <w:rPr>
                <w:sz w:val="20"/>
                <w:szCs w:val="20"/>
                <w:color w:val="auto"/>
              </w:rPr>
            </w:pPr>
            <w:r>
              <w:rPr>
                <w:rFonts w:ascii="Arial" w:cs="Arial" w:eastAsia="Arial" w:hAnsi="Arial"/>
                <w:sz w:val="16"/>
                <w:szCs w:val="16"/>
                <w:color w:val="auto"/>
              </w:rPr>
              <w:t>transmission costs, through to customers.</w:t>
            </w:r>
          </w:p>
        </w:tc>
      </w:tr>
      <w:tr>
        <w:trPr>
          <w:trHeight w:val="229"/>
        </w:trPr>
        <w:tc>
          <w:tcPr>
            <w:tcW w:w="2760" w:type="dxa"/>
            <w:vAlign w:val="bottom"/>
          </w:tcPr>
          <w:p>
            <w:pPr>
              <w:ind w:left="20"/>
              <w:spacing w:after="0"/>
              <w:rPr>
                <w:sz w:val="20"/>
                <w:szCs w:val="20"/>
                <w:color w:val="auto"/>
              </w:rPr>
            </w:pPr>
            <w:r>
              <w:rPr>
                <w:rFonts w:ascii="Arial" w:cs="Arial" w:eastAsia="Arial" w:hAnsi="Arial"/>
                <w:sz w:val="16"/>
                <w:szCs w:val="16"/>
                <w:color w:val="auto"/>
              </w:rPr>
              <w:t>PCCA</w:t>
            </w:r>
          </w:p>
        </w:tc>
        <w:tc>
          <w:tcPr>
            <w:tcW w:w="8480" w:type="dxa"/>
            <w:vAlign w:val="bottom"/>
          </w:tcPr>
          <w:p>
            <w:pPr>
              <w:ind w:left="860"/>
              <w:spacing w:after="0"/>
              <w:rPr>
                <w:sz w:val="20"/>
                <w:szCs w:val="20"/>
                <w:color w:val="auto"/>
              </w:rPr>
            </w:pPr>
            <w:r>
              <w:rPr>
                <w:rFonts w:ascii="Arial" w:cs="Arial" w:eastAsia="Arial" w:hAnsi="Arial"/>
                <w:sz w:val="16"/>
                <w:szCs w:val="16"/>
                <w:color w:val="auto"/>
              </w:rPr>
              <w:t>Power Capacity Cost Adjustment is an annual adjustment that allows Colorado Electric to pass the</w:t>
            </w:r>
          </w:p>
        </w:tc>
      </w:tr>
      <w:tr>
        <w:trPr>
          <w:trHeight w:val="189"/>
        </w:trPr>
        <w:tc>
          <w:tcPr>
            <w:tcW w:w="2760" w:type="dxa"/>
            <w:vAlign w:val="bottom"/>
          </w:tcPr>
          <w:p>
            <w:pPr>
              <w:spacing w:after="0"/>
              <w:rPr>
                <w:sz w:val="16"/>
                <w:szCs w:val="16"/>
                <w:color w:val="auto"/>
              </w:rPr>
            </w:pPr>
          </w:p>
        </w:tc>
        <w:tc>
          <w:tcPr>
            <w:tcW w:w="8480" w:type="dxa"/>
            <w:vAlign w:val="bottom"/>
          </w:tcPr>
          <w:p>
            <w:pPr>
              <w:ind w:left="860"/>
              <w:spacing w:after="0"/>
              <w:rPr>
                <w:sz w:val="20"/>
                <w:szCs w:val="20"/>
                <w:color w:val="auto"/>
              </w:rPr>
            </w:pPr>
            <w:r>
              <w:rPr>
                <w:rFonts w:ascii="Arial" w:cs="Arial" w:eastAsia="Arial" w:hAnsi="Arial"/>
                <w:sz w:val="16"/>
                <w:szCs w:val="16"/>
                <w:color w:val="auto"/>
              </w:rPr>
              <w:t>prudently-incurred purchased capacity costs, incremental to costs included in base rates, through to</w:t>
            </w:r>
          </w:p>
        </w:tc>
      </w:tr>
      <w:tr>
        <w:trPr>
          <w:trHeight w:val="222"/>
        </w:trPr>
        <w:tc>
          <w:tcPr>
            <w:tcW w:w="2760" w:type="dxa"/>
            <w:vAlign w:val="bottom"/>
          </w:tcPr>
          <w:p>
            <w:pPr>
              <w:spacing w:after="0"/>
              <w:rPr>
                <w:sz w:val="19"/>
                <w:szCs w:val="19"/>
                <w:color w:val="auto"/>
              </w:rPr>
            </w:pPr>
          </w:p>
        </w:tc>
        <w:tc>
          <w:tcPr>
            <w:tcW w:w="8480" w:type="dxa"/>
            <w:vAlign w:val="bottom"/>
          </w:tcPr>
          <w:p>
            <w:pPr>
              <w:ind w:left="860"/>
              <w:spacing w:after="0"/>
              <w:rPr>
                <w:sz w:val="20"/>
                <w:szCs w:val="20"/>
                <w:color w:val="auto"/>
              </w:rPr>
            </w:pPr>
            <w:r>
              <w:rPr>
                <w:rFonts w:ascii="Arial" w:cs="Arial" w:eastAsia="Arial" w:hAnsi="Arial"/>
                <w:sz w:val="16"/>
                <w:szCs w:val="16"/>
                <w:color w:val="auto"/>
              </w:rPr>
              <w:t>customers.</w:t>
            </w:r>
          </w:p>
        </w:tc>
      </w:tr>
      <w:tr>
        <w:trPr>
          <w:trHeight w:val="278"/>
        </w:trPr>
        <w:tc>
          <w:tcPr>
            <w:tcW w:w="2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Peak View</w:t>
            </w:r>
          </w:p>
        </w:tc>
        <w:tc>
          <w:tcPr>
            <w:tcW w:w="8480" w:type="dxa"/>
            <w:vAlign w:val="bottom"/>
            <w:shd w:val="clear" w:color="auto" w:fill="CFF0FC"/>
          </w:tcPr>
          <w:p>
            <w:pPr>
              <w:ind w:left="860"/>
              <w:spacing w:after="0"/>
              <w:rPr>
                <w:sz w:val="20"/>
                <w:szCs w:val="20"/>
                <w:color w:val="auto"/>
              </w:rPr>
            </w:pPr>
            <w:r>
              <w:rPr>
                <w:rFonts w:ascii="Arial" w:cs="Arial" w:eastAsia="Arial" w:hAnsi="Arial"/>
                <w:sz w:val="16"/>
                <w:szCs w:val="16"/>
                <w:color w:val="auto"/>
              </w:rPr>
              <w:t>The 60.8 MW wind farm owned by Colorado Electric.</w:t>
            </w:r>
          </w:p>
        </w:tc>
      </w:tr>
      <w:tr>
        <w:trPr>
          <w:trHeight w:val="262"/>
        </w:trPr>
        <w:tc>
          <w:tcPr>
            <w:tcW w:w="2760" w:type="dxa"/>
            <w:vAlign w:val="bottom"/>
          </w:tcPr>
          <w:p>
            <w:pPr>
              <w:ind w:left="20"/>
              <w:spacing w:after="0"/>
              <w:rPr>
                <w:sz w:val="20"/>
                <w:szCs w:val="20"/>
                <w:color w:val="auto"/>
              </w:rPr>
            </w:pPr>
            <w:r>
              <w:rPr>
                <w:rFonts w:ascii="Arial" w:cs="Arial" w:eastAsia="Arial" w:hAnsi="Arial"/>
                <w:sz w:val="16"/>
                <w:szCs w:val="16"/>
                <w:color w:val="auto"/>
              </w:rPr>
              <w:t>PHMSA</w:t>
            </w:r>
          </w:p>
        </w:tc>
        <w:tc>
          <w:tcPr>
            <w:tcW w:w="8480" w:type="dxa"/>
            <w:vAlign w:val="bottom"/>
          </w:tcPr>
          <w:p>
            <w:pPr>
              <w:ind w:left="860"/>
              <w:spacing w:after="0"/>
              <w:rPr>
                <w:sz w:val="20"/>
                <w:szCs w:val="20"/>
                <w:color w:val="auto"/>
              </w:rPr>
            </w:pPr>
            <w:r>
              <w:rPr>
                <w:rFonts w:ascii="Arial" w:cs="Arial" w:eastAsia="Arial" w:hAnsi="Arial"/>
                <w:sz w:val="16"/>
                <w:szCs w:val="16"/>
                <w:color w:val="auto"/>
              </w:rPr>
              <w:t>United States Department of Transportation's Pipeline and Hazardous Materials Safety Administration</w:t>
            </w:r>
          </w:p>
        </w:tc>
      </w:tr>
      <w:tr>
        <w:trPr>
          <w:trHeight w:val="278"/>
        </w:trPr>
        <w:tc>
          <w:tcPr>
            <w:tcW w:w="2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PPA</w:t>
            </w:r>
          </w:p>
        </w:tc>
        <w:tc>
          <w:tcPr>
            <w:tcW w:w="8480" w:type="dxa"/>
            <w:vAlign w:val="bottom"/>
            <w:shd w:val="clear" w:color="auto" w:fill="CFF0FC"/>
          </w:tcPr>
          <w:p>
            <w:pPr>
              <w:ind w:left="860"/>
              <w:spacing w:after="0"/>
              <w:rPr>
                <w:sz w:val="20"/>
                <w:szCs w:val="20"/>
                <w:color w:val="auto"/>
              </w:rPr>
            </w:pPr>
            <w:r>
              <w:rPr>
                <w:rFonts w:ascii="Arial" w:cs="Arial" w:eastAsia="Arial" w:hAnsi="Arial"/>
                <w:sz w:val="16"/>
                <w:szCs w:val="16"/>
                <w:color w:val="auto"/>
              </w:rPr>
              <w:t>Power Purchase Agreement</w:t>
            </w:r>
          </w:p>
        </w:tc>
      </w:tr>
      <w:tr>
        <w:trPr>
          <w:trHeight w:val="262"/>
        </w:trPr>
        <w:tc>
          <w:tcPr>
            <w:tcW w:w="2760" w:type="dxa"/>
            <w:vAlign w:val="bottom"/>
          </w:tcPr>
          <w:p>
            <w:pPr>
              <w:ind w:left="20"/>
              <w:spacing w:after="0"/>
              <w:rPr>
                <w:sz w:val="20"/>
                <w:szCs w:val="20"/>
                <w:color w:val="auto"/>
              </w:rPr>
            </w:pPr>
            <w:r>
              <w:rPr>
                <w:rFonts w:ascii="Arial" w:cs="Arial" w:eastAsia="Arial" w:hAnsi="Arial"/>
                <w:sz w:val="16"/>
                <w:szCs w:val="16"/>
                <w:color w:val="auto"/>
              </w:rPr>
              <w:t>PSA</w:t>
            </w:r>
          </w:p>
        </w:tc>
        <w:tc>
          <w:tcPr>
            <w:tcW w:w="8480" w:type="dxa"/>
            <w:vAlign w:val="bottom"/>
          </w:tcPr>
          <w:p>
            <w:pPr>
              <w:ind w:left="860"/>
              <w:spacing w:after="0"/>
              <w:rPr>
                <w:sz w:val="20"/>
                <w:szCs w:val="20"/>
                <w:color w:val="auto"/>
              </w:rPr>
            </w:pPr>
            <w:r>
              <w:rPr>
                <w:rFonts w:ascii="Arial" w:cs="Arial" w:eastAsia="Arial" w:hAnsi="Arial"/>
                <w:sz w:val="16"/>
                <w:szCs w:val="16"/>
                <w:color w:val="auto"/>
              </w:rPr>
              <w:t>Power Sales Agreement</w:t>
            </w:r>
          </w:p>
        </w:tc>
      </w:tr>
      <w:tr>
        <w:trPr>
          <w:trHeight w:val="278"/>
        </w:trPr>
        <w:tc>
          <w:tcPr>
            <w:tcW w:w="2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PTC</w:t>
            </w:r>
          </w:p>
        </w:tc>
        <w:tc>
          <w:tcPr>
            <w:tcW w:w="8480" w:type="dxa"/>
            <w:vAlign w:val="bottom"/>
            <w:shd w:val="clear" w:color="auto" w:fill="CFF0FC"/>
          </w:tcPr>
          <w:p>
            <w:pPr>
              <w:ind w:left="860"/>
              <w:spacing w:after="0"/>
              <w:rPr>
                <w:sz w:val="20"/>
                <w:szCs w:val="20"/>
                <w:color w:val="auto"/>
              </w:rPr>
            </w:pPr>
            <w:r>
              <w:rPr>
                <w:rFonts w:ascii="Arial" w:cs="Arial" w:eastAsia="Arial" w:hAnsi="Arial"/>
                <w:sz w:val="16"/>
                <w:szCs w:val="16"/>
                <w:color w:val="auto"/>
              </w:rPr>
              <w:t>Production Tax Credit</w:t>
            </w:r>
          </w:p>
        </w:tc>
      </w:tr>
      <w:tr>
        <w:trPr>
          <w:trHeight w:val="229"/>
        </w:trPr>
        <w:tc>
          <w:tcPr>
            <w:tcW w:w="2760" w:type="dxa"/>
            <w:vAlign w:val="bottom"/>
          </w:tcPr>
          <w:p>
            <w:pPr>
              <w:ind w:left="20"/>
              <w:spacing w:after="0"/>
              <w:rPr>
                <w:sz w:val="20"/>
                <w:szCs w:val="20"/>
                <w:color w:val="auto"/>
              </w:rPr>
            </w:pPr>
            <w:r>
              <w:rPr>
                <w:rFonts w:ascii="Arial" w:cs="Arial" w:eastAsia="Arial" w:hAnsi="Arial"/>
                <w:sz w:val="16"/>
                <w:szCs w:val="16"/>
                <w:color w:val="auto"/>
              </w:rPr>
              <w:t>Pueblo Airport Generation</w:t>
            </w:r>
          </w:p>
        </w:tc>
        <w:tc>
          <w:tcPr>
            <w:tcW w:w="8480" w:type="dxa"/>
            <w:vAlign w:val="bottom"/>
          </w:tcPr>
          <w:p>
            <w:pPr>
              <w:ind w:left="860"/>
              <w:spacing w:after="0"/>
              <w:rPr>
                <w:sz w:val="20"/>
                <w:szCs w:val="20"/>
                <w:color w:val="auto"/>
              </w:rPr>
            </w:pPr>
            <w:r>
              <w:rPr>
                <w:rFonts w:ascii="Arial" w:cs="Arial" w:eastAsia="Arial" w:hAnsi="Arial"/>
                <w:sz w:val="16"/>
                <w:szCs w:val="16"/>
                <w:color w:val="auto"/>
              </w:rPr>
              <w:t>Pueblo Airport Generating Station located in Pueblo, Colorado includes 440 MW of combined cycle gas-</w:t>
            </w:r>
          </w:p>
        </w:tc>
      </w:tr>
      <w:tr>
        <w:trPr>
          <w:trHeight w:val="189"/>
        </w:trPr>
        <w:tc>
          <w:tcPr>
            <w:tcW w:w="2760" w:type="dxa"/>
            <w:vAlign w:val="bottom"/>
          </w:tcPr>
          <w:p>
            <w:pPr>
              <w:spacing w:after="0"/>
              <w:rPr>
                <w:sz w:val="16"/>
                <w:szCs w:val="16"/>
                <w:color w:val="auto"/>
              </w:rPr>
            </w:pPr>
          </w:p>
        </w:tc>
        <w:tc>
          <w:tcPr>
            <w:tcW w:w="8480" w:type="dxa"/>
            <w:vAlign w:val="bottom"/>
          </w:tcPr>
          <w:p>
            <w:pPr>
              <w:ind w:left="860"/>
              <w:spacing w:after="0"/>
              <w:rPr>
                <w:sz w:val="20"/>
                <w:szCs w:val="20"/>
                <w:color w:val="auto"/>
              </w:rPr>
            </w:pPr>
            <w:r>
              <w:rPr>
                <w:rFonts w:ascii="Arial" w:cs="Arial" w:eastAsia="Arial" w:hAnsi="Arial"/>
                <w:sz w:val="16"/>
                <w:szCs w:val="16"/>
                <w:color w:val="auto"/>
              </w:rPr>
              <w:t>fired power generation plants jointly owned by Colorado Electric (240 MW) and Black Hills Colorado IPP</w:t>
            </w:r>
          </w:p>
        </w:tc>
      </w:tr>
      <w:tr>
        <w:trPr>
          <w:trHeight w:val="189"/>
        </w:trPr>
        <w:tc>
          <w:tcPr>
            <w:tcW w:w="2760" w:type="dxa"/>
            <w:vAlign w:val="bottom"/>
          </w:tcPr>
          <w:p>
            <w:pPr>
              <w:spacing w:after="0"/>
              <w:rPr>
                <w:sz w:val="16"/>
                <w:szCs w:val="16"/>
                <w:color w:val="auto"/>
              </w:rPr>
            </w:pPr>
          </w:p>
        </w:tc>
        <w:tc>
          <w:tcPr>
            <w:tcW w:w="8480" w:type="dxa"/>
            <w:vAlign w:val="bottom"/>
          </w:tcPr>
          <w:p>
            <w:pPr>
              <w:ind w:left="860"/>
              <w:spacing w:after="0"/>
              <w:rPr>
                <w:sz w:val="20"/>
                <w:szCs w:val="20"/>
                <w:color w:val="auto"/>
              </w:rPr>
            </w:pPr>
            <w:r>
              <w:rPr>
                <w:rFonts w:ascii="Arial" w:cs="Arial" w:eastAsia="Arial" w:hAnsi="Arial"/>
                <w:sz w:val="16"/>
                <w:szCs w:val="16"/>
                <w:color w:val="auto"/>
              </w:rPr>
              <w:t>(200 MW). Black Hills Colorado IPP owns and operates this facility. The plants commenced operation on</w:t>
            </w:r>
          </w:p>
        </w:tc>
      </w:tr>
      <w:tr>
        <w:trPr>
          <w:trHeight w:val="222"/>
        </w:trPr>
        <w:tc>
          <w:tcPr>
            <w:tcW w:w="2760" w:type="dxa"/>
            <w:vAlign w:val="bottom"/>
          </w:tcPr>
          <w:p>
            <w:pPr>
              <w:spacing w:after="0"/>
              <w:rPr>
                <w:sz w:val="19"/>
                <w:szCs w:val="19"/>
                <w:color w:val="auto"/>
              </w:rPr>
            </w:pPr>
          </w:p>
        </w:tc>
        <w:tc>
          <w:tcPr>
            <w:tcW w:w="8480" w:type="dxa"/>
            <w:vAlign w:val="bottom"/>
          </w:tcPr>
          <w:p>
            <w:pPr>
              <w:ind w:left="860"/>
              <w:spacing w:after="0"/>
              <w:rPr>
                <w:sz w:val="20"/>
                <w:szCs w:val="20"/>
                <w:color w:val="auto"/>
              </w:rPr>
            </w:pPr>
            <w:r>
              <w:rPr>
                <w:rFonts w:ascii="Arial" w:cs="Arial" w:eastAsia="Arial" w:hAnsi="Arial"/>
                <w:sz w:val="16"/>
                <w:szCs w:val="16"/>
                <w:color w:val="auto"/>
              </w:rPr>
              <w:t>January 1, 2012.</w:t>
            </w:r>
          </w:p>
        </w:tc>
      </w:tr>
      <w:tr>
        <w:trPr>
          <w:trHeight w:val="278"/>
        </w:trPr>
        <w:tc>
          <w:tcPr>
            <w:tcW w:w="2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PSPS</w:t>
            </w:r>
          </w:p>
        </w:tc>
        <w:tc>
          <w:tcPr>
            <w:tcW w:w="8480" w:type="dxa"/>
            <w:vAlign w:val="bottom"/>
            <w:shd w:val="clear" w:color="auto" w:fill="CFF0FC"/>
          </w:tcPr>
          <w:p>
            <w:pPr>
              <w:ind w:left="860"/>
              <w:spacing w:after="0"/>
              <w:rPr>
                <w:sz w:val="20"/>
                <w:szCs w:val="20"/>
                <w:color w:val="auto"/>
              </w:rPr>
            </w:pPr>
            <w:r>
              <w:rPr>
                <w:rFonts w:ascii="Arial" w:cs="Arial" w:eastAsia="Arial" w:hAnsi="Arial"/>
                <w:sz w:val="16"/>
                <w:szCs w:val="16"/>
                <w:color w:val="auto"/>
              </w:rPr>
              <w:t>Public Safety Power Shutoff</w:t>
            </w:r>
          </w:p>
        </w:tc>
      </w:tr>
      <w:tr>
        <w:trPr>
          <w:trHeight w:val="262"/>
        </w:trPr>
        <w:tc>
          <w:tcPr>
            <w:tcW w:w="2760" w:type="dxa"/>
            <w:vAlign w:val="bottom"/>
          </w:tcPr>
          <w:p>
            <w:pPr>
              <w:ind w:left="20"/>
              <w:spacing w:after="0"/>
              <w:rPr>
                <w:sz w:val="20"/>
                <w:szCs w:val="20"/>
                <w:color w:val="auto"/>
              </w:rPr>
            </w:pPr>
            <w:r>
              <w:rPr>
                <w:rFonts w:ascii="Arial" w:cs="Arial" w:eastAsia="Arial" w:hAnsi="Arial"/>
                <w:sz w:val="16"/>
                <w:szCs w:val="16"/>
                <w:color w:val="auto"/>
              </w:rPr>
              <w:t>PUHCA 2005</w:t>
            </w:r>
          </w:p>
        </w:tc>
        <w:tc>
          <w:tcPr>
            <w:tcW w:w="8480" w:type="dxa"/>
            <w:vAlign w:val="bottom"/>
          </w:tcPr>
          <w:p>
            <w:pPr>
              <w:ind w:left="860"/>
              <w:spacing w:after="0"/>
              <w:rPr>
                <w:sz w:val="20"/>
                <w:szCs w:val="20"/>
                <w:color w:val="auto"/>
              </w:rPr>
            </w:pPr>
            <w:r>
              <w:rPr>
                <w:rFonts w:ascii="Arial" w:cs="Arial" w:eastAsia="Arial" w:hAnsi="Arial"/>
                <w:sz w:val="16"/>
                <w:szCs w:val="16"/>
                <w:color w:val="auto"/>
              </w:rPr>
              <w:t>Public Utility Holding Company Act of 2005</w:t>
            </w:r>
          </w:p>
        </w:tc>
      </w:tr>
      <w:tr>
        <w:trPr>
          <w:trHeight w:val="237"/>
        </w:trPr>
        <w:tc>
          <w:tcPr>
            <w:tcW w:w="2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Ready Wyoming</w:t>
            </w:r>
          </w:p>
        </w:tc>
        <w:tc>
          <w:tcPr>
            <w:tcW w:w="8480" w:type="dxa"/>
            <w:vAlign w:val="bottom"/>
            <w:shd w:val="clear" w:color="auto" w:fill="CFF0FC"/>
          </w:tcPr>
          <w:p>
            <w:pPr>
              <w:ind w:left="860"/>
              <w:spacing w:after="0"/>
              <w:rPr>
                <w:sz w:val="20"/>
                <w:szCs w:val="20"/>
                <w:color w:val="auto"/>
              </w:rPr>
            </w:pPr>
            <w:r>
              <w:rPr>
                <w:rFonts w:ascii="Arial" w:cs="Arial" w:eastAsia="Arial" w:hAnsi="Arial"/>
                <w:sz w:val="16"/>
                <w:szCs w:val="16"/>
                <w:color w:val="auto"/>
              </w:rPr>
              <w:t>A 260-mile, multi-phase transmission expansion project in Wyoming. This transmission project is</w:t>
            </w:r>
          </w:p>
        </w:tc>
      </w:tr>
      <w:tr>
        <w:trPr>
          <w:trHeight w:val="189"/>
        </w:trPr>
        <w:tc>
          <w:tcPr>
            <w:tcW w:w="2760" w:type="dxa"/>
            <w:vAlign w:val="bottom"/>
            <w:shd w:val="clear" w:color="auto" w:fill="CFF0FC"/>
          </w:tcPr>
          <w:p>
            <w:pPr>
              <w:spacing w:after="0"/>
              <w:rPr>
                <w:sz w:val="16"/>
                <w:szCs w:val="16"/>
                <w:color w:val="auto"/>
              </w:rPr>
            </w:pPr>
          </w:p>
        </w:tc>
        <w:tc>
          <w:tcPr>
            <w:tcW w:w="8480" w:type="dxa"/>
            <w:vAlign w:val="bottom"/>
            <w:shd w:val="clear" w:color="auto" w:fill="CFF0FC"/>
          </w:tcPr>
          <w:p>
            <w:pPr>
              <w:ind w:left="860"/>
              <w:spacing w:after="0"/>
              <w:rPr>
                <w:sz w:val="20"/>
                <w:szCs w:val="20"/>
                <w:color w:val="auto"/>
              </w:rPr>
            </w:pPr>
            <w:r>
              <w:rPr>
                <w:rFonts w:ascii="Arial" w:cs="Arial" w:eastAsia="Arial" w:hAnsi="Arial"/>
                <w:sz w:val="16"/>
                <w:szCs w:val="16"/>
                <w:color w:val="auto"/>
              </w:rPr>
              <w:t>expected to serve the growing needs of customers by enhancing resiliency of Wyoming Electric’s overall</w:t>
            </w:r>
          </w:p>
        </w:tc>
      </w:tr>
      <w:tr>
        <w:trPr>
          <w:trHeight w:val="189"/>
        </w:trPr>
        <w:tc>
          <w:tcPr>
            <w:tcW w:w="2760" w:type="dxa"/>
            <w:vAlign w:val="bottom"/>
            <w:shd w:val="clear" w:color="auto" w:fill="CFF0FC"/>
          </w:tcPr>
          <w:p>
            <w:pPr>
              <w:spacing w:after="0"/>
              <w:rPr>
                <w:sz w:val="16"/>
                <w:szCs w:val="16"/>
                <w:color w:val="auto"/>
              </w:rPr>
            </w:pPr>
          </w:p>
        </w:tc>
        <w:tc>
          <w:tcPr>
            <w:tcW w:w="8480" w:type="dxa"/>
            <w:vAlign w:val="bottom"/>
            <w:shd w:val="clear" w:color="auto" w:fill="CFF0FC"/>
          </w:tcPr>
          <w:p>
            <w:pPr>
              <w:ind w:left="860"/>
              <w:spacing w:after="0"/>
              <w:rPr>
                <w:sz w:val="20"/>
                <w:szCs w:val="20"/>
                <w:color w:val="auto"/>
              </w:rPr>
            </w:pPr>
            <w:r>
              <w:rPr>
                <w:rFonts w:ascii="Arial" w:cs="Arial" w:eastAsia="Arial" w:hAnsi="Arial"/>
                <w:sz w:val="16"/>
                <w:szCs w:val="16"/>
                <w:color w:val="auto"/>
              </w:rPr>
              <w:t>electric system and expanding access to power markets and renewable resources. The project is</w:t>
            </w:r>
          </w:p>
        </w:tc>
      </w:tr>
      <w:tr>
        <w:trPr>
          <w:trHeight w:val="189"/>
        </w:trPr>
        <w:tc>
          <w:tcPr>
            <w:tcW w:w="2760" w:type="dxa"/>
            <w:vAlign w:val="bottom"/>
            <w:shd w:val="clear" w:color="auto" w:fill="CFF0FC"/>
          </w:tcPr>
          <w:p>
            <w:pPr>
              <w:spacing w:after="0"/>
              <w:rPr>
                <w:sz w:val="16"/>
                <w:szCs w:val="16"/>
                <w:color w:val="auto"/>
              </w:rPr>
            </w:pPr>
          </w:p>
        </w:tc>
        <w:tc>
          <w:tcPr>
            <w:tcW w:w="8480" w:type="dxa"/>
            <w:vAlign w:val="bottom"/>
            <w:shd w:val="clear" w:color="auto" w:fill="CFF0FC"/>
          </w:tcPr>
          <w:p>
            <w:pPr>
              <w:ind w:left="860"/>
              <w:spacing w:after="0"/>
              <w:rPr>
                <w:sz w:val="20"/>
                <w:szCs w:val="20"/>
                <w:color w:val="auto"/>
              </w:rPr>
            </w:pPr>
            <w:r>
              <w:rPr>
                <w:rFonts w:ascii="Arial" w:cs="Arial" w:eastAsia="Arial" w:hAnsi="Arial"/>
                <w:sz w:val="16"/>
                <w:szCs w:val="16"/>
                <w:color w:val="auto"/>
              </w:rPr>
              <w:t>expected to help Wyoming Electric maintain top-quartile reliability and enable economic development in</w:t>
            </w:r>
          </w:p>
        </w:tc>
      </w:tr>
      <w:tr>
        <w:trPr>
          <w:trHeight w:val="230"/>
        </w:trPr>
        <w:tc>
          <w:tcPr>
            <w:tcW w:w="2760" w:type="dxa"/>
            <w:vAlign w:val="bottom"/>
            <w:shd w:val="clear" w:color="auto" w:fill="CFF0FC"/>
          </w:tcPr>
          <w:p>
            <w:pPr>
              <w:spacing w:after="0"/>
              <w:rPr>
                <w:sz w:val="20"/>
                <w:szCs w:val="20"/>
                <w:color w:val="auto"/>
              </w:rPr>
            </w:pPr>
          </w:p>
        </w:tc>
        <w:tc>
          <w:tcPr>
            <w:tcW w:w="8480" w:type="dxa"/>
            <w:vAlign w:val="bottom"/>
            <w:shd w:val="clear" w:color="auto" w:fill="CFF0FC"/>
          </w:tcPr>
          <w:p>
            <w:pPr>
              <w:ind w:left="860"/>
              <w:spacing w:after="0"/>
              <w:rPr>
                <w:sz w:val="20"/>
                <w:szCs w:val="20"/>
                <w:color w:val="auto"/>
              </w:rPr>
            </w:pPr>
            <w:r>
              <w:rPr>
                <w:rFonts w:ascii="Arial" w:cs="Arial" w:eastAsia="Arial" w:hAnsi="Arial"/>
                <w:sz w:val="16"/>
                <w:szCs w:val="16"/>
                <w:color w:val="auto"/>
              </w:rPr>
              <w:t>the Cheyenne, Wyoming region.</w:t>
            </w:r>
          </w:p>
        </w:tc>
      </w:tr>
      <w:tr>
        <w:trPr>
          <w:trHeight w:val="229"/>
        </w:trPr>
        <w:tc>
          <w:tcPr>
            <w:tcW w:w="2760" w:type="dxa"/>
            <w:vAlign w:val="bottom"/>
          </w:tcPr>
          <w:p>
            <w:pPr>
              <w:ind w:left="20"/>
              <w:spacing w:after="0"/>
              <w:rPr>
                <w:sz w:val="20"/>
                <w:szCs w:val="20"/>
                <w:color w:val="auto"/>
              </w:rPr>
            </w:pPr>
            <w:r>
              <w:rPr>
                <w:rFonts w:ascii="Arial" w:cs="Arial" w:eastAsia="Arial" w:hAnsi="Arial"/>
                <w:sz w:val="16"/>
                <w:szCs w:val="16"/>
                <w:color w:val="auto"/>
              </w:rPr>
              <w:t>RESA</w:t>
            </w:r>
          </w:p>
        </w:tc>
        <w:tc>
          <w:tcPr>
            <w:tcW w:w="8480" w:type="dxa"/>
            <w:vAlign w:val="bottom"/>
          </w:tcPr>
          <w:p>
            <w:pPr>
              <w:ind w:left="860"/>
              <w:spacing w:after="0"/>
              <w:rPr>
                <w:sz w:val="20"/>
                <w:szCs w:val="20"/>
                <w:color w:val="auto"/>
              </w:rPr>
            </w:pPr>
            <w:r>
              <w:rPr>
                <w:rFonts w:ascii="Arial" w:cs="Arial" w:eastAsia="Arial" w:hAnsi="Arial"/>
                <w:sz w:val="16"/>
                <w:szCs w:val="16"/>
                <w:color w:val="auto"/>
              </w:rPr>
              <w:t>Renewable Energy Standard Adjustment is an incremental retail rate limited to 1.5% for Colorado Electric</w:t>
            </w:r>
          </w:p>
        </w:tc>
      </w:tr>
      <w:tr>
        <w:trPr>
          <w:trHeight w:val="189"/>
        </w:trPr>
        <w:tc>
          <w:tcPr>
            <w:tcW w:w="2760" w:type="dxa"/>
            <w:vAlign w:val="bottom"/>
          </w:tcPr>
          <w:p>
            <w:pPr>
              <w:spacing w:after="0"/>
              <w:rPr>
                <w:sz w:val="16"/>
                <w:szCs w:val="16"/>
                <w:color w:val="auto"/>
              </w:rPr>
            </w:pPr>
          </w:p>
        </w:tc>
        <w:tc>
          <w:tcPr>
            <w:tcW w:w="8480" w:type="dxa"/>
            <w:vAlign w:val="bottom"/>
          </w:tcPr>
          <w:p>
            <w:pPr>
              <w:ind w:left="860"/>
              <w:spacing w:after="0"/>
              <w:rPr>
                <w:sz w:val="20"/>
                <w:szCs w:val="20"/>
                <w:color w:val="auto"/>
              </w:rPr>
            </w:pPr>
            <w:r>
              <w:rPr>
                <w:rFonts w:ascii="Arial" w:cs="Arial" w:eastAsia="Arial" w:hAnsi="Arial"/>
                <w:sz w:val="16"/>
                <w:szCs w:val="16"/>
                <w:color w:val="auto"/>
              </w:rPr>
              <w:t>customers that provides funding for renewable energy projects and programs to comply with Colorado’s</w:t>
            </w:r>
          </w:p>
        </w:tc>
      </w:tr>
      <w:tr>
        <w:trPr>
          <w:trHeight w:val="215"/>
        </w:trPr>
        <w:tc>
          <w:tcPr>
            <w:tcW w:w="2760" w:type="dxa"/>
            <w:vAlign w:val="bottom"/>
          </w:tcPr>
          <w:p>
            <w:pPr>
              <w:spacing w:after="0"/>
              <w:rPr>
                <w:sz w:val="18"/>
                <w:szCs w:val="18"/>
                <w:color w:val="auto"/>
              </w:rPr>
            </w:pPr>
          </w:p>
        </w:tc>
        <w:tc>
          <w:tcPr>
            <w:tcW w:w="8480" w:type="dxa"/>
            <w:vAlign w:val="bottom"/>
          </w:tcPr>
          <w:p>
            <w:pPr>
              <w:ind w:left="860"/>
              <w:spacing w:after="0"/>
              <w:rPr>
                <w:sz w:val="20"/>
                <w:szCs w:val="20"/>
                <w:color w:val="auto"/>
              </w:rPr>
            </w:pPr>
            <w:r>
              <w:rPr>
                <w:rFonts w:ascii="Arial" w:cs="Arial" w:eastAsia="Arial" w:hAnsi="Arial"/>
                <w:sz w:val="16"/>
                <w:szCs w:val="16"/>
                <w:color w:val="auto"/>
              </w:rPr>
              <w:t>Renewable Energy Standard.</w:t>
            </w:r>
          </w:p>
        </w:tc>
      </w:tr>
      <w:tr>
        <w:trPr>
          <w:trHeight w:val="216"/>
        </w:trPr>
        <w:tc>
          <w:tcPr>
            <w:tcW w:w="2760" w:type="dxa"/>
            <w:vAlign w:val="bottom"/>
          </w:tcPr>
          <w:p>
            <w:pPr>
              <w:spacing w:after="0"/>
              <w:rPr>
                <w:sz w:val="18"/>
                <w:szCs w:val="18"/>
                <w:color w:val="auto"/>
              </w:rPr>
            </w:pPr>
          </w:p>
        </w:tc>
        <w:tc>
          <w:tcPr>
            <w:tcW w:w="8480" w:type="dxa"/>
            <w:vAlign w:val="bottom"/>
          </w:tcPr>
          <w:p>
            <w:pPr>
              <w:ind w:left="2820"/>
              <w:spacing w:after="0"/>
              <w:rPr>
                <w:sz w:val="20"/>
                <w:szCs w:val="20"/>
                <w:color w:val="auto"/>
              </w:rPr>
            </w:pPr>
            <w:r>
              <w:rPr>
                <w:rFonts w:ascii="Arial" w:cs="Arial" w:eastAsia="Arial" w:hAnsi="Arial"/>
                <w:sz w:val="16"/>
                <w:szCs w:val="16"/>
                <w:color w:val="auto"/>
              </w:rPr>
              <w:t>8</w:t>
            </w:r>
          </w:p>
        </w:tc>
      </w:tr>
      <w:tr>
        <w:trPr>
          <w:trHeight w:val="751"/>
        </w:trPr>
        <w:tc>
          <w:tcPr>
            <w:tcW w:w="2760" w:type="dxa"/>
            <w:vAlign w:val="bottom"/>
            <w:tcBorders>
              <w:bottom w:val="single" w:sz="8" w:color="9A9A9A"/>
            </w:tcBorders>
          </w:tcPr>
          <w:p>
            <w:pPr>
              <w:spacing w:after="0"/>
              <w:rPr>
                <w:sz w:val="24"/>
                <w:szCs w:val="24"/>
                <w:color w:val="auto"/>
              </w:rPr>
            </w:pPr>
          </w:p>
        </w:tc>
        <w:tc>
          <w:tcPr>
            <w:tcW w:w="8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84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Revolving Credit Facility</w:t>
            </w:r>
          </w:p>
        </w:tc>
        <w:tc>
          <w:tcPr>
            <w:tcW w:w="8400" w:type="dxa"/>
            <w:vAlign w:val="bottom"/>
            <w:shd w:val="clear" w:color="auto" w:fill="CFF0FC"/>
          </w:tcPr>
          <w:p>
            <w:pPr>
              <w:ind w:left="780"/>
              <w:spacing w:after="0"/>
              <w:rPr>
                <w:sz w:val="20"/>
                <w:szCs w:val="20"/>
                <w:color w:val="auto"/>
              </w:rPr>
            </w:pPr>
            <w:r>
              <w:rPr>
                <w:rFonts w:ascii="Arial" w:cs="Arial" w:eastAsia="Arial" w:hAnsi="Arial"/>
                <w:sz w:val="16"/>
                <w:szCs w:val="16"/>
                <w:color w:val="auto"/>
              </w:rPr>
              <w:t>Our $750 million credit facility used to fund working capital needs, letters of credit and other corporate</w:t>
            </w:r>
          </w:p>
        </w:tc>
      </w:tr>
      <w:tr>
        <w:trPr>
          <w:trHeight w:val="189"/>
        </w:trPr>
        <w:tc>
          <w:tcPr>
            <w:tcW w:w="2840" w:type="dxa"/>
            <w:vAlign w:val="bottom"/>
            <w:shd w:val="clear" w:color="auto" w:fill="CFF0FC"/>
          </w:tcPr>
          <w:p>
            <w:pPr>
              <w:spacing w:after="0"/>
              <w:rPr>
                <w:sz w:val="16"/>
                <w:szCs w:val="16"/>
                <w:color w:val="auto"/>
              </w:rPr>
            </w:pPr>
          </w:p>
        </w:tc>
        <w:tc>
          <w:tcPr>
            <w:tcW w:w="8400" w:type="dxa"/>
            <w:vAlign w:val="bottom"/>
            <w:shd w:val="clear" w:color="auto" w:fill="CFF0FC"/>
          </w:tcPr>
          <w:p>
            <w:pPr>
              <w:ind w:left="780"/>
              <w:spacing w:after="0"/>
              <w:rPr>
                <w:sz w:val="20"/>
                <w:szCs w:val="20"/>
                <w:color w:val="auto"/>
              </w:rPr>
            </w:pPr>
            <w:r>
              <w:rPr>
                <w:rFonts w:ascii="Arial" w:cs="Arial" w:eastAsia="Arial" w:hAnsi="Arial"/>
                <w:sz w:val="16"/>
                <w:szCs w:val="16"/>
                <w:color w:val="auto"/>
              </w:rPr>
              <w:t>purposes, which was amended on May 31, 2024, and will terminate on May 31, 2029. This facility</w:t>
            </w:r>
          </w:p>
        </w:tc>
      </w:tr>
      <w:tr>
        <w:trPr>
          <w:trHeight w:val="189"/>
        </w:trPr>
        <w:tc>
          <w:tcPr>
            <w:tcW w:w="2840" w:type="dxa"/>
            <w:vAlign w:val="bottom"/>
            <w:shd w:val="clear" w:color="auto" w:fill="CFF0FC"/>
          </w:tcPr>
          <w:p>
            <w:pPr>
              <w:spacing w:after="0"/>
              <w:rPr>
                <w:sz w:val="16"/>
                <w:szCs w:val="16"/>
                <w:color w:val="auto"/>
              </w:rPr>
            </w:pPr>
          </w:p>
        </w:tc>
        <w:tc>
          <w:tcPr>
            <w:tcW w:w="8400" w:type="dxa"/>
            <w:vAlign w:val="bottom"/>
            <w:shd w:val="clear" w:color="auto" w:fill="CFF0FC"/>
          </w:tcPr>
          <w:p>
            <w:pPr>
              <w:ind w:left="780"/>
              <w:spacing w:after="0"/>
              <w:rPr>
                <w:sz w:val="20"/>
                <w:szCs w:val="20"/>
                <w:color w:val="auto"/>
              </w:rPr>
            </w:pPr>
            <w:r>
              <w:rPr>
                <w:rFonts w:ascii="Arial" w:cs="Arial" w:eastAsia="Arial" w:hAnsi="Arial"/>
                <w:sz w:val="16"/>
                <w:szCs w:val="16"/>
                <w:color w:val="auto"/>
              </w:rPr>
              <w:t>includes an accordion feature that allows us to increase total commitments up to $1.0 billion with the</w:t>
            </w:r>
          </w:p>
        </w:tc>
      </w:tr>
      <w:tr>
        <w:trPr>
          <w:trHeight w:val="189"/>
        </w:trPr>
        <w:tc>
          <w:tcPr>
            <w:tcW w:w="2840" w:type="dxa"/>
            <w:vAlign w:val="bottom"/>
            <w:shd w:val="clear" w:color="auto" w:fill="CFF0FC"/>
          </w:tcPr>
          <w:p>
            <w:pPr>
              <w:spacing w:after="0"/>
              <w:rPr>
                <w:sz w:val="16"/>
                <w:szCs w:val="16"/>
                <w:color w:val="auto"/>
              </w:rPr>
            </w:pPr>
          </w:p>
        </w:tc>
        <w:tc>
          <w:tcPr>
            <w:tcW w:w="8400" w:type="dxa"/>
            <w:vAlign w:val="bottom"/>
            <w:shd w:val="clear" w:color="auto" w:fill="CFF0FC"/>
          </w:tcPr>
          <w:p>
            <w:pPr>
              <w:ind w:left="780"/>
              <w:spacing w:after="0"/>
              <w:rPr>
                <w:sz w:val="20"/>
                <w:szCs w:val="20"/>
                <w:color w:val="auto"/>
              </w:rPr>
            </w:pPr>
            <w:r>
              <w:rPr>
                <w:rFonts w:ascii="Arial" w:cs="Arial" w:eastAsia="Arial" w:hAnsi="Arial"/>
                <w:sz w:val="16"/>
                <w:szCs w:val="16"/>
                <w:color w:val="auto"/>
              </w:rPr>
              <w:t>consent of the administrative agent, the issuing agents, and each bank increasing or providing a new</w:t>
            </w:r>
          </w:p>
        </w:tc>
      </w:tr>
      <w:tr>
        <w:trPr>
          <w:trHeight w:val="230"/>
        </w:trPr>
        <w:tc>
          <w:tcPr>
            <w:tcW w:w="2840" w:type="dxa"/>
            <w:vAlign w:val="bottom"/>
            <w:shd w:val="clear" w:color="auto" w:fill="CFF0FC"/>
          </w:tcPr>
          <w:p>
            <w:pPr>
              <w:spacing w:after="0"/>
              <w:rPr>
                <w:sz w:val="20"/>
                <w:szCs w:val="20"/>
                <w:color w:val="auto"/>
              </w:rPr>
            </w:pPr>
          </w:p>
        </w:tc>
        <w:tc>
          <w:tcPr>
            <w:tcW w:w="8400" w:type="dxa"/>
            <w:vAlign w:val="bottom"/>
            <w:shd w:val="clear" w:color="auto" w:fill="CFF0FC"/>
          </w:tcPr>
          <w:p>
            <w:pPr>
              <w:ind w:left="780"/>
              <w:spacing w:after="0"/>
              <w:rPr>
                <w:sz w:val="20"/>
                <w:szCs w:val="20"/>
                <w:color w:val="auto"/>
              </w:rPr>
            </w:pPr>
            <w:r>
              <w:rPr>
                <w:rFonts w:ascii="Arial" w:cs="Arial" w:eastAsia="Arial" w:hAnsi="Arial"/>
                <w:sz w:val="16"/>
                <w:szCs w:val="16"/>
                <w:color w:val="auto"/>
              </w:rPr>
              <w:t>commitment.</w:t>
            </w:r>
          </w:p>
        </w:tc>
      </w:tr>
      <w:tr>
        <w:trPr>
          <w:trHeight w:val="229"/>
        </w:trPr>
        <w:tc>
          <w:tcPr>
            <w:tcW w:w="2840" w:type="dxa"/>
            <w:vAlign w:val="bottom"/>
          </w:tcPr>
          <w:p>
            <w:pPr>
              <w:ind w:left="20"/>
              <w:spacing w:after="0"/>
              <w:rPr>
                <w:sz w:val="20"/>
                <w:szCs w:val="20"/>
                <w:color w:val="auto"/>
              </w:rPr>
            </w:pPr>
            <w:r>
              <w:rPr>
                <w:rFonts w:ascii="Arial" w:cs="Arial" w:eastAsia="Arial" w:hAnsi="Arial"/>
                <w:sz w:val="16"/>
                <w:szCs w:val="16"/>
                <w:color w:val="auto"/>
              </w:rPr>
              <w:t>RMNG</w:t>
            </w:r>
          </w:p>
        </w:tc>
        <w:tc>
          <w:tcPr>
            <w:tcW w:w="8400" w:type="dxa"/>
            <w:vAlign w:val="bottom"/>
          </w:tcPr>
          <w:p>
            <w:pPr>
              <w:ind w:left="780"/>
              <w:spacing w:after="0"/>
              <w:rPr>
                <w:sz w:val="20"/>
                <w:szCs w:val="20"/>
                <w:color w:val="auto"/>
              </w:rPr>
            </w:pPr>
            <w:r>
              <w:rPr>
                <w:rFonts w:ascii="Arial" w:cs="Arial" w:eastAsia="Arial" w:hAnsi="Arial"/>
                <w:sz w:val="16"/>
                <w:szCs w:val="16"/>
                <w:color w:val="auto"/>
              </w:rPr>
              <w:t>Rocky Mountain Natural Gas LLC, an indirect, wholly-owned subsidiary of Black Hills Utility Holdings, is</w:t>
            </w:r>
          </w:p>
        </w:tc>
      </w:tr>
      <w:tr>
        <w:trPr>
          <w:trHeight w:val="189"/>
        </w:trPr>
        <w:tc>
          <w:tcPr>
            <w:tcW w:w="2840" w:type="dxa"/>
            <w:vAlign w:val="bottom"/>
          </w:tcPr>
          <w:p>
            <w:pPr>
              <w:spacing w:after="0"/>
              <w:rPr>
                <w:sz w:val="16"/>
                <w:szCs w:val="16"/>
                <w:color w:val="auto"/>
              </w:rPr>
            </w:pPr>
          </w:p>
        </w:tc>
        <w:tc>
          <w:tcPr>
            <w:tcW w:w="8400" w:type="dxa"/>
            <w:vAlign w:val="bottom"/>
          </w:tcPr>
          <w:p>
            <w:pPr>
              <w:ind w:left="780"/>
              <w:spacing w:after="0"/>
              <w:rPr>
                <w:sz w:val="20"/>
                <w:szCs w:val="20"/>
                <w:color w:val="auto"/>
              </w:rPr>
            </w:pPr>
            <w:r>
              <w:rPr>
                <w:rFonts w:ascii="Arial" w:cs="Arial" w:eastAsia="Arial" w:hAnsi="Arial"/>
                <w:sz w:val="16"/>
                <w:szCs w:val="16"/>
                <w:color w:val="auto"/>
              </w:rPr>
              <w:t>an intrastate transmission pipeline that provides natural gas transmission and wholesale services in</w:t>
            </w:r>
          </w:p>
        </w:tc>
      </w:tr>
      <w:tr>
        <w:trPr>
          <w:trHeight w:val="222"/>
        </w:trPr>
        <w:tc>
          <w:tcPr>
            <w:tcW w:w="2840" w:type="dxa"/>
            <w:vAlign w:val="bottom"/>
          </w:tcPr>
          <w:p>
            <w:pPr>
              <w:spacing w:after="0"/>
              <w:rPr>
                <w:sz w:val="19"/>
                <w:szCs w:val="19"/>
                <w:color w:val="auto"/>
              </w:rPr>
            </w:pPr>
          </w:p>
        </w:tc>
        <w:tc>
          <w:tcPr>
            <w:tcW w:w="8400" w:type="dxa"/>
            <w:vAlign w:val="bottom"/>
          </w:tcPr>
          <w:p>
            <w:pPr>
              <w:ind w:left="780"/>
              <w:spacing w:after="0"/>
              <w:rPr>
                <w:sz w:val="20"/>
                <w:szCs w:val="20"/>
                <w:color w:val="auto"/>
              </w:rPr>
            </w:pPr>
            <w:r>
              <w:rPr>
                <w:rFonts w:ascii="Arial" w:cs="Arial" w:eastAsia="Arial" w:hAnsi="Arial"/>
                <w:sz w:val="16"/>
                <w:szCs w:val="16"/>
                <w:color w:val="auto"/>
              </w:rPr>
              <w:t>western Colorado (doing business as Black Hills Energy).</w:t>
            </w:r>
          </w:p>
        </w:tc>
      </w:tr>
      <w:tr>
        <w:trPr>
          <w:trHeight w:val="278"/>
        </w:trPr>
        <w:tc>
          <w:tcPr>
            <w:tcW w:w="2840" w:type="dxa"/>
            <w:vAlign w:val="bottom"/>
            <w:shd w:val="clear" w:color="auto" w:fill="CFF0FC"/>
          </w:tcPr>
          <w:p>
            <w:pPr>
              <w:ind w:left="20"/>
              <w:spacing w:after="0"/>
              <w:rPr>
                <w:sz w:val="20"/>
                <w:szCs w:val="20"/>
                <w:color w:val="auto"/>
              </w:rPr>
            </w:pPr>
            <w:r>
              <w:rPr>
                <w:rFonts w:ascii="Arial" w:cs="Arial" w:eastAsia="Arial" w:hAnsi="Arial"/>
                <w:sz w:val="16"/>
                <w:szCs w:val="16"/>
                <w:color w:val="auto"/>
              </w:rPr>
              <w:t>RNG</w:t>
            </w:r>
          </w:p>
        </w:tc>
        <w:tc>
          <w:tcPr>
            <w:tcW w:w="8400" w:type="dxa"/>
            <w:vAlign w:val="bottom"/>
            <w:shd w:val="clear" w:color="auto" w:fill="CFF0FC"/>
          </w:tcPr>
          <w:p>
            <w:pPr>
              <w:ind w:left="780"/>
              <w:spacing w:after="0"/>
              <w:rPr>
                <w:sz w:val="20"/>
                <w:szCs w:val="20"/>
                <w:color w:val="auto"/>
              </w:rPr>
            </w:pPr>
            <w:r>
              <w:rPr>
                <w:rFonts w:ascii="Arial" w:cs="Arial" w:eastAsia="Arial" w:hAnsi="Arial"/>
                <w:sz w:val="16"/>
                <w:szCs w:val="16"/>
                <w:color w:val="auto"/>
              </w:rPr>
              <w:t>Renewable natural gas</w:t>
            </w:r>
          </w:p>
        </w:tc>
      </w:tr>
      <w:tr>
        <w:trPr>
          <w:trHeight w:val="262"/>
        </w:trPr>
        <w:tc>
          <w:tcPr>
            <w:tcW w:w="2840" w:type="dxa"/>
            <w:vAlign w:val="bottom"/>
          </w:tcPr>
          <w:p>
            <w:pPr>
              <w:ind w:left="20"/>
              <w:spacing w:after="0"/>
              <w:rPr>
                <w:sz w:val="20"/>
                <w:szCs w:val="20"/>
                <w:color w:val="auto"/>
              </w:rPr>
            </w:pPr>
            <w:r>
              <w:rPr>
                <w:rFonts w:ascii="Arial" w:cs="Arial" w:eastAsia="Arial" w:hAnsi="Arial"/>
                <w:sz w:val="16"/>
                <w:szCs w:val="16"/>
                <w:color w:val="auto"/>
              </w:rPr>
              <w:t>SDPUC</w:t>
            </w:r>
          </w:p>
        </w:tc>
        <w:tc>
          <w:tcPr>
            <w:tcW w:w="8400" w:type="dxa"/>
            <w:vAlign w:val="bottom"/>
          </w:tcPr>
          <w:p>
            <w:pPr>
              <w:ind w:left="780"/>
              <w:spacing w:after="0"/>
              <w:rPr>
                <w:sz w:val="20"/>
                <w:szCs w:val="20"/>
                <w:color w:val="auto"/>
              </w:rPr>
            </w:pPr>
            <w:r>
              <w:rPr>
                <w:rFonts w:ascii="Arial" w:cs="Arial" w:eastAsia="Arial" w:hAnsi="Arial"/>
                <w:sz w:val="16"/>
                <w:szCs w:val="16"/>
                <w:color w:val="auto"/>
              </w:rPr>
              <w:t>South Dakota Public Utilities Commission</w:t>
            </w:r>
          </w:p>
        </w:tc>
      </w:tr>
      <w:tr>
        <w:trPr>
          <w:trHeight w:val="278"/>
        </w:trPr>
        <w:tc>
          <w:tcPr>
            <w:tcW w:w="28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SEC</w:t>
            </w:r>
          </w:p>
        </w:tc>
        <w:tc>
          <w:tcPr>
            <w:tcW w:w="8400" w:type="dxa"/>
            <w:vAlign w:val="bottom"/>
            <w:shd w:val="clear" w:color="auto" w:fill="CFF0FC"/>
          </w:tcPr>
          <w:p>
            <w:pPr>
              <w:ind w:left="780"/>
              <w:spacing w:after="0"/>
              <w:rPr>
                <w:sz w:val="20"/>
                <w:szCs w:val="20"/>
                <w:color w:val="auto"/>
              </w:rPr>
            </w:pPr>
            <w:r>
              <w:rPr>
                <w:rFonts w:ascii="Arial" w:cs="Arial" w:eastAsia="Arial" w:hAnsi="Arial"/>
                <w:sz w:val="16"/>
                <w:szCs w:val="16"/>
                <w:color w:val="auto"/>
              </w:rPr>
              <w:t>United States Securities and Exchange Commission</w:t>
            </w:r>
          </w:p>
        </w:tc>
      </w:tr>
      <w:tr>
        <w:trPr>
          <w:trHeight w:val="229"/>
        </w:trPr>
        <w:tc>
          <w:tcPr>
            <w:tcW w:w="2840" w:type="dxa"/>
            <w:vAlign w:val="bottom"/>
          </w:tcPr>
          <w:p>
            <w:pPr>
              <w:ind w:left="20"/>
              <w:spacing w:after="0"/>
              <w:rPr>
                <w:sz w:val="20"/>
                <w:szCs w:val="20"/>
                <w:color w:val="auto"/>
              </w:rPr>
            </w:pPr>
            <w:r>
              <w:rPr>
                <w:rFonts w:ascii="Arial" w:cs="Arial" w:eastAsia="Arial" w:hAnsi="Arial"/>
                <w:sz w:val="16"/>
                <w:szCs w:val="16"/>
                <w:color w:val="auto"/>
              </w:rPr>
              <w:t>Service Guard Comfort Plan</w:t>
            </w:r>
          </w:p>
        </w:tc>
        <w:tc>
          <w:tcPr>
            <w:tcW w:w="8400" w:type="dxa"/>
            <w:vAlign w:val="bottom"/>
          </w:tcPr>
          <w:p>
            <w:pPr>
              <w:ind w:left="780"/>
              <w:spacing w:after="0"/>
              <w:rPr>
                <w:sz w:val="20"/>
                <w:szCs w:val="20"/>
                <w:color w:val="auto"/>
              </w:rPr>
            </w:pPr>
            <w:r>
              <w:rPr>
                <w:rFonts w:ascii="Arial" w:cs="Arial" w:eastAsia="Arial" w:hAnsi="Arial"/>
                <w:sz w:val="16"/>
                <w:szCs w:val="16"/>
                <w:color w:val="auto"/>
              </w:rPr>
              <w:t>Appliance protection plan that provides home appliance repair services through on-going monthly service</w:t>
            </w:r>
          </w:p>
        </w:tc>
      </w:tr>
      <w:tr>
        <w:trPr>
          <w:trHeight w:val="222"/>
        </w:trPr>
        <w:tc>
          <w:tcPr>
            <w:tcW w:w="2840" w:type="dxa"/>
            <w:vAlign w:val="bottom"/>
          </w:tcPr>
          <w:p>
            <w:pPr>
              <w:spacing w:after="0"/>
              <w:rPr>
                <w:sz w:val="19"/>
                <w:szCs w:val="19"/>
                <w:color w:val="auto"/>
              </w:rPr>
            </w:pPr>
          </w:p>
        </w:tc>
        <w:tc>
          <w:tcPr>
            <w:tcW w:w="8400" w:type="dxa"/>
            <w:vAlign w:val="bottom"/>
          </w:tcPr>
          <w:p>
            <w:pPr>
              <w:ind w:left="780"/>
              <w:spacing w:after="0"/>
              <w:rPr>
                <w:sz w:val="20"/>
                <w:szCs w:val="20"/>
                <w:color w:val="auto"/>
              </w:rPr>
            </w:pPr>
            <w:r>
              <w:rPr>
                <w:rFonts w:ascii="Arial" w:cs="Arial" w:eastAsia="Arial" w:hAnsi="Arial"/>
                <w:sz w:val="16"/>
                <w:szCs w:val="16"/>
                <w:color w:val="auto"/>
              </w:rPr>
              <w:t>agreements to residential utility customers.</w:t>
            </w:r>
          </w:p>
        </w:tc>
      </w:tr>
      <w:tr>
        <w:trPr>
          <w:trHeight w:val="278"/>
        </w:trPr>
        <w:tc>
          <w:tcPr>
            <w:tcW w:w="28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Scope 1</w:t>
            </w:r>
          </w:p>
        </w:tc>
        <w:tc>
          <w:tcPr>
            <w:tcW w:w="8400" w:type="dxa"/>
            <w:vAlign w:val="bottom"/>
            <w:shd w:val="clear" w:color="auto" w:fill="CFF0FC"/>
          </w:tcPr>
          <w:p>
            <w:pPr>
              <w:ind w:left="780"/>
              <w:spacing w:after="0"/>
              <w:rPr>
                <w:sz w:val="20"/>
                <w:szCs w:val="20"/>
                <w:color w:val="auto"/>
              </w:rPr>
            </w:pPr>
            <w:r>
              <w:rPr>
                <w:rFonts w:ascii="Arial" w:cs="Arial" w:eastAsia="Arial" w:hAnsi="Arial"/>
                <w:sz w:val="16"/>
                <w:szCs w:val="16"/>
                <w:color w:val="auto"/>
              </w:rPr>
              <w:t>Direct GHG emissions that occur from sources that are controlled or owned by an organization.</w:t>
            </w:r>
          </w:p>
        </w:tc>
      </w:tr>
      <w:tr>
        <w:trPr>
          <w:trHeight w:val="229"/>
        </w:trPr>
        <w:tc>
          <w:tcPr>
            <w:tcW w:w="2840" w:type="dxa"/>
            <w:vAlign w:val="bottom"/>
          </w:tcPr>
          <w:p>
            <w:pPr>
              <w:ind w:left="20"/>
              <w:spacing w:after="0"/>
              <w:rPr>
                <w:sz w:val="20"/>
                <w:szCs w:val="20"/>
                <w:color w:val="auto"/>
              </w:rPr>
            </w:pPr>
            <w:r>
              <w:rPr>
                <w:rFonts w:ascii="Arial" w:cs="Arial" w:eastAsia="Arial" w:hAnsi="Arial"/>
                <w:sz w:val="16"/>
                <w:szCs w:val="16"/>
                <w:color w:val="auto"/>
              </w:rPr>
              <w:t>Scope 3</w:t>
            </w:r>
          </w:p>
        </w:tc>
        <w:tc>
          <w:tcPr>
            <w:tcW w:w="8400" w:type="dxa"/>
            <w:vAlign w:val="bottom"/>
          </w:tcPr>
          <w:p>
            <w:pPr>
              <w:ind w:left="780"/>
              <w:spacing w:after="0"/>
              <w:rPr>
                <w:sz w:val="20"/>
                <w:szCs w:val="20"/>
                <w:color w:val="auto"/>
              </w:rPr>
            </w:pPr>
            <w:r>
              <w:rPr>
                <w:rFonts w:ascii="Arial" w:cs="Arial" w:eastAsia="Arial" w:hAnsi="Arial"/>
                <w:sz w:val="16"/>
                <w:szCs w:val="16"/>
                <w:color w:val="auto"/>
              </w:rPr>
              <w:t>Emissions which are the result of activities from assets not owned or controlled by the reporting</w:t>
            </w:r>
          </w:p>
        </w:tc>
      </w:tr>
      <w:tr>
        <w:trPr>
          <w:trHeight w:val="222"/>
        </w:trPr>
        <w:tc>
          <w:tcPr>
            <w:tcW w:w="2840" w:type="dxa"/>
            <w:vAlign w:val="bottom"/>
          </w:tcPr>
          <w:p>
            <w:pPr>
              <w:spacing w:after="0"/>
              <w:rPr>
                <w:sz w:val="19"/>
                <w:szCs w:val="19"/>
                <w:color w:val="auto"/>
              </w:rPr>
            </w:pPr>
          </w:p>
        </w:tc>
        <w:tc>
          <w:tcPr>
            <w:tcW w:w="8400" w:type="dxa"/>
            <w:vAlign w:val="bottom"/>
          </w:tcPr>
          <w:p>
            <w:pPr>
              <w:ind w:left="780"/>
              <w:spacing w:after="0"/>
              <w:rPr>
                <w:sz w:val="20"/>
                <w:szCs w:val="20"/>
                <w:color w:val="auto"/>
              </w:rPr>
            </w:pPr>
            <w:r>
              <w:rPr>
                <w:rFonts w:ascii="Arial" w:cs="Arial" w:eastAsia="Arial" w:hAnsi="Arial"/>
                <w:sz w:val="16"/>
                <w:szCs w:val="16"/>
                <w:color w:val="auto"/>
              </w:rPr>
              <w:t>organization, but that the organization indirectly affects in its value chain.</w:t>
            </w:r>
          </w:p>
        </w:tc>
      </w:tr>
      <w:tr>
        <w:trPr>
          <w:trHeight w:val="278"/>
        </w:trPr>
        <w:tc>
          <w:tcPr>
            <w:tcW w:w="28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SO</w:t>
            </w:r>
            <w:r>
              <w:rPr>
                <w:rFonts w:ascii="Arial" w:cs="Arial" w:eastAsia="Arial" w:hAnsi="Arial"/>
                <w:sz w:val="10"/>
                <w:szCs w:val="10"/>
                <w:color w:val="auto"/>
              </w:rPr>
              <w:t>2</w:t>
            </w:r>
          </w:p>
        </w:tc>
        <w:tc>
          <w:tcPr>
            <w:tcW w:w="8400" w:type="dxa"/>
            <w:vAlign w:val="bottom"/>
            <w:shd w:val="clear" w:color="auto" w:fill="CFF0FC"/>
          </w:tcPr>
          <w:p>
            <w:pPr>
              <w:ind w:left="780"/>
              <w:spacing w:after="0"/>
              <w:rPr>
                <w:sz w:val="20"/>
                <w:szCs w:val="20"/>
                <w:color w:val="auto"/>
              </w:rPr>
            </w:pPr>
            <w:r>
              <w:rPr>
                <w:rFonts w:ascii="Arial" w:cs="Arial" w:eastAsia="Arial" w:hAnsi="Arial"/>
                <w:sz w:val="16"/>
                <w:szCs w:val="16"/>
                <w:color w:val="auto"/>
              </w:rPr>
              <w:t>Sulfur dioxide</w:t>
            </w:r>
          </w:p>
        </w:tc>
      </w:tr>
      <w:tr>
        <w:trPr>
          <w:trHeight w:val="262"/>
        </w:trPr>
        <w:tc>
          <w:tcPr>
            <w:tcW w:w="2840" w:type="dxa"/>
            <w:vAlign w:val="bottom"/>
          </w:tcPr>
          <w:p>
            <w:pPr>
              <w:ind w:left="20"/>
              <w:spacing w:after="0"/>
              <w:rPr>
                <w:sz w:val="20"/>
                <w:szCs w:val="20"/>
                <w:color w:val="auto"/>
              </w:rPr>
            </w:pPr>
            <w:r>
              <w:rPr>
                <w:rFonts w:ascii="Arial" w:cs="Arial" w:eastAsia="Arial" w:hAnsi="Arial"/>
                <w:sz w:val="16"/>
                <w:szCs w:val="16"/>
                <w:color w:val="auto"/>
              </w:rPr>
              <w:t>SOFR</w:t>
            </w:r>
          </w:p>
        </w:tc>
        <w:tc>
          <w:tcPr>
            <w:tcW w:w="8400" w:type="dxa"/>
            <w:vAlign w:val="bottom"/>
          </w:tcPr>
          <w:p>
            <w:pPr>
              <w:ind w:left="780"/>
              <w:spacing w:after="0"/>
              <w:rPr>
                <w:sz w:val="20"/>
                <w:szCs w:val="20"/>
                <w:color w:val="auto"/>
              </w:rPr>
            </w:pPr>
            <w:r>
              <w:rPr>
                <w:rFonts w:ascii="Arial" w:cs="Arial" w:eastAsia="Arial" w:hAnsi="Arial"/>
                <w:sz w:val="16"/>
                <w:szCs w:val="16"/>
                <w:color w:val="auto"/>
              </w:rPr>
              <w:t>Secured Overnight Financing Rate</w:t>
            </w:r>
          </w:p>
        </w:tc>
      </w:tr>
      <w:tr>
        <w:trPr>
          <w:trHeight w:val="278"/>
        </w:trPr>
        <w:tc>
          <w:tcPr>
            <w:tcW w:w="28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S&amp;P</w:t>
            </w:r>
          </w:p>
        </w:tc>
        <w:tc>
          <w:tcPr>
            <w:tcW w:w="8400" w:type="dxa"/>
            <w:vAlign w:val="bottom"/>
            <w:shd w:val="clear" w:color="auto" w:fill="CFF0FC"/>
          </w:tcPr>
          <w:p>
            <w:pPr>
              <w:ind w:left="780"/>
              <w:spacing w:after="0"/>
              <w:rPr>
                <w:sz w:val="20"/>
                <w:szCs w:val="20"/>
                <w:color w:val="auto"/>
              </w:rPr>
            </w:pPr>
            <w:r>
              <w:rPr>
                <w:rFonts w:ascii="Arial" w:cs="Arial" w:eastAsia="Arial" w:hAnsi="Arial"/>
                <w:sz w:val="16"/>
                <w:szCs w:val="16"/>
                <w:color w:val="auto"/>
              </w:rPr>
              <w:t>S&amp;P Global Ratings, a division of S&amp;P Global Inc.</w:t>
            </w:r>
          </w:p>
        </w:tc>
      </w:tr>
      <w:tr>
        <w:trPr>
          <w:trHeight w:val="229"/>
        </w:trPr>
        <w:tc>
          <w:tcPr>
            <w:tcW w:w="2840" w:type="dxa"/>
            <w:vAlign w:val="bottom"/>
          </w:tcPr>
          <w:p>
            <w:pPr>
              <w:ind w:left="20"/>
              <w:spacing w:after="0"/>
              <w:rPr>
                <w:sz w:val="20"/>
                <w:szCs w:val="20"/>
                <w:color w:val="auto"/>
              </w:rPr>
            </w:pPr>
            <w:r>
              <w:rPr>
                <w:rFonts w:ascii="Arial" w:cs="Arial" w:eastAsia="Arial" w:hAnsi="Arial"/>
                <w:sz w:val="16"/>
                <w:szCs w:val="16"/>
                <w:color w:val="auto"/>
              </w:rPr>
              <w:t>South Dakota Electric</w:t>
            </w:r>
          </w:p>
        </w:tc>
        <w:tc>
          <w:tcPr>
            <w:tcW w:w="8400" w:type="dxa"/>
            <w:vAlign w:val="bottom"/>
          </w:tcPr>
          <w:p>
            <w:pPr>
              <w:ind w:left="780"/>
              <w:spacing w:after="0"/>
              <w:rPr>
                <w:sz w:val="20"/>
                <w:szCs w:val="20"/>
                <w:color w:val="auto"/>
              </w:rPr>
            </w:pPr>
            <w:r>
              <w:rPr>
                <w:rFonts w:ascii="Arial" w:cs="Arial" w:eastAsia="Arial" w:hAnsi="Arial"/>
                <w:sz w:val="16"/>
                <w:szCs w:val="16"/>
                <w:color w:val="auto"/>
              </w:rPr>
              <w:t>Black Hills Power, Inc., a direct, wholly-owned subsidiary of Black Hills Corporation, providing electric</w:t>
            </w:r>
          </w:p>
        </w:tc>
      </w:tr>
      <w:tr>
        <w:trPr>
          <w:trHeight w:val="222"/>
        </w:trPr>
        <w:tc>
          <w:tcPr>
            <w:tcW w:w="2840" w:type="dxa"/>
            <w:vAlign w:val="bottom"/>
          </w:tcPr>
          <w:p>
            <w:pPr>
              <w:spacing w:after="0"/>
              <w:rPr>
                <w:sz w:val="19"/>
                <w:szCs w:val="19"/>
                <w:color w:val="auto"/>
              </w:rPr>
            </w:pPr>
          </w:p>
        </w:tc>
        <w:tc>
          <w:tcPr>
            <w:tcW w:w="8400" w:type="dxa"/>
            <w:vAlign w:val="bottom"/>
          </w:tcPr>
          <w:p>
            <w:pPr>
              <w:ind w:left="780"/>
              <w:spacing w:after="0"/>
              <w:rPr>
                <w:sz w:val="20"/>
                <w:szCs w:val="20"/>
                <w:color w:val="auto"/>
              </w:rPr>
            </w:pPr>
            <w:r>
              <w:rPr>
                <w:rFonts w:ascii="Arial" w:cs="Arial" w:eastAsia="Arial" w:hAnsi="Arial"/>
                <w:sz w:val="16"/>
                <w:szCs w:val="16"/>
                <w:color w:val="auto"/>
              </w:rPr>
              <w:t>service to customers in Montana, South Dakota, and Wyoming (doing business as Black Hills Energy).</w:t>
            </w:r>
          </w:p>
        </w:tc>
      </w:tr>
      <w:tr>
        <w:trPr>
          <w:trHeight w:val="237"/>
        </w:trPr>
        <w:tc>
          <w:tcPr>
            <w:tcW w:w="28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SSIR</w:t>
            </w:r>
          </w:p>
        </w:tc>
        <w:tc>
          <w:tcPr>
            <w:tcW w:w="8400" w:type="dxa"/>
            <w:vAlign w:val="bottom"/>
            <w:shd w:val="clear" w:color="auto" w:fill="CFF0FC"/>
          </w:tcPr>
          <w:p>
            <w:pPr>
              <w:ind w:left="780"/>
              <w:spacing w:after="0"/>
              <w:rPr>
                <w:sz w:val="20"/>
                <w:szCs w:val="20"/>
                <w:color w:val="auto"/>
              </w:rPr>
            </w:pPr>
            <w:r>
              <w:rPr>
                <w:rFonts w:ascii="Arial" w:cs="Arial" w:eastAsia="Arial" w:hAnsi="Arial"/>
                <w:sz w:val="16"/>
                <w:szCs w:val="16"/>
                <w:color w:val="auto"/>
              </w:rPr>
              <w:t>System Safety and Integrity Rider is a mechanism that allows us to recover the costs associated with</w:t>
            </w:r>
          </w:p>
        </w:tc>
      </w:tr>
      <w:tr>
        <w:trPr>
          <w:trHeight w:val="189"/>
        </w:trPr>
        <w:tc>
          <w:tcPr>
            <w:tcW w:w="2840" w:type="dxa"/>
            <w:vAlign w:val="bottom"/>
            <w:shd w:val="clear" w:color="auto" w:fill="CFF0FC"/>
          </w:tcPr>
          <w:p>
            <w:pPr>
              <w:spacing w:after="0"/>
              <w:rPr>
                <w:sz w:val="16"/>
                <w:szCs w:val="16"/>
                <w:color w:val="auto"/>
              </w:rPr>
            </w:pPr>
          </w:p>
        </w:tc>
        <w:tc>
          <w:tcPr>
            <w:tcW w:w="8400" w:type="dxa"/>
            <w:vAlign w:val="bottom"/>
            <w:shd w:val="clear" w:color="auto" w:fill="CFF0FC"/>
          </w:tcPr>
          <w:p>
            <w:pPr>
              <w:ind w:left="780"/>
              <w:spacing w:after="0"/>
              <w:rPr>
                <w:sz w:val="20"/>
                <w:szCs w:val="20"/>
                <w:color w:val="auto"/>
              </w:rPr>
            </w:pPr>
            <w:r>
              <w:rPr>
                <w:rFonts w:ascii="Arial" w:cs="Arial" w:eastAsia="Arial" w:hAnsi="Arial"/>
                <w:sz w:val="16"/>
                <w:szCs w:val="16"/>
                <w:color w:val="auto"/>
              </w:rPr>
              <w:t>certain pipeline safety and integrity investments, including the replacement of higher risk pipe, the</w:t>
            </w:r>
          </w:p>
        </w:tc>
      </w:tr>
      <w:tr>
        <w:trPr>
          <w:trHeight w:val="189"/>
        </w:trPr>
        <w:tc>
          <w:tcPr>
            <w:tcW w:w="2840" w:type="dxa"/>
            <w:vAlign w:val="bottom"/>
            <w:shd w:val="clear" w:color="auto" w:fill="CFF0FC"/>
          </w:tcPr>
          <w:p>
            <w:pPr>
              <w:spacing w:after="0"/>
              <w:rPr>
                <w:sz w:val="16"/>
                <w:szCs w:val="16"/>
                <w:color w:val="auto"/>
              </w:rPr>
            </w:pPr>
          </w:p>
        </w:tc>
        <w:tc>
          <w:tcPr>
            <w:tcW w:w="8400" w:type="dxa"/>
            <w:vAlign w:val="bottom"/>
            <w:shd w:val="clear" w:color="auto" w:fill="CFF0FC"/>
          </w:tcPr>
          <w:p>
            <w:pPr>
              <w:ind w:left="780"/>
              <w:spacing w:after="0"/>
              <w:rPr>
                <w:sz w:val="20"/>
                <w:szCs w:val="20"/>
                <w:color w:val="auto"/>
              </w:rPr>
            </w:pPr>
            <w:r>
              <w:rPr>
                <w:rFonts w:ascii="Arial" w:cs="Arial" w:eastAsia="Arial" w:hAnsi="Arial"/>
                <w:sz w:val="16"/>
                <w:szCs w:val="16"/>
                <w:color w:val="auto"/>
              </w:rPr>
              <w:t>improvement of the data management system, and the mitigation of other safety issues identified on our</w:t>
            </w:r>
          </w:p>
        </w:tc>
      </w:tr>
      <w:tr>
        <w:trPr>
          <w:trHeight w:val="230"/>
        </w:trPr>
        <w:tc>
          <w:tcPr>
            <w:tcW w:w="2840" w:type="dxa"/>
            <w:vAlign w:val="bottom"/>
            <w:shd w:val="clear" w:color="auto" w:fill="CFF0FC"/>
          </w:tcPr>
          <w:p>
            <w:pPr>
              <w:spacing w:after="0"/>
              <w:rPr>
                <w:sz w:val="20"/>
                <w:szCs w:val="20"/>
                <w:color w:val="auto"/>
              </w:rPr>
            </w:pPr>
          </w:p>
        </w:tc>
        <w:tc>
          <w:tcPr>
            <w:tcW w:w="8400" w:type="dxa"/>
            <w:vAlign w:val="bottom"/>
            <w:shd w:val="clear" w:color="auto" w:fill="CFF0FC"/>
          </w:tcPr>
          <w:p>
            <w:pPr>
              <w:ind w:left="780"/>
              <w:spacing w:after="0"/>
              <w:rPr>
                <w:sz w:val="20"/>
                <w:szCs w:val="20"/>
                <w:color w:val="auto"/>
              </w:rPr>
            </w:pPr>
            <w:r>
              <w:rPr>
                <w:rFonts w:ascii="Arial" w:cs="Arial" w:eastAsia="Arial" w:hAnsi="Arial"/>
                <w:sz w:val="16"/>
                <w:szCs w:val="16"/>
                <w:color w:val="auto"/>
              </w:rPr>
              <w:t>natural gas system.</w:t>
            </w:r>
          </w:p>
        </w:tc>
      </w:tr>
      <w:tr>
        <w:trPr>
          <w:trHeight w:val="262"/>
        </w:trPr>
        <w:tc>
          <w:tcPr>
            <w:tcW w:w="2840" w:type="dxa"/>
            <w:vAlign w:val="bottom"/>
          </w:tcPr>
          <w:p>
            <w:pPr>
              <w:ind w:left="20"/>
              <w:spacing w:after="0"/>
              <w:rPr>
                <w:sz w:val="20"/>
                <w:szCs w:val="20"/>
                <w:color w:val="auto"/>
              </w:rPr>
            </w:pPr>
            <w:r>
              <w:rPr>
                <w:rFonts w:ascii="Arial" w:cs="Arial" w:eastAsia="Arial" w:hAnsi="Arial"/>
                <w:sz w:val="16"/>
                <w:szCs w:val="16"/>
                <w:color w:val="auto"/>
              </w:rPr>
              <w:t>System Peak Demand</w:t>
            </w:r>
          </w:p>
        </w:tc>
        <w:tc>
          <w:tcPr>
            <w:tcW w:w="8400" w:type="dxa"/>
            <w:vAlign w:val="bottom"/>
          </w:tcPr>
          <w:p>
            <w:pPr>
              <w:ind w:left="780"/>
              <w:spacing w:after="0"/>
              <w:rPr>
                <w:sz w:val="20"/>
                <w:szCs w:val="20"/>
                <w:color w:val="auto"/>
              </w:rPr>
            </w:pPr>
            <w:r>
              <w:rPr>
                <w:rFonts w:ascii="Arial" w:cs="Arial" w:eastAsia="Arial" w:hAnsi="Arial"/>
                <w:sz w:val="16"/>
                <w:szCs w:val="16"/>
                <w:color w:val="auto"/>
              </w:rPr>
              <w:t>Represents the highest point of retail customer usage for a single hour.</w:t>
            </w:r>
          </w:p>
        </w:tc>
      </w:tr>
      <w:tr>
        <w:trPr>
          <w:trHeight w:val="237"/>
        </w:trPr>
        <w:tc>
          <w:tcPr>
            <w:tcW w:w="2840" w:type="dxa"/>
            <w:vAlign w:val="bottom"/>
            <w:shd w:val="clear" w:color="auto" w:fill="CFF0FC"/>
          </w:tcPr>
          <w:p>
            <w:pPr>
              <w:ind w:left="20"/>
              <w:spacing w:after="0"/>
              <w:rPr>
                <w:sz w:val="20"/>
                <w:szCs w:val="20"/>
                <w:color w:val="auto"/>
              </w:rPr>
            </w:pPr>
            <w:r>
              <w:rPr>
                <w:rFonts w:ascii="Arial" w:cs="Arial" w:eastAsia="Arial" w:hAnsi="Arial"/>
                <w:sz w:val="16"/>
                <w:szCs w:val="16"/>
                <w:color w:val="auto"/>
              </w:rPr>
              <w:t>TCA</w:t>
            </w:r>
          </w:p>
        </w:tc>
        <w:tc>
          <w:tcPr>
            <w:tcW w:w="8400" w:type="dxa"/>
            <w:vAlign w:val="bottom"/>
            <w:shd w:val="clear" w:color="auto" w:fill="CFF0FC"/>
          </w:tcPr>
          <w:p>
            <w:pPr>
              <w:ind w:left="780"/>
              <w:spacing w:after="0"/>
              <w:rPr>
                <w:sz w:val="20"/>
                <w:szCs w:val="20"/>
                <w:color w:val="auto"/>
              </w:rPr>
            </w:pPr>
            <w:r>
              <w:rPr>
                <w:rFonts w:ascii="Arial" w:cs="Arial" w:eastAsia="Arial" w:hAnsi="Arial"/>
                <w:sz w:val="16"/>
                <w:szCs w:val="16"/>
                <w:color w:val="auto"/>
              </w:rPr>
              <w:t>Transmission Cost Adjustment is an annual adjustment mechanism that allows us to recover from</w:t>
            </w:r>
          </w:p>
        </w:tc>
      </w:tr>
      <w:tr>
        <w:trPr>
          <w:trHeight w:val="230"/>
        </w:trPr>
        <w:tc>
          <w:tcPr>
            <w:tcW w:w="2840" w:type="dxa"/>
            <w:vAlign w:val="bottom"/>
            <w:shd w:val="clear" w:color="auto" w:fill="CFF0FC"/>
          </w:tcPr>
          <w:p>
            <w:pPr>
              <w:spacing w:after="0"/>
              <w:rPr>
                <w:sz w:val="20"/>
                <w:szCs w:val="20"/>
                <w:color w:val="auto"/>
              </w:rPr>
            </w:pPr>
          </w:p>
        </w:tc>
        <w:tc>
          <w:tcPr>
            <w:tcW w:w="8400" w:type="dxa"/>
            <w:vAlign w:val="bottom"/>
            <w:shd w:val="clear" w:color="auto" w:fill="CFF0FC"/>
          </w:tcPr>
          <w:p>
            <w:pPr>
              <w:ind w:left="780"/>
              <w:spacing w:after="0"/>
              <w:rPr>
                <w:sz w:val="20"/>
                <w:szCs w:val="20"/>
                <w:color w:val="auto"/>
              </w:rPr>
            </w:pPr>
            <w:r>
              <w:rPr>
                <w:rFonts w:ascii="Arial" w:cs="Arial" w:eastAsia="Arial" w:hAnsi="Arial"/>
                <w:sz w:val="16"/>
                <w:szCs w:val="16"/>
                <w:color w:val="auto"/>
              </w:rPr>
              <w:t>customers eligible transmission investments prior to the next rate review.</w:t>
            </w:r>
          </w:p>
        </w:tc>
      </w:tr>
      <w:tr>
        <w:trPr>
          <w:trHeight w:val="229"/>
        </w:trPr>
        <w:tc>
          <w:tcPr>
            <w:tcW w:w="2840" w:type="dxa"/>
            <w:vAlign w:val="bottom"/>
          </w:tcPr>
          <w:p>
            <w:pPr>
              <w:ind w:left="20"/>
              <w:spacing w:after="0"/>
              <w:rPr>
                <w:sz w:val="20"/>
                <w:szCs w:val="20"/>
                <w:color w:val="auto"/>
              </w:rPr>
            </w:pPr>
            <w:r>
              <w:rPr>
                <w:rFonts w:ascii="Arial" w:cs="Arial" w:eastAsia="Arial" w:hAnsi="Arial"/>
                <w:sz w:val="16"/>
                <w:szCs w:val="16"/>
                <w:color w:val="auto"/>
              </w:rPr>
              <w:t>TCAM</w:t>
            </w:r>
          </w:p>
        </w:tc>
        <w:tc>
          <w:tcPr>
            <w:tcW w:w="8400" w:type="dxa"/>
            <w:vAlign w:val="bottom"/>
          </w:tcPr>
          <w:p>
            <w:pPr>
              <w:ind w:left="780"/>
              <w:spacing w:after="0"/>
              <w:rPr>
                <w:sz w:val="20"/>
                <w:szCs w:val="20"/>
                <w:color w:val="auto"/>
              </w:rPr>
            </w:pPr>
            <w:r>
              <w:rPr>
                <w:rFonts w:ascii="Arial" w:cs="Arial" w:eastAsia="Arial" w:hAnsi="Arial"/>
                <w:sz w:val="16"/>
                <w:szCs w:val="16"/>
                <w:color w:val="auto"/>
              </w:rPr>
              <w:t>Transmission Cost Adjustment Mechanism is a WPSC-approved tariff based on a formulaic approach that</w:t>
            </w:r>
          </w:p>
        </w:tc>
      </w:tr>
      <w:tr>
        <w:trPr>
          <w:trHeight w:val="222"/>
        </w:trPr>
        <w:tc>
          <w:tcPr>
            <w:tcW w:w="2840" w:type="dxa"/>
            <w:vAlign w:val="bottom"/>
          </w:tcPr>
          <w:p>
            <w:pPr>
              <w:spacing w:after="0"/>
              <w:rPr>
                <w:sz w:val="19"/>
                <w:szCs w:val="19"/>
                <w:color w:val="auto"/>
              </w:rPr>
            </w:pPr>
          </w:p>
        </w:tc>
        <w:tc>
          <w:tcPr>
            <w:tcW w:w="8400" w:type="dxa"/>
            <w:vAlign w:val="bottom"/>
          </w:tcPr>
          <w:p>
            <w:pPr>
              <w:ind w:left="780"/>
              <w:spacing w:after="0"/>
              <w:rPr>
                <w:sz w:val="20"/>
                <w:szCs w:val="20"/>
                <w:color w:val="auto"/>
              </w:rPr>
            </w:pPr>
            <w:r>
              <w:rPr>
                <w:rFonts w:ascii="Arial" w:cs="Arial" w:eastAsia="Arial" w:hAnsi="Arial"/>
                <w:sz w:val="16"/>
                <w:szCs w:val="16"/>
                <w:color w:val="auto"/>
              </w:rPr>
              <w:t>determines the recovery of Wyoming Electric's transmission costs.</w:t>
            </w:r>
          </w:p>
        </w:tc>
      </w:tr>
      <w:tr>
        <w:trPr>
          <w:trHeight w:val="237"/>
        </w:trPr>
        <w:tc>
          <w:tcPr>
            <w:tcW w:w="2840" w:type="dxa"/>
            <w:vAlign w:val="bottom"/>
            <w:shd w:val="clear" w:color="auto" w:fill="CFF0FC"/>
          </w:tcPr>
          <w:p>
            <w:pPr>
              <w:ind w:left="20"/>
              <w:spacing w:after="0"/>
              <w:rPr>
                <w:sz w:val="20"/>
                <w:szCs w:val="20"/>
                <w:color w:val="auto"/>
              </w:rPr>
            </w:pPr>
            <w:r>
              <w:rPr>
                <w:rFonts w:ascii="Arial" w:cs="Arial" w:eastAsia="Arial" w:hAnsi="Arial"/>
                <w:sz w:val="16"/>
                <w:szCs w:val="16"/>
                <w:color w:val="auto"/>
              </w:rPr>
              <w:t>TCJA</w:t>
            </w:r>
          </w:p>
        </w:tc>
        <w:tc>
          <w:tcPr>
            <w:tcW w:w="8400" w:type="dxa"/>
            <w:vAlign w:val="bottom"/>
            <w:shd w:val="clear" w:color="auto" w:fill="CFF0FC"/>
          </w:tcPr>
          <w:p>
            <w:pPr>
              <w:ind w:left="780"/>
              <w:spacing w:after="0"/>
              <w:rPr>
                <w:sz w:val="20"/>
                <w:szCs w:val="20"/>
                <w:color w:val="auto"/>
              </w:rPr>
            </w:pPr>
            <w:r>
              <w:rPr>
                <w:rFonts w:ascii="Arial" w:cs="Arial" w:eastAsia="Arial" w:hAnsi="Arial"/>
                <w:sz w:val="16"/>
                <w:szCs w:val="16"/>
                <w:color w:val="auto"/>
              </w:rPr>
              <w:t>Tax Cuts and Jobs Act enacted on December 22, 2017, which reduced the U.S. federal corporate tax rate</w:t>
            </w:r>
          </w:p>
        </w:tc>
      </w:tr>
      <w:tr>
        <w:trPr>
          <w:trHeight w:val="189"/>
        </w:trPr>
        <w:tc>
          <w:tcPr>
            <w:tcW w:w="2840" w:type="dxa"/>
            <w:vAlign w:val="bottom"/>
            <w:shd w:val="clear" w:color="auto" w:fill="CFF0FC"/>
          </w:tcPr>
          <w:p>
            <w:pPr>
              <w:spacing w:after="0"/>
              <w:rPr>
                <w:sz w:val="16"/>
                <w:szCs w:val="16"/>
                <w:color w:val="auto"/>
              </w:rPr>
            </w:pPr>
          </w:p>
        </w:tc>
        <w:tc>
          <w:tcPr>
            <w:tcW w:w="8400" w:type="dxa"/>
            <w:vAlign w:val="bottom"/>
            <w:shd w:val="clear" w:color="auto" w:fill="CFF0FC"/>
          </w:tcPr>
          <w:p>
            <w:pPr>
              <w:ind w:left="780"/>
              <w:spacing w:after="0"/>
              <w:rPr>
                <w:sz w:val="20"/>
                <w:szCs w:val="20"/>
                <w:color w:val="auto"/>
              </w:rPr>
            </w:pPr>
            <w:r>
              <w:rPr>
                <w:rFonts w:ascii="Arial" w:cs="Arial" w:eastAsia="Arial" w:hAnsi="Arial"/>
                <w:sz w:val="16"/>
                <w:szCs w:val="16"/>
                <w:color w:val="auto"/>
              </w:rPr>
              <w:t>from 35% to 21%. As such, we remeasured our deferred income taxes at the 21% federal tax rate as of</w:t>
            </w:r>
          </w:p>
        </w:tc>
      </w:tr>
      <w:tr>
        <w:trPr>
          <w:trHeight w:val="230"/>
        </w:trPr>
        <w:tc>
          <w:tcPr>
            <w:tcW w:w="2840" w:type="dxa"/>
            <w:vAlign w:val="bottom"/>
            <w:shd w:val="clear" w:color="auto" w:fill="CFF0FC"/>
          </w:tcPr>
          <w:p>
            <w:pPr>
              <w:spacing w:after="0"/>
              <w:rPr>
                <w:sz w:val="20"/>
                <w:szCs w:val="20"/>
                <w:color w:val="auto"/>
              </w:rPr>
            </w:pPr>
          </w:p>
        </w:tc>
        <w:tc>
          <w:tcPr>
            <w:tcW w:w="8400" w:type="dxa"/>
            <w:vAlign w:val="bottom"/>
            <w:shd w:val="clear" w:color="auto" w:fill="CFF0FC"/>
          </w:tcPr>
          <w:p>
            <w:pPr>
              <w:ind w:left="780"/>
              <w:spacing w:after="0"/>
              <w:rPr>
                <w:sz w:val="20"/>
                <w:szCs w:val="20"/>
                <w:color w:val="auto"/>
              </w:rPr>
            </w:pPr>
            <w:r>
              <w:rPr>
                <w:rFonts w:ascii="Arial" w:cs="Arial" w:eastAsia="Arial" w:hAnsi="Arial"/>
                <w:sz w:val="16"/>
                <w:szCs w:val="16"/>
                <w:color w:val="auto"/>
              </w:rPr>
              <w:t>December 31, 2017.</w:t>
            </w:r>
          </w:p>
        </w:tc>
      </w:tr>
    </w:tbl>
    <w:p>
      <w:pPr>
        <w:spacing w:after="0" w:line="40" w:lineRule="exact"/>
        <w:rPr>
          <w:sz w:val="20"/>
          <w:szCs w:val="20"/>
          <w:color w:val="auto"/>
        </w:rPr>
      </w:pPr>
    </w:p>
    <w:p>
      <w:pPr>
        <w:sectPr>
          <w:pgSz w:w="11900" w:h="16838" w:orient="portrait"/>
          <w:cols w:equalWidth="0" w:num="1">
            <w:col w:w="11240"/>
          </w:cols>
          <w:pgMar w:left="320" w:top="125" w:right="339" w:bottom="1440" w:gutter="0" w:footer="0" w:header="0"/>
        </w:sectPr>
      </w:pPr>
    </w:p>
    <w:p>
      <w:pPr>
        <w:ind w:left="20"/>
        <w:spacing w:after="0"/>
        <w:rPr>
          <w:sz w:val="20"/>
          <w:szCs w:val="20"/>
          <w:color w:val="auto"/>
        </w:rPr>
      </w:pPr>
      <w:r>
        <w:rPr>
          <w:rFonts w:ascii="Arial" w:cs="Arial" w:eastAsia="Arial" w:hAnsi="Arial"/>
          <w:sz w:val="16"/>
          <w:szCs w:val="16"/>
          <w:color w:val="auto"/>
        </w:rPr>
        <w:t>Tech Services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TEPR</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6"/>
          <w:szCs w:val="16"/>
          <w:color w:val="auto"/>
        </w:rPr>
        <w:t>TFA</w:t>
      </w:r>
    </w:p>
    <w:p>
      <w:pPr>
        <w:spacing w:after="0" w:line="20" w:lineRule="exact"/>
        <w:rPr>
          <w:sz w:val="20"/>
          <w:szCs w:val="20"/>
          <w:color w:val="auto"/>
        </w:rPr>
      </w:pPr>
      <w:r>
        <w:rPr>
          <w:sz w:val="20"/>
          <w:szCs w:val="20"/>
          <w:color w:val="auto"/>
        </w:rPr>
        <w:br w:type="column"/>
      </w:r>
    </w:p>
    <w:p>
      <w:pPr>
        <w:ind w:right="260"/>
        <w:spacing w:after="0" w:line="255" w:lineRule="auto"/>
        <w:rPr>
          <w:sz w:val="20"/>
          <w:szCs w:val="20"/>
          <w:color w:val="auto"/>
        </w:rPr>
      </w:pPr>
      <w:r>
        <w:rPr>
          <w:rFonts w:ascii="Arial" w:cs="Arial" w:eastAsia="Arial" w:hAnsi="Arial"/>
          <w:sz w:val="16"/>
          <w:szCs w:val="16"/>
          <w:color w:val="auto"/>
        </w:rPr>
        <w:t>Non-regulated product lines delivered by our Utilities that 1) provide electrical system construction services to large industrial customers of our electric utilities, and 2) serve gas transportation customers throughout its service territory by constructing and maintaining customer-owned gas infrastructure facilities, typically through one-time contracts.</w:t>
      </w:r>
    </w:p>
    <w:p>
      <w:pPr>
        <w:spacing w:after="0" w:line="1" w:lineRule="exact"/>
        <w:rPr>
          <w:sz w:val="20"/>
          <w:szCs w:val="20"/>
          <w:color w:val="auto"/>
        </w:rPr>
      </w:pPr>
    </w:p>
    <w:p>
      <w:pPr>
        <w:ind w:right="200"/>
        <w:spacing w:after="0" w:line="281" w:lineRule="auto"/>
        <w:rPr>
          <w:sz w:val="20"/>
          <w:szCs w:val="20"/>
          <w:color w:val="auto"/>
        </w:rPr>
      </w:pPr>
      <w:r>
        <w:rPr>
          <w:rFonts w:ascii="Arial" w:cs="Arial" w:eastAsia="Arial" w:hAnsi="Arial"/>
          <w:sz w:val="16"/>
          <w:szCs w:val="16"/>
          <w:color w:val="auto"/>
        </w:rPr>
        <w:t>Transportation Electrification Program Rider is a CPUC-approved mechanism associated with Colorado Electric's EV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-2292985</wp:posOffset>
            </wp:positionH>
            <wp:positionV relativeFrom="paragraph">
              <wp:posOffset>-264160</wp:posOffset>
            </wp:positionV>
            <wp:extent cx="7132320" cy="2400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right="20"/>
        <w:spacing w:after="0" w:line="264" w:lineRule="auto"/>
        <w:rPr>
          <w:sz w:val="20"/>
          <w:szCs w:val="20"/>
          <w:color w:val="auto"/>
        </w:rPr>
      </w:pPr>
      <w:r>
        <w:rPr>
          <w:rFonts w:ascii="Arial" w:cs="Arial" w:eastAsia="Arial" w:hAnsi="Arial"/>
          <w:sz w:val="16"/>
          <w:szCs w:val="16"/>
          <w:color w:val="auto"/>
        </w:rPr>
        <w:t>Transmission Facility Adjustment is an annual adjustment mechanism that allows South Dakota Electric to recover charges for qualifying new and modified transmission facilities from customers.</w:t>
      </w:r>
    </w:p>
    <w:p>
      <w:pPr>
        <w:ind w:left="1960"/>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479425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900" w:space="720"/>
            <w:col w:w="7620"/>
          </w:cols>
          <w:pgMar w:left="320" w:top="125"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Transmission Tie</w:t>
            </w:r>
          </w:p>
        </w:tc>
        <w:tc>
          <w:tcPr>
            <w:tcW w:w="8320" w:type="dxa"/>
            <w:vAlign w:val="bottom"/>
            <w:shd w:val="clear" w:color="auto" w:fill="CFF0FC"/>
          </w:tcPr>
          <w:p>
            <w:pPr>
              <w:ind w:left="700"/>
              <w:spacing w:after="0"/>
              <w:rPr>
                <w:sz w:val="20"/>
                <w:szCs w:val="20"/>
                <w:color w:val="auto"/>
              </w:rPr>
            </w:pPr>
            <w:r>
              <w:rPr>
                <w:rFonts w:ascii="Arial" w:cs="Arial" w:eastAsia="Arial" w:hAnsi="Arial"/>
                <w:sz w:val="16"/>
                <w:szCs w:val="16"/>
                <w:color w:val="auto"/>
              </w:rPr>
              <w:t>South Dakota Electric owns 35% of a AC-DC-AC transmission tie that interconnects the Western and</w:t>
            </w:r>
          </w:p>
        </w:tc>
      </w:tr>
      <w:tr>
        <w:trPr>
          <w:trHeight w:val="189"/>
        </w:trPr>
        <w:tc>
          <w:tcPr>
            <w:tcW w:w="2920" w:type="dxa"/>
            <w:vAlign w:val="bottom"/>
            <w:shd w:val="clear" w:color="auto" w:fill="CFF0FC"/>
          </w:tcPr>
          <w:p>
            <w:pPr>
              <w:spacing w:after="0"/>
              <w:rPr>
                <w:sz w:val="16"/>
                <w:szCs w:val="16"/>
                <w:color w:val="auto"/>
              </w:rPr>
            </w:pPr>
          </w:p>
        </w:tc>
        <w:tc>
          <w:tcPr>
            <w:tcW w:w="8320" w:type="dxa"/>
            <w:vAlign w:val="bottom"/>
            <w:shd w:val="clear" w:color="auto" w:fill="CFF0FC"/>
          </w:tcPr>
          <w:p>
            <w:pPr>
              <w:ind w:left="700"/>
              <w:spacing w:after="0"/>
              <w:rPr>
                <w:sz w:val="20"/>
                <w:szCs w:val="20"/>
                <w:color w:val="auto"/>
              </w:rPr>
            </w:pPr>
            <w:r>
              <w:rPr>
                <w:rFonts w:ascii="Arial" w:cs="Arial" w:eastAsia="Arial" w:hAnsi="Arial"/>
                <w:sz w:val="16"/>
                <w:szCs w:val="16"/>
                <w:color w:val="auto"/>
              </w:rPr>
              <w:t>Eastern transmission grids, which are independently-operated transmission grids serving the western and</w:t>
            </w:r>
          </w:p>
        </w:tc>
      </w:tr>
      <w:tr>
        <w:trPr>
          <w:trHeight w:val="189"/>
        </w:trPr>
        <w:tc>
          <w:tcPr>
            <w:tcW w:w="2920" w:type="dxa"/>
            <w:vAlign w:val="bottom"/>
            <w:shd w:val="clear" w:color="auto" w:fill="CFF0FC"/>
          </w:tcPr>
          <w:p>
            <w:pPr>
              <w:spacing w:after="0"/>
              <w:rPr>
                <w:sz w:val="16"/>
                <w:szCs w:val="16"/>
                <w:color w:val="auto"/>
              </w:rPr>
            </w:pPr>
          </w:p>
        </w:tc>
        <w:tc>
          <w:tcPr>
            <w:tcW w:w="8320" w:type="dxa"/>
            <w:vAlign w:val="bottom"/>
            <w:shd w:val="clear" w:color="auto" w:fill="CFF0FC"/>
          </w:tcPr>
          <w:p>
            <w:pPr>
              <w:ind w:left="700"/>
              <w:spacing w:after="0"/>
              <w:rPr>
                <w:sz w:val="20"/>
                <w:szCs w:val="20"/>
                <w:color w:val="auto"/>
              </w:rPr>
            </w:pPr>
            <w:r>
              <w:rPr>
                <w:rFonts w:ascii="Arial" w:cs="Arial" w:eastAsia="Arial" w:hAnsi="Arial"/>
                <w:sz w:val="16"/>
                <w:szCs w:val="16"/>
                <w:color w:val="auto"/>
              </w:rPr>
              <w:t>eastern United States, respectively. Basin Electric Power Cooperative owns the remaining ownership</w:t>
            </w:r>
          </w:p>
        </w:tc>
      </w:tr>
      <w:tr>
        <w:trPr>
          <w:trHeight w:val="189"/>
        </w:trPr>
        <w:tc>
          <w:tcPr>
            <w:tcW w:w="2920" w:type="dxa"/>
            <w:vAlign w:val="bottom"/>
            <w:shd w:val="clear" w:color="auto" w:fill="CFF0FC"/>
          </w:tcPr>
          <w:p>
            <w:pPr>
              <w:spacing w:after="0"/>
              <w:rPr>
                <w:sz w:val="16"/>
                <w:szCs w:val="16"/>
                <w:color w:val="auto"/>
              </w:rPr>
            </w:pPr>
          </w:p>
        </w:tc>
        <w:tc>
          <w:tcPr>
            <w:tcW w:w="8320" w:type="dxa"/>
            <w:vAlign w:val="bottom"/>
            <w:shd w:val="clear" w:color="auto" w:fill="CFF0FC"/>
          </w:tcPr>
          <w:p>
            <w:pPr>
              <w:ind w:left="700"/>
              <w:spacing w:after="0"/>
              <w:rPr>
                <w:sz w:val="20"/>
                <w:szCs w:val="20"/>
                <w:color w:val="auto"/>
              </w:rPr>
            </w:pPr>
            <w:r>
              <w:rPr>
                <w:rFonts w:ascii="Arial" w:cs="Arial" w:eastAsia="Arial" w:hAnsi="Arial"/>
                <w:sz w:val="16"/>
                <w:szCs w:val="16"/>
                <w:color w:val="auto"/>
              </w:rPr>
              <w:t>percentage. This transmission tie allows us to buy and sell energy in the Eastern grid without having to</w:t>
            </w:r>
          </w:p>
        </w:tc>
      </w:tr>
      <w:tr>
        <w:trPr>
          <w:trHeight w:val="189"/>
        </w:trPr>
        <w:tc>
          <w:tcPr>
            <w:tcW w:w="2920" w:type="dxa"/>
            <w:vAlign w:val="bottom"/>
            <w:shd w:val="clear" w:color="auto" w:fill="CFF0FC"/>
          </w:tcPr>
          <w:p>
            <w:pPr>
              <w:spacing w:after="0"/>
              <w:rPr>
                <w:sz w:val="16"/>
                <w:szCs w:val="16"/>
                <w:color w:val="auto"/>
              </w:rPr>
            </w:pPr>
          </w:p>
        </w:tc>
        <w:tc>
          <w:tcPr>
            <w:tcW w:w="8320" w:type="dxa"/>
            <w:vAlign w:val="bottom"/>
            <w:shd w:val="clear" w:color="auto" w:fill="CFF0FC"/>
          </w:tcPr>
          <w:p>
            <w:pPr>
              <w:ind w:left="700"/>
              <w:spacing w:after="0"/>
              <w:rPr>
                <w:sz w:val="20"/>
                <w:szCs w:val="20"/>
                <w:color w:val="auto"/>
              </w:rPr>
            </w:pPr>
            <w:r>
              <w:rPr>
                <w:rFonts w:ascii="Arial" w:cs="Arial" w:eastAsia="Arial" w:hAnsi="Arial"/>
                <w:sz w:val="16"/>
                <w:szCs w:val="16"/>
                <w:color w:val="auto"/>
              </w:rPr>
              <w:t>isolate and physically reconnect load or generation between the two transmission grids, thus enhancing</w:t>
            </w:r>
          </w:p>
        </w:tc>
      </w:tr>
      <w:tr>
        <w:trPr>
          <w:trHeight w:val="189"/>
        </w:trPr>
        <w:tc>
          <w:tcPr>
            <w:tcW w:w="2920" w:type="dxa"/>
            <w:vAlign w:val="bottom"/>
            <w:shd w:val="clear" w:color="auto" w:fill="CFF0FC"/>
          </w:tcPr>
          <w:p>
            <w:pPr>
              <w:spacing w:after="0"/>
              <w:rPr>
                <w:sz w:val="16"/>
                <w:szCs w:val="16"/>
                <w:color w:val="auto"/>
              </w:rPr>
            </w:pPr>
          </w:p>
        </w:tc>
        <w:tc>
          <w:tcPr>
            <w:tcW w:w="8320" w:type="dxa"/>
            <w:vAlign w:val="bottom"/>
            <w:shd w:val="clear" w:color="auto" w:fill="CFF0FC"/>
          </w:tcPr>
          <w:p>
            <w:pPr>
              <w:ind w:left="700"/>
              <w:spacing w:after="0"/>
              <w:rPr>
                <w:sz w:val="20"/>
                <w:szCs w:val="20"/>
                <w:color w:val="auto"/>
              </w:rPr>
            </w:pPr>
            <w:r>
              <w:rPr>
                <w:rFonts w:ascii="Arial" w:cs="Arial" w:eastAsia="Arial" w:hAnsi="Arial"/>
                <w:sz w:val="16"/>
                <w:szCs w:val="16"/>
                <w:color w:val="auto"/>
              </w:rPr>
              <w:t>the reliability of our system. It accommodates scheduling transactions in both directions simultaneously,</w:t>
            </w:r>
          </w:p>
        </w:tc>
      </w:tr>
      <w:tr>
        <w:trPr>
          <w:trHeight w:val="189"/>
        </w:trPr>
        <w:tc>
          <w:tcPr>
            <w:tcW w:w="2920" w:type="dxa"/>
            <w:vAlign w:val="bottom"/>
            <w:shd w:val="clear" w:color="auto" w:fill="CFF0FC"/>
          </w:tcPr>
          <w:p>
            <w:pPr>
              <w:spacing w:after="0"/>
              <w:rPr>
                <w:sz w:val="16"/>
                <w:szCs w:val="16"/>
                <w:color w:val="auto"/>
              </w:rPr>
            </w:pPr>
          </w:p>
        </w:tc>
        <w:tc>
          <w:tcPr>
            <w:tcW w:w="8320" w:type="dxa"/>
            <w:vAlign w:val="bottom"/>
            <w:shd w:val="clear" w:color="auto" w:fill="CFF0FC"/>
          </w:tcPr>
          <w:p>
            <w:pPr>
              <w:ind w:left="700"/>
              <w:spacing w:after="0"/>
              <w:rPr>
                <w:sz w:val="20"/>
                <w:szCs w:val="20"/>
                <w:color w:val="auto"/>
              </w:rPr>
            </w:pPr>
            <w:r>
              <w:rPr>
                <w:rFonts w:ascii="Arial" w:cs="Arial" w:eastAsia="Arial" w:hAnsi="Arial"/>
                <w:sz w:val="16"/>
                <w:szCs w:val="16"/>
                <w:color w:val="auto"/>
              </w:rPr>
              <w:t>provides additional opportunities to sell excess generation or to make economic purchases to serve our</w:t>
            </w:r>
          </w:p>
        </w:tc>
      </w:tr>
      <w:tr>
        <w:trPr>
          <w:trHeight w:val="189"/>
        </w:trPr>
        <w:tc>
          <w:tcPr>
            <w:tcW w:w="2920" w:type="dxa"/>
            <w:vAlign w:val="bottom"/>
            <w:shd w:val="clear" w:color="auto" w:fill="CFF0FC"/>
          </w:tcPr>
          <w:p>
            <w:pPr>
              <w:spacing w:after="0"/>
              <w:rPr>
                <w:sz w:val="16"/>
                <w:szCs w:val="16"/>
                <w:color w:val="auto"/>
              </w:rPr>
            </w:pPr>
          </w:p>
        </w:tc>
        <w:tc>
          <w:tcPr>
            <w:tcW w:w="8320" w:type="dxa"/>
            <w:vAlign w:val="bottom"/>
            <w:shd w:val="clear" w:color="auto" w:fill="CFF0FC"/>
          </w:tcPr>
          <w:p>
            <w:pPr>
              <w:ind w:left="700"/>
              <w:spacing w:after="0"/>
              <w:rPr>
                <w:sz w:val="20"/>
                <w:szCs w:val="20"/>
                <w:color w:val="auto"/>
              </w:rPr>
            </w:pPr>
            <w:r>
              <w:rPr>
                <w:rFonts w:ascii="Arial" w:cs="Arial" w:eastAsia="Arial" w:hAnsi="Arial"/>
                <w:sz w:val="16"/>
                <w:szCs w:val="16"/>
                <w:color w:val="auto"/>
              </w:rPr>
              <w:t>native load and contract obligations, and enables us to take advantage of power price differentials</w:t>
            </w:r>
          </w:p>
        </w:tc>
      </w:tr>
      <w:tr>
        <w:trPr>
          <w:trHeight w:val="189"/>
        </w:trPr>
        <w:tc>
          <w:tcPr>
            <w:tcW w:w="2920" w:type="dxa"/>
            <w:vAlign w:val="bottom"/>
            <w:shd w:val="clear" w:color="auto" w:fill="CFF0FC"/>
          </w:tcPr>
          <w:p>
            <w:pPr>
              <w:spacing w:after="0"/>
              <w:rPr>
                <w:sz w:val="16"/>
                <w:szCs w:val="16"/>
                <w:color w:val="auto"/>
              </w:rPr>
            </w:pPr>
          </w:p>
        </w:tc>
        <w:tc>
          <w:tcPr>
            <w:tcW w:w="8320" w:type="dxa"/>
            <w:vAlign w:val="bottom"/>
            <w:shd w:val="clear" w:color="auto" w:fill="CFF0FC"/>
          </w:tcPr>
          <w:p>
            <w:pPr>
              <w:ind w:left="700"/>
              <w:spacing w:after="0"/>
              <w:rPr>
                <w:sz w:val="20"/>
                <w:szCs w:val="20"/>
                <w:color w:val="auto"/>
              </w:rPr>
            </w:pPr>
            <w:r>
              <w:rPr>
                <w:rFonts w:ascii="Arial" w:cs="Arial" w:eastAsia="Arial" w:hAnsi="Arial"/>
                <w:sz w:val="16"/>
                <w:szCs w:val="16"/>
                <w:color w:val="auto"/>
              </w:rPr>
              <w:t>between the two grids. The total transfer capacity of the tie is 400 MW, including 200 MW from West to</w:t>
            </w:r>
          </w:p>
        </w:tc>
      </w:tr>
      <w:tr>
        <w:trPr>
          <w:trHeight w:val="230"/>
        </w:trPr>
        <w:tc>
          <w:tcPr>
            <w:tcW w:w="2920" w:type="dxa"/>
            <w:vAlign w:val="bottom"/>
            <w:shd w:val="clear" w:color="auto" w:fill="CFF0FC"/>
          </w:tcPr>
          <w:p>
            <w:pPr>
              <w:spacing w:after="0"/>
              <w:rPr>
                <w:sz w:val="20"/>
                <w:szCs w:val="20"/>
                <w:color w:val="auto"/>
              </w:rPr>
            </w:pPr>
          </w:p>
        </w:tc>
        <w:tc>
          <w:tcPr>
            <w:tcW w:w="8320" w:type="dxa"/>
            <w:vAlign w:val="bottom"/>
            <w:shd w:val="clear" w:color="auto" w:fill="CFF0FC"/>
          </w:tcPr>
          <w:p>
            <w:pPr>
              <w:ind w:left="700"/>
              <w:spacing w:after="0"/>
              <w:rPr>
                <w:sz w:val="20"/>
                <w:szCs w:val="20"/>
                <w:color w:val="auto"/>
              </w:rPr>
            </w:pPr>
            <w:r>
              <w:rPr>
                <w:rFonts w:ascii="Arial" w:cs="Arial" w:eastAsia="Arial" w:hAnsi="Arial"/>
                <w:sz w:val="16"/>
                <w:szCs w:val="16"/>
                <w:color w:val="auto"/>
              </w:rPr>
              <w:t>East and 200 MW from East to West.</w:t>
            </w:r>
          </w:p>
        </w:tc>
      </w:tr>
      <w:tr>
        <w:trPr>
          <w:trHeight w:val="262"/>
        </w:trPr>
        <w:tc>
          <w:tcPr>
            <w:tcW w:w="2920" w:type="dxa"/>
            <w:vAlign w:val="bottom"/>
          </w:tcPr>
          <w:p>
            <w:pPr>
              <w:ind w:left="20"/>
              <w:spacing w:after="0"/>
              <w:rPr>
                <w:sz w:val="20"/>
                <w:szCs w:val="20"/>
                <w:color w:val="auto"/>
              </w:rPr>
            </w:pPr>
            <w:r>
              <w:rPr>
                <w:rFonts w:ascii="Arial" w:cs="Arial" w:eastAsia="Arial" w:hAnsi="Arial"/>
                <w:sz w:val="16"/>
                <w:szCs w:val="16"/>
                <w:color w:val="auto"/>
              </w:rPr>
              <w:t>TSA</w:t>
            </w:r>
          </w:p>
        </w:tc>
        <w:tc>
          <w:tcPr>
            <w:tcW w:w="8320" w:type="dxa"/>
            <w:vAlign w:val="bottom"/>
          </w:tcPr>
          <w:p>
            <w:pPr>
              <w:ind w:left="700"/>
              <w:spacing w:after="0"/>
              <w:rPr>
                <w:sz w:val="20"/>
                <w:szCs w:val="20"/>
                <w:color w:val="auto"/>
              </w:rPr>
            </w:pPr>
            <w:r>
              <w:rPr>
                <w:rFonts w:ascii="Arial" w:cs="Arial" w:eastAsia="Arial" w:hAnsi="Arial"/>
                <w:sz w:val="16"/>
                <w:szCs w:val="16"/>
                <w:color w:val="auto"/>
              </w:rPr>
              <w:t>United States Department of Homeland Security's Transportation Security Administration</w:t>
            </w:r>
          </w:p>
        </w:tc>
      </w:tr>
      <w:tr>
        <w:trPr>
          <w:trHeight w:val="278"/>
        </w:trPr>
        <w:tc>
          <w:tcPr>
            <w:tcW w:w="2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Utilities</w:t>
            </w:r>
          </w:p>
        </w:tc>
        <w:tc>
          <w:tcPr>
            <w:tcW w:w="8320" w:type="dxa"/>
            <w:vAlign w:val="bottom"/>
            <w:shd w:val="clear" w:color="auto" w:fill="CFF0FC"/>
          </w:tcPr>
          <w:p>
            <w:pPr>
              <w:ind w:left="700"/>
              <w:spacing w:after="0"/>
              <w:rPr>
                <w:sz w:val="20"/>
                <w:szCs w:val="20"/>
                <w:color w:val="auto"/>
              </w:rPr>
            </w:pPr>
            <w:r>
              <w:rPr>
                <w:rFonts w:ascii="Arial" w:cs="Arial" w:eastAsia="Arial" w:hAnsi="Arial"/>
                <w:sz w:val="16"/>
                <w:szCs w:val="16"/>
                <w:color w:val="auto"/>
              </w:rPr>
              <w:t>Black Hills’ Electric and Gas Utilities</w:t>
            </w:r>
          </w:p>
        </w:tc>
      </w:tr>
      <w:tr>
        <w:trPr>
          <w:trHeight w:val="262"/>
        </w:trPr>
        <w:tc>
          <w:tcPr>
            <w:tcW w:w="2920" w:type="dxa"/>
            <w:vAlign w:val="bottom"/>
          </w:tcPr>
          <w:p>
            <w:pPr>
              <w:ind w:left="20"/>
              <w:spacing w:after="0"/>
              <w:rPr>
                <w:sz w:val="20"/>
                <w:szCs w:val="20"/>
                <w:color w:val="auto"/>
              </w:rPr>
            </w:pPr>
            <w:r>
              <w:rPr>
                <w:rFonts w:ascii="Arial" w:cs="Arial" w:eastAsia="Arial" w:hAnsi="Arial"/>
                <w:sz w:val="16"/>
                <w:szCs w:val="16"/>
                <w:color w:val="auto"/>
              </w:rPr>
              <w:t>VEBA</w:t>
            </w:r>
          </w:p>
        </w:tc>
        <w:tc>
          <w:tcPr>
            <w:tcW w:w="8320" w:type="dxa"/>
            <w:vAlign w:val="bottom"/>
          </w:tcPr>
          <w:p>
            <w:pPr>
              <w:ind w:left="700"/>
              <w:spacing w:after="0"/>
              <w:rPr>
                <w:sz w:val="20"/>
                <w:szCs w:val="20"/>
                <w:color w:val="auto"/>
              </w:rPr>
            </w:pPr>
            <w:r>
              <w:rPr>
                <w:rFonts w:ascii="Arial" w:cs="Arial" w:eastAsia="Arial" w:hAnsi="Arial"/>
                <w:sz w:val="16"/>
                <w:szCs w:val="16"/>
                <w:color w:val="auto"/>
              </w:rPr>
              <w:t>Voluntary Employee Benefit Association</w:t>
            </w:r>
          </w:p>
        </w:tc>
      </w:tr>
      <w:tr>
        <w:trPr>
          <w:trHeight w:val="278"/>
        </w:trPr>
        <w:tc>
          <w:tcPr>
            <w:tcW w:w="2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VIE</w:t>
            </w:r>
          </w:p>
        </w:tc>
        <w:tc>
          <w:tcPr>
            <w:tcW w:w="8320" w:type="dxa"/>
            <w:vAlign w:val="bottom"/>
            <w:shd w:val="clear" w:color="auto" w:fill="CFF0FC"/>
          </w:tcPr>
          <w:p>
            <w:pPr>
              <w:ind w:left="700"/>
              <w:spacing w:after="0"/>
              <w:rPr>
                <w:sz w:val="20"/>
                <w:szCs w:val="20"/>
                <w:color w:val="auto"/>
              </w:rPr>
            </w:pPr>
            <w:r>
              <w:rPr>
                <w:rFonts w:ascii="Arial" w:cs="Arial" w:eastAsia="Arial" w:hAnsi="Arial"/>
                <w:sz w:val="16"/>
                <w:szCs w:val="16"/>
                <w:color w:val="auto"/>
              </w:rPr>
              <w:t>Variable Interest Entity</w:t>
            </w:r>
          </w:p>
        </w:tc>
      </w:tr>
      <w:tr>
        <w:trPr>
          <w:trHeight w:val="229"/>
        </w:trPr>
        <w:tc>
          <w:tcPr>
            <w:tcW w:w="2920" w:type="dxa"/>
            <w:vAlign w:val="bottom"/>
          </w:tcPr>
          <w:p>
            <w:pPr>
              <w:ind w:left="20"/>
              <w:spacing w:after="0"/>
              <w:rPr>
                <w:sz w:val="20"/>
                <w:szCs w:val="20"/>
                <w:color w:val="auto"/>
              </w:rPr>
            </w:pPr>
            <w:r>
              <w:rPr>
                <w:rFonts w:ascii="Arial" w:cs="Arial" w:eastAsia="Arial" w:hAnsi="Arial"/>
                <w:sz w:val="16"/>
                <w:szCs w:val="16"/>
                <w:color w:val="auto"/>
              </w:rPr>
              <w:t>Wildfire Mitigation Plan (WMP)</w:t>
            </w:r>
          </w:p>
        </w:tc>
        <w:tc>
          <w:tcPr>
            <w:tcW w:w="8320" w:type="dxa"/>
            <w:vAlign w:val="bottom"/>
          </w:tcPr>
          <w:p>
            <w:pPr>
              <w:ind w:left="700"/>
              <w:spacing w:after="0"/>
              <w:rPr>
                <w:sz w:val="20"/>
                <w:szCs w:val="20"/>
                <w:color w:val="auto"/>
              </w:rPr>
            </w:pPr>
            <w:r>
              <w:rPr>
                <w:rFonts w:ascii="Arial" w:cs="Arial" w:eastAsia="Arial" w:hAnsi="Arial"/>
                <w:sz w:val="16"/>
                <w:szCs w:val="16"/>
                <w:color w:val="auto"/>
              </w:rPr>
              <w:t>Our three-layered approach to manage wildfire risks driven by asset-based risk assessments that include</w:t>
            </w:r>
          </w:p>
        </w:tc>
      </w:tr>
      <w:tr>
        <w:trPr>
          <w:trHeight w:val="222"/>
        </w:trPr>
        <w:tc>
          <w:tcPr>
            <w:tcW w:w="2920" w:type="dxa"/>
            <w:vAlign w:val="bottom"/>
          </w:tcPr>
          <w:p>
            <w:pPr>
              <w:spacing w:after="0"/>
              <w:rPr>
                <w:sz w:val="19"/>
                <w:szCs w:val="19"/>
                <w:color w:val="auto"/>
              </w:rPr>
            </w:pPr>
          </w:p>
        </w:tc>
        <w:tc>
          <w:tcPr>
            <w:tcW w:w="8320" w:type="dxa"/>
            <w:vAlign w:val="bottom"/>
          </w:tcPr>
          <w:p>
            <w:pPr>
              <w:ind w:left="700"/>
              <w:spacing w:after="0"/>
              <w:rPr>
                <w:sz w:val="20"/>
                <w:szCs w:val="20"/>
                <w:color w:val="auto"/>
              </w:rPr>
            </w:pPr>
            <w:r>
              <w:rPr>
                <w:rFonts w:ascii="Arial" w:cs="Arial" w:eastAsia="Arial" w:hAnsi="Arial"/>
                <w:sz w:val="16"/>
                <w:szCs w:val="16"/>
                <w:color w:val="auto"/>
              </w:rPr>
              <w:t>asset programs, integrity programs and operational response.</w:t>
            </w:r>
          </w:p>
        </w:tc>
      </w:tr>
      <w:tr>
        <w:trPr>
          <w:trHeight w:val="237"/>
        </w:trPr>
        <w:tc>
          <w:tcPr>
            <w:tcW w:w="2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Wind Capacity Factor</w:t>
            </w:r>
          </w:p>
        </w:tc>
        <w:tc>
          <w:tcPr>
            <w:tcW w:w="8320" w:type="dxa"/>
            <w:vAlign w:val="bottom"/>
            <w:shd w:val="clear" w:color="auto" w:fill="CFF0FC"/>
          </w:tcPr>
          <w:p>
            <w:pPr>
              <w:ind w:left="700"/>
              <w:spacing w:after="0"/>
              <w:rPr>
                <w:sz w:val="20"/>
                <w:szCs w:val="20"/>
                <w:color w:val="auto"/>
              </w:rPr>
            </w:pPr>
            <w:r>
              <w:rPr>
                <w:rFonts w:ascii="Arial" w:cs="Arial" w:eastAsia="Arial" w:hAnsi="Arial"/>
                <w:sz w:val="16"/>
                <w:szCs w:val="16"/>
                <w:color w:val="auto"/>
              </w:rPr>
              <w:t>Measures the amount of electricity a wind turbine produces in a given time period relative to its maximum</w:t>
            </w:r>
          </w:p>
        </w:tc>
      </w:tr>
      <w:tr>
        <w:trPr>
          <w:trHeight w:val="230"/>
        </w:trPr>
        <w:tc>
          <w:tcPr>
            <w:tcW w:w="2920" w:type="dxa"/>
            <w:vAlign w:val="bottom"/>
            <w:shd w:val="clear" w:color="auto" w:fill="CFF0FC"/>
          </w:tcPr>
          <w:p>
            <w:pPr>
              <w:spacing w:after="0"/>
              <w:rPr>
                <w:sz w:val="20"/>
                <w:szCs w:val="20"/>
                <w:color w:val="auto"/>
              </w:rPr>
            </w:pPr>
          </w:p>
        </w:tc>
        <w:tc>
          <w:tcPr>
            <w:tcW w:w="8320" w:type="dxa"/>
            <w:vAlign w:val="bottom"/>
            <w:shd w:val="clear" w:color="auto" w:fill="CFF0FC"/>
          </w:tcPr>
          <w:p>
            <w:pPr>
              <w:ind w:left="700"/>
              <w:spacing w:after="0"/>
              <w:rPr>
                <w:sz w:val="20"/>
                <w:szCs w:val="20"/>
                <w:color w:val="auto"/>
              </w:rPr>
            </w:pPr>
            <w:r>
              <w:rPr>
                <w:rFonts w:ascii="Arial" w:cs="Arial" w:eastAsia="Arial" w:hAnsi="Arial"/>
                <w:sz w:val="16"/>
                <w:szCs w:val="16"/>
                <w:color w:val="auto"/>
              </w:rPr>
              <w:t>potential</w:t>
            </w:r>
          </w:p>
        </w:tc>
      </w:tr>
      <w:tr>
        <w:trPr>
          <w:trHeight w:val="229"/>
        </w:trPr>
        <w:tc>
          <w:tcPr>
            <w:tcW w:w="2920" w:type="dxa"/>
            <w:vAlign w:val="bottom"/>
          </w:tcPr>
          <w:p>
            <w:pPr>
              <w:ind w:left="20"/>
              <w:spacing w:after="0"/>
              <w:rPr>
                <w:sz w:val="20"/>
                <w:szCs w:val="20"/>
                <w:color w:val="auto"/>
              </w:rPr>
            </w:pPr>
            <w:r>
              <w:rPr>
                <w:rFonts w:ascii="Arial" w:cs="Arial" w:eastAsia="Arial" w:hAnsi="Arial"/>
                <w:sz w:val="16"/>
                <w:szCs w:val="16"/>
                <w:color w:val="auto"/>
              </w:rPr>
              <w:t>Winter Storm Uri</w:t>
            </w:r>
          </w:p>
        </w:tc>
        <w:tc>
          <w:tcPr>
            <w:tcW w:w="8320" w:type="dxa"/>
            <w:vAlign w:val="bottom"/>
          </w:tcPr>
          <w:p>
            <w:pPr>
              <w:ind w:left="700"/>
              <w:spacing w:after="0"/>
              <w:rPr>
                <w:sz w:val="20"/>
                <w:szCs w:val="20"/>
                <w:color w:val="auto"/>
              </w:rPr>
            </w:pPr>
            <w:r>
              <w:rPr>
                <w:rFonts w:ascii="Arial" w:cs="Arial" w:eastAsia="Arial" w:hAnsi="Arial"/>
                <w:sz w:val="16"/>
                <w:szCs w:val="16"/>
                <w:color w:val="auto"/>
              </w:rPr>
              <w:t>February 2021 winter weather event that caused extreme cold temperatures in the central United States</w:t>
            </w:r>
          </w:p>
        </w:tc>
      </w:tr>
      <w:tr>
        <w:trPr>
          <w:trHeight w:val="222"/>
        </w:trPr>
        <w:tc>
          <w:tcPr>
            <w:tcW w:w="2920" w:type="dxa"/>
            <w:vAlign w:val="bottom"/>
          </w:tcPr>
          <w:p>
            <w:pPr>
              <w:spacing w:after="0"/>
              <w:rPr>
                <w:sz w:val="19"/>
                <w:szCs w:val="19"/>
                <w:color w:val="auto"/>
              </w:rPr>
            </w:pPr>
          </w:p>
        </w:tc>
        <w:tc>
          <w:tcPr>
            <w:tcW w:w="8320" w:type="dxa"/>
            <w:vAlign w:val="bottom"/>
          </w:tcPr>
          <w:p>
            <w:pPr>
              <w:ind w:left="700"/>
              <w:spacing w:after="0"/>
              <w:rPr>
                <w:sz w:val="20"/>
                <w:szCs w:val="20"/>
                <w:color w:val="auto"/>
              </w:rPr>
            </w:pPr>
            <w:r>
              <w:rPr>
                <w:rFonts w:ascii="Arial" w:cs="Arial" w:eastAsia="Arial" w:hAnsi="Arial"/>
                <w:sz w:val="16"/>
                <w:szCs w:val="16"/>
                <w:color w:val="auto"/>
              </w:rPr>
              <w:t>and led to unprecedented fluctuations in customer demand and market pricing for natural gas and energy.</w:t>
            </w:r>
          </w:p>
        </w:tc>
      </w:tr>
      <w:tr>
        <w:trPr>
          <w:trHeight w:val="278"/>
        </w:trPr>
        <w:tc>
          <w:tcPr>
            <w:tcW w:w="2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Working Capacity</w:t>
            </w:r>
          </w:p>
        </w:tc>
        <w:tc>
          <w:tcPr>
            <w:tcW w:w="8320" w:type="dxa"/>
            <w:vAlign w:val="bottom"/>
            <w:shd w:val="clear" w:color="auto" w:fill="CFF0FC"/>
          </w:tcPr>
          <w:p>
            <w:pPr>
              <w:ind w:left="700"/>
              <w:spacing w:after="0"/>
              <w:rPr>
                <w:sz w:val="20"/>
                <w:szCs w:val="20"/>
                <w:color w:val="auto"/>
              </w:rPr>
            </w:pPr>
            <w:r>
              <w:rPr>
                <w:rFonts w:ascii="Arial" w:cs="Arial" w:eastAsia="Arial" w:hAnsi="Arial"/>
                <w:sz w:val="16"/>
                <w:szCs w:val="16"/>
                <w:color w:val="auto"/>
              </w:rPr>
              <w:t>Total gas storage capacity minus cushion gas</w:t>
            </w:r>
          </w:p>
        </w:tc>
      </w:tr>
      <w:tr>
        <w:trPr>
          <w:trHeight w:val="262"/>
        </w:trPr>
        <w:tc>
          <w:tcPr>
            <w:tcW w:w="2920" w:type="dxa"/>
            <w:vAlign w:val="bottom"/>
          </w:tcPr>
          <w:p>
            <w:pPr>
              <w:ind w:left="20"/>
              <w:spacing w:after="0"/>
              <w:rPr>
                <w:sz w:val="20"/>
                <w:szCs w:val="20"/>
                <w:color w:val="auto"/>
              </w:rPr>
            </w:pPr>
            <w:r>
              <w:rPr>
                <w:rFonts w:ascii="Arial" w:cs="Arial" w:eastAsia="Arial" w:hAnsi="Arial"/>
                <w:sz w:val="16"/>
                <w:szCs w:val="16"/>
                <w:color w:val="auto"/>
              </w:rPr>
              <w:t>WPSC</w:t>
            </w:r>
          </w:p>
        </w:tc>
        <w:tc>
          <w:tcPr>
            <w:tcW w:w="8320" w:type="dxa"/>
            <w:vAlign w:val="bottom"/>
          </w:tcPr>
          <w:p>
            <w:pPr>
              <w:ind w:left="700"/>
              <w:spacing w:after="0"/>
              <w:rPr>
                <w:sz w:val="20"/>
                <w:szCs w:val="20"/>
                <w:color w:val="auto"/>
              </w:rPr>
            </w:pPr>
            <w:r>
              <w:rPr>
                <w:rFonts w:ascii="Arial" w:cs="Arial" w:eastAsia="Arial" w:hAnsi="Arial"/>
                <w:sz w:val="16"/>
                <w:szCs w:val="16"/>
                <w:color w:val="auto"/>
              </w:rPr>
              <w:t>Wyoming Public Service Commission</w:t>
            </w:r>
          </w:p>
        </w:tc>
      </w:tr>
      <w:tr>
        <w:trPr>
          <w:trHeight w:val="237"/>
        </w:trPr>
        <w:tc>
          <w:tcPr>
            <w:tcW w:w="2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WRDC</w:t>
            </w:r>
          </w:p>
        </w:tc>
        <w:tc>
          <w:tcPr>
            <w:tcW w:w="8320" w:type="dxa"/>
            <w:vAlign w:val="bottom"/>
            <w:shd w:val="clear" w:color="auto" w:fill="CFF0FC"/>
          </w:tcPr>
          <w:p>
            <w:pPr>
              <w:ind w:left="700"/>
              <w:spacing w:after="0"/>
              <w:rPr>
                <w:sz w:val="20"/>
                <w:szCs w:val="20"/>
                <w:color w:val="auto"/>
              </w:rPr>
            </w:pPr>
            <w:r>
              <w:rPr>
                <w:rFonts w:ascii="Arial" w:cs="Arial" w:eastAsia="Arial" w:hAnsi="Arial"/>
                <w:sz w:val="16"/>
                <w:szCs w:val="16"/>
                <w:color w:val="auto"/>
              </w:rPr>
              <w:t>Wyodak Resources Development Corp., a coal mine which is a direct, wholly-owned subsidiary of Black</w:t>
            </w:r>
          </w:p>
        </w:tc>
      </w:tr>
      <w:tr>
        <w:trPr>
          <w:trHeight w:val="189"/>
        </w:trPr>
        <w:tc>
          <w:tcPr>
            <w:tcW w:w="2920" w:type="dxa"/>
            <w:vAlign w:val="bottom"/>
            <w:shd w:val="clear" w:color="auto" w:fill="CFF0FC"/>
          </w:tcPr>
          <w:p>
            <w:pPr>
              <w:spacing w:after="0"/>
              <w:rPr>
                <w:sz w:val="16"/>
                <w:szCs w:val="16"/>
                <w:color w:val="auto"/>
              </w:rPr>
            </w:pPr>
          </w:p>
        </w:tc>
        <w:tc>
          <w:tcPr>
            <w:tcW w:w="8320" w:type="dxa"/>
            <w:vAlign w:val="bottom"/>
            <w:shd w:val="clear" w:color="auto" w:fill="CFF0FC"/>
          </w:tcPr>
          <w:p>
            <w:pPr>
              <w:ind w:left="700"/>
              <w:spacing w:after="0"/>
              <w:rPr>
                <w:sz w:val="20"/>
                <w:szCs w:val="20"/>
                <w:color w:val="auto"/>
              </w:rPr>
            </w:pPr>
            <w:r>
              <w:rPr>
                <w:rFonts w:ascii="Arial" w:cs="Arial" w:eastAsia="Arial" w:hAnsi="Arial"/>
                <w:sz w:val="16"/>
                <w:szCs w:val="16"/>
                <w:color w:val="auto"/>
              </w:rPr>
              <w:t>Hills Non-regulated Holdings, providing coal supply primarily to five on-site, mine-mouth generating</w:t>
            </w:r>
          </w:p>
        </w:tc>
      </w:tr>
      <w:tr>
        <w:trPr>
          <w:trHeight w:val="230"/>
        </w:trPr>
        <w:tc>
          <w:tcPr>
            <w:tcW w:w="2920" w:type="dxa"/>
            <w:vAlign w:val="bottom"/>
            <w:shd w:val="clear" w:color="auto" w:fill="CFF0FC"/>
          </w:tcPr>
          <w:p>
            <w:pPr>
              <w:spacing w:after="0"/>
              <w:rPr>
                <w:sz w:val="20"/>
                <w:szCs w:val="20"/>
                <w:color w:val="auto"/>
              </w:rPr>
            </w:pPr>
          </w:p>
        </w:tc>
        <w:tc>
          <w:tcPr>
            <w:tcW w:w="8320" w:type="dxa"/>
            <w:vAlign w:val="bottom"/>
            <w:shd w:val="clear" w:color="auto" w:fill="CFF0FC"/>
          </w:tcPr>
          <w:p>
            <w:pPr>
              <w:ind w:left="700"/>
              <w:spacing w:after="0"/>
              <w:rPr>
                <w:sz w:val="20"/>
                <w:szCs w:val="20"/>
                <w:color w:val="auto"/>
              </w:rPr>
            </w:pPr>
            <w:r>
              <w:rPr>
                <w:rFonts w:ascii="Arial" w:cs="Arial" w:eastAsia="Arial" w:hAnsi="Arial"/>
                <w:sz w:val="16"/>
                <w:szCs w:val="16"/>
                <w:color w:val="auto"/>
              </w:rPr>
              <w:t>facilities at our Gillette Energy Complex (doing business as Black Hills Energy).</w:t>
            </w:r>
          </w:p>
        </w:tc>
      </w:tr>
      <w:tr>
        <w:trPr>
          <w:trHeight w:val="229"/>
        </w:trPr>
        <w:tc>
          <w:tcPr>
            <w:tcW w:w="2920" w:type="dxa"/>
            <w:vAlign w:val="bottom"/>
          </w:tcPr>
          <w:p>
            <w:pPr>
              <w:ind w:left="20"/>
              <w:spacing w:after="0"/>
              <w:rPr>
                <w:sz w:val="20"/>
                <w:szCs w:val="20"/>
                <w:color w:val="auto"/>
              </w:rPr>
            </w:pPr>
            <w:r>
              <w:rPr>
                <w:rFonts w:ascii="Arial" w:cs="Arial" w:eastAsia="Arial" w:hAnsi="Arial"/>
                <w:sz w:val="16"/>
                <w:szCs w:val="16"/>
                <w:color w:val="auto"/>
              </w:rPr>
              <w:t>Wygen I</w:t>
            </w:r>
          </w:p>
        </w:tc>
        <w:tc>
          <w:tcPr>
            <w:tcW w:w="8320" w:type="dxa"/>
            <w:vAlign w:val="bottom"/>
          </w:tcPr>
          <w:p>
            <w:pPr>
              <w:ind w:left="700"/>
              <w:spacing w:after="0"/>
              <w:rPr>
                <w:sz w:val="20"/>
                <w:szCs w:val="20"/>
                <w:color w:val="auto"/>
              </w:rPr>
            </w:pPr>
            <w:r>
              <w:rPr>
                <w:rFonts w:ascii="Arial" w:cs="Arial" w:eastAsia="Arial" w:hAnsi="Arial"/>
                <w:sz w:val="16"/>
                <w:szCs w:val="16"/>
                <w:color w:val="auto"/>
              </w:rPr>
              <w:t>A mine-mouth, coal-fired generating facility with a total capacity of 90 MW located at our Gillette Energy</w:t>
            </w:r>
          </w:p>
        </w:tc>
      </w:tr>
      <w:tr>
        <w:trPr>
          <w:trHeight w:val="189"/>
        </w:trPr>
        <w:tc>
          <w:tcPr>
            <w:tcW w:w="2920" w:type="dxa"/>
            <w:vAlign w:val="bottom"/>
          </w:tcPr>
          <w:p>
            <w:pPr>
              <w:spacing w:after="0"/>
              <w:rPr>
                <w:sz w:val="16"/>
                <w:szCs w:val="16"/>
                <w:color w:val="auto"/>
              </w:rPr>
            </w:pPr>
          </w:p>
        </w:tc>
        <w:tc>
          <w:tcPr>
            <w:tcW w:w="8320" w:type="dxa"/>
            <w:vAlign w:val="bottom"/>
          </w:tcPr>
          <w:p>
            <w:pPr>
              <w:ind w:left="700"/>
              <w:spacing w:after="0"/>
              <w:rPr>
                <w:sz w:val="20"/>
                <w:szCs w:val="20"/>
                <w:color w:val="auto"/>
              </w:rPr>
            </w:pPr>
            <w:r>
              <w:rPr>
                <w:rFonts w:ascii="Arial" w:cs="Arial" w:eastAsia="Arial" w:hAnsi="Arial"/>
                <w:sz w:val="16"/>
                <w:szCs w:val="16"/>
                <w:color w:val="auto"/>
              </w:rPr>
              <w:t>Complex. Black Hills Wyoming owns 76.5% of the facility and Municipal Energy Agency of Nebraska</w:t>
            </w:r>
          </w:p>
        </w:tc>
      </w:tr>
      <w:tr>
        <w:trPr>
          <w:trHeight w:val="222"/>
        </w:trPr>
        <w:tc>
          <w:tcPr>
            <w:tcW w:w="2920" w:type="dxa"/>
            <w:vAlign w:val="bottom"/>
          </w:tcPr>
          <w:p>
            <w:pPr>
              <w:spacing w:after="0"/>
              <w:rPr>
                <w:sz w:val="19"/>
                <w:szCs w:val="19"/>
                <w:color w:val="auto"/>
              </w:rPr>
            </w:pPr>
          </w:p>
        </w:tc>
        <w:tc>
          <w:tcPr>
            <w:tcW w:w="8320" w:type="dxa"/>
            <w:vAlign w:val="bottom"/>
          </w:tcPr>
          <w:p>
            <w:pPr>
              <w:ind w:left="700"/>
              <w:spacing w:after="0"/>
              <w:rPr>
                <w:sz w:val="20"/>
                <w:szCs w:val="20"/>
                <w:color w:val="auto"/>
              </w:rPr>
            </w:pPr>
            <w:r>
              <w:rPr>
                <w:rFonts w:ascii="Arial" w:cs="Arial" w:eastAsia="Arial" w:hAnsi="Arial"/>
                <w:sz w:val="16"/>
                <w:szCs w:val="16"/>
                <w:color w:val="auto"/>
              </w:rPr>
              <w:t>(MEAN) owns the remaining 23.5%.</w:t>
            </w:r>
          </w:p>
        </w:tc>
      </w:tr>
      <w:tr>
        <w:trPr>
          <w:trHeight w:val="237"/>
        </w:trPr>
        <w:tc>
          <w:tcPr>
            <w:tcW w:w="2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Wygen II</w:t>
            </w:r>
          </w:p>
        </w:tc>
        <w:tc>
          <w:tcPr>
            <w:tcW w:w="8320" w:type="dxa"/>
            <w:vAlign w:val="bottom"/>
            <w:shd w:val="clear" w:color="auto" w:fill="CFF0FC"/>
          </w:tcPr>
          <w:p>
            <w:pPr>
              <w:ind w:left="700"/>
              <w:spacing w:after="0"/>
              <w:rPr>
                <w:sz w:val="20"/>
                <w:szCs w:val="20"/>
                <w:color w:val="auto"/>
              </w:rPr>
            </w:pPr>
            <w:r>
              <w:rPr>
                <w:rFonts w:ascii="Arial" w:cs="Arial" w:eastAsia="Arial" w:hAnsi="Arial"/>
                <w:sz w:val="16"/>
                <w:szCs w:val="16"/>
                <w:color w:val="auto"/>
              </w:rPr>
              <w:t>A mine-mouth, coal-fired power plant owned by Wyoming Electric with a total capacity of 95 MW located</w:t>
            </w:r>
          </w:p>
        </w:tc>
      </w:tr>
      <w:tr>
        <w:trPr>
          <w:trHeight w:val="230"/>
        </w:trPr>
        <w:tc>
          <w:tcPr>
            <w:tcW w:w="2920" w:type="dxa"/>
            <w:vAlign w:val="bottom"/>
            <w:shd w:val="clear" w:color="auto" w:fill="CFF0FC"/>
          </w:tcPr>
          <w:p>
            <w:pPr>
              <w:spacing w:after="0"/>
              <w:rPr>
                <w:sz w:val="20"/>
                <w:szCs w:val="20"/>
                <w:color w:val="auto"/>
              </w:rPr>
            </w:pPr>
          </w:p>
        </w:tc>
        <w:tc>
          <w:tcPr>
            <w:tcW w:w="8320" w:type="dxa"/>
            <w:vAlign w:val="bottom"/>
            <w:shd w:val="clear" w:color="auto" w:fill="CFF0FC"/>
          </w:tcPr>
          <w:p>
            <w:pPr>
              <w:ind w:left="700"/>
              <w:spacing w:after="0"/>
              <w:rPr>
                <w:sz w:val="20"/>
                <w:szCs w:val="20"/>
                <w:color w:val="auto"/>
              </w:rPr>
            </w:pPr>
            <w:r>
              <w:rPr>
                <w:rFonts w:ascii="Arial" w:cs="Arial" w:eastAsia="Arial" w:hAnsi="Arial"/>
                <w:sz w:val="16"/>
                <w:szCs w:val="16"/>
                <w:color w:val="auto"/>
              </w:rPr>
              <w:t>at our Gillette Energy Complex.</w:t>
            </w:r>
          </w:p>
        </w:tc>
      </w:tr>
      <w:tr>
        <w:trPr>
          <w:trHeight w:val="229"/>
        </w:trPr>
        <w:tc>
          <w:tcPr>
            <w:tcW w:w="2920" w:type="dxa"/>
            <w:vAlign w:val="bottom"/>
          </w:tcPr>
          <w:p>
            <w:pPr>
              <w:ind w:left="20"/>
              <w:spacing w:after="0"/>
              <w:rPr>
                <w:sz w:val="20"/>
                <w:szCs w:val="20"/>
                <w:color w:val="auto"/>
              </w:rPr>
            </w:pPr>
            <w:r>
              <w:rPr>
                <w:rFonts w:ascii="Arial" w:cs="Arial" w:eastAsia="Arial" w:hAnsi="Arial"/>
                <w:sz w:val="16"/>
                <w:szCs w:val="16"/>
                <w:color w:val="auto"/>
              </w:rPr>
              <w:t>Wygen III</w:t>
            </w:r>
          </w:p>
        </w:tc>
        <w:tc>
          <w:tcPr>
            <w:tcW w:w="8320" w:type="dxa"/>
            <w:vAlign w:val="bottom"/>
          </w:tcPr>
          <w:p>
            <w:pPr>
              <w:ind w:left="700"/>
              <w:spacing w:after="0"/>
              <w:rPr>
                <w:sz w:val="20"/>
                <w:szCs w:val="20"/>
                <w:color w:val="auto"/>
              </w:rPr>
            </w:pPr>
            <w:r>
              <w:rPr>
                <w:rFonts w:ascii="Arial" w:cs="Arial" w:eastAsia="Arial" w:hAnsi="Arial"/>
                <w:sz w:val="16"/>
                <w:szCs w:val="16"/>
                <w:color w:val="auto"/>
              </w:rPr>
              <w:t>A mine-mouth, coal-fired power plant operated by South Dakota Electric with a total capacity of 116 MW</w:t>
            </w:r>
          </w:p>
        </w:tc>
      </w:tr>
      <w:tr>
        <w:trPr>
          <w:trHeight w:val="189"/>
        </w:trPr>
        <w:tc>
          <w:tcPr>
            <w:tcW w:w="2920" w:type="dxa"/>
            <w:vAlign w:val="bottom"/>
          </w:tcPr>
          <w:p>
            <w:pPr>
              <w:spacing w:after="0"/>
              <w:rPr>
                <w:sz w:val="16"/>
                <w:szCs w:val="16"/>
                <w:color w:val="auto"/>
              </w:rPr>
            </w:pPr>
          </w:p>
        </w:tc>
        <w:tc>
          <w:tcPr>
            <w:tcW w:w="8320" w:type="dxa"/>
            <w:vAlign w:val="bottom"/>
          </w:tcPr>
          <w:p>
            <w:pPr>
              <w:ind w:left="700"/>
              <w:spacing w:after="0"/>
              <w:rPr>
                <w:sz w:val="20"/>
                <w:szCs w:val="20"/>
                <w:color w:val="auto"/>
              </w:rPr>
            </w:pPr>
            <w:r>
              <w:rPr>
                <w:rFonts w:ascii="Arial" w:cs="Arial" w:eastAsia="Arial" w:hAnsi="Arial"/>
                <w:sz w:val="16"/>
                <w:szCs w:val="16"/>
                <w:color w:val="auto"/>
              </w:rPr>
              <w:t>located at our Gillette Energy Complex. South Dakota Electric owns 52% of the power plant, MDU owns</w:t>
            </w:r>
          </w:p>
        </w:tc>
      </w:tr>
      <w:tr>
        <w:trPr>
          <w:trHeight w:val="222"/>
        </w:trPr>
        <w:tc>
          <w:tcPr>
            <w:tcW w:w="2920" w:type="dxa"/>
            <w:vAlign w:val="bottom"/>
          </w:tcPr>
          <w:p>
            <w:pPr>
              <w:spacing w:after="0"/>
              <w:rPr>
                <w:sz w:val="19"/>
                <w:szCs w:val="19"/>
                <w:color w:val="auto"/>
              </w:rPr>
            </w:pPr>
          </w:p>
        </w:tc>
        <w:tc>
          <w:tcPr>
            <w:tcW w:w="8320" w:type="dxa"/>
            <w:vAlign w:val="bottom"/>
          </w:tcPr>
          <w:p>
            <w:pPr>
              <w:ind w:left="700"/>
              <w:spacing w:after="0"/>
              <w:rPr>
                <w:sz w:val="20"/>
                <w:szCs w:val="20"/>
                <w:color w:val="auto"/>
              </w:rPr>
            </w:pPr>
            <w:r>
              <w:rPr>
                <w:rFonts w:ascii="Arial" w:cs="Arial" w:eastAsia="Arial" w:hAnsi="Arial"/>
                <w:sz w:val="16"/>
                <w:szCs w:val="16"/>
                <w:color w:val="auto"/>
              </w:rPr>
              <w:t>25%, and the City of Gillette owns the remaining 23%.</w:t>
            </w:r>
          </w:p>
        </w:tc>
      </w:tr>
      <w:tr>
        <w:trPr>
          <w:trHeight w:val="237"/>
        </w:trPr>
        <w:tc>
          <w:tcPr>
            <w:tcW w:w="2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Wyodak Plant</w:t>
            </w:r>
          </w:p>
        </w:tc>
        <w:tc>
          <w:tcPr>
            <w:tcW w:w="8320" w:type="dxa"/>
            <w:vAlign w:val="bottom"/>
            <w:shd w:val="clear" w:color="auto" w:fill="CFF0FC"/>
          </w:tcPr>
          <w:p>
            <w:pPr>
              <w:ind w:left="700"/>
              <w:spacing w:after="0"/>
              <w:rPr>
                <w:sz w:val="20"/>
                <w:szCs w:val="20"/>
                <w:color w:val="auto"/>
              </w:rPr>
            </w:pPr>
            <w:r>
              <w:rPr>
                <w:rFonts w:ascii="Arial" w:cs="Arial" w:eastAsia="Arial" w:hAnsi="Arial"/>
                <w:sz w:val="16"/>
                <w:szCs w:val="16"/>
                <w:color w:val="auto"/>
              </w:rPr>
              <w:t>The 402.3 MW mine-mouth, coal-fired generating facility located at our Gillette Energy Complex, jointly</w:t>
            </w:r>
          </w:p>
        </w:tc>
      </w:tr>
      <w:tr>
        <w:trPr>
          <w:trHeight w:val="230"/>
        </w:trPr>
        <w:tc>
          <w:tcPr>
            <w:tcW w:w="2920" w:type="dxa"/>
            <w:vAlign w:val="bottom"/>
            <w:shd w:val="clear" w:color="auto" w:fill="CFF0FC"/>
          </w:tcPr>
          <w:p>
            <w:pPr>
              <w:spacing w:after="0"/>
              <w:rPr>
                <w:sz w:val="20"/>
                <w:szCs w:val="20"/>
                <w:color w:val="auto"/>
              </w:rPr>
            </w:pPr>
          </w:p>
        </w:tc>
        <w:tc>
          <w:tcPr>
            <w:tcW w:w="8320" w:type="dxa"/>
            <w:vAlign w:val="bottom"/>
            <w:shd w:val="clear" w:color="auto" w:fill="CFF0FC"/>
          </w:tcPr>
          <w:p>
            <w:pPr>
              <w:ind w:left="700"/>
              <w:spacing w:after="0"/>
              <w:rPr>
                <w:sz w:val="20"/>
                <w:szCs w:val="20"/>
                <w:color w:val="auto"/>
              </w:rPr>
            </w:pPr>
            <w:r>
              <w:rPr>
                <w:rFonts w:ascii="Arial" w:cs="Arial" w:eastAsia="Arial" w:hAnsi="Arial"/>
                <w:sz w:val="16"/>
                <w:szCs w:val="16"/>
                <w:color w:val="auto"/>
              </w:rPr>
              <w:t>owned by PacifiCorp (80%) and South Dakota Electric (20%). WRDC supplies all of the fuel for the facility.</w:t>
            </w:r>
          </w:p>
        </w:tc>
      </w:tr>
      <w:tr>
        <w:trPr>
          <w:trHeight w:val="229"/>
        </w:trPr>
        <w:tc>
          <w:tcPr>
            <w:tcW w:w="2920" w:type="dxa"/>
            <w:vAlign w:val="bottom"/>
          </w:tcPr>
          <w:p>
            <w:pPr>
              <w:ind w:left="20"/>
              <w:spacing w:after="0"/>
              <w:rPr>
                <w:sz w:val="20"/>
                <w:szCs w:val="20"/>
                <w:color w:val="auto"/>
              </w:rPr>
            </w:pPr>
            <w:r>
              <w:rPr>
                <w:rFonts w:ascii="Arial" w:cs="Arial" w:eastAsia="Arial" w:hAnsi="Arial"/>
                <w:sz w:val="16"/>
                <w:szCs w:val="16"/>
                <w:color w:val="auto"/>
              </w:rPr>
              <w:t>Wyoming Electric</w:t>
            </w:r>
          </w:p>
        </w:tc>
        <w:tc>
          <w:tcPr>
            <w:tcW w:w="8320" w:type="dxa"/>
            <w:vAlign w:val="bottom"/>
          </w:tcPr>
          <w:p>
            <w:pPr>
              <w:ind w:left="700"/>
              <w:spacing w:after="0"/>
              <w:rPr>
                <w:sz w:val="20"/>
                <w:szCs w:val="20"/>
                <w:color w:val="auto"/>
              </w:rPr>
            </w:pPr>
            <w:r>
              <w:rPr>
                <w:rFonts w:ascii="Arial" w:cs="Arial" w:eastAsia="Arial" w:hAnsi="Arial"/>
                <w:sz w:val="16"/>
                <w:szCs w:val="16"/>
                <w:color w:val="auto"/>
              </w:rPr>
              <w:t>Cheyenne Light, Fuel and Power Company, a direct, wholly-owned subsidiary of Black Hills Corporation,</w:t>
            </w:r>
          </w:p>
        </w:tc>
      </w:tr>
      <w:tr>
        <w:trPr>
          <w:trHeight w:val="189"/>
        </w:trPr>
        <w:tc>
          <w:tcPr>
            <w:tcW w:w="2920" w:type="dxa"/>
            <w:vAlign w:val="bottom"/>
          </w:tcPr>
          <w:p>
            <w:pPr>
              <w:spacing w:after="0"/>
              <w:rPr>
                <w:sz w:val="16"/>
                <w:szCs w:val="16"/>
                <w:color w:val="auto"/>
              </w:rPr>
            </w:pPr>
          </w:p>
        </w:tc>
        <w:tc>
          <w:tcPr>
            <w:tcW w:w="8320" w:type="dxa"/>
            <w:vAlign w:val="bottom"/>
          </w:tcPr>
          <w:p>
            <w:pPr>
              <w:ind w:left="700"/>
              <w:spacing w:after="0"/>
              <w:rPr>
                <w:sz w:val="20"/>
                <w:szCs w:val="20"/>
                <w:color w:val="auto"/>
              </w:rPr>
            </w:pPr>
            <w:r>
              <w:rPr>
                <w:rFonts w:ascii="Arial" w:cs="Arial" w:eastAsia="Arial" w:hAnsi="Arial"/>
                <w:sz w:val="16"/>
                <w:szCs w:val="16"/>
                <w:color w:val="auto"/>
              </w:rPr>
              <w:t>providing electric service to customers in the Cheyenne, Wyoming area (doing business as Black Hills</w:t>
            </w:r>
          </w:p>
        </w:tc>
      </w:tr>
      <w:tr>
        <w:trPr>
          <w:trHeight w:val="222"/>
        </w:trPr>
        <w:tc>
          <w:tcPr>
            <w:tcW w:w="2920" w:type="dxa"/>
            <w:vAlign w:val="bottom"/>
          </w:tcPr>
          <w:p>
            <w:pPr>
              <w:spacing w:after="0"/>
              <w:rPr>
                <w:sz w:val="19"/>
                <w:szCs w:val="19"/>
                <w:color w:val="auto"/>
              </w:rPr>
            </w:pPr>
          </w:p>
        </w:tc>
        <w:tc>
          <w:tcPr>
            <w:tcW w:w="8320" w:type="dxa"/>
            <w:vAlign w:val="bottom"/>
          </w:tcPr>
          <w:p>
            <w:pPr>
              <w:ind w:left="700"/>
              <w:spacing w:after="0"/>
              <w:rPr>
                <w:sz w:val="20"/>
                <w:szCs w:val="20"/>
                <w:color w:val="auto"/>
              </w:rPr>
            </w:pPr>
            <w:r>
              <w:rPr>
                <w:rFonts w:ascii="Arial" w:cs="Arial" w:eastAsia="Arial" w:hAnsi="Arial"/>
                <w:sz w:val="16"/>
                <w:szCs w:val="16"/>
                <w:color w:val="auto"/>
              </w:rPr>
              <w:t>Energy).</w:t>
            </w:r>
          </w:p>
        </w:tc>
      </w:tr>
      <w:tr>
        <w:trPr>
          <w:trHeight w:val="237"/>
        </w:trPr>
        <w:tc>
          <w:tcPr>
            <w:tcW w:w="2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Wyoming Gas</w:t>
            </w:r>
          </w:p>
        </w:tc>
        <w:tc>
          <w:tcPr>
            <w:tcW w:w="8320" w:type="dxa"/>
            <w:vAlign w:val="bottom"/>
            <w:shd w:val="clear" w:color="auto" w:fill="CFF0FC"/>
          </w:tcPr>
          <w:p>
            <w:pPr>
              <w:ind w:left="700"/>
              <w:spacing w:after="0"/>
              <w:rPr>
                <w:sz w:val="20"/>
                <w:szCs w:val="20"/>
                <w:color w:val="auto"/>
              </w:rPr>
            </w:pPr>
            <w:r>
              <w:rPr>
                <w:rFonts w:ascii="Arial" w:cs="Arial" w:eastAsia="Arial" w:hAnsi="Arial"/>
                <w:sz w:val="16"/>
                <w:szCs w:val="16"/>
                <w:color w:val="auto"/>
              </w:rPr>
              <w:t>Black Hills Wyoming Gas, LLC, an indirect, wholly-owned subsidiary of Black Hills Utility Holdings,</w:t>
            </w:r>
          </w:p>
        </w:tc>
      </w:tr>
      <w:tr>
        <w:trPr>
          <w:trHeight w:val="230"/>
        </w:trPr>
        <w:tc>
          <w:tcPr>
            <w:tcW w:w="2920" w:type="dxa"/>
            <w:vAlign w:val="bottom"/>
            <w:shd w:val="clear" w:color="auto" w:fill="CFF0FC"/>
          </w:tcPr>
          <w:p>
            <w:pPr>
              <w:spacing w:after="0"/>
              <w:rPr>
                <w:sz w:val="20"/>
                <w:szCs w:val="20"/>
                <w:color w:val="auto"/>
              </w:rPr>
            </w:pPr>
          </w:p>
        </w:tc>
        <w:tc>
          <w:tcPr>
            <w:tcW w:w="8320" w:type="dxa"/>
            <w:vAlign w:val="bottom"/>
            <w:shd w:val="clear" w:color="auto" w:fill="CFF0FC"/>
          </w:tcPr>
          <w:p>
            <w:pPr>
              <w:ind w:left="700"/>
              <w:spacing w:after="0"/>
              <w:rPr>
                <w:sz w:val="20"/>
                <w:szCs w:val="20"/>
                <w:color w:val="auto"/>
              </w:rPr>
            </w:pPr>
            <w:r>
              <w:rPr>
                <w:rFonts w:ascii="Arial" w:cs="Arial" w:eastAsia="Arial" w:hAnsi="Arial"/>
                <w:sz w:val="16"/>
                <w:szCs w:val="16"/>
                <w:color w:val="auto"/>
              </w:rPr>
              <w:t>providing natural gas services to customers in Wyoming (doing business as Black Hills Energy).</w:t>
            </w:r>
          </w:p>
        </w:tc>
      </w:tr>
      <w:tr>
        <w:trPr>
          <w:trHeight w:val="229"/>
        </w:trPr>
        <w:tc>
          <w:tcPr>
            <w:tcW w:w="2920" w:type="dxa"/>
            <w:vAlign w:val="bottom"/>
          </w:tcPr>
          <w:p>
            <w:pPr>
              <w:ind w:left="20"/>
              <w:spacing w:after="0"/>
              <w:rPr>
                <w:sz w:val="20"/>
                <w:szCs w:val="20"/>
                <w:color w:val="auto"/>
              </w:rPr>
            </w:pPr>
            <w:r>
              <w:rPr>
                <w:rFonts w:ascii="Arial" w:cs="Arial" w:eastAsia="Arial" w:hAnsi="Arial"/>
                <w:sz w:val="16"/>
                <w:szCs w:val="16"/>
                <w:color w:val="auto"/>
              </w:rPr>
              <w:t>Wyoming Integrity Rider</w:t>
            </w:r>
          </w:p>
        </w:tc>
        <w:tc>
          <w:tcPr>
            <w:tcW w:w="8320" w:type="dxa"/>
            <w:vAlign w:val="bottom"/>
          </w:tcPr>
          <w:p>
            <w:pPr>
              <w:ind w:left="700"/>
              <w:spacing w:after="0"/>
              <w:rPr>
                <w:sz w:val="20"/>
                <w:szCs w:val="20"/>
                <w:color w:val="auto"/>
              </w:rPr>
            </w:pPr>
            <w:r>
              <w:rPr>
                <w:rFonts w:ascii="Arial" w:cs="Arial" w:eastAsia="Arial" w:hAnsi="Arial"/>
                <w:sz w:val="16"/>
                <w:szCs w:val="16"/>
                <w:color w:val="auto"/>
              </w:rPr>
              <w:t>The Wyoming Integrity Rider (WIR) is a WPSC-approved tariff that allows Wyoming Gas to recover costs</w:t>
            </w:r>
          </w:p>
        </w:tc>
      </w:tr>
      <w:tr>
        <w:trPr>
          <w:trHeight w:val="189"/>
        </w:trPr>
        <w:tc>
          <w:tcPr>
            <w:tcW w:w="2920" w:type="dxa"/>
            <w:vAlign w:val="bottom"/>
          </w:tcPr>
          <w:p>
            <w:pPr>
              <w:spacing w:after="0"/>
              <w:rPr>
                <w:sz w:val="16"/>
                <w:szCs w:val="16"/>
                <w:color w:val="auto"/>
              </w:rPr>
            </w:pPr>
          </w:p>
        </w:tc>
        <w:tc>
          <w:tcPr>
            <w:tcW w:w="8320" w:type="dxa"/>
            <w:vAlign w:val="bottom"/>
          </w:tcPr>
          <w:p>
            <w:pPr>
              <w:ind w:left="700"/>
              <w:spacing w:after="0"/>
              <w:rPr>
                <w:sz w:val="20"/>
                <w:szCs w:val="20"/>
                <w:color w:val="auto"/>
              </w:rPr>
            </w:pPr>
            <w:r>
              <w:rPr>
                <w:rFonts w:ascii="Arial" w:cs="Arial" w:eastAsia="Arial" w:hAnsi="Arial"/>
                <w:sz w:val="16"/>
                <w:szCs w:val="16"/>
                <w:color w:val="auto"/>
              </w:rPr>
              <w:t>from customers associated with ongoing infrastructure replacement, gas meter and yard line replacement</w:t>
            </w:r>
          </w:p>
        </w:tc>
      </w:tr>
      <w:tr>
        <w:trPr>
          <w:trHeight w:val="215"/>
        </w:trPr>
        <w:tc>
          <w:tcPr>
            <w:tcW w:w="2920" w:type="dxa"/>
            <w:vAlign w:val="bottom"/>
          </w:tcPr>
          <w:p>
            <w:pPr>
              <w:spacing w:after="0"/>
              <w:rPr>
                <w:sz w:val="18"/>
                <w:szCs w:val="18"/>
                <w:color w:val="auto"/>
              </w:rPr>
            </w:pPr>
          </w:p>
        </w:tc>
        <w:tc>
          <w:tcPr>
            <w:tcW w:w="8320" w:type="dxa"/>
            <w:vAlign w:val="bottom"/>
          </w:tcPr>
          <w:p>
            <w:pPr>
              <w:ind w:left="700"/>
              <w:spacing w:after="0"/>
              <w:rPr>
                <w:sz w:val="20"/>
                <w:szCs w:val="20"/>
                <w:color w:val="auto"/>
              </w:rPr>
            </w:pPr>
            <w:r>
              <w:rPr>
                <w:rFonts w:ascii="Arial" w:cs="Arial" w:eastAsia="Arial" w:hAnsi="Arial"/>
                <w:sz w:val="16"/>
                <w:szCs w:val="16"/>
                <w:color w:val="auto"/>
              </w:rPr>
              <w:t>projects driven by federal regulation.</w:t>
            </w:r>
          </w:p>
        </w:tc>
      </w:tr>
      <w:tr>
        <w:trPr>
          <w:trHeight w:val="823"/>
        </w:trPr>
        <w:tc>
          <w:tcPr>
            <w:tcW w:w="2920" w:type="dxa"/>
            <w:vAlign w:val="bottom"/>
          </w:tcPr>
          <w:p>
            <w:pPr>
              <w:spacing w:after="0"/>
              <w:rPr>
                <w:sz w:val="24"/>
                <w:szCs w:val="24"/>
                <w:color w:val="auto"/>
              </w:rPr>
            </w:pPr>
          </w:p>
        </w:tc>
        <w:tc>
          <w:tcPr>
            <w:tcW w:w="8320" w:type="dxa"/>
            <w:vAlign w:val="bottom"/>
          </w:tcPr>
          <w:p>
            <w:pPr>
              <w:ind w:left="2620"/>
              <w:spacing w:after="0"/>
              <w:rPr>
                <w:sz w:val="20"/>
                <w:szCs w:val="20"/>
                <w:color w:val="auto"/>
              </w:rPr>
            </w:pPr>
            <w:r>
              <w:rPr>
                <w:rFonts w:ascii="Arial" w:cs="Arial" w:eastAsia="Arial" w:hAnsi="Arial"/>
                <w:sz w:val="16"/>
                <w:szCs w:val="16"/>
                <w:color w:val="auto"/>
              </w:rPr>
              <w:t>10</w:t>
            </w:r>
          </w:p>
        </w:tc>
      </w:tr>
      <w:tr>
        <w:trPr>
          <w:trHeight w:val="751"/>
        </w:trPr>
        <w:tc>
          <w:tcPr>
            <w:tcW w:w="2920" w:type="dxa"/>
            <w:vAlign w:val="bottom"/>
            <w:tcBorders>
              <w:bottom w:val="single" w:sz="8" w:color="9A9A9A"/>
            </w:tcBorders>
          </w:tcPr>
          <w:p>
            <w:pPr>
              <w:spacing w:after="0"/>
              <w:rPr>
                <w:sz w:val="24"/>
                <w:szCs w:val="24"/>
                <w:color w:val="auto"/>
              </w:rPr>
            </w:pPr>
          </w:p>
        </w:tc>
        <w:tc>
          <w:tcPr>
            <w:tcW w:w="8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WEBSITE ACCESS TO REPORTS</w:t>
      </w:r>
    </w:p>
    <w:p>
      <w:pPr>
        <w:spacing w:after="0" w:line="194"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 reports we file with the SEC are available free of charge at our website www.blackhillscorp.com as soon as reasonably practicable after they are filed. In addition, the charters of our Audit, Governance, and Compensation Committees are located on our website along with our Code of Business Conduct, Code of Ethics for our Chief Executive Officer and Senior Finance Officers, Corporate Governance Guidelines of the Board of Directors and Policy for Director Independence. The information contained on our website is not part of this document.</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FORWARD-LOOKING INFORMATION</w:t>
      </w:r>
    </w:p>
    <w:p>
      <w:pPr>
        <w:spacing w:after="0" w:line="194"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 xml:space="preserve">This Form 10-K contains forward-looking statements as defined by the SEC. Forward-looking statements are all statements other than statements of historical fact, including, without limitation, those statements that are identified by the words “anticipates,” “estimates,” “expects,” “intends,” “plans,” “predicts”, and similar expressions and include statements concerning plans, objectives, goals, strategies, future events or performance, and underlying assumptions and other statements that are other than statements of historical facts. From time to time, the Company may publish or otherwise make available forward-looking statements of this nature, including statements contained within </w:t>
      </w:r>
      <w:r>
        <w:rPr>
          <w:rFonts w:ascii="Arial" w:cs="Arial" w:eastAsia="Arial" w:hAnsi="Arial"/>
          <w:sz w:val="16"/>
          <w:szCs w:val="16"/>
          <w:u w:val="single" w:color="auto"/>
          <w:color w:val="0000FF"/>
        </w:rPr>
        <w:t>Item 7 - Management’s Discussion &amp; Analysis of Financial Condition and Results of</w:t>
      </w:r>
      <w:r>
        <w:rPr>
          <w:rFonts w:ascii="Arial" w:cs="Arial" w:eastAsia="Arial" w:hAnsi="Arial"/>
          <w:sz w:val="16"/>
          <w:szCs w:val="16"/>
          <w:color w:val="auto"/>
        </w:rPr>
        <w:t xml:space="preserve"> </w:t>
      </w:r>
      <w:r>
        <w:rPr>
          <w:rFonts w:ascii="Arial" w:cs="Arial" w:eastAsia="Arial" w:hAnsi="Arial"/>
          <w:sz w:val="16"/>
          <w:szCs w:val="16"/>
          <w:u w:val="single" w:color="auto"/>
          <w:color w:val="0000FF"/>
        </w:rPr>
        <w:t>Operations</w:t>
      </w:r>
      <w:r>
        <w:rPr>
          <w:rFonts w:ascii="Arial" w:cs="Arial" w:eastAsia="Arial" w:hAnsi="Arial"/>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3275965</wp:posOffset>
            </wp:positionH>
            <wp:positionV relativeFrom="paragraph">
              <wp:posOffset>-149225</wp:posOffset>
            </wp:positionV>
            <wp:extent cx="38195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195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wp:posOffset>
            </wp:positionV>
            <wp:extent cx="5029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02920" cy="8890"/>
                    </a:xfrm>
                    <a:prstGeom prst="rect">
                      <a:avLst/>
                    </a:prstGeom>
                    <a:noFill/>
                  </pic:spPr>
                </pic:pic>
              </a:graphicData>
            </a:graphic>
          </wp:anchor>
        </w:drawing>
      </w:r>
    </w:p>
    <w:p>
      <w:pPr>
        <w:spacing w:after="0" w:line="135" w:lineRule="exact"/>
        <w:rPr>
          <w:sz w:val="20"/>
          <w:szCs w:val="20"/>
          <w:color w:val="auto"/>
        </w:rPr>
      </w:pPr>
    </w:p>
    <w:p>
      <w:pPr>
        <w:ind w:right="340"/>
        <w:spacing w:after="0" w:line="259" w:lineRule="auto"/>
        <w:rPr>
          <w:sz w:val="20"/>
          <w:szCs w:val="20"/>
          <w:color w:val="auto"/>
        </w:rPr>
      </w:pPr>
      <w:r>
        <w:rPr>
          <w:rFonts w:ascii="Arial" w:cs="Arial" w:eastAsia="Arial" w:hAnsi="Arial"/>
          <w:sz w:val="16"/>
          <w:szCs w:val="16"/>
          <w:color w:val="auto"/>
        </w:rPr>
        <w:t>Forward-looking statements involve risks and uncertainties, which could cause actual results or outcomes to differ materially from those expressed. The Company’s expectations, beliefs and projections are expressed in good faith and are believed by the Company to have a reasonable basis, including, without limitation, management’s examination of historical operating trends, data contained in the Company’s records and other data available from third parties. Nonetheless, the Company’s expectations, beliefs or projections may not be achieved or accomplished.</w:t>
      </w:r>
    </w:p>
    <w:p>
      <w:pPr>
        <w:spacing w:after="0" w:line="151"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 xml:space="preserve">Any forward-looking statement contained in this document speaks only as of the date on which the statement is made and the Company undertakes no obligation to update any forward-looking statement or statements to reflect events or circumstances that occur after the date on which the statement is made or to reflect the occurrence of unanticipated events. New factors emerge from time to time, such as adverse macroeconomic conditions, global pandemics or severe weather events, and it is not possible for management to predict all of the factors, nor can it assess the effect of each factor on the Company’s business or the extent to which any factor, or combination of factors, may cause actual results to differ materially from those contained in any forward-looking statement. All forward-looking statements, whether written or oral and whether made by or on behalf of the Company, are expressly qualified by the risk factors and cautionary statements in this Annual Report on Form 10-K, including statements contained within </w:t>
      </w:r>
      <w:r>
        <w:rPr>
          <w:rFonts w:ascii="Arial" w:cs="Arial" w:eastAsia="Arial" w:hAnsi="Arial"/>
          <w:sz w:val="16"/>
          <w:szCs w:val="16"/>
          <w:u w:val="single" w:color="auto"/>
          <w:color w:val="0000FF"/>
        </w:rPr>
        <w:t>Item 1A - Risk Factors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4979670</wp:posOffset>
            </wp:positionH>
            <wp:positionV relativeFrom="paragraph">
              <wp:posOffset>-15875</wp:posOffset>
            </wp:positionV>
            <wp:extent cx="10172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1727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w:t>
      </w:r>
    </w:p>
    <w:p>
      <w:pPr>
        <w:spacing w:after="0" w:line="194" w:lineRule="exact"/>
        <w:rPr>
          <w:sz w:val="20"/>
          <w:szCs w:val="20"/>
          <w:color w:val="auto"/>
        </w:rPr>
      </w:pPr>
    </w:p>
    <w:p>
      <w:pPr>
        <w:spacing w:after="0"/>
        <w:tabs>
          <w:tab w:leader="none" w:pos="88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History and Organization</w:t>
      </w:r>
    </w:p>
    <w:p>
      <w:pPr>
        <w:spacing w:after="0" w:line="194"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Black Hills Corporation, a South Dakota corporation (together with its subsidiaries, referred to herein as the “Company,” “we,” “us”, or “our”), is a customer-focused, growth-oriented utility company headquartered in Rapid City, South Dakota (incorporated in South Dakota in 1941).</w:t>
      </w:r>
    </w:p>
    <w:p>
      <w:pPr>
        <w:spacing w:after="0" w:line="129"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We operate our business in the United States, reporting our operating results through our Electric Utilities and Gas Utilities segments. Certain unallocated corporate expenses that support our operating segments are presented as Corporate and Other.</w:t>
      </w:r>
    </w:p>
    <w:p>
      <w:pPr>
        <w:spacing w:after="0" w:line="129"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Our Electric Utilities segment generates, transmits and distributes electricity to approximately 225,000 electric utility customers in Colorado, Montana, South Dakota, and Wyoming. Our Electric Utilities own 1,394 MW of generation and 9,196 miles of electric transmission and distribution lines.</w:t>
      </w:r>
    </w:p>
    <w:p>
      <w:pPr>
        <w:spacing w:after="0" w:line="129"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Our Gas Utilities segment serves approximately 1,128,000 natural gas utility customers in Arkansas, Colorado, Iowa, Kansas, Nebraska, and Wyoming. Our Gas Utilities own and operate 4,648 miles of intrastate gas transmission pipelines and 44,524 miles of gas distribution mains and service lines, seven natural gas storage sites, more than 50,000 horsepower of compression, and 516 miles of gathering lines.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Electric Utilities</w:t>
      </w:r>
    </w:p>
    <w:p>
      <w:pPr>
        <w:spacing w:after="0" w:line="194"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We conduct electric utility operations through our Colorado, South Dakota, and Wyoming subsidiaries. Our Electric Utilities generate, transmit, and distribute electricity to our retail customers. Our electric generating facilities and power purchase agreements provide for the supply of electricity principally to our retail customers. We also sell excess power to other utilities and marketing companies, including our affiliates. Additionally, we provide non-regulated services to our retail customers under the Service Guard Comfort Plan and Tech Services.</w:t>
      </w:r>
    </w:p>
    <w:p>
      <w:pPr>
        <w:spacing w:after="0" w:line="151"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We also own and operate non-regulated power generation and mining assets that are vertically integrated into and primarily support our Electric Utilities. All of these operations are located at our electric generating complexes and are physically integrated into our Electric Utilities’ operations.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220" w:type="dxa"/>
            <w:vAlign w:val="bottom"/>
          </w:tcPr>
          <w:p>
            <w:pPr>
              <w:jc w:val="right"/>
              <w:ind w:right="499"/>
              <w:spacing w:after="0"/>
              <w:rPr>
                <w:sz w:val="20"/>
                <w:szCs w:val="20"/>
                <w:color w:val="auto"/>
              </w:rPr>
            </w:pPr>
            <w:r>
              <w:rPr>
                <w:rFonts w:ascii="Arial" w:cs="Arial" w:eastAsia="Arial" w:hAnsi="Arial"/>
                <w:sz w:val="16"/>
                <w:szCs w:val="16"/>
                <w:b w:val="1"/>
                <w:bCs w:val="1"/>
                <w:color w:val="auto"/>
              </w:rPr>
              <w:t>As of December 31,</w:t>
            </w:r>
          </w:p>
        </w:tc>
        <w:tc>
          <w:tcPr>
            <w:tcW w:w="1640" w:type="dxa"/>
            <w:vAlign w:val="bottom"/>
          </w:tcPr>
          <w:p>
            <w:pPr>
              <w:spacing w:after="0"/>
              <w:rPr>
                <w:sz w:val="16"/>
                <w:szCs w:val="16"/>
                <w:color w:val="auto"/>
              </w:rPr>
            </w:pPr>
          </w:p>
        </w:tc>
      </w:tr>
      <w:tr>
        <w:trPr>
          <w:trHeight w:val="203"/>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Retail Customers by Customer Class</w:t>
            </w:r>
          </w:p>
        </w:tc>
        <w:tc>
          <w:tcPr>
            <w:tcW w:w="19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2024</w:t>
            </w:r>
          </w:p>
        </w:tc>
        <w:tc>
          <w:tcPr>
            <w:tcW w:w="2220" w:type="dxa"/>
            <w:vAlign w:val="bottom"/>
            <w:tcBorders>
              <w:bottom w:val="single" w:sz="8" w:color="auto"/>
            </w:tcBorders>
          </w:tcPr>
          <w:p>
            <w:pPr>
              <w:jc w:val="right"/>
              <w:ind w:right="1059"/>
              <w:spacing w:after="0"/>
              <w:rPr>
                <w:sz w:val="20"/>
                <w:szCs w:val="20"/>
                <w:color w:val="auto"/>
              </w:rPr>
            </w:pPr>
            <w:r>
              <w:rPr>
                <w:rFonts w:ascii="Arial" w:cs="Arial" w:eastAsia="Arial" w:hAnsi="Arial"/>
                <w:sz w:val="16"/>
                <w:szCs w:val="16"/>
                <w:b w:val="1"/>
                <w:bCs w:val="1"/>
                <w:color w:val="auto"/>
              </w:rPr>
              <w:t>2023</w:t>
            </w:r>
          </w:p>
        </w:tc>
        <w:tc>
          <w:tcPr>
            <w:tcW w:w="164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2022</w:t>
            </w:r>
          </w:p>
        </w:tc>
      </w:tr>
      <w:tr>
        <w:trPr>
          <w:trHeight w:val="183"/>
        </w:trPr>
        <w:tc>
          <w:tcPr>
            <w:tcW w:w="54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Residential</w:t>
            </w:r>
          </w:p>
        </w:tc>
        <w:tc>
          <w:tcPr>
            <w:tcW w:w="196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192,716</w:t>
            </w:r>
          </w:p>
        </w:tc>
        <w:tc>
          <w:tcPr>
            <w:tcW w:w="2220" w:type="dxa"/>
            <w:vAlign w:val="bottom"/>
            <w:shd w:val="clear" w:color="auto" w:fill="CFF0FC"/>
          </w:tcPr>
          <w:p>
            <w:pPr>
              <w:jc w:val="right"/>
              <w:ind w:right="359"/>
              <w:spacing w:after="0" w:line="183" w:lineRule="exact"/>
              <w:rPr>
                <w:sz w:val="20"/>
                <w:szCs w:val="20"/>
                <w:color w:val="auto"/>
              </w:rPr>
            </w:pPr>
            <w:r>
              <w:rPr>
                <w:rFonts w:ascii="Arial" w:cs="Arial" w:eastAsia="Arial" w:hAnsi="Arial"/>
                <w:sz w:val="16"/>
                <w:szCs w:val="16"/>
                <w:color w:val="auto"/>
              </w:rPr>
              <w:t>190,776</w:t>
            </w:r>
          </w:p>
        </w:tc>
        <w:tc>
          <w:tcPr>
            <w:tcW w:w="164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188,921</w:t>
            </w:r>
          </w:p>
        </w:tc>
      </w:tr>
      <w:tr>
        <w:trPr>
          <w:trHeight w:val="189"/>
        </w:trPr>
        <w:tc>
          <w:tcPr>
            <w:tcW w:w="5420" w:type="dxa"/>
            <w:vAlign w:val="bottom"/>
          </w:tcPr>
          <w:p>
            <w:pPr>
              <w:ind w:left="20"/>
              <w:spacing w:after="0"/>
              <w:rPr>
                <w:sz w:val="20"/>
                <w:szCs w:val="20"/>
                <w:color w:val="auto"/>
              </w:rPr>
            </w:pPr>
            <w:r>
              <w:rPr>
                <w:rFonts w:ascii="Arial" w:cs="Arial" w:eastAsia="Arial" w:hAnsi="Arial"/>
                <w:sz w:val="16"/>
                <w:szCs w:val="16"/>
                <w:color w:val="auto"/>
              </w:rPr>
              <w:t>Commercial</w:t>
            </w:r>
          </w:p>
        </w:tc>
        <w:tc>
          <w:tcPr>
            <w:tcW w:w="1960" w:type="dxa"/>
            <w:vAlign w:val="bottom"/>
          </w:tcPr>
          <w:p>
            <w:pPr>
              <w:jc w:val="right"/>
              <w:ind w:right="39"/>
              <w:spacing w:after="0"/>
              <w:rPr>
                <w:sz w:val="20"/>
                <w:szCs w:val="20"/>
                <w:color w:val="auto"/>
              </w:rPr>
            </w:pPr>
            <w:r>
              <w:rPr>
                <w:rFonts w:ascii="Arial" w:cs="Arial" w:eastAsia="Arial" w:hAnsi="Arial"/>
                <w:sz w:val="16"/>
                <w:szCs w:val="16"/>
                <w:color w:val="auto"/>
              </w:rPr>
              <w:t>31,210</w:t>
            </w:r>
          </w:p>
        </w:tc>
        <w:tc>
          <w:tcPr>
            <w:tcW w:w="2220" w:type="dxa"/>
            <w:vAlign w:val="bottom"/>
          </w:tcPr>
          <w:p>
            <w:pPr>
              <w:jc w:val="right"/>
              <w:ind w:right="359"/>
              <w:spacing w:after="0"/>
              <w:rPr>
                <w:sz w:val="20"/>
                <w:szCs w:val="20"/>
                <w:color w:val="auto"/>
              </w:rPr>
            </w:pPr>
            <w:r>
              <w:rPr>
                <w:rFonts w:ascii="Arial" w:cs="Arial" w:eastAsia="Arial" w:hAnsi="Arial"/>
                <w:sz w:val="16"/>
                <w:szCs w:val="16"/>
                <w:color w:val="auto"/>
              </w:rPr>
              <w:t>30,491</w:t>
            </w: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30,404</w:t>
            </w:r>
          </w:p>
        </w:tc>
      </w:tr>
      <w:tr>
        <w:trPr>
          <w:trHeight w:val="189"/>
        </w:trPr>
        <w:tc>
          <w:tcPr>
            <w:tcW w:w="542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Industrial</w:t>
            </w:r>
          </w:p>
        </w:tc>
        <w:tc>
          <w:tcPr>
            <w:tcW w:w="1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83</w:t>
            </w:r>
          </w:p>
        </w:tc>
        <w:tc>
          <w:tcPr>
            <w:tcW w:w="2220" w:type="dxa"/>
            <w:vAlign w:val="bottom"/>
            <w:shd w:val="clear" w:color="auto" w:fill="CFF0FC"/>
          </w:tcPr>
          <w:p>
            <w:pPr>
              <w:jc w:val="right"/>
              <w:ind w:right="359"/>
              <w:spacing w:after="0"/>
              <w:rPr>
                <w:sz w:val="20"/>
                <w:szCs w:val="20"/>
                <w:color w:val="auto"/>
              </w:rPr>
            </w:pPr>
            <w:r>
              <w:rPr>
                <w:rFonts w:ascii="Arial" w:cs="Arial" w:eastAsia="Arial" w:hAnsi="Arial"/>
                <w:sz w:val="16"/>
                <w:szCs w:val="16"/>
                <w:color w:val="auto"/>
              </w:rPr>
              <w:t>84</w:t>
            </w:r>
          </w:p>
        </w:tc>
        <w:tc>
          <w:tcPr>
            <w:tcW w:w="16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82</w:t>
            </w:r>
          </w:p>
        </w:tc>
      </w:tr>
      <w:tr>
        <w:trPr>
          <w:trHeight w:val="189"/>
        </w:trPr>
        <w:tc>
          <w:tcPr>
            <w:tcW w:w="5420" w:type="dxa"/>
            <w:vAlign w:val="bottom"/>
          </w:tcPr>
          <w:p>
            <w:pPr>
              <w:ind w:left="20"/>
              <w:spacing w:after="0"/>
              <w:rPr>
                <w:sz w:val="20"/>
                <w:szCs w:val="20"/>
                <w:color w:val="auto"/>
              </w:rPr>
            </w:pPr>
            <w:r>
              <w:rPr>
                <w:rFonts w:ascii="Arial" w:cs="Arial" w:eastAsia="Arial" w:hAnsi="Arial"/>
                <w:sz w:val="16"/>
                <w:szCs w:val="16"/>
                <w:color w:val="auto"/>
              </w:rPr>
              <w:t>Municipal</w:t>
            </w:r>
          </w:p>
        </w:tc>
        <w:tc>
          <w:tcPr>
            <w:tcW w:w="1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1,079</w:t>
            </w:r>
          </w:p>
        </w:tc>
        <w:tc>
          <w:tcPr>
            <w:tcW w:w="22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989</w:t>
            </w:r>
          </w:p>
        </w:tc>
        <w:tc>
          <w:tcPr>
            <w:tcW w:w="1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1,024</w:t>
            </w:r>
          </w:p>
        </w:tc>
      </w:tr>
      <w:tr>
        <w:trPr>
          <w:trHeight w:val="222"/>
        </w:trPr>
        <w:tc>
          <w:tcPr>
            <w:tcW w:w="5420" w:type="dxa"/>
            <w:vAlign w:val="bottom"/>
            <w:tcBorders>
              <w:bottom w:val="single" w:sz="8" w:color="CFF0FC"/>
            </w:tcBorders>
            <w:shd w:val="clear" w:color="auto" w:fill="CFF0FC"/>
          </w:tcPr>
          <w:p>
            <w:pPr>
              <w:ind w:left="200"/>
              <w:spacing w:after="0" w:line="183" w:lineRule="exact"/>
              <w:rPr>
                <w:sz w:val="20"/>
                <w:szCs w:val="20"/>
                <w:color w:val="auto"/>
              </w:rPr>
            </w:pPr>
            <w:r>
              <w:rPr>
                <w:rFonts w:ascii="Arial" w:cs="Arial" w:eastAsia="Arial" w:hAnsi="Arial"/>
                <w:sz w:val="16"/>
                <w:szCs w:val="16"/>
                <w:color w:val="auto"/>
              </w:rPr>
              <w:t>Total Electric Retail Customers at End of Year</w:t>
            </w:r>
          </w:p>
        </w:tc>
        <w:tc>
          <w:tcPr>
            <w:tcW w:w="196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225,088</w:t>
            </w:r>
          </w:p>
        </w:tc>
        <w:tc>
          <w:tcPr>
            <w:tcW w:w="2220" w:type="dxa"/>
            <w:vAlign w:val="bottom"/>
            <w:tcBorders>
              <w:bottom w:val="single" w:sz="8" w:color="auto"/>
            </w:tcBorders>
            <w:shd w:val="clear" w:color="auto" w:fill="CFF0FC"/>
          </w:tcPr>
          <w:p>
            <w:pPr>
              <w:jc w:val="right"/>
              <w:ind w:right="359"/>
              <w:spacing w:after="0" w:line="183" w:lineRule="exact"/>
              <w:rPr>
                <w:sz w:val="20"/>
                <w:szCs w:val="20"/>
                <w:color w:val="auto"/>
              </w:rPr>
            </w:pPr>
            <w:r>
              <w:rPr>
                <w:rFonts w:ascii="Arial" w:cs="Arial" w:eastAsia="Arial" w:hAnsi="Arial"/>
                <w:sz w:val="16"/>
                <w:szCs w:val="16"/>
                <w:color w:val="auto"/>
              </w:rPr>
              <w:t>222,340</w:t>
            </w:r>
          </w:p>
        </w:tc>
        <w:tc>
          <w:tcPr>
            <w:tcW w:w="164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220,431</w:t>
            </w: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180" w:type="dxa"/>
            <w:vAlign w:val="bottom"/>
          </w:tcPr>
          <w:p>
            <w:pPr>
              <w:jc w:val="right"/>
              <w:ind w:right="459"/>
              <w:spacing w:after="0"/>
              <w:rPr>
                <w:sz w:val="20"/>
                <w:szCs w:val="20"/>
                <w:color w:val="auto"/>
              </w:rPr>
            </w:pPr>
            <w:r>
              <w:rPr>
                <w:rFonts w:ascii="Arial" w:cs="Arial" w:eastAsia="Arial" w:hAnsi="Arial"/>
                <w:sz w:val="16"/>
                <w:szCs w:val="16"/>
                <w:b w:val="1"/>
                <w:bCs w:val="1"/>
                <w:color w:val="auto"/>
              </w:rPr>
              <w:t>As of December 31,</w:t>
            </w:r>
          </w:p>
        </w:tc>
        <w:tc>
          <w:tcPr>
            <w:tcW w:w="1640" w:type="dxa"/>
            <w:vAlign w:val="bottom"/>
          </w:tcPr>
          <w:p>
            <w:pPr>
              <w:spacing w:after="0"/>
              <w:rPr>
                <w:sz w:val="16"/>
                <w:szCs w:val="16"/>
                <w:color w:val="auto"/>
              </w:rPr>
            </w:pPr>
          </w:p>
        </w:tc>
      </w:tr>
      <w:tr>
        <w:trPr>
          <w:trHeight w:val="203"/>
        </w:trPr>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Retail Customers by Business Unit</w:t>
            </w:r>
          </w:p>
        </w:tc>
        <w:tc>
          <w:tcPr>
            <w:tcW w:w="192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2024</w:t>
            </w:r>
          </w:p>
        </w:tc>
        <w:tc>
          <w:tcPr>
            <w:tcW w:w="2180" w:type="dxa"/>
            <w:vAlign w:val="bottom"/>
            <w:tcBorders>
              <w:bottom w:val="single" w:sz="8" w:color="auto"/>
            </w:tcBorders>
          </w:tcPr>
          <w:p>
            <w:pPr>
              <w:jc w:val="right"/>
              <w:ind w:right="1039"/>
              <w:spacing w:after="0"/>
              <w:rPr>
                <w:sz w:val="20"/>
                <w:szCs w:val="20"/>
                <w:color w:val="auto"/>
              </w:rPr>
            </w:pPr>
            <w:r>
              <w:rPr>
                <w:rFonts w:ascii="Arial" w:cs="Arial" w:eastAsia="Arial" w:hAnsi="Arial"/>
                <w:sz w:val="16"/>
                <w:szCs w:val="16"/>
                <w:b w:val="1"/>
                <w:bCs w:val="1"/>
                <w:color w:val="auto"/>
              </w:rPr>
              <w:t>2023</w:t>
            </w:r>
          </w:p>
        </w:tc>
        <w:tc>
          <w:tcPr>
            <w:tcW w:w="164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2022</w:t>
            </w:r>
          </w:p>
        </w:tc>
      </w:tr>
      <w:tr>
        <w:trPr>
          <w:trHeight w:val="183"/>
        </w:trPr>
        <w:tc>
          <w:tcPr>
            <w:tcW w:w="550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Colorado Electric</w:t>
            </w:r>
          </w:p>
        </w:tc>
        <w:tc>
          <w:tcPr>
            <w:tcW w:w="192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101,455</w:t>
            </w:r>
          </w:p>
        </w:tc>
        <w:tc>
          <w:tcPr>
            <w:tcW w:w="2180" w:type="dxa"/>
            <w:vAlign w:val="bottom"/>
            <w:shd w:val="clear" w:color="auto" w:fill="CFF0FC"/>
          </w:tcPr>
          <w:p>
            <w:pPr>
              <w:jc w:val="right"/>
              <w:ind w:right="339"/>
              <w:spacing w:after="0" w:line="183" w:lineRule="exact"/>
              <w:rPr>
                <w:sz w:val="20"/>
                <w:szCs w:val="20"/>
                <w:color w:val="auto"/>
              </w:rPr>
            </w:pPr>
            <w:r>
              <w:rPr>
                <w:rFonts w:ascii="Arial" w:cs="Arial" w:eastAsia="Arial" w:hAnsi="Arial"/>
                <w:sz w:val="16"/>
                <w:szCs w:val="16"/>
                <w:color w:val="auto"/>
              </w:rPr>
              <w:t>100,907</w:t>
            </w:r>
          </w:p>
        </w:tc>
        <w:tc>
          <w:tcPr>
            <w:tcW w:w="164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100,573</w:t>
            </w:r>
          </w:p>
        </w:tc>
      </w:tr>
      <w:tr>
        <w:trPr>
          <w:trHeight w:val="189"/>
        </w:trPr>
        <w:tc>
          <w:tcPr>
            <w:tcW w:w="5500" w:type="dxa"/>
            <w:vAlign w:val="bottom"/>
          </w:tcPr>
          <w:p>
            <w:pPr>
              <w:ind w:left="20"/>
              <w:spacing w:after="0"/>
              <w:rPr>
                <w:sz w:val="20"/>
                <w:szCs w:val="20"/>
                <w:color w:val="auto"/>
              </w:rPr>
            </w:pPr>
            <w:r>
              <w:rPr>
                <w:rFonts w:ascii="Arial" w:cs="Arial" w:eastAsia="Arial" w:hAnsi="Arial"/>
                <w:sz w:val="16"/>
                <w:szCs w:val="16"/>
                <w:color w:val="auto"/>
              </w:rPr>
              <w:t>South Dakota Electric</w:t>
            </w:r>
          </w:p>
        </w:tc>
        <w:tc>
          <w:tcPr>
            <w:tcW w:w="1920" w:type="dxa"/>
            <w:vAlign w:val="bottom"/>
          </w:tcPr>
          <w:p>
            <w:pPr>
              <w:jc w:val="right"/>
              <w:ind w:right="59"/>
              <w:spacing w:after="0"/>
              <w:rPr>
                <w:sz w:val="20"/>
                <w:szCs w:val="20"/>
                <w:color w:val="auto"/>
              </w:rPr>
            </w:pPr>
            <w:r>
              <w:rPr>
                <w:rFonts w:ascii="Arial" w:cs="Arial" w:eastAsia="Arial" w:hAnsi="Arial"/>
                <w:sz w:val="16"/>
                <w:szCs w:val="16"/>
                <w:color w:val="auto"/>
              </w:rPr>
              <w:t>77,941</w:t>
            </w:r>
          </w:p>
        </w:tc>
        <w:tc>
          <w:tcPr>
            <w:tcW w:w="2180" w:type="dxa"/>
            <w:vAlign w:val="bottom"/>
          </w:tcPr>
          <w:p>
            <w:pPr>
              <w:jc w:val="right"/>
              <w:ind w:right="339"/>
              <w:spacing w:after="0"/>
              <w:rPr>
                <w:sz w:val="20"/>
                <w:szCs w:val="20"/>
                <w:color w:val="auto"/>
              </w:rPr>
            </w:pPr>
            <w:r>
              <w:rPr>
                <w:rFonts w:ascii="Arial" w:cs="Arial" w:eastAsia="Arial" w:hAnsi="Arial"/>
                <w:sz w:val="16"/>
                <w:szCs w:val="16"/>
                <w:color w:val="auto"/>
              </w:rPr>
              <w:t>76,479</w:t>
            </w: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75,169</w:t>
            </w:r>
          </w:p>
        </w:tc>
      </w:tr>
      <w:tr>
        <w:trPr>
          <w:trHeight w:val="189"/>
        </w:trPr>
        <w:tc>
          <w:tcPr>
            <w:tcW w:w="5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Wyoming Electric</w:t>
            </w:r>
          </w:p>
        </w:tc>
        <w:tc>
          <w:tcPr>
            <w:tcW w:w="19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45,692</w:t>
            </w:r>
          </w:p>
        </w:tc>
        <w:tc>
          <w:tcPr>
            <w:tcW w:w="2180" w:type="dxa"/>
            <w:vAlign w:val="bottom"/>
            <w:tcBorders>
              <w:bottom w:val="single" w:sz="8" w:color="auto"/>
            </w:tcBorders>
            <w:shd w:val="clear" w:color="auto" w:fill="CFF0FC"/>
          </w:tcPr>
          <w:p>
            <w:pPr>
              <w:jc w:val="right"/>
              <w:ind w:right="339"/>
              <w:spacing w:after="0"/>
              <w:rPr>
                <w:sz w:val="20"/>
                <w:szCs w:val="20"/>
                <w:color w:val="auto"/>
              </w:rPr>
            </w:pPr>
            <w:r>
              <w:rPr>
                <w:rFonts w:ascii="Arial" w:cs="Arial" w:eastAsia="Arial" w:hAnsi="Arial"/>
                <w:sz w:val="16"/>
                <w:szCs w:val="16"/>
                <w:color w:val="auto"/>
              </w:rPr>
              <w:t>44,954</w:t>
            </w:r>
          </w:p>
        </w:tc>
        <w:tc>
          <w:tcPr>
            <w:tcW w:w="16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44,689</w:t>
            </w:r>
          </w:p>
        </w:tc>
      </w:tr>
      <w:tr>
        <w:trPr>
          <w:trHeight w:val="183"/>
        </w:trPr>
        <w:tc>
          <w:tcPr>
            <w:tcW w:w="5500" w:type="dxa"/>
            <w:vAlign w:val="bottom"/>
          </w:tcPr>
          <w:p>
            <w:pPr>
              <w:ind w:left="200"/>
              <w:spacing w:after="0" w:line="183" w:lineRule="exact"/>
              <w:rPr>
                <w:sz w:val="20"/>
                <w:szCs w:val="20"/>
                <w:color w:val="auto"/>
              </w:rPr>
            </w:pPr>
            <w:r>
              <w:rPr>
                <w:rFonts w:ascii="Arial" w:cs="Arial" w:eastAsia="Arial" w:hAnsi="Arial"/>
                <w:sz w:val="16"/>
                <w:szCs w:val="16"/>
                <w:color w:val="auto"/>
              </w:rPr>
              <w:t>Total Electric Retail Customers at End of Year</w:t>
            </w:r>
          </w:p>
        </w:tc>
        <w:tc>
          <w:tcPr>
            <w:tcW w:w="192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225,088</w:t>
            </w:r>
          </w:p>
        </w:tc>
        <w:tc>
          <w:tcPr>
            <w:tcW w:w="2180" w:type="dxa"/>
            <w:vAlign w:val="bottom"/>
            <w:tcBorders>
              <w:bottom w:val="single" w:sz="8" w:color="auto"/>
            </w:tcBorders>
          </w:tcPr>
          <w:p>
            <w:pPr>
              <w:jc w:val="right"/>
              <w:ind w:right="339"/>
              <w:spacing w:after="0" w:line="183" w:lineRule="exact"/>
              <w:rPr>
                <w:sz w:val="20"/>
                <w:szCs w:val="20"/>
                <w:color w:val="auto"/>
              </w:rPr>
            </w:pPr>
            <w:r>
              <w:rPr>
                <w:rFonts w:ascii="Arial" w:cs="Arial" w:eastAsia="Arial" w:hAnsi="Arial"/>
                <w:sz w:val="16"/>
                <w:szCs w:val="16"/>
                <w:color w:val="auto"/>
              </w:rPr>
              <w:t>222,340</w:t>
            </w:r>
          </w:p>
        </w:tc>
        <w:tc>
          <w:tcPr>
            <w:tcW w:w="164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220,431</w:t>
            </w:r>
          </w:p>
        </w:tc>
      </w:tr>
      <w:tr>
        <w:trPr>
          <w:trHeight w:val="20"/>
        </w:trPr>
        <w:tc>
          <w:tcPr>
            <w:tcW w:w="55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140" w:type="dxa"/>
            <w:vAlign w:val="bottom"/>
            <w:gridSpan w:val="6"/>
          </w:tcPr>
          <w:p>
            <w:pPr>
              <w:spacing w:after="0"/>
              <w:rPr>
                <w:sz w:val="20"/>
                <w:szCs w:val="20"/>
                <w:color w:val="auto"/>
              </w:rPr>
            </w:pPr>
            <w:r>
              <w:rPr>
                <w:rFonts w:ascii="Arial" w:cs="Arial" w:eastAsia="Arial" w:hAnsi="Arial"/>
                <w:sz w:val="16"/>
                <w:szCs w:val="16"/>
                <w:b w:val="1"/>
                <w:bCs w:val="1"/>
                <w:i w:val="1"/>
                <w:iCs w:val="1"/>
                <w:color w:val="auto"/>
              </w:rPr>
              <w:t xml:space="preserve">Capacity and Demand. </w:t>
            </w:r>
            <w:r>
              <w:rPr>
                <w:rFonts w:ascii="Arial" w:cs="Arial" w:eastAsia="Arial" w:hAnsi="Arial"/>
                <w:sz w:val="16"/>
                <w:szCs w:val="16"/>
                <w:color w:val="auto"/>
              </w:rPr>
              <w:t>System Peak Demand for the Electric Utilities’ retail customers for each of the last three years are listed below:</w:t>
            </w:r>
          </w:p>
        </w:tc>
        <w:tc>
          <w:tcPr>
            <w:tcW w:w="1100" w:type="dxa"/>
            <w:vAlign w:val="bottom"/>
          </w:tcPr>
          <w:p>
            <w:pPr>
              <w:spacing w:after="0"/>
              <w:rPr>
                <w:sz w:val="19"/>
                <w:szCs w:val="19"/>
                <w:color w:val="auto"/>
              </w:rPr>
            </w:pPr>
          </w:p>
        </w:tc>
      </w:tr>
      <w:tr>
        <w:trPr>
          <w:trHeight w:val="358"/>
        </w:trPr>
        <w:tc>
          <w:tcPr>
            <w:tcW w:w="278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System Peak Demand (in MWs)</w:t>
            </w:r>
          </w:p>
        </w:tc>
        <w:tc>
          <w:tcPr>
            <w:tcW w:w="16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83"/>
        </w:trPr>
        <w:tc>
          <w:tcPr>
            <w:tcW w:w="278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1019"/>
              <w:spacing w:after="0" w:line="183" w:lineRule="exact"/>
              <w:rPr>
                <w:sz w:val="20"/>
                <w:szCs w:val="20"/>
                <w:color w:val="auto"/>
              </w:rPr>
            </w:pPr>
            <w:r>
              <w:rPr>
                <w:rFonts w:ascii="Arial" w:cs="Arial" w:eastAsia="Arial" w:hAnsi="Arial"/>
                <w:sz w:val="16"/>
                <w:szCs w:val="16"/>
                <w:b w:val="1"/>
                <w:bCs w:val="1"/>
                <w:color w:val="auto"/>
              </w:rPr>
              <w:t>2024</w:t>
            </w:r>
          </w:p>
        </w:tc>
        <w:tc>
          <w:tcPr>
            <w:tcW w:w="12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ind w:right="1219"/>
              <w:spacing w:after="0" w:line="183" w:lineRule="exact"/>
              <w:rPr>
                <w:sz w:val="20"/>
                <w:szCs w:val="20"/>
                <w:color w:val="auto"/>
              </w:rPr>
            </w:pPr>
            <w:r>
              <w:rPr>
                <w:rFonts w:ascii="Arial" w:cs="Arial" w:eastAsia="Arial" w:hAnsi="Arial"/>
                <w:sz w:val="16"/>
                <w:szCs w:val="16"/>
                <w:b w:val="1"/>
                <w:bCs w:val="1"/>
                <w:color w:val="auto"/>
              </w:rPr>
              <w:t>2023</w:t>
            </w:r>
          </w:p>
        </w:tc>
        <w:tc>
          <w:tcPr>
            <w:tcW w:w="16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2022</w:t>
            </w:r>
          </w:p>
        </w:tc>
        <w:tc>
          <w:tcPr>
            <w:tcW w:w="1100" w:type="dxa"/>
            <w:vAlign w:val="bottom"/>
            <w:tcBorders>
              <w:bottom w:val="single" w:sz="8" w:color="auto"/>
            </w:tcBorders>
          </w:tcPr>
          <w:p>
            <w:pPr>
              <w:spacing w:after="0"/>
              <w:rPr>
                <w:sz w:val="15"/>
                <w:szCs w:val="15"/>
                <w:color w:val="auto"/>
              </w:rPr>
            </w:pPr>
          </w:p>
        </w:tc>
      </w:tr>
      <w:tr>
        <w:trPr>
          <w:trHeight w:val="183"/>
        </w:trPr>
        <w:tc>
          <w:tcPr>
            <w:tcW w:w="2780" w:type="dxa"/>
            <w:vAlign w:val="bottom"/>
          </w:tcPr>
          <w:p>
            <w:pPr>
              <w:spacing w:after="0"/>
              <w:rPr>
                <w:sz w:val="15"/>
                <w:szCs w:val="15"/>
                <w:color w:val="auto"/>
              </w:rPr>
            </w:pPr>
          </w:p>
        </w:tc>
        <w:tc>
          <w:tcPr>
            <w:tcW w:w="1140" w:type="dxa"/>
            <w:vAlign w:val="bottom"/>
            <w:tcBorders>
              <w:bottom w:val="single" w:sz="8" w:color="auto"/>
            </w:tcBorders>
          </w:tcPr>
          <w:p>
            <w:pPr>
              <w:jc w:val="center"/>
              <w:ind w:left="199"/>
              <w:spacing w:after="0" w:line="183" w:lineRule="exact"/>
              <w:rPr>
                <w:sz w:val="20"/>
                <w:szCs w:val="20"/>
                <w:color w:val="auto"/>
              </w:rPr>
            </w:pPr>
            <w:r>
              <w:rPr>
                <w:rFonts w:ascii="Arial" w:cs="Arial" w:eastAsia="Arial" w:hAnsi="Arial"/>
                <w:sz w:val="16"/>
                <w:szCs w:val="16"/>
                <w:b w:val="1"/>
                <w:bCs w:val="1"/>
                <w:color w:val="auto"/>
              </w:rPr>
              <w:t>Summer</w:t>
            </w:r>
          </w:p>
        </w:tc>
        <w:tc>
          <w:tcPr>
            <w:tcW w:w="1560" w:type="dxa"/>
            <w:vAlign w:val="bottom"/>
            <w:tcBorders>
              <w:bottom w:val="single" w:sz="8" w:color="auto"/>
            </w:tcBorders>
          </w:tcPr>
          <w:p>
            <w:pPr>
              <w:jc w:val="center"/>
              <w:ind w:left="339"/>
              <w:spacing w:after="0" w:line="183" w:lineRule="exact"/>
              <w:rPr>
                <w:sz w:val="20"/>
                <w:szCs w:val="20"/>
                <w:color w:val="auto"/>
              </w:rPr>
            </w:pPr>
            <w:r>
              <w:rPr>
                <w:rFonts w:ascii="Arial" w:cs="Arial" w:eastAsia="Arial" w:hAnsi="Arial"/>
                <w:sz w:val="16"/>
                <w:szCs w:val="16"/>
                <w:b w:val="1"/>
                <w:bCs w:val="1"/>
                <w:color w:val="auto"/>
              </w:rPr>
              <w:t>Winter</w:t>
            </w:r>
          </w:p>
        </w:tc>
        <w:tc>
          <w:tcPr>
            <w:tcW w:w="1260" w:type="dxa"/>
            <w:vAlign w:val="bottom"/>
            <w:tcBorders>
              <w:bottom w:val="single" w:sz="8" w:color="auto"/>
            </w:tcBorders>
          </w:tcPr>
          <w:p>
            <w:pPr>
              <w:jc w:val="center"/>
              <w:ind w:left="339"/>
              <w:spacing w:after="0" w:line="183" w:lineRule="exact"/>
              <w:rPr>
                <w:sz w:val="20"/>
                <w:szCs w:val="20"/>
                <w:color w:val="auto"/>
              </w:rPr>
            </w:pPr>
            <w:r>
              <w:rPr>
                <w:rFonts w:ascii="Arial" w:cs="Arial" w:eastAsia="Arial" w:hAnsi="Arial"/>
                <w:sz w:val="16"/>
                <w:szCs w:val="16"/>
                <w:b w:val="1"/>
                <w:bCs w:val="1"/>
                <w:color w:val="auto"/>
                <w:w w:val="99"/>
              </w:rPr>
              <w:t>Summer</w:t>
            </w:r>
          </w:p>
        </w:tc>
        <w:tc>
          <w:tcPr>
            <w:tcW w:w="1760" w:type="dxa"/>
            <w:vAlign w:val="bottom"/>
            <w:tcBorders>
              <w:bottom w:val="single" w:sz="8" w:color="auto"/>
            </w:tcBorders>
          </w:tcPr>
          <w:p>
            <w:pPr>
              <w:jc w:val="center"/>
              <w:ind w:left="139"/>
              <w:spacing w:after="0" w:line="183" w:lineRule="exact"/>
              <w:rPr>
                <w:sz w:val="20"/>
                <w:szCs w:val="20"/>
                <w:color w:val="auto"/>
              </w:rPr>
            </w:pPr>
            <w:r>
              <w:rPr>
                <w:rFonts w:ascii="Arial" w:cs="Arial" w:eastAsia="Arial" w:hAnsi="Arial"/>
                <w:sz w:val="16"/>
                <w:szCs w:val="16"/>
                <w:b w:val="1"/>
                <w:bCs w:val="1"/>
                <w:color w:val="auto"/>
              </w:rPr>
              <w:t>Winter</w:t>
            </w:r>
          </w:p>
        </w:tc>
        <w:tc>
          <w:tcPr>
            <w:tcW w:w="1640" w:type="dxa"/>
            <w:vAlign w:val="bottom"/>
            <w:tcBorders>
              <w:bottom w:val="single" w:sz="8" w:color="auto"/>
            </w:tcBorders>
          </w:tcPr>
          <w:p>
            <w:pPr>
              <w:jc w:val="center"/>
              <w:ind w:right="299"/>
              <w:spacing w:after="0" w:line="183" w:lineRule="exact"/>
              <w:rPr>
                <w:sz w:val="20"/>
                <w:szCs w:val="20"/>
                <w:color w:val="auto"/>
              </w:rPr>
            </w:pPr>
            <w:r>
              <w:rPr>
                <w:rFonts w:ascii="Arial" w:cs="Arial" w:eastAsia="Arial" w:hAnsi="Arial"/>
                <w:sz w:val="16"/>
                <w:szCs w:val="16"/>
                <w:b w:val="1"/>
                <w:bCs w:val="1"/>
                <w:color w:val="auto"/>
              </w:rPr>
              <w:t>Summer</w:t>
            </w:r>
          </w:p>
        </w:tc>
        <w:tc>
          <w:tcPr>
            <w:tcW w:w="1100" w:type="dxa"/>
            <w:vAlign w:val="bottom"/>
            <w:tcBorders>
              <w:bottom w:val="single" w:sz="8" w:color="auto"/>
            </w:tcBorders>
          </w:tcPr>
          <w:p>
            <w:pPr>
              <w:jc w:val="center"/>
              <w:ind w:right="239"/>
              <w:spacing w:after="0" w:line="183" w:lineRule="exact"/>
              <w:rPr>
                <w:sz w:val="20"/>
                <w:szCs w:val="20"/>
                <w:color w:val="auto"/>
              </w:rPr>
            </w:pPr>
            <w:r>
              <w:rPr>
                <w:rFonts w:ascii="Arial" w:cs="Arial" w:eastAsia="Arial" w:hAnsi="Arial"/>
                <w:sz w:val="16"/>
                <w:szCs w:val="16"/>
                <w:b w:val="1"/>
                <w:bCs w:val="1"/>
                <w:color w:val="auto"/>
              </w:rPr>
              <w:t>Winter</w:t>
            </w:r>
          </w:p>
        </w:tc>
      </w:tr>
      <w:tr>
        <w:trPr>
          <w:trHeight w:val="183"/>
        </w:trPr>
        <w:tc>
          <w:tcPr>
            <w:tcW w:w="278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Colorado Electric</w:t>
            </w:r>
          </w:p>
        </w:tc>
        <w:tc>
          <w:tcPr>
            <w:tcW w:w="1140" w:type="dxa"/>
            <w:vAlign w:val="bottom"/>
            <w:shd w:val="clear" w:color="auto" w:fill="CFF0FC"/>
          </w:tcPr>
          <w:p>
            <w:pPr>
              <w:jc w:val="center"/>
              <w:ind w:left="199"/>
              <w:spacing w:after="0" w:line="183" w:lineRule="exact"/>
              <w:rPr>
                <w:sz w:val="20"/>
                <w:szCs w:val="20"/>
                <w:color w:val="auto"/>
              </w:rPr>
            </w:pPr>
            <w:r>
              <w:rPr>
                <w:rFonts w:ascii="Arial" w:cs="Arial" w:eastAsia="Arial" w:hAnsi="Arial"/>
                <w:sz w:val="16"/>
                <w:szCs w:val="16"/>
                <w:color w:val="auto"/>
                <w:w w:val="97"/>
              </w:rPr>
              <w:t>394</w:t>
            </w:r>
          </w:p>
        </w:tc>
        <w:tc>
          <w:tcPr>
            <w:tcW w:w="1560" w:type="dxa"/>
            <w:vAlign w:val="bottom"/>
            <w:shd w:val="clear" w:color="auto" w:fill="CFF0FC"/>
          </w:tcPr>
          <w:p>
            <w:pPr>
              <w:jc w:val="center"/>
              <w:ind w:left="339"/>
              <w:spacing w:after="0" w:line="183" w:lineRule="exact"/>
              <w:rPr>
                <w:sz w:val="20"/>
                <w:szCs w:val="20"/>
                <w:color w:val="auto"/>
              </w:rPr>
            </w:pPr>
            <w:r>
              <w:rPr>
                <w:rFonts w:ascii="Arial" w:cs="Arial" w:eastAsia="Arial" w:hAnsi="Arial"/>
                <w:sz w:val="16"/>
                <w:szCs w:val="16"/>
                <w:color w:val="auto"/>
                <w:w w:val="97"/>
              </w:rPr>
              <w:t>311</w:t>
            </w:r>
          </w:p>
        </w:tc>
        <w:tc>
          <w:tcPr>
            <w:tcW w:w="1260" w:type="dxa"/>
            <w:vAlign w:val="bottom"/>
            <w:shd w:val="clear" w:color="auto" w:fill="CFF0FC"/>
          </w:tcPr>
          <w:p>
            <w:pPr>
              <w:jc w:val="center"/>
              <w:ind w:left="339"/>
              <w:spacing w:after="0" w:line="183" w:lineRule="exact"/>
              <w:rPr>
                <w:sz w:val="20"/>
                <w:szCs w:val="20"/>
                <w:color w:val="auto"/>
              </w:rPr>
            </w:pPr>
            <w:r>
              <w:rPr>
                <w:rFonts w:ascii="Arial" w:cs="Arial" w:eastAsia="Arial" w:hAnsi="Arial"/>
                <w:sz w:val="16"/>
                <w:szCs w:val="16"/>
                <w:color w:val="auto"/>
              </w:rPr>
              <w:t>411</w:t>
            </w:r>
          </w:p>
        </w:tc>
        <w:tc>
          <w:tcPr>
            <w:tcW w:w="1760" w:type="dxa"/>
            <w:vAlign w:val="bottom"/>
            <w:shd w:val="clear" w:color="auto" w:fill="CFF0FC"/>
          </w:tcPr>
          <w:p>
            <w:pPr>
              <w:jc w:val="center"/>
              <w:ind w:left="119"/>
              <w:spacing w:after="0" w:line="183" w:lineRule="exact"/>
              <w:rPr>
                <w:sz w:val="20"/>
                <w:szCs w:val="20"/>
                <w:color w:val="auto"/>
              </w:rPr>
            </w:pPr>
            <w:r>
              <w:rPr>
                <w:rFonts w:ascii="Arial" w:cs="Arial" w:eastAsia="Arial" w:hAnsi="Arial"/>
                <w:sz w:val="16"/>
                <w:szCs w:val="16"/>
                <w:color w:val="auto"/>
              </w:rPr>
              <w:t>297</w:t>
            </w:r>
          </w:p>
        </w:tc>
        <w:tc>
          <w:tcPr>
            <w:tcW w:w="1640" w:type="dxa"/>
            <w:vAlign w:val="bottom"/>
            <w:shd w:val="clear" w:color="auto" w:fill="CFF0FC"/>
          </w:tcPr>
          <w:p>
            <w:pPr>
              <w:jc w:val="center"/>
              <w:ind w:right="299"/>
              <w:spacing w:after="0" w:line="183" w:lineRule="exact"/>
              <w:rPr>
                <w:sz w:val="20"/>
                <w:szCs w:val="20"/>
                <w:color w:val="auto"/>
              </w:rPr>
            </w:pPr>
            <w:r>
              <w:rPr>
                <w:rFonts w:ascii="Arial" w:cs="Arial" w:eastAsia="Arial" w:hAnsi="Arial"/>
                <w:sz w:val="16"/>
                <w:szCs w:val="16"/>
                <w:color w:val="auto"/>
                <w:w w:val="97"/>
              </w:rPr>
              <w:t>410</w:t>
            </w:r>
          </w:p>
        </w:tc>
        <w:tc>
          <w:tcPr>
            <w:tcW w:w="1100" w:type="dxa"/>
            <w:vAlign w:val="bottom"/>
            <w:shd w:val="clear" w:color="auto" w:fill="CFF0FC"/>
          </w:tcPr>
          <w:p>
            <w:pPr>
              <w:jc w:val="center"/>
              <w:ind w:right="239"/>
              <w:spacing w:after="0" w:line="183" w:lineRule="exact"/>
              <w:rPr>
                <w:sz w:val="20"/>
                <w:szCs w:val="20"/>
                <w:color w:val="auto"/>
              </w:rPr>
            </w:pPr>
            <w:r>
              <w:rPr>
                <w:rFonts w:ascii="Arial" w:cs="Arial" w:eastAsia="Arial" w:hAnsi="Arial"/>
                <w:sz w:val="16"/>
                <w:szCs w:val="16"/>
                <w:color w:val="auto"/>
                <w:w w:val="97"/>
              </w:rPr>
              <w:t>334</w:t>
            </w:r>
          </w:p>
        </w:tc>
      </w:tr>
      <w:tr>
        <w:trPr>
          <w:trHeight w:val="148"/>
        </w:trPr>
        <w:tc>
          <w:tcPr>
            <w:tcW w:w="2780" w:type="dxa"/>
            <w:vAlign w:val="bottom"/>
          </w:tcPr>
          <w:p>
            <w:pPr>
              <w:ind w:left="20"/>
              <w:spacing w:after="0" w:line="148" w:lineRule="exact"/>
              <w:rPr>
                <w:sz w:val="20"/>
                <w:szCs w:val="20"/>
                <w:color w:val="auto"/>
              </w:rPr>
            </w:pPr>
            <w:r>
              <w:rPr>
                <w:rFonts w:ascii="Arial" w:cs="Arial" w:eastAsia="Arial" w:hAnsi="Arial"/>
                <w:sz w:val="16"/>
                <w:szCs w:val="16"/>
                <w:color w:val="auto"/>
              </w:rPr>
              <w:t>South Dakota Electric</w:t>
            </w:r>
          </w:p>
        </w:tc>
        <w:tc>
          <w:tcPr>
            <w:tcW w:w="1140" w:type="dxa"/>
            <w:vAlign w:val="bottom"/>
          </w:tcPr>
          <w:p>
            <w:pPr>
              <w:jc w:val="center"/>
              <w:ind w:left="199"/>
              <w:spacing w:after="0" w:line="148" w:lineRule="exact"/>
              <w:rPr>
                <w:sz w:val="20"/>
                <w:szCs w:val="20"/>
                <w:color w:val="auto"/>
              </w:rPr>
            </w:pPr>
            <w:r>
              <w:rPr>
                <w:rFonts w:ascii="Arial" w:cs="Arial" w:eastAsia="Arial" w:hAnsi="Arial"/>
                <w:sz w:val="16"/>
                <w:szCs w:val="16"/>
                <w:color w:val="auto"/>
                <w:w w:val="97"/>
              </w:rPr>
              <w:t>388</w:t>
            </w:r>
          </w:p>
        </w:tc>
        <w:tc>
          <w:tcPr>
            <w:tcW w:w="1560" w:type="dxa"/>
            <w:vAlign w:val="bottom"/>
          </w:tcPr>
          <w:p>
            <w:pPr>
              <w:jc w:val="center"/>
              <w:ind w:left="339"/>
              <w:spacing w:after="0" w:line="148" w:lineRule="exact"/>
              <w:rPr>
                <w:sz w:val="20"/>
                <w:szCs w:val="20"/>
                <w:color w:val="auto"/>
              </w:rPr>
            </w:pPr>
            <w:r>
              <w:rPr>
                <w:rFonts w:ascii="Arial" w:cs="Arial" w:eastAsia="Arial" w:hAnsi="Arial"/>
                <w:sz w:val="16"/>
                <w:szCs w:val="16"/>
                <w:color w:val="auto"/>
                <w:w w:val="97"/>
              </w:rPr>
              <w:t>346</w:t>
            </w:r>
          </w:p>
        </w:tc>
        <w:tc>
          <w:tcPr>
            <w:tcW w:w="1260" w:type="dxa"/>
            <w:vAlign w:val="bottom"/>
          </w:tcPr>
          <w:p>
            <w:pPr>
              <w:jc w:val="center"/>
              <w:ind w:left="339"/>
              <w:spacing w:after="0" w:line="148" w:lineRule="exact"/>
              <w:rPr>
                <w:sz w:val="20"/>
                <w:szCs w:val="20"/>
                <w:color w:val="auto"/>
              </w:rPr>
            </w:pPr>
            <w:r>
              <w:rPr>
                <w:rFonts w:ascii="Arial" w:cs="Arial" w:eastAsia="Arial" w:hAnsi="Arial"/>
                <w:sz w:val="16"/>
                <w:szCs w:val="16"/>
                <w:color w:val="auto"/>
              </w:rPr>
              <w:t>378</w:t>
            </w:r>
          </w:p>
        </w:tc>
        <w:tc>
          <w:tcPr>
            <w:tcW w:w="1760" w:type="dxa"/>
            <w:vAlign w:val="bottom"/>
          </w:tcPr>
          <w:p>
            <w:pPr>
              <w:jc w:val="center"/>
              <w:ind w:left="119"/>
              <w:spacing w:after="0" w:line="148" w:lineRule="exact"/>
              <w:rPr>
                <w:sz w:val="20"/>
                <w:szCs w:val="20"/>
                <w:color w:val="auto"/>
              </w:rPr>
            </w:pPr>
            <w:r>
              <w:rPr>
                <w:rFonts w:ascii="Arial" w:cs="Arial" w:eastAsia="Arial" w:hAnsi="Arial"/>
                <w:sz w:val="16"/>
                <w:szCs w:val="16"/>
                <w:color w:val="auto"/>
              </w:rPr>
              <w:t>289</w:t>
            </w:r>
          </w:p>
        </w:tc>
        <w:tc>
          <w:tcPr>
            <w:tcW w:w="1640" w:type="dxa"/>
            <w:vAlign w:val="bottom"/>
          </w:tcPr>
          <w:p>
            <w:pPr>
              <w:jc w:val="center"/>
              <w:ind w:right="299"/>
              <w:spacing w:after="0" w:line="148" w:lineRule="exact"/>
              <w:rPr>
                <w:sz w:val="20"/>
                <w:szCs w:val="20"/>
                <w:color w:val="auto"/>
              </w:rPr>
            </w:pPr>
            <w:r>
              <w:rPr>
                <w:rFonts w:ascii="Arial" w:cs="Arial" w:eastAsia="Arial" w:hAnsi="Arial"/>
                <w:sz w:val="16"/>
                <w:szCs w:val="16"/>
                <w:color w:val="auto"/>
                <w:w w:val="97"/>
              </w:rPr>
              <w:t>403</w:t>
            </w:r>
          </w:p>
        </w:tc>
        <w:tc>
          <w:tcPr>
            <w:tcW w:w="1100" w:type="dxa"/>
            <w:vAlign w:val="bottom"/>
          </w:tcPr>
          <w:p>
            <w:pPr>
              <w:jc w:val="center"/>
              <w:ind w:right="239"/>
              <w:spacing w:after="0" w:line="148" w:lineRule="exact"/>
              <w:rPr>
                <w:sz w:val="20"/>
                <w:szCs w:val="20"/>
                <w:color w:val="auto"/>
              </w:rPr>
            </w:pPr>
            <w:r>
              <w:rPr>
                <w:rFonts w:ascii="Arial" w:cs="Arial" w:eastAsia="Arial" w:hAnsi="Arial"/>
                <w:sz w:val="16"/>
                <w:szCs w:val="16"/>
                <w:color w:val="auto"/>
                <w:w w:val="97"/>
              </w:rPr>
              <w:t>355</w:t>
            </w:r>
          </w:p>
        </w:tc>
      </w:tr>
      <w:tr>
        <w:trPr>
          <w:trHeight w:val="226"/>
        </w:trPr>
        <w:tc>
          <w:tcPr>
            <w:tcW w:w="2780" w:type="dxa"/>
            <w:vAlign w:val="bottom"/>
          </w:tcPr>
          <w:p>
            <w:pPr>
              <w:ind w:left="20"/>
              <w:spacing w:after="0" w:line="226" w:lineRule="exact"/>
              <w:rPr>
                <w:sz w:val="20"/>
                <w:szCs w:val="20"/>
                <w:color w:val="auto"/>
              </w:rPr>
            </w:pPr>
            <w:r>
              <w:rPr>
                <w:rFonts w:ascii="Arial" w:cs="Arial" w:eastAsia="Arial" w:hAnsi="Arial"/>
                <w:sz w:val="16"/>
                <w:szCs w:val="16"/>
                <w:color w:val="auto"/>
              </w:rPr>
              <w:t xml:space="preserve">Wyoming Electric </w:t>
            </w:r>
            <w:r>
              <w:rPr>
                <w:rFonts w:ascii="Arial" w:cs="Arial" w:eastAsia="Arial" w:hAnsi="Arial"/>
                <w:sz w:val="21"/>
                <w:szCs w:val="21"/>
                <w:color w:val="auto"/>
                <w:vertAlign w:val="superscript"/>
              </w:rPr>
              <w:t>(a)</w:t>
            </w:r>
          </w:p>
        </w:tc>
        <w:tc>
          <w:tcPr>
            <w:tcW w:w="1140" w:type="dxa"/>
            <w:vAlign w:val="bottom"/>
          </w:tcPr>
          <w:p>
            <w:pPr>
              <w:jc w:val="center"/>
              <w:ind w:left="199"/>
              <w:spacing w:after="0"/>
              <w:rPr>
                <w:sz w:val="20"/>
                <w:szCs w:val="20"/>
                <w:color w:val="auto"/>
              </w:rPr>
            </w:pPr>
            <w:r>
              <w:rPr>
                <w:rFonts w:ascii="Arial" w:cs="Arial" w:eastAsia="Arial" w:hAnsi="Arial"/>
                <w:sz w:val="16"/>
                <w:szCs w:val="16"/>
                <w:color w:val="auto"/>
                <w:w w:val="97"/>
              </w:rPr>
              <w:t>309</w:t>
            </w:r>
          </w:p>
        </w:tc>
        <w:tc>
          <w:tcPr>
            <w:tcW w:w="1560" w:type="dxa"/>
            <w:vAlign w:val="bottom"/>
          </w:tcPr>
          <w:p>
            <w:pPr>
              <w:jc w:val="center"/>
              <w:ind w:left="339"/>
              <w:spacing w:after="0"/>
              <w:rPr>
                <w:sz w:val="20"/>
                <w:szCs w:val="20"/>
                <w:color w:val="auto"/>
              </w:rPr>
            </w:pPr>
            <w:r>
              <w:rPr>
                <w:rFonts w:ascii="Arial" w:cs="Arial" w:eastAsia="Arial" w:hAnsi="Arial"/>
                <w:sz w:val="16"/>
                <w:szCs w:val="16"/>
                <w:color w:val="auto"/>
                <w:w w:val="97"/>
              </w:rPr>
              <w:t>314</w:t>
            </w:r>
          </w:p>
        </w:tc>
        <w:tc>
          <w:tcPr>
            <w:tcW w:w="1260" w:type="dxa"/>
            <w:vAlign w:val="bottom"/>
          </w:tcPr>
          <w:p>
            <w:pPr>
              <w:jc w:val="center"/>
              <w:ind w:left="339"/>
              <w:spacing w:after="0"/>
              <w:rPr>
                <w:sz w:val="20"/>
                <w:szCs w:val="20"/>
                <w:color w:val="auto"/>
              </w:rPr>
            </w:pPr>
            <w:r>
              <w:rPr>
                <w:rFonts w:ascii="Arial" w:cs="Arial" w:eastAsia="Arial" w:hAnsi="Arial"/>
                <w:sz w:val="16"/>
                <w:szCs w:val="16"/>
                <w:color w:val="auto"/>
              </w:rPr>
              <w:t>312</w:t>
            </w:r>
          </w:p>
        </w:tc>
        <w:tc>
          <w:tcPr>
            <w:tcW w:w="1760" w:type="dxa"/>
            <w:vAlign w:val="bottom"/>
          </w:tcPr>
          <w:p>
            <w:pPr>
              <w:jc w:val="center"/>
              <w:ind w:left="119"/>
              <w:spacing w:after="0"/>
              <w:rPr>
                <w:sz w:val="20"/>
                <w:szCs w:val="20"/>
                <w:color w:val="auto"/>
              </w:rPr>
            </w:pPr>
            <w:r>
              <w:rPr>
                <w:rFonts w:ascii="Arial" w:cs="Arial" w:eastAsia="Arial" w:hAnsi="Arial"/>
                <w:sz w:val="16"/>
                <w:szCs w:val="16"/>
                <w:color w:val="auto"/>
              </w:rPr>
              <w:t>301</w:t>
            </w:r>
          </w:p>
        </w:tc>
        <w:tc>
          <w:tcPr>
            <w:tcW w:w="1640" w:type="dxa"/>
            <w:vAlign w:val="bottom"/>
          </w:tcPr>
          <w:p>
            <w:pPr>
              <w:jc w:val="center"/>
              <w:ind w:right="299"/>
              <w:spacing w:after="0"/>
              <w:rPr>
                <w:sz w:val="20"/>
                <w:szCs w:val="20"/>
                <w:color w:val="auto"/>
              </w:rPr>
            </w:pPr>
            <w:r>
              <w:rPr>
                <w:rFonts w:ascii="Arial" w:cs="Arial" w:eastAsia="Arial" w:hAnsi="Arial"/>
                <w:sz w:val="16"/>
                <w:szCs w:val="16"/>
                <w:color w:val="auto"/>
                <w:w w:val="97"/>
              </w:rPr>
              <w:t>294</w:t>
            </w:r>
          </w:p>
        </w:tc>
        <w:tc>
          <w:tcPr>
            <w:tcW w:w="1100" w:type="dxa"/>
            <w:vAlign w:val="bottom"/>
          </w:tcPr>
          <w:p>
            <w:pPr>
              <w:jc w:val="center"/>
              <w:ind w:right="239"/>
              <w:spacing w:after="0"/>
              <w:rPr>
                <w:sz w:val="20"/>
                <w:szCs w:val="20"/>
                <w:color w:val="auto"/>
              </w:rPr>
            </w:pPr>
            <w:r>
              <w:rPr>
                <w:rFonts w:ascii="Arial" w:cs="Arial" w:eastAsia="Arial" w:hAnsi="Arial"/>
                <w:sz w:val="16"/>
                <w:szCs w:val="16"/>
                <w:color w:val="auto"/>
                <w:w w:val="97"/>
              </w:rPr>
              <w:t>281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200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____________________</w:t>
      </w:r>
    </w:p>
    <w:p>
      <w:pPr>
        <w:spacing w:after="0" w:line="30" w:lineRule="exact"/>
        <w:rPr>
          <w:sz w:val="20"/>
          <w:szCs w:val="20"/>
          <w:color w:val="auto"/>
        </w:rPr>
      </w:pPr>
    </w:p>
    <w:p>
      <w:pPr>
        <w:ind w:left="520" w:right="120" w:hanging="512"/>
        <w:spacing w:after="0" w:line="285" w:lineRule="auto"/>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See </w:t>
      </w:r>
      <w:r>
        <w:rPr>
          <w:rFonts w:ascii="Arial" w:cs="Arial" w:eastAsia="Arial" w:hAnsi="Arial"/>
          <w:sz w:val="14"/>
          <w:szCs w:val="14"/>
          <w:u w:val="single" w:color="auto"/>
          <w:color w:val="0000FF"/>
        </w:rPr>
        <w:t>Recent Developments</w:t>
      </w:r>
      <w:r>
        <w:rPr>
          <w:rFonts w:ascii="Arial" w:cs="Arial" w:eastAsia="Arial" w:hAnsi="Arial"/>
          <w:sz w:val="14"/>
          <w:szCs w:val="14"/>
          <w:color w:val="auto"/>
        </w:rPr>
        <w:t xml:space="preserve"> section of Management’s Discussion and Analysis of Financial Condition and Results of Operations in </w:t>
      </w:r>
      <w:r>
        <w:rPr>
          <w:rFonts w:ascii="Arial" w:cs="Arial" w:eastAsia="Arial" w:hAnsi="Arial"/>
          <w:sz w:val="14"/>
          <w:szCs w:val="14"/>
          <w:u w:val="single" w:color="auto"/>
          <w:color w:val="0000FF"/>
        </w:rPr>
        <w:t>Item 7</w:t>
      </w:r>
      <w:r>
        <w:rPr>
          <w:rFonts w:ascii="Arial" w:cs="Arial" w:eastAsia="Arial" w:hAnsi="Arial"/>
          <w:sz w:val="14"/>
          <w:szCs w:val="14"/>
          <w:color w:val="auto"/>
        </w:rPr>
        <w:t xml:space="preserve"> in this Annual Report on Form 10-K for discussion on recent Wyoming Electric peaks.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516255</wp:posOffset>
            </wp:positionH>
            <wp:positionV relativeFrom="paragraph">
              <wp:posOffset>-142240</wp:posOffset>
            </wp:positionV>
            <wp:extent cx="8985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98525" cy="8255"/>
                    </a:xfrm>
                    <a:prstGeom prst="rect">
                      <a:avLst/>
                    </a:prstGeom>
                    <a:noFill/>
                  </pic:spPr>
                </pic:pic>
              </a:graphicData>
            </a:graphic>
          </wp:anchor>
        </w:drawing>
        <w:drawing>
          <wp:anchor simplePos="0" relativeHeight="251657728" behindDoc="1" locked="0" layoutInCell="0" allowOverlap="1">
            <wp:simplePos x="0" y="0"/>
            <wp:positionH relativeFrom="column">
              <wp:posOffset>5573395</wp:posOffset>
            </wp:positionH>
            <wp:positionV relativeFrom="paragraph">
              <wp:posOffset>-142240</wp:posOffset>
            </wp:positionV>
            <wp:extent cx="2540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4000" cy="8255"/>
                    </a:xfrm>
                    <a:prstGeom prst="rect">
                      <a:avLst/>
                    </a:prstGeom>
                    <a:noFill/>
                  </pic:spPr>
                </pic:pic>
              </a:graphicData>
            </a:graphic>
          </wp:anchor>
        </w:drawing>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2024, our Electric Utilities’ ownership interests in electric generating plants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80" w:type="dxa"/>
            <w:vAlign w:val="bottom"/>
          </w:tcPr>
          <w:p>
            <w:pPr>
              <w:jc w:val="center"/>
              <w:ind w:right="19"/>
              <w:spacing w:after="0"/>
              <w:rPr>
                <w:sz w:val="20"/>
                <w:szCs w:val="20"/>
                <w:color w:val="auto"/>
              </w:rPr>
            </w:pPr>
            <w:r>
              <w:rPr>
                <w:rFonts w:ascii="Arial" w:cs="Arial" w:eastAsia="Arial" w:hAnsi="Arial"/>
                <w:sz w:val="16"/>
                <w:szCs w:val="16"/>
                <w:b w:val="1"/>
                <w:bCs w:val="1"/>
                <w:color w:val="auto"/>
              </w:rPr>
              <w:t>Owned</w:t>
            </w:r>
          </w:p>
        </w:tc>
        <w:tc>
          <w:tcPr>
            <w:tcW w:w="1020" w:type="dxa"/>
            <w:vAlign w:val="bottom"/>
          </w:tcPr>
          <w:p>
            <w:pPr>
              <w:spacing w:after="0"/>
              <w:rPr>
                <w:sz w:val="16"/>
                <w:szCs w:val="16"/>
                <w:color w:val="auto"/>
              </w:rPr>
            </w:pPr>
          </w:p>
        </w:tc>
      </w:tr>
      <w:tr>
        <w:trPr>
          <w:trHeight w:val="163"/>
        </w:trPr>
        <w:tc>
          <w:tcPr>
            <w:tcW w:w="2760" w:type="dxa"/>
            <w:vAlign w:val="bottom"/>
          </w:tcPr>
          <w:p>
            <w:pPr>
              <w:spacing w:after="0"/>
              <w:rPr>
                <w:sz w:val="14"/>
                <w:szCs w:val="14"/>
                <w:color w:val="auto"/>
              </w:rPr>
            </w:pPr>
          </w:p>
        </w:tc>
        <w:tc>
          <w:tcPr>
            <w:tcW w:w="2260" w:type="dxa"/>
            <w:vAlign w:val="bottom"/>
          </w:tcPr>
          <w:p>
            <w:pPr>
              <w:jc w:val="center"/>
              <w:ind w:left="39"/>
              <w:spacing w:after="0" w:line="163" w:lineRule="exact"/>
              <w:rPr>
                <w:sz w:val="20"/>
                <w:szCs w:val="20"/>
                <w:color w:val="auto"/>
              </w:rPr>
            </w:pPr>
            <w:r>
              <w:rPr>
                <w:rFonts w:ascii="Arial" w:cs="Arial" w:eastAsia="Arial" w:hAnsi="Arial"/>
                <w:sz w:val="16"/>
                <w:szCs w:val="16"/>
                <w:b w:val="1"/>
                <w:bCs w:val="1"/>
                <w:color w:val="auto"/>
              </w:rPr>
              <w:t>Fuel</w:t>
            </w:r>
          </w:p>
        </w:tc>
        <w:tc>
          <w:tcPr>
            <w:tcW w:w="2340" w:type="dxa"/>
            <w:vAlign w:val="bottom"/>
          </w:tcPr>
          <w:p>
            <w:pPr>
              <w:spacing w:after="0"/>
              <w:rPr>
                <w:sz w:val="14"/>
                <w:szCs w:val="14"/>
                <w:color w:val="auto"/>
              </w:rPr>
            </w:pPr>
          </w:p>
        </w:tc>
        <w:tc>
          <w:tcPr>
            <w:tcW w:w="1380" w:type="dxa"/>
            <w:vAlign w:val="bottom"/>
          </w:tcPr>
          <w:p>
            <w:pPr>
              <w:jc w:val="center"/>
              <w:spacing w:after="0" w:line="163" w:lineRule="exact"/>
              <w:rPr>
                <w:sz w:val="20"/>
                <w:szCs w:val="20"/>
                <w:color w:val="auto"/>
              </w:rPr>
            </w:pPr>
            <w:r>
              <w:rPr>
                <w:rFonts w:ascii="Arial" w:cs="Arial" w:eastAsia="Arial" w:hAnsi="Arial"/>
                <w:sz w:val="16"/>
                <w:szCs w:val="16"/>
                <w:b w:val="1"/>
                <w:bCs w:val="1"/>
                <w:color w:val="auto"/>
              </w:rPr>
              <w:t>Ownership</w:t>
            </w:r>
          </w:p>
        </w:tc>
        <w:tc>
          <w:tcPr>
            <w:tcW w:w="1480" w:type="dxa"/>
            <w:vAlign w:val="bottom"/>
          </w:tcPr>
          <w:p>
            <w:pPr>
              <w:jc w:val="center"/>
              <w:ind w:right="19"/>
              <w:spacing w:after="0" w:line="163" w:lineRule="exact"/>
              <w:rPr>
                <w:sz w:val="20"/>
                <w:szCs w:val="20"/>
                <w:color w:val="auto"/>
              </w:rPr>
            </w:pPr>
            <w:r>
              <w:rPr>
                <w:rFonts w:ascii="Arial" w:cs="Arial" w:eastAsia="Arial" w:hAnsi="Arial"/>
                <w:sz w:val="16"/>
                <w:szCs w:val="16"/>
                <w:b w:val="1"/>
                <w:bCs w:val="1"/>
                <w:color w:val="auto"/>
              </w:rPr>
              <w:t>Nameplate</w:t>
            </w:r>
          </w:p>
        </w:tc>
        <w:tc>
          <w:tcPr>
            <w:tcW w:w="1020" w:type="dxa"/>
            <w:vAlign w:val="bottom"/>
          </w:tcPr>
          <w:p>
            <w:pPr>
              <w:jc w:val="center"/>
              <w:spacing w:after="0" w:line="163" w:lineRule="exact"/>
              <w:rPr>
                <w:sz w:val="20"/>
                <w:szCs w:val="20"/>
                <w:color w:val="auto"/>
              </w:rPr>
            </w:pPr>
            <w:r>
              <w:rPr>
                <w:rFonts w:ascii="Arial" w:cs="Arial" w:eastAsia="Arial" w:hAnsi="Arial"/>
                <w:sz w:val="16"/>
                <w:szCs w:val="16"/>
                <w:b w:val="1"/>
                <w:bCs w:val="1"/>
                <w:color w:val="auto"/>
              </w:rPr>
              <w:t>In Service</w:t>
            </w:r>
          </w:p>
        </w:tc>
      </w:tr>
      <w:tr>
        <w:trPr>
          <w:trHeight w:val="230"/>
        </w:trPr>
        <w:tc>
          <w:tcPr>
            <w:tcW w:w="2760" w:type="dxa"/>
            <w:vAlign w:val="bottom"/>
            <w:tcBorders>
              <w:bottom w:val="single" w:sz="8" w:color="auto"/>
            </w:tcBorders>
          </w:tcPr>
          <w:p>
            <w:pPr>
              <w:ind w:left="1300"/>
              <w:spacing w:after="0"/>
              <w:rPr>
                <w:sz w:val="20"/>
                <w:szCs w:val="20"/>
                <w:color w:val="auto"/>
              </w:rPr>
            </w:pPr>
            <w:r>
              <w:rPr>
                <w:rFonts w:ascii="Arial" w:cs="Arial" w:eastAsia="Arial" w:hAnsi="Arial"/>
                <w:sz w:val="16"/>
                <w:szCs w:val="16"/>
                <w:b w:val="1"/>
                <w:bCs w:val="1"/>
                <w:color w:val="auto"/>
              </w:rPr>
              <w:t>Unit</w:t>
            </w:r>
          </w:p>
        </w:tc>
        <w:tc>
          <w:tcPr>
            <w:tcW w:w="226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b w:val="1"/>
                <w:bCs w:val="1"/>
                <w:color w:val="auto"/>
              </w:rPr>
              <w:t>Type</w:t>
            </w: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Location</w:t>
            </w:r>
          </w:p>
        </w:tc>
        <w:tc>
          <w:tcPr>
            <w:tcW w:w="138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6"/>
                <w:szCs w:val="16"/>
                <w:b w:val="1"/>
                <w:bCs w:val="1"/>
                <w:color w:val="auto"/>
                <w:w w:val="95"/>
              </w:rPr>
              <w:t xml:space="preserve">Interest % </w:t>
            </w:r>
            <w:r>
              <w:rPr>
                <w:rFonts w:ascii="Arial" w:cs="Arial" w:eastAsia="Arial" w:hAnsi="Arial"/>
                <w:sz w:val="21"/>
                <w:szCs w:val="21"/>
                <w:b w:val="1"/>
                <w:bCs w:val="1"/>
                <w:color w:val="auto"/>
                <w:w w:val="95"/>
                <w:vertAlign w:val="superscript"/>
              </w:rPr>
              <w:t>(c)</w:t>
            </w:r>
          </w:p>
        </w:tc>
        <w:tc>
          <w:tcPr>
            <w:tcW w:w="14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Capacity (MWs)</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Date</w:t>
            </w:r>
          </w:p>
        </w:tc>
      </w:tr>
      <w:tr>
        <w:trPr>
          <w:trHeight w:val="183"/>
        </w:trPr>
        <w:tc>
          <w:tcPr>
            <w:tcW w:w="27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Colorado Electric:</w:t>
            </w:r>
          </w:p>
        </w:tc>
        <w:tc>
          <w:tcPr>
            <w:tcW w:w="2260" w:type="dxa"/>
            <w:vAlign w:val="bottom"/>
            <w:shd w:val="clear" w:color="auto" w:fill="CFF0FC"/>
          </w:tcPr>
          <w:p>
            <w:pPr>
              <w:spacing w:after="0"/>
              <w:rPr>
                <w:sz w:val="15"/>
                <w:szCs w:val="15"/>
                <w:color w:val="auto"/>
              </w:rPr>
            </w:pPr>
          </w:p>
        </w:tc>
        <w:tc>
          <w:tcPr>
            <w:tcW w:w="234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r>
      <w:tr>
        <w:trPr>
          <w:trHeight w:val="189"/>
        </w:trPr>
        <w:tc>
          <w:tcPr>
            <w:tcW w:w="2760" w:type="dxa"/>
            <w:vAlign w:val="bottom"/>
          </w:tcPr>
          <w:p>
            <w:pPr>
              <w:ind w:left="20"/>
              <w:spacing w:after="0"/>
              <w:rPr>
                <w:sz w:val="20"/>
                <w:szCs w:val="20"/>
                <w:color w:val="auto"/>
              </w:rPr>
            </w:pPr>
            <w:r>
              <w:rPr>
                <w:rFonts w:ascii="Arial" w:cs="Arial" w:eastAsia="Arial" w:hAnsi="Arial"/>
                <w:sz w:val="16"/>
                <w:szCs w:val="16"/>
                <w:color w:val="auto"/>
              </w:rPr>
              <w:t>Busch Ranch I</w:t>
            </w:r>
          </w:p>
        </w:tc>
        <w:tc>
          <w:tcPr>
            <w:tcW w:w="2260" w:type="dxa"/>
            <w:vAlign w:val="bottom"/>
          </w:tcPr>
          <w:p>
            <w:pPr>
              <w:jc w:val="center"/>
              <w:ind w:left="19"/>
              <w:spacing w:after="0"/>
              <w:rPr>
                <w:sz w:val="20"/>
                <w:szCs w:val="20"/>
                <w:color w:val="auto"/>
              </w:rPr>
            </w:pPr>
            <w:r>
              <w:rPr>
                <w:rFonts w:ascii="Arial" w:cs="Arial" w:eastAsia="Arial" w:hAnsi="Arial"/>
                <w:sz w:val="16"/>
                <w:szCs w:val="16"/>
                <w:color w:val="auto"/>
                <w:w w:val="98"/>
              </w:rPr>
              <w:t>Wind</w:t>
            </w:r>
          </w:p>
        </w:tc>
        <w:tc>
          <w:tcPr>
            <w:tcW w:w="2340" w:type="dxa"/>
            <w:vAlign w:val="bottom"/>
          </w:tcPr>
          <w:p>
            <w:pPr>
              <w:jc w:val="center"/>
              <w:spacing w:after="0"/>
              <w:rPr>
                <w:sz w:val="20"/>
                <w:szCs w:val="20"/>
                <w:color w:val="auto"/>
              </w:rPr>
            </w:pPr>
            <w:r>
              <w:rPr>
                <w:rFonts w:ascii="Arial" w:cs="Arial" w:eastAsia="Arial" w:hAnsi="Arial"/>
                <w:sz w:val="16"/>
                <w:szCs w:val="16"/>
                <w:color w:val="auto"/>
              </w:rPr>
              <w:t>Pueblo, Colorado</w:t>
            </w:r>
          </w:p>
        </w:tc>
        <w:tc>
          <w:tcPr>
            <w:tcW w:w="1380" w:type="dxa"/>
            <w:vAlign w:val="bottom"/>
          </w:tcPr>
          <w:p>
            <w:pPr>
              <w:jc w:val="center"/>
              <w:spacing w:after="0"/>
              <w:rPr>
                <w:sz w:val="20"/>
                <w:szCs w:val="20"/>
                <w:color w:val="auto"/>
              </w:rPr>
            </w:pPr>
            <w:r>
              <w:rPr>
                <w:rFonts w:ascii="Arial" w:cs="Arial" w:eastAsia="Arial" w:hAnsi="Arial"/>
                <w:sz w:val="16"/>
                <w:szCs w:val="16"/>
                <w:color w:val="auto"/>
              </w:rPr>
              <w:t>50%</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14.5</w:t>
            </w:r>
          </w:p>
        </w:tc>
        <w:tc>
          <w:tcPr>
            <w:tcW w:w="1020" w:type="dxa"/>
            <w:vAlign w:val="bottom"/>
          </w:tcPr>
          <w:p>
            <w:pPr>
              <w:jc w:val="center"/>
              <w:spacing w:after="0"/>
              <w:rPr>
                <w:sz w:val="20"/>
                <w:szCs w:val="20"/>
                <w:color w:val="auto"/>
              </w:rPr>
            </w:pPr>
            <w:r>
              <w:rPr>
                <w:rFonts w:ascii="Arial" w:cs="Arial" w:eastAsia="Arial" w:hAnsi="Arial"/>
                <w:sz w:val="16"/>
                <w:szCs w:val="16"/>
                <w:color w:val="auto"/>
              </w:rPr>
              <w:t>2012</w:t>
            </w:r>
          </w:p>
        </w:tc>
      </w:tr>
      <w:tr>
        <w:trPr>
          <w:trHeight w:val="189"/>
        </w:trPr>
        <w:tc>
          <w:tcPr>
            <w:tcW w:w="2760" w:type="dxa"/>
            <w:vAlign w:val="bottom"/>
            <w:shd w:val="clear" w:color="auto" w:fill="CFF0FC"/>
          </w:tcPr>
          <w:p>
            <w:pPr>
              <w:ind w:left="20"/>
              <w:spacing w:after="0" w:line="189" w:lineRule="exact"/>
              <w:rPr>
                <w:sz w:val="20"/>
                <w:szCs w:val="20"/>
                <w:color w:val="auto"/>
              </w:rPr>
            </w:pPr>
            <w:r>
              <w:rPr>
                <w:rFonts w:ascii="Arial" w:cs="Arial" w:eastAsia="Arial" w:hAnsi="Arial"/>
                <w:sz w:val="16"/>
                <w:szCs w:val="16"/>
                <w:color w:val="auto"/>
              </w:rPr>
              <w:t xml:space="preserve">Peak View </w:t>
            </w:r>
            <w:r>
              <w:rPr>
                <w:rFonts w:ascii="Arial" w:cs="Arial" w:eastAsia="Arial" w:hAnsi="Arial"/>
                <w:sz w:val="21"/>
                <w:szCs w:val="21"/>
                <w:color w:val="auto"/>
                <w:vertAlign w:val="superscript"/>
              </w:rPr>
              <w:t>(a) (b)</w:t>
            </w:r>
          </w:p>
        </w:tc>
        <w:tc>
          <w:tcPr>
            <w:tcW w:w="2260" w:type="dxa"/>
            <w:vAlign w:val="bottom"/>
            <w:shd w:val="clear" w:color="auto" w:fill="CFF0FC"/>
          </w:tcPr>
          <w:p>
            <w:pPr>
              <w:jc w:val="center"/>
              <w:ind w:left="19"/>
              <w:spacing w:after="0"/>
              <w:rPr>
                <w:sz w:val="20"/>
                <w:szCs w:val="20"/>
                <w:color w:val="auto"/>
              </w:rPr>
            </w:pPr>
            <w:r>
              <w:rPr>
                <w:rFonts w:ascii="Arial" w:cs="Arial" w:eastAsia="Arial" w:hAnsi="Arial"/>
                <w:sz w:val="16"/>
                <w:szCs w:val="16"/>
                <w:color w:val="auto"/>
                <w:w w:val="98"/>
              </w:rPr>
              <w:t>Wind</w:t>
            </w:r>
          </w:p>
        </w:tc>
        <w:tc>
          <w:tcPr>
            <w:tcW w:w="23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Pueblo, Colorado</w:t>
            </w:r>
          </w:p>
        </w:tc>
        <w:tc>
          <w:tcPr>
            <w:tcW w:w="13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100%</w:t>
            </w:r>
          </w:p>
        </w:tc>
        <w:tc>
          <w:tcPr>
            <w:tcW w:w="1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60.8</w:t>
            </w:r>
          </w:p>
        </w:tc>
        <w:tc>
          <w:tcPr>
            <w:tcW w:w="10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2016</w:t>
            </w:r>
          </w:p>
        </w:tc>
      </w:tr>
      <w:tr>
        <w:trPr>
          <w:trHeight w:val="189"/>
        </w:trPr>
        <w:tc>
          <w:tcPr>
            <w:tcW w:w="2760" w:type="dxa"/>
            <w:vAlign w:val="bottom"/>
          </w:tcPr>
          <w:p>
            <w:pPr>
              <w:ind w:left="20"/>
              <w:spacing w:after="0"/>
              <w:rPr>
                <w:sz w:val="20"/>
                <w:szCs w:val="20"/>
                <w:color w:val="auto"/>
              </w:rPr>
            </w:pPr>
            <w:r>
              <w:rPr>
                <w:rFonts w:ascii="Arial" w:cs="Arial" w:eastAsia="Arial" w:hAnsi="Arial"/>
                <w:sz w:val="16"/>
                <w:szCs w:val="16"/>
                <w:color w:val="auto"/>
              </w:rPr>
              <w:t>Pueblo Airport Generation #1-2</w:t>
            </w:r>
          </w:p>
        </w:tc>
        <w:tc>
          <w:tcPr>
            <w:tcW w:w="2260" w:type="dxa"/>
            <w:vAlign w:val="bottom"/>
          </w:tcPr>
          <w:p>
            <w:pPr>
              <w:jc w:val="center"/>
              <w:ind w:left="39"/>
              <w:spacing w:after="0"/>
              <w:rPr>
                <w:sz w:val="20"/>
                <w:szCs w:val="20"/>
                <w:color w:val="auto"/>
              </w:rPr>
            </w:pPr>
            <w:r>
              <w:rPr>
                <w:rFonts w:ascii="Arial" w:cs="Arial" w:eastAsia="Arial" w:hAnsi="Arial"/>
                <w:sz w:val="16"/>
                <w:szCs w:val="16"/>
                <w:color w:val="auto"/>
              </w:rPr>
              <w:t>Natural Gas</w:t>
            </w:r>
          </w:p>
        </w:tc>
        <w:tc>
          <w:tcPr>
            <w:tcW w:w="2340" w:type="dxa"/>
            <w:vAlign w:val="bottom"/>
          </w:tcPr>
          <w:p>
            <w:pPr>
              <w:jc w:val="center"/>
              <w:spacing w:after="0"/>
              <w:rPr>
                <w:sz w:val="20"/>
                <w:szCs w:val="20"/>
                <w:color w:val="auto"/>
              </w:rPr>
            </w:pPr>
            <w:r>
              <w:rPr>
                <w:rFonts w:ascii="Arial" w:cs="Arial" w:eastAsia="Arial" w:hAnsi="Arial"/>
                <w:sz w:val="16"/>
                <w:szCs w:val="16"/>
                <w:color w:val="auto"/>
              </w:rPr>
              <w:t>Pueblo, Colorado</w:t>
            </w:r>
          </w:p>
        </w:tc>
        <w:tc>
          <w:tcPr>
            <w:tcW w:w="1380" w:type="dxa"/>
            <w:vAlign w:val="bottom"/>
          </w:tcPr>
          <w:p>
            <w:pPr>
              <w:jc w:val="center"/>
              <w:spacing w:after="0"/>
              <w:rPr>
                <w:sz w:val="20"/>
                <w:szCs w:val="20"/>
                <w:color w:val="auto"/>
              </w:rPr>
            </w:pPr>
            <w:r>
              <w:rPr>
                <w:rFonts w:ascii="Arial" w:cs="Arial" w:eastAsia="Arial" w:hAnsi="Arial"/>
                <w:sz w:val="16"/>
                <w:szCs w:val="16"/>
                <w:color w:val="auto"/>
              </w:rPr>
              <w:t>100%</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200.0</w:t>
            </w:r>
          </w:p>
        </w:tc>
        <w:tc>
          <w:tcPr>
            <w:tcW w:w="1020" w:type="dxa"/>
            <w:vAlign w:val="bottom"/>
          </w:tcPr>
          <w:p>
            <w:pPr>
              <w:jc w:val="center"/>
              <w:spacing w:after="0"/>
              <w:rPr>
                <w:sz w:val="20"/>
                <w:szCs w:val="20"/>
                <w:color w:val="auto"/>
              </w:rPr>
            </w:pPr>
            <w:r>
              <w:rPr>
                <w:rFonts w:ascii="Arial" w:cs="Arial" w:eastAsia="Arial" w:hAnsi="Arial"/>
                <w:sz w:val="16"/>
                <w:szCs w:val="16"/>
                <w:color w:val="auto"/>
              </w:rPr>
              <w:t>2011</w:t>
            </w:r>
          </w:p>
        </w:tc>
      </w:tr>
      <w:tr>
        <w:trPr>
          <w:trHeight w:val="189"/>
        </w:trPr>
        <w:tc>
          <w:tcPr>
            <w:tcW w:w="2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Pueblo Airport Generation CT #6</w:t>
            </w:r>
          </w:p>
        </w:tc>
        <w:tc>
          <w:tcPr>
            <w:tcW w:w="2260" w:type="dxa"/>
            <w:vAlign w:val="bottom"/>
            <w:shd w:val="clear" w:color="auto" w:fill="CFF0FC"/>
          </w:tcPr>
          <w:p>
            <w:pPr>
              <w:jc w:val="center"/>
              <w:ind w:left="39"/>
              <w:spacing w:after="0"/>
              <w:rPr>
                <w:sz w:val="20"/>
                <w:szCs w:val="20"/>
                <w:color w:val="auto"/>
              </w:rPr>
            </w:pPr>
            <w:r>
              <w:rPr>
                <w:rFonts w:ascii="Arial" w:cs="Arial" w:eastAsia="Arial" w:hAnsi="Arial"/>
                <w:sz w:val="16"/>
                <w:szCs w:val="16"/>
                <w:color w:val="auto"/>
              </w:rPr>
              <w:t>Natural Gas</w:t>
            </w:r>
          </w:p>
        </w:tc>
        <w:tc>
          <w:tcPr>
            <w:tcW w:w="23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Pueblo, Colorado</w:t>
            </w:r>
          </w:p>
        </w:tc>
        <w:tc>
          <w:tcPr>
            <w:tcW w:w="13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100%</w:t>
            </w:r>
          </w:p>
        </w:tc>
        <w:tc>
          <w:tcPr>
            <w:tcW w:w="1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40.0</w:t>
            </w:r>
          </w:p>
        </w:tc>
        <w:tc>
          <w:tcPr>
            <w:tcW w:w="10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2016</w:t>
            </w:r>
          </w:p>
        </w:tc>
      </w:tr>
      <w:tr>
        <w:trPr>
          <w:trHeight w:val="189"/>
        </w:trPr>
        <w:tc>
          <w:tcPr>
            <w:tcW w:w="2760" w:type="dxa"/>
            <w:vAlign w:val="bottom"/>
          </w:tcPr>
          <w:p>
            <w:pPr>
              <w:ind w:left="20"/>
              <w:spacing w:after="0"/>
              <w:rPr>
                <w:sz w:val="20"/>
                <w:szCs w:val="20"/>
                <w:color w:val="auto"/>
              </w:rPr>
            </w:pPr>
            <w:r>
              <w:rPr>
                <w:rFonts w:ascii="Arial" w:cs="Arial" w:eastAsia="Arial" w:hAnsi="Arial"/>
                <w:sz w:val="16"/>
                <w:szCs w:val="16"/>
                <w:color w:val="auto"/>
              </w:rPr>
              <w:t>AIP Diesel</w:t>
            </w:r>
          </w:p>
        </w:tc>
        <w:tc>
          <w:tcPr>
            <w:tcW w:w="2260" w:type="dxa"/>
            <w:vAlign w:val="bottom"/>
          </w:tcPr>
          <w:p>
            <w:pPr>
              <w:jc w:val="center"/>
              <w:ind w:left="39"/>
              <w:spacing w:after="0"/>
              <w:rPr>
                <w:sz w:val="20"/>
                <w:szCs w:val="20"/>
                <w:color w:val="auto"/>
              </w:rPr>
            </w:pPr>
            <w:r>
              <w:rPr>
                <w:rFonts w:ascii="Arial" w:cs="Arial" w:eastAsia="Arial" w:hAnsi="Arial"/>
                <w:sz w:val="16"/>
                <w:szCs w:val="16"/>
                <w:color w:val="auto"/>
              </w:rPr>
              <w:t>Diesel Oil</w:t>
            </w:r>
          </w:p>
        </w:tc>
        <w:tc>
          <w:tcPr>
            <w:tcW w:w="2340" w:type="dxa"/>
            <w:vAlign w:val="bottom"/>
          </w:tcPr>
          <w:p>
            <w:pPr>
              <w:jc w:val="center"/>
              <w:spacing w:after="0"/>
              <w:rPr>
                <w:sz w:val="20"/>
                <w:szCs w:val="20"/>
                <w:color w:val="auto"/>
              </w:rPr>
            </w:pPr>
            <w:r>
              <w:rPr>
                <w:rFonts w:ascii="Arial" w:cs="Arial" w:eastAsia="Arial" w:hAnsi="Arial"/>
                <w:sz w:val="16"/>
                <w:szCs w:val="16"/>
                <w:color w:val="auto"/>
              </w:rPr>
              <w:t>Pueblo, Colorado</w:t>
            </w:r>
          </w:p>
        </w:tc>
        <w:tc>
          <w:tcPr>
            <w:tcW w:w="1380" w:type="dxa"/>
            <w:vAlign w:val="bottom"/>
          </w:tcPr>
          <w:p>
            <w:pPr>
              <w:jc w:val="center"/>
              <w:spacing w:after="0"/>
              <w:rPr>
                <w:sz w:val="20"/>
                <w:szCs w:val="20"/>
                <w:color w:val="auto"/>
              </w:rPr>
            </w:pPr>
            <w:r>
              <w:rPr>
                <w:rFonts w:ascii="Arial" w:cs="Arial" w:eastAsia="Arial" w:hAnsi="Arial"/>
                <w:sz w:val="16"/>
                <w:szCs w:val="16"/>
                <w:color w:val="auto"/>
              </w:rPr>
              <w:t>100%</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10.0</w:t>
            </w:r>
          </w:p>
        </w:tc>
        <w:tc>
          <w:tcPr>
            <w:tcW w:w="1020" w:type="dxa"/>
            <w:vAlign w:val="bottom"/>
          </w:tcPr>
          <w:p>
            <w:pPr>
              <w:jc w:val="center"/>
              <w:spacing w:after="0"/>
              <w:rPr>
                <w:sz w:val="20"/>
                <w:szCs w:val="20"/>
                <w:color w:val="auto"/>
              </w:rPr>
            </w:pPr>
            <w:r>
              <w:rPr>
                <w:rFonts w:ascii="Arial" w:cs="Arial" w:eastAsia="Arial" w:hAnsi="Arial"/>
                <w:sz w:val="16"/>
                <w:szCs w:val="16"/>
                <w:color w:val="auto"/>
              </w:rPr>
              <w:t>2001</w:t>
            </w:r>
          </w:p>
        </w:tc>
      </w:tr>
      <w:tr>
        <w:trPr>
          <w:trHeight w:val="189"/>
        </w:trPr>
        <w:tc>
          <w:tcPr>
            <w:tcW w:w="2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Diesel #1 and #3-5</w:t>
            </w:r>
          </w:p>
        </w:tc>
        <w:tc>
          <w:tcPr>
            <w:tcW w:w="2260" w:type="dxa"/>
            <w:vAlign w:val="bottom"/>
            <w:shd w:val="clear" w:color="auto" w:fill="CFF0FC"/>
          </w:tcPr>
          <w:p>
            <w:pPr>
              <w:jc w:val="center"/>
              <w:ind w:left="39"/>
              <w:spacing w:after="0"/>
              <w:rPr>
                <w:sz w:val="20"/>
                <w:szCs w:val="20"/>
                <w:color w:val="auto"/>
              </w:rPr>
            </w:pPr>
            <w:r>
              <w:rPr>
                <w:rFonts w:ascii="Arial" w:cs="Arial" w:eastAsia="Arial" w:hAnsi="Arial"/>
                <w:sz w:val="16"/>
                <w:szCs w:val="16"/>
                <w:color w:val="auto"/>
              </w:rPr>
              <w:t>Diesel Oil</w:t>
            </w:r>
          </w:p>
        </w:tc>
        <w:tc>
          <w:tcPr>
            <w:tcW w:w="23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Pueblo, Colorado</w:t>
            </w:r>
          </w:p>
        </w:tc>
        <w:tc>
          <w:tcPr>
            <w:tcW w:w="13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100%</w:t>
            </w:r>
          </w:p>
        </w:tc>
        <w:tc>
          <w:tcPr>
            <w:tcW w:w="1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8.0</w:t>
            </w:r>
          </w:p>
        </w:tc>
        <w:tc>
          <w:tcPr>
            <w:tcW w:w="10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1964</w:t>
            </w:r>
          </w:p>
        </w:tc>
      </w:tr>
      <w:tr>
        <w:trPr>
          <w:trHeight w:val="189"/>
        </w:trPr>
        <w:tc>
          <w:tcPr>
            <w:tcW w:w="2760" w:type="dxa"/>
            <w:vAlign w:val="bottom"/>
          </w:tcPr>
          <w:p>
            <w:pPr>
              <w:ind w:left="20"/>
              <w:spacing w:after="0"/>
              <w:rPr>
                <w:sz w:val="20"/>
                <w:szCs w:val="20"/>
                <w:color w:val="auto"/>
              </w:rPr>
            </w:pPr>
            <w:r>
              <w:rPr>
                <w:rFonts w:ascii="Arial" w:cs="Arial" w:eastAsia="Arial" w:hAnsi="Arial"/>
                <w:sz w:val="16"/>
                <w:szCs w:val="16"/>
                <w:color w:val="auto"/>
              </w:rPr>
              <w:t>Diesel #1-5</w:t>
            </w:r>
          </w:p>
        </w:tc>
        <w:tc>
          <w:tcPr>
            <w:tcW w:w="2260" w:type="dxa"/>
            <w:vAlign w:val="bottom"/>
          </w:tcPr>
          <w:p>
            <w:pPr>
              <w:jc w:val="center"/>
              <w:ind w:left="39"/>
              <w:spacing w:after="0"/>
              <w:rPr>
                <w:sz w:val="20"/>
                <w:szCs w:val="20"/>
                <w:color w:val="auto"/>
              </w:rPr>
            </w:pPr>
            <w:r>
              <w:rPr>
                <w:rFonts w:ascii="Arial" w:cs="Arial" w:eastAsia="Arial" w:hAnsi="Arial"/>
                <w:sz w:val="16"/>
                <w:szCs w:val="16"/>
                <w:color w:val="auto"/>
              </w:rPr>
              <w:t>Diesel Oil</w:t>
            </w:r>
          </w:p>
        </w:tc>
        <w:tc>
          <w:tcPr>
            <w:tcW w:w="2340" w:type="dxa"/>
            <w:vAlign w:val="bottom"/>
          </w:tcPr>
          <w:p>
            <w:pPr>
              <w:jc w:val="center"/>
              <w:spacing w:after="0"/>
              <w:rPr>
                <w:sz w:val="20"/>
                <w:szCs w:val="20"/>
                <w:color w:val="auto"/>
              </w:rPr>
            </w:pPr>
            <w:r>
              <w:rPr>
                <w:rFonts w:ascii="Arial" w:cs="Arial" w:eastAsia="Arial" w:hAnsi="Arial"/>
                <w:sz w:val="16"/>
                <w:szCs w:val="16"/>
                <w:color w:val="auto"/>
              </w:rPr>
              <w:t>Rocky Ford, Colorado</w:t>
            </w:r>
          </w:p>
        </w:tc>
        <w:tc>
          <w:tcPr>
            <w:tcW w:w="1380" w:type="dxa"/>
            <w:vAlign w:val="bottom"/>
          </w:tcPr>
          <w:p>
            <w:pPr>
              <w:jc w:val="center"/>
              <w:spacing w:after="0"/>
              <w:rPr>
                <w:sz w:val="20"/>
                <w:szCs w:val="20"/>
                <w:color w:val="auto"/>
              </w:rPr>
            </w:pPr>
            <w:r>
              <w:rPr>
                <w:rFonts w:ascii="Arial" w:cs="Arial" w:eastAsia="Arial" w:hAnsi="Arial"/>
                <w:sz w:val="16"/>
                <w:szCs w:val="16"/>
                <w:color w:val="auto"/>
              </w:rPr>
              <w:t>100%</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10.0</w:t>
            </w:r>
          </w:p>
        </w:tc>
        <w:tc>
          <w:tcPr>
            <w:tcW w:w="1020" w:type="dxa"/>
            <w:vAlign w:val="bottom"/>
          </w:tcPr>
          <w:p>
            <w:pPr>
              <w:jc w:val="center"/>
              <w:spacing w:after="0"/>
              <w:rPr>
                <w:sz w:val="20"/>
                <w:szCs w:val="20"/>
                <w:color w:val="auto"/>
              </w:rPr>
            </w:pPr>
            <w:r>
              <w:rPr>
                <w:rFonts w:ascii="Arial" w:cs="Arial" w:eastAsia="Arial" w:hAnsi="Arial"/>
                <w:sz w:val="16"/>
                <w:szCs w:val="16"/>
                <w:color w:val="auto"/>
              </w:rPr>
              <w:t>1964</w:t>
            </w:r>
          </w:p>
        </w:tc>
      </w:tr>
      <w:tr>
        <w:trPr>
          <w:trHeight w:val="189"/>
        </w:trPr>
        <w:tc>
          <w:tcPr>
            <w:tcW w:w="27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South Dakota Electric:</w:t>
            </w:r>
          </w:p>
        </w:tc>
        <w:tc>
          <w:tcPr>
            <w:tcW w:w="2260" w:type="dxa"/>
            <w:vAlign w:val="bottom"/>
            <w:shd w:val="clear" w:color="auto" w:fill="CFF0FC"/>
          </w:tcPr>
          <w:p>
            <w:pPr>
              <w:spacing w:after="0"/>
              <w:rPr>
                <w:sz w:val="16"/>
                <w:szCs w:val="16"/>
                <w:color w:val="auto"/>
              </w:rPr>
            </w:pPr>
          </w:p>
        </w:tc>
        <w:tc>
          <w:tcPr>
            <w:tcW w:w="234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r>
      <w:tr>
        <w:trPr>
          <w:trHeight w:val="189"/>
        </w:trPr>
        <w:tc>
          <w:tcPr>
            <w:tcW w:w="2760" w:type="dxa"/>
            <w:vAlign w:val="bottom"/>
          </w:tcPr>
          <w:p>
            <w:pPr>
              <w:ind w:left="20"/>
              <w:spacing w:after="0"/>
              <w:rPr>
                <w:sz w:val="20"/>
                <w:szCs w:val="20"/>
                <w:color w:val="auto"/>
              </w:rPr>
            </w:pPr>
            <w:r>
              <w:rPr>
                <w:rFonts w:ascii="Arial" w:cs="Arial" w:eastAsia="Arial" w:hAnsi="Arial"/>
                <w:sz w:val="16"/>
                <w:szCs w:val="16"/>
                <w:color w:val="auto"/>
              </w:rPr>
              <w:t>Cheyenne Prairie</w:t>
            </w:r>
          </w:p>
        </w:tc>
        <w:tc>
          <w:tcPr>
            <w:tcW w:w="2260" w:type="dxa"/>
            <w:vAlign w:val="bottom"/>
          </w:tcPr>
          <w:p>
            <w:pPr>
              <w:jc w:val="center"/>
              <w:ind w:left="39"/>
              <w:spacing w:after="0"/>
              <w:rPr>
                <w:sz w:val="20"/>
                <w:szCs w:val="20"/>
                <w:color w:val="auto"/>
              </w:rPr>
            </w:pPr>
            <w:r>
              <w:rPr>
                <w:rFonts w:ascii="Arial" w:cs="Arial" w:eastAsia="Arial" w:hAnsi="Arial"/>
                <w:sz w:val="16"/>
                <w:szCs w:val="16"/>
                <w:color w:val="auto"/>
              </w:rPr>
              <w:t>Natural Gas</w:t>
            </w:r>
          </w:p>
        </w:tc>
        <w:tc>
          <w:tcPr>
            <w:tcW w:w="2340" w:type="dxa"/>
            <w:vAlign w:val="bottom"/>
          </w:tcPr>
          <w:p>
            <w:pPr>
              <w:jc w:val="center"/>
              <w:spacing w:after="0"/>
              <w:rPr>
                <w:sz w:val="20"/>
                <w:szCs w:val="20"/>
                <w:color w:val="auto"/>
              </w:rPr>
            </w:pPr>
            <w:r>
              <w:rPr>
                <w:rFonts w:ascii="Arial" w:cs="Arial" w:eastAsia="Arial" w:hAnsi="Arial"/>
                <w:sz w:val="16"/>
                <w:szCs w:val="16"/>
                <w:color w:val="auto"/>
              </w:rPr>
              <w:t>Cheyenne, Wyoming</w:t>
            </w:r>
          </w:p>
        </w:tc>
        <w:tc>
          <w:tcPr>
            <w:tcW w:w="1380" w:type="dxa"/>
            <w:vAlign w:val="bottom"/>
          </w:tcPr>
          <w:p>
            <w:pPr>
              <w:jc w:val="center"/>
              <w:spacing w:after="0"/>
              <w:rPr>
                <w:sz w:val="20"/>
                <w:szCs w:val="20"/>
                <w:color w:val="auto"/>
              </w:rPr>
            </w:pPr>
            <w:r>
              <w:rPr>
                <w:rFonts w:ascii="Arial" w:cs="Arial" w:eastAsia="Arial" w:hAnsi="Arial"/>
                <w:sz w:val="16"/>
                <w:szCs w:val="16"/>
                <w:color w:val="auto"/>
              </w:rPr>
              <w:t>58%</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58.0</w:t>
            </w:r>
          </w:p>
        </w:tc>
        <w:tc>
          <w:tcPr>
            <w:tcW w:w="1020" w:type="dxa"/>
            <w:vAlign w:val="bottom"/>
          </w:tcPr>
          <w:p>
            <w:pPr>
              <w:jc w:val="center"/>
              <w:spacing w:after="0"/>
              <w:rPr>
                <w:sz w:val="20"/>
                <w:szCs w:val="20"/>
                <w:color w:val="auto"/>
              </w:rPr>
            </w:pPr>
            <w:r>
              <w:rPr>
                <w:rFonts w:ascii="Arial" w:cs="Arial" w:eastAsia="Arial" w:hAnsi="Arial"/>
                <w:sz w:val="16"/>
                <w:szCs w:val="16"/>
                <w:color w:val="auto"/>
              </w:rPr>
              <w:t>2014</w:t>
            </w:r>
          </w:p>
        </w:tc>
      </w:tr>
      <w:tr>
        <w:trPr>
          <w:trHeight w:val="189"/>
        </w:trPr>
        <w:tc>
          <w:tcPr>
            <w:tcW w:w="2760" w:type="dxa"/>
            <w:vAlign w:val="bottom"/>
            <w:shd w:val="clear" w:color="auto" w:fill="CFF0FC"/>
          </w:tcPr>
          <w:p>
            <w:pPr>
              <w:ind w:left="20"/>
              <w:spacing w:after="0" w:line="189" w:lineRule="exact"/>
              <w:rPr>
                <w:sz w:val="20"/>
                <w:szCs w:val="20"/>
                <w:color w:val="auto"/>
              </w:rPr>
            </w:pPr>
            <w:r>
              <w:rPr>
                <w:rFonts w:ascii="Arial" w:cs="Arial" w:eastAsia="Arial" w:hAnsi="Arial"/>
                <w:sz w:val="16"/>
                <w:szCs w:val="16"/>
                <w:color w:val="auto"/>
              </w:rPr>
              <w:t xml:space="preserve">Corriedale </w:t>
            </w:r>
            <w:r>
              <w:rPr>
                <w:rFonts w:ascii="Arial" w:cs="Arial" w:eastAsia="Arial" w:hAnsi="Arial"/>
                <w:sz w:val="21"/>
                <w:szCs w:val="21"/>
                <w:color w:val="auto"/>
                <w:vertAlign w:val="superscript"/>
              </w:rPr>
              <w:t>(b)</w:t>
            </w:r>
          </w:p>
        </w:tc>
        <w:tc>
          <w:tcPr>
            <w:tcW w:w="2260" w:type="dxa"/>
            <w:vAlign w:val="bottom"/>
            <w:shd w:val="clear" w:color="auto" w:fill="CFF0FC"/>
          </w:tcPr>
          <w:p>
            <w:pPr>
              <w:jc w:val="center"/>
              <w:ind w:left="19"/>
              <w:spacing w:after="0"/>
              <w:rPr>
                <w:sz w:val="20"/>
                <w:szCs w:val="20"/>
                <w:color w:val="auto"/>
              </w:rPr>
            </w:pPr>
            <w:r>
              <w:rPr>
                <w:rFonts w:ascii="Arial" w:cs="Arial" w:eastAsia="Arial" w:hAnsi="Arial"/>
                <w:sz w:val="16"/>
                <w:szCs w:val="16"/>
                <w:color w:val="auto"/>
                <w:w w:val="98"/>
              </w:rPr>
              <w:t>Wind</w:t>
            </w:r>
          </w:p>
        </w:tc>
        <w:tc>
          <w:tcPr>
            <w:tcW w:w="23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Cheyenne, Wyoming</w:t>
            </w:r>
          </w:p>
        </w:tc>
        <w:tc>
          <w:tcPr>
            <w:tcW w:w="13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62%</w:t>
            </w:r>
          </w:p>
        </w:tc>
        <w:tc>
          <w:tcPr>
            <w:tcW w:w="1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32.5</w:t>
            </w:r>
          </w:p>
        </w:tc>
        <w:tc>
          <w:tcPr>
            <w:tcW w:w="10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2020</w:t>
            </w:r>
          </w:p>
        </w:tc>
      </w:tr>
      <w:tr>
        <w:trPr>
          <w:trHeight w:val="189"/>
        </w:trPr>
        <w:tc>
          <w:tcPr>
            <w:tcW w:w="2760" w:type="dxa"/>
            <w:vAlign w:val="bottom"/>
          </w:tcPr>
          <w:p>
            <w:pPr>
              <w:ind w:left="20"/>
              <w:spacing w:after="0"/>
              <w:rPr>
                <w:sz w:val="20"/>
                <w:szCs w:val="20"/>
                <w:color w:val="auto"/>
              </w:rPr>
            </w:pPr>
            <w:r>
              <w:rPr>
                <w:rFonts w:ascii="Arial" w:cs="Arial" w:eastAsia="Arial" w:hAnsi="Arial"/>
                <w:sz w:val="16"/>
                <w:szCs w:val="16"/>
                <w:color w:val="auto"/>
              </w:rPr>
              <w:t>Wygen III</w:t>
            </w:r>
          </w:p>
        </w:tc>
        <w:tc>
          <w:tcPr>
            <w:tcW w:w="2260" w:type="dxa"/>
            <w:vAlign w:val="bottom"/>
          </w:tcPr>
          <w:p>
            <w:pPr>
              <w:jc w:val="center"/>
              <w:ind w:left="39"/>
              <w:spacing w:after="0"/>
              <w:rPr>
                <w:sz w:val="20"/>
                <w:szCs w:val="20"/>
                <w:color w:val="auto"/>
              </w:rPr>
            </w:pPr>
            <w:r>
              <w:rPr>
                <w:rFonts w:ascii="Arial" w:cs="Arial" w:eastAsia="Arial" w:hAnsi="Arial"/>
                <w:sz w:val="16"/>
                <w:szCs w:val="16"/>
                <w:color w:val="auto"/>
              </w:rPr>
              <w:t>Coal</w:t>
            </w:r>
          </w:p>
        </w:tc>
        <w:tc>
          <w:tcPr>
            <w:tcW w:w="2340" w:type="dxa"/>
            <w:vAlign w:val="bottom"/>
          </w:tcPr>
          <w:p>
            <w:pPr>
              <w:jc w:val="center"/>
              <w:spacing w:after="0"/>
              <w:rPr>
                <w:sz w:val="20"/>
                <w:szCs w:val="20"/>
                <w:color w:val="auto"/>
              </w:rPr>
            </w:pPr>
            <w:r>
              <w:rPr>
                <w:rFonts w:ascii="Arial" w:cs="Arial" w:eastAsia="Arial" w:hAnsi="Arial"/>
                <w:sz w:val="16"/>
                <w:szCs w:val="16"/>
                <w:color w:val="auto"/>
              </w:rPr>
              <w:t>Gillette, Wyoming</w:t>
            </w:r>
          </w:p>
        </w:tc>
        <w:tc>
          <w:tcPr>
            <w:tcW w:w="1380" w:type="dxa"/>
            <w:vAlign w:val="bottom"/>
          </w:tcPr>
          <w:p>
            <w:pPr>
              <w:jc w:val="center"/>
              <w:spacing w:after="0"/>
              <w:rPr>
                <w:sz w:val="20"/>
                <w:szCs w:val="20"/>
                <w:color w:val="auto"/>
              </w:rPr>
            </w:pPr>
            <w:r>
              <w:rPr>
                <w:rFonts w:ascii="Arial" w:cs="Arial" w:eastAsia="Arial" w:hAnsi="Arial"/>
                <w:sz w:val="16"/>
                <w:szCs w:val="16"/>
                <w:color w:val="auto"/>
              </w:rPr>
              <w:t>52%</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60.3</w:t>
            </w:r>
          </w:p>
        </w:tc>
        <w:tc>
          <w:tcPr>
            <w:tcW w:w="1020" w:type="dxa"/>
            <w:vAlign w:val="bottom"/>
          </w:tcPr>
          <w:p>
            <w:pPr>
              <w:jc w:val="center"/>
              <w:spacing w:after="0"/>
              <w:rPr>
                <w:sz w:val="20"/>
                <w:szCs w:val="20"/>
                <w:color w:val="auto"/>
              </w:rPr>
            </w:pPr>
            <w:r>
              <w:rPr>
                <w:rFonts w:ascii="Arial" w:cs="Arial" w:eastAsia="Arial" w:hAnsi="Arial"/>
                <w:sz w:val="16"/>
                <w:szCs w:val="16"/>
                <w:color w:val="auto"/>
              </w:rPr>
              <w:t>2010</w:t>
            </w:r>
          </w:p>
        </w:tc>
      </w:tr>
      <w:tr>
        <w:trPr>
          <w:trHeight w:val="189"/>
        </w:trPr>
        <w:tc>
          <w:tcPr>
            <w:tcW w:w="2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Neil Simpson II</w:t>
            </w:r>
          </w:p>
        </w:tc>
        <w:tc>
          <w:tcPr>
            <w:tcW w:w="2260" w:type="dxa"/>
            <w:vAlign w:val="bottom"/>
            <w:shd w:val="clear" w:color="auto" w:fill="CFF0FC"/>
          </w:tcPr>
          <w:p>
            <w:pPr>
              <w:jc w:val="center"/>
              <w:ind w:left="39"/>
              <w:spacing w:after="0"/>
              <w:rPr>
                <w:sz w:val="20"/>
                <w:szCs w:val="20"/>
                <w:color w:val="auto"/>
              </w:rPr>
            </w:pPr>
            <w:r>
              <w:rPr>
                <w:rFonts w:ascii="Arial" w:cs="Arial" w:eastAsia="Arial" w:hAnsi="Arial"/>
                <w:sz w:val="16"/>
                <w:szCs w:val="16"/>
                <w:color w:val="auto"/>
              </w:rPr>
              <w:t>Coal</w:t>
            </w:r>
          </w:p>
        </w:tc>
        <w:tc>
          <w:tcPr>
            <w:tcW w:w="23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Gillette, Wyoming</w:t>
            </w:r>
          </w:p>
        </w:tc>
        <w:tc>
          <w:tcPr>
            <w:tcW w:w="13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100%</w:t>
            </w:r>
          </w:p>
        </w:tc>
        <w:tc>
          <w:tcPr>
            <w:tcW w:w="1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90.0</w:t>
            </w:r>
          </w:p>
        </w:tc>
        <w:tc>
          <w:tcPr>
            <w:tcW w:w="10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1995</w:t>
            </w:r>
          </w:p>
        </w:tc>
      </w:tr>
      <w:tr>
        <w:trPr>
          <w:trHeight w:val="189"/>
        </w:trPr>
        <w:tc>
          <w:tcPr>
            <w:tcW w:w="2760" w:type="dxa"/>
            <w:vAlign w:val="bottom"/>
          </w:tcPr>
          <w:p>
            <w:pPr>
              <w:ind w:left="20"/>
              <w:spacing w:after="0"/>
              <w:rPr>
                <w:sz w:val="20"/>
                <w:szCs w:val="20"/>
                <w:color w:val="auto"/>
              </w:rPr>
            </w:pPr>
            <w:r>
              <w:rPr>
                <w:rFonts w:ascii="Arial" w:cs="Arial" w:eastAsia="Arial" w:hAnsi="Arial"/>
                <w:sz w:val="16"/>
                <w:szCs w:val="16"/>
                <w:color w:val="auto"/>
              </w:rPr>
              <w:t>Wyodak Plant</w:t>
            </w:r>
          </w:p>
        </w:tc>
        <w:tc>
          <w:tcPr>
            <w:tcW w:w="2260" w:type="dxa"/>
            <w:vAlign w:val="bottom"/>
          </w:tcPr>
          <w:p>
            <w:pPr>
              <w:jc w:val="center"/>
              <w:ind w:left="39"/>
              <w:spacing w:after="0"/>
              <w:rPr>
                <w:sz w:val="20"/>
                <w:szCs w:val="20"/>
                <w:color w:val="auto"/>
              </w:rPr>
            </w:pPr>
            <w:r>
              <w:rPr>
                <w:rFonts w:ascii="Arial" w:cs="Arial" w:eastAsia="Arial" w:hAnsi="Arial"/>
                <w:sz w:val="16"/>
                <w:szCs w:val="16"/>
                <w:color w:val="auto"/>
              </w:rPr>
              <w:t>Coal</w:t>
            </w:r>
          </w:p>
        </w:tc>
        <w:tc>
          <w:tcPr>
            <w:tcW w:w="2340" w:type="dxa"/>
            <w:vAlign w:val="bottom"/>
          </w:tcPr>
          <w:p>
            <w:pPr>
              <w:jc w:val="center"/>
              <w:spacing w:after="0"/>
              <w:rPr>
                <w:sz w:val="20"/>
                <w:szCs w:val="20"/>
                <w:color w:val="auto"/>
              </w:rPr>
            </w:pPr>
            <w:r>
              <w:rPr>
                <w:rFonts w:ascii="Arial" w:cs="Arial" w:eastAsia="Arial" w:hAnsi="Arial"/>
                <w:sz w:val="16"/>
                <w:szCs w:val="16"/>
                <w:color w:val="auto"/>
              </w:rPr>
              <w:t>Gillette, Wyoming</w:t>
            </w:r>
          </w:p>
        </w:tc>
        <w:tc>
          <w:tcPr>
            <w:tcW w:w="1380" w:type="dxa"/>
            <w:vAlign w:val="bottom"/>
          </w:tcPr>
          <w:p>
            <w:pPr>
              <w:jc w:val="center"/>
              <w:spacing w:after="0"/>
              <w:rPr>
                <w:sz w:val="20"/>
                <w:szCs w:val="20"/>
                <w:color w:val="auto"/>
              </w:rPr>
            </w:pPr>
            <w:r>
              <w:rPr>
                <w:rFonts w:ascii="Arial" w:cs="Arial" w:eastAsia="Arial" w:hAnsi="Arial"/>
                <w:sz w:val="16"/>
                <w:szCs w:val="16"/>
                <w:color w:val="auto"/>
              </w:rPr>
              <w:t>20%</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80.5</w:t>
            </w:r>
          </w:p>
        </w:tc>
        <w:tc>
          <w:tcPr>
            <w:tcW w:w="1020" w:type="dxa"/>
            <w:vAlign w:val="bottom"/>
          </w:tcPr>
          <w:p>
            <w:pPr>
              <w:jc w:val="center"/>
              <w:spacing w:after="0"/>
              <w:rPr>
                <w:sz w:val="20"/>
                <w:szCs w:val="20"/>
                <w:color w:val="auto"/>
              </w:rPr>
            </w:pPr>
            <w:r>
              <w:rPr>
                <w:rFonts w:ascii="Arial" w:cs="Arial" w:eastAsia="Arial" w:hAnsi="Arial"/>
                <w:sz w:val="16"/>
                <w:szCs w:val="16"/>
                <w:color w:val="auto"/>
              </w:rPr>
              <w:t>1978</w:t>
            </w:r>
          </w:p>
        </w:tc>
      </w:tr>
      <w:tr>
        <w:trPr>
          <w:trHeight w:val="189"/>
        </w:trPr>
        <w:tc>
          <w:tcPr>
            <w:tcW w:w="2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Neil Simpson CT</w:t>
            </w:r>
          </w:p>
        </w:tc>
        <w:tc>
          <w:tcPr>
            <w:tcW w:w="2260" w:type="dxa"/>
            <w:vAlign w:val="bottom"/>
            <w:shd w:val="clear" w:color="auto" w:fill="CFF0FC"/>
          </w:tcPr>
          <w:p>
            <w:pPr>
              <w:jc w:val="center"/>
              <w:ind w:left="39"/>
              <w:spacing w:after="0"/>
              <w:rPr>
                <w:sz w:val="20"/>
                <w:szCs w:val="20"/>
                <w:color w:val="auto"/>
              </w:rPr>
            </w:pPr>
            <w:r>
              <w:rPr>
                <w:rFonts w:ascii="Arial" w:cs="Arial" w:eastAsia="Arial" w:hAnsi="Arial"/>
                <w:sz w:val="16"/>
                <w:szCs w:val="16"/>
                <w:color w:val="auto"/>
              </w:rPr>
              <w:t>Natural Gas</w:t>
            </w:r>
          </w:p>
        </w:tc>
        <w:tc>
          <w:tcPr>
            <w:tcW w:w="23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Gillette, Wyoming</w:t>
            </w:r>
          </w:p>
        </w:tc>
        <w:tc>
          <w:tcPr>
            <w:tcW w:w="13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100%</w:t>
            </w:r>
          </w:p>
        </w:tc>
        <w:tc>
          <w:tcPr>
            <w:tcW w:w="1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40.0</w:t>
            </w:r>
          </w:p>
        </w:tc>
        <w:tc>
          <w:tcPr>
            <w:tcW w:w="10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2000</w:t>
            </w:r>
          </w:p>
        </w:tc>
      </w:tr>
      <w:tr>
        <w:trPr>
          <w:trHeight w:val="189"/>
        </w:trPr>
        <w:tc>
          <w:tcPr>
            <w:tcW w:w="2760" w:type="dxa"/>
            <w:vAlign w:val="bottom"/>
          </w:tcPr>
          <w:p>
            <w:pPr>
              <w:ind w:left="20"/>
              <w:spacing w:after="0"/>
              <w:rPr>
                <w:sz w:val="20"/>
                <w:szCs w:val="20"/>
                <w:color w:val="auto"/>
              </w:rPr>
            </w:pPr>
            <w:r>
              <w:rPr>
                <w:rFonts w:ascii="Arial" w:cs="Arial" w:eastAsia="Arial" w:hAnsi="Arial"/>
                <w:sz w:val="16"/>
                <w:szCs w:val="16"/>
                <w:color w:val="auto"/>
              </w:rPr>
              <w:t>Lange CT</w:t>
            </w:r>
          </w:p>
        </w:tc>
        <w:tc>
          <w:tcPr>
            <w:tcW w:w="2260" w:type="dxa"/>
            <w:vAlign w:val="bottom"/>
          </w:tcPr>
          <w:p>
            <w:pPr>
              <w:jc w:val="center"/>
              <w:ind w:left="39"/>
              <w:spacing w:after="0"/>
              <w:rPr>
                <w:sz w:val="20"/>
                <w:szCs w:val="20"/>
                <w:color w:val="auto"/>
              </w:rPr>
            </w:pPr>
            <w:r>
              <w:rPr>
                <w:rFonts w:ascii="Arial" w:cs="Arial" w:eastAsia="Arial" w:hAnsi="Arial"/>
                <w:sz w:val="16"/>
                <w:szCs w:val="16"/>
                <w:color w:val="auto"/>
              </w:rPr>
              <w:t>Natural Gas</w:t>
            </w:r>
          </w:p>
        </w:tc>
        <w:tc>
          <w:tcPr>
            <w:tcW w:w="2340" w:type="dxa"/>
            <w:vAlign w:val="bottom"/>
          </w:tcPr>
          <w:p>
            <w:pPr>
              <w:jc w:val="center"/>
              <w:spacing w:after="0"/>
              <w:rPr>
                <w:sz w:val="20"/>
                <w:szCs w:val="20"/>
                <w:color w:val="auto"/>
              </w:rPr>
            </w:pPr>
            <w:r>
              <w:rPr>
                <w:rFonts w:ascii="Arial" w:cs="Arial" w:eastAsia="Arial" w:hAnsi="Arial"/>
                <w:sz w:val="16"/>
                <w:szCs w:val="16"/>
                <w:color w:val="auto"/>
              </w:rPr>
              <w:t>Rapid City, South Dakota</w:t>
            </w:r>
          </w:p>
        </w:tc>
        <w:tc>
          <w:tcPr>
            <w:tcW w:w="1380" w:type="dxa"/>
            <w:vAlign w:val="bottom"/>
          </w:tcPr>
          <w:p>
            <w:pPr>
              <w:jc w:val="center"/>
              <w:spacing w:after="0"/>
              <w:rPr>
                <w:sz w:val="20"/>
                <w:szCs w:val="20"/>
                <w:color w:val="auto"/>
              </w:rPr>
            </w:pPr>
            <w:r>
              <w:rPr>
                <w:rFonts w:ascii="Arial" w:cs="Arial" w:eastAsia="Arial" w:hAnsi="Arial"/>
                <w:sz w:val="16"/>
                <w:szCs w:val="16"/>
                <w:color w:val="auto"/>
              </w:rPr>
              <w:t>100%</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40.0</w:t>
            </w:r>
          </w:p>
        </w:tc>
        <w:tc>
          <w:tcPr>
            <w:tcW w:w="1020" w:type="dxa"/>
            <w:vAlign w:val="bottom"/>
          </w:tcPr>
          <w:p>
            <w:pPr>
              <w:jc w:val="center"/>
              <w:spacing w:after="0"/>
              <w:rPr>
                <w:sz w:val="20"/>
                <w:szCs w:val="20"/>
                <w:color w:val="auto"/>
              </w:rPr>
            </w:pPr>
            <w:r>
              <w:rPr>
                <w:rFonts w:ascii="Arial" w:cs="Arial" w:eastAsia="Arial" w:hAnsi="Arial"/>
                <w:sz w:val="16"/>
                <w:szCs w:val="16"/>
                <w:color w:val="auto"/>
              </w:rPr>
              <w:t>2002</w:t>
            </w:r>
          </w:p>
        </w:tc>
      </w:tr>
      <w:tr>
        <w:trPr>
          <w:trHeight w:val="189"/>
        </w:trPr>
        <w:tc>
          <w:tcPr>
            <w:tcW w:w="2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Ben French Diesel #1-5</w:t>
            </w:r>
          </w:p>
        </w:tc>
        <w:tc>
          <w:tcPr>
            <w:tcW w:w="2260" w:type="dxa"/>
            <w:vAlign w:val="bottom"/>
            <w:shd w:val="clear" w:color="auto" w:fill="CFF0FC"/>
          </w:tcPr>
          <w:p>
            <w:pPr>
              <w:jc w:val="center"/>
              <w:ind w:left="39"/>
              <w:spacing w:after="0"/>
              <w:rPr>
                <w:sz w:val="20"/>
                <w:szCs w:val="20"/>
                <w:color w:val="auto"/>
              </w:rPr>
            </w:pPr>
            <w:r>
              <w:rPr>
                <w:rFonts w:ascii="Arial" w:cs="Arial" w:eastAsia="Arial" w:hAnsi="Arial"/>
                <w:sz w:val="16"/>
                <w:szCs w:val="16"/>
                <w:color w:val="auto"/>
              </w:rPr>
              <w:t>Diesel Oil</w:t>
            </w:r>
          </w:p>
        </w:tc>
        <w:tc>
          <w:tcPr>
            <w:tcW w:w="23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Rapid City, South Dakota</w:t>
            </w:r>
          </w:p>
        </w:tc>
        <w:tc>
          <w:tcPr>
            <w:tcW w:w="13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100%</w:t>
            </w:r>
          </w:p>
        </w:tc>
        <w:tc>
          <w:tcPr>
            <w:tcW w:w="1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10.0</w:t>
            </w:r>
          </w:p>
        </w:tc>
        <w:tc>
          <w:tcPr>
            <w:tcW w:w="10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1965</w:t>
            </w:r>
          </w:p>
        </w:tc>
      </w:tr>
      <w:tr>
        <w:trPr>
          <w:trHeight w:val="189"/>
        </w:trPr>
        <w:tc>
          <w:tcPr>
            <w:tcW w:w="2760" w:type="dxa"/>
            <w:vAlign w:val="bottom"/>
          </w:tcPr>
          <w:p>
            <w:pPr>
              <w:ind w:left="20"/>
              <w:spacing w:after="0"/>
              <w:rPr>
                <w:sz w:val="20"/>
                <w:szCs w:val="20"/>
                <w:color w:val="auto"/>
              </w:rPr>
            </w:pPr>
            <w:r>
              <w:rPr>
                <w:rFonts w:ascii="Arial" w:cs="Arial" w:eastAsia="Arial" w:hAnsi="Arial"/>
                <w:sz w:val="16"/>
                <w:szCs w:val="16"/>
                <w:color w:val="auto"/>
              </w:rPr>
              <w:t>Ben French CTs #1-4</w:t>
            </w:r>
          </w:p>
        </w:tc>
        <w:tc>
          <w:tcPr>
            <w:tcW w:w="2260" w:type="dxa"/>
            <w:vAlign w:val="bottom"/>
          </w:tcPr>
          <w:p>
            <w:pPr>
              <w:jc w:val="center"/>
              <w:ind w:left="19"/>
              <w:spacing w:after="0"/>
              <w:rPr>
                <w:sz w:val="20"/>
                <w:szCs w:val="20"/>
                <w:color w:val="auto"/>
              </w:rPr>
            </w:pPr>
            <w:r>
              <w:rPr>
                <w:rFonts w:ascii="Arial" w:cs="Arial" w:eastAsia="Arial" w:hAnsi="Arial"/>
                <w:sz w:val="16"/>
                <w:szCs w:val="16"/>
                <w:color w:val="auto"/>
              </w:rPr>
              <w:t>Natural Gas/Diesel Oil</w:t>
            </w:r>
          </w:p>
        </w:tc>
        <w:tc>
          <w:tcPr>
            <w:tcW w:w="2340" w:type="dxa"/>
            <w:vAlign w:val="bottom"/>
          </w:tcPr>
          <w:p>
            <w:pPr>
              <w:jc w:val="center"/>
              <w:spacing w:after="0"/>
              <w:rPr>
                <w:sz w:val="20"/>
                <w:szCs w:val="20"/>
                <w:color w:val="auto"/>
              </w:rPr>
            </w:pPr>
            <w:r>
              <w:rPr>
                <w:rFonts w:ascii="Arial" w:cs="Arial" w:eastAsia="Arial" w:hAnsi="Arial"/>
                <w:sz w:val="16"/>
                <w:szCs w:val="16"/>
                <w:color w:val="auto"/>
              </w:rPr>
              <w:t>Rapid City, South Dakota</w:t>
            </w:r>
          </w:p>
        </w:tc>
        <w:tc>
          <w:tcPr>
            <w:tcW w:w="1380" w:type="dxa"/>
            <w:vAlign w:val="bottom"/>
          </w:tcPr>
          <w:p>
            <w:pPr>
              <w:jc w:val="center"/>
              <w:spacing w:after="0"/>
              <w:rPr>
                <w:sz w:val="20"/>
                <w:szCs w:val="20"/>
                <w:color w:val="auto"/>
              </w:rPr>
            </w:pPr>
            <w:r>
              <w:rPr>
                <w:rFonts w:ascii="Arial" w:cs="Arial" w:eastAsia="Arial" w:hAnsi="Arial"/>
                <w:sz w:val="16"/>
                <w:szCs w:val="16"/>
                <w:color w:val="auto"/>
              </w:rPr>
              <w:t>100%</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100.0</w:t>
            </w:r>
          </w:p>
        </w:tc>
        <w:tc>
          <w:tcPr>
            <w:tcW w:w="1020" w:type="dxa"/>
            <w:vAlign w:val="bottom"/>
          </w:tcPr>
          <w:p>
            <w:pPr>
              <w:jc w:val="center"/>
              <w:spacing w:after="0"/>
              <w:rPr>
                <w:sz w:val="20"/>
                <w:szCs w:val="20"/>
                <w:color w:val="auto"/>
              </w:rPr>
            </w:pPr>
            <w:r>
              <w:rPr>
                <w:rFonts w:ascii="Arial" w:cs="Arial" w:eastAsia="Arial" w:hAnsi="Arial"/>
                <w:sz w:val="16"/>
                <w:szCs w:val="16"/>
                <w:color w:val="auto"/>
              </w:rPr>
              <w:t>1977-1979</w:t>
            </w:r>
          </w:p>
        </w:tc>
      </w:tr>
      <w:tr>
        <w:trPr>
          <w:trHeight w:val="189"/>
        </w:trPr>
        <w:tc>
          <w:tcPr>
            <w:tcW w:w="27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Wyoming Electric:</w:t>
            </w:r>
          </w:p>
        </w:tc>
        <w:tc>
          <w:tcPr>
            <w:tcW w:w="2260" w:type="dxa"/>
            <w:vAlign w:val="bottom"/>
            <w:shd w:val="clear" w:color="auto" w:fill="CFF0FC"/>
          </w:tcPr>
          <w:p>
            <w:pPr>
              <w:spacing w:after="0"/>
              <w:rPr>
                <w:sz w:val="16"/>
                <w:szCs w:val="16"/>
                <w:color w:val="auto"/>
              </w:rPr>
            </w:pPr>
          </w:p>
        </w:tc>
        <w:tc>
          <w:tcPr>
            <w:tcW w:w="234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r>
      <w:tr>
        <w:trPr>
          <w:trHeight w:val="189"/>
        </w:trPr>
        <w:tc>
          <w:tcPr>
            <w:tcW w:w="2760" w:type="dxa"/>
            <w:vAlign w:val="bottom"/>
          </w:tcPr>
          <w:p>
            <w:pPr>
              <w:ind w:left="20"/>
              <w:spacing w:after="0"/>
              <w:rPr>
                <w:sz w:val="20"/>
                <w:szCs w:val="20"/>
                <w:color w:val="auto"/>
              </w:rPr>
            </w:pPr>
            <w:r>
              <w:rPr>
                <w:rFonts w:ascii="Arial" w:cs="Arial" w:eastAsia="Arial" w:hAnsi="Arial"/>
                <w:sz w:val="16"/>
                <w:szCs w:val="16"/>
                <w:color w:val="auto"/>
              </w:rPr>
              <w:t>Cheyenne Prairie</w:t>
            </w:r>
          </w:p>
        </w:tc>
        <w:tc>
          <w:tcPr>
            <w:tcW w:w="2260" w:type="dxa"/>
            <w:vAlign w:val="bottom"/>
          </w:tcPr>
          <w:p>
            <w:pPr>
              <w:jc w:val="center"/>
              <w:ind w:left="39"/>
              <w:spacing w:after="0"/>
              <w:rPr>
                <w:sz w:val="20"/>
                <w:szCs w:val="20"/>
                <w:color w:val="auto"/>
              </w:rPr>
            </w:pPr>
            <w:r>
              <w:rPr>
                <w:rFonts w:ascii="Arial" w:cs="Arial" w:eastAsia="Arial" w:hAnsi="Arial"/>
                <w:sz w:val="16"/>
                <w:szCs w:val="16"/>
                <w:color w:val="auto"/>
              </w:rPr>
              <w:t>Natural Gas</w:t>
            </w:r>
          </w:p>
        </w:tc>
        <w:tc>
          <w:tcPr>
            <w:tcW w:w="2340" w:type="dxa"/>
            <w:vAlign w:val="bottom"/>
          </w:tcPr>
          <w:p>
            <w:pPr>
              <w:jc w:val="center"/>
              <w:spacing w:after="0"/>
              <w:rPr>
                <w:sz w:val="20"/>
                <w:szCs w:val="20"/>
                <w:color w:val="auto"/>
              </w:rPr>
            </w:pPr>
            <w:r>
              <w:rPr>
                <w:rFonts w:ascii="Arial" w:cs="Arial" w:eastAsia="Arial" w:hAnsi="Arial"/>
                <w:sz w:val="16"/>
                <w:szCs w:val="16"/>
                <w:color w:val="auto"/>
              </w:rPr>
              <w:t>Cheyenne, Wyoming</w:t>
            </w:r>
          </w:p>
        </w:tc>
        <w:tc>
          <w:tcPr>
            <w:tcW w:w="1380" w:type="dxa"/>
            <w:vAlign w:val="bottom"/>
          </w:tcPr>
          <w:p>
            <w:pPr>
              <w:jc w:val="center"/>
              <w:spacing w:after="0"/>
              <w:rPr>
                <w:sz w:val="20"/>
                <w:szCs w:val="20"/>
                <w:color w:val="auto"/>
              </w:rPr>
            </w:pPr>
            <w:r>
              <w:rPr>
                <w:rFonts w:ascii="Arial" w:cs="Arial" w:eastAsia="Arial" w:hAnsi="Arial"/>
                <w:sz w:val="16"/>
                <w:szCs w:val="16"/>
                <w:color w:val="auto"/>
              </w:rPr>
              <w:t>42%</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42.0</w:t>
            </w:r>
          </w:p>
        </w:tc>
        <w:tc>
          <w:tcPr>
            <w:tcW w:w="1020" w:type="dxa"/>
            <w:vAlign w:val="bottom"/>
          </w:tcPr>
          <w:p>
            <w:pPr>
              <w:jc w:val="center"/>
              <w:spacing w:after="0"/>
              <w:rPr>
                <w:sz w:val="20"/>
                <w:szCs w:val="20"/>
                <w:color w:val="auto"/>
              </w:rPr>
            </w:pPr>
            <w:r>
              <w:rPr>
                <w:rFonts w:ascii="Arial" w:cs="Arial" w:eastAsia="Arial" w:hAnsi="Arial"/>
                <w:sz w:val="16"/>
                <w:szCs w:val="16"/>
                <w:color w:val="auto"/>
              </w:rPr>
              <w:t>2014</w:t>
            </w:r>
          </w:p>
        </w:tc>
      </w:tr>
      <w:tr>
        <w:trPr>
          <w:trHeight w:val="189"/>
        </w:trPr>
        <w:tc>
          <w:tcPr>
            <w:tcW w:w="2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Cheyenne Prairie CT</w:t>
            </w:r>
          </w:p>
        </w:tc>
        <w:tc>
          <w:tcPr>
            <w:tcW w:w="2260" w:type="dxa"/>
            <w:vAlign w:val="bottom"/>
            <w:shd w:val="clear" w:color="auto" w:fill="CFF0FC"/>
          </w:tcPr>
          <w:p>
            <w:pPr>
              <w:jc w:val="center"/>
              <w:ind w:left="39"/>
              <w:spacing w:after="0"/>
              <w:rPr>
                <w:sz w:val="20"/>
                <w:szCs w:val="20"/>
                <w:color w:val="auto"/>
              </w:rPr>
            </w:pPr>
            <w:r>
              <w:rPr>
                <w:rFonts w:ascii="Arial" w:cs="Arial" w:eastAsia="Arial" w:hAnsi="Arial"/>
                <w:sz w:val="16"/>
                <w:szCs w:val="16"/>
                <w:color w:val="auto"/>
              </w:rPr>
              <w:t>Natural Gas</w:t>
            </w:r>
          </w:p>
        </w:tc>
        <w:tc>
          <w:tcPr>
            <w:tcW w:w="23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Cheyenne, Wyoming</w:t>
            </w:r>
          </w:p>
        </w:tc>
        <w:tc>
          <w:tcPr>
            <w:tcW w:w="13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100%</w:t>
            </w:r>
          </w:p>
        </w:tc>
        <w:tc>
          <w:tcPr>
            <w:tcW w:w="1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40.0</w:t>
            </w:r>
          </w:p>
        </w:tc>
        <w:tc>
          <w:tcPr>
            <w:tcW w:w="10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2014</w:t>
            </w:r>
          </w:p>
        </w:tc>
      </w:tr>
      <w:tr>
        <w:trPr>
          <w:trHeight w:val="189"/>
        </w:trPr>
        <w:tc>
          <w:tcPr>
            <w:tcW w:w="2760" w:type="dxa"/>
            <w:vAlign w:val="bottom"/>
          </w:tcPr>
          <w:p>
            <w:pPr>
              <w:ind w:left="20"/>
              <w:spacing w:after="0" w:line="189" w:lineRule="exact"/>
              <w:rPr>
                <w:sz w:val="20"/>
                <w:szCs w:val="20"/>
                <w:color w:val="auto"/>
              </w:rPr>
            </w:pPr>
            <w:r>
              <w:rPr>
                <w:rFonts w:ascii="Arial" w:cs="Arial" w:eastAsia="Arial" w:hAnsi="Arial"/>
                <w:sz w:val="16"/>
                <w:szCs w:val="16"/>
                <w:color w:val="auto"/>
              </w:rPr>
              <w:t xml:space="preserve">Corriedale </w:t>
            </w:r>
            <w:r>
              <w:rPr>
                <w:rFonts w:ascii="Arial" w:cs="Arial" w:eastAsia="Arial" w:hAnsi="Arial"/>
                <w:sz w:val="21"/>
                <w:szCs w:val="21"/>
                <w:color w:val="auto"/>
                <w:vertAlign w:val="superscript"/>
              </w:rPr>
              <w:t>(b)</w:t>
            </w:r>
          </w:p>
        </w:tc>
        <w:tc>
          <w:tcPr>
            <w:tcW w:w="2260" w:type="dxa"/>
            <w:vAlign w:val="bottom"/>
          </w:tcPr>
          <w:p>
            <w:pPr>
              <w:jc w:val="center"/>
              <w:ind w:left="19"/>
              <w:spacing w:after="0"/>
              <w:rPr>
                <w:sz w:val="20"/>
                <w:szCs w:val="20"/>
                <w:color w:val="auto"/>
              </w:rPr>
            </w:pPr>
            <w:r>
              <w:rPr>
                <w:rFonts w:ascii="Arial" w:cs="Arial" w:eastAsia="Arial" w:hAnsi="Arial"/>
                <w:sz w:val="16"/>
                <w:szCs w:val="16"/>
                <w:color w:val="auto"/>
                <w:w w:val="98"/>
              </w:rPr>
              <w:t>Wind</w:t>
            </w:r>
          </w:p>
        </w:tc>
        <w:tc>
          <w:tcPr>
            <w:tcW w:w="2340" w:type="dxa"/>
            <w:vAlign w:val="bottom"/>
          </w:tcPr>
          <w:p>
            <w:pPr>
              <w:jc w:val="center"/>
              <w:spacing w:after="0"/>
              <w:rPr>
                <w:sz w:val="20"/>
                <w:szCs w:val="20"/>
                <w:color w:val="auto"/>
              </w:rPr>
            </w:pPr>
            <w:r>
              <w:rPr>
                <w:rFonts w:ascii="Arial" w:cs="Arial" w:eastAsia="Arial" w:hAnsi="Arial"/>
                <w:sz w:val="16"/>
                <w:szCs w:val="16"/>
                <w:color w:val="auto"/>
              </w:rPr>
              <w:t>Cheyenne, Wyoming</w:t>
            </w:r>
          </w:p>
        </w:tc>
        <w:tc>
          <w:tcPr>
            <w:tcW w:w="1380" w:type="dxa"/>
            <w:vAlign w:val="bottom"/>
          </w:tcPr>
          <w:p>
            <w:pPr>
              <w:jc w:val="center"/>
              <w:spacing w:after="0"/>
              <w:rPr>
                <w:sz w:val="20"/>
                <w:szCs w:val="20"/>
                <w:color w:val="auto"/>
              </w:rPr>
            </w:pPr>
            <w:r>
              <w:rPr>
                <w:rFonts w:ascii="Arial" w:cs="Arial" w:eastAsia="Arial" w:hAnsi="Arial"/>
                <w:sz w:val="16"/>
                <w:szCs w:val="16"/>
                <w:color w:val="auto"/>
              </w:rPr>
              <w:t>38%</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20.0</w:t>
            </w:r>
          </w:p>
        </w:tc>
        <w:tc>
          <w:tcPr>
            <w:tcW w:w="1020" w:type="dxa"/>
            <w:vAlign w:val="bottom"/>
          </w:tcPr>
          <w:p>
            <w:pPr>
              <w:jc w:val="center"/>
              <w:spacing w:after="0"/>
              <w:rPr>
                <w:sz w:val="20"/>
                <w:szCs w:val="20"/>
                <w:color w:val="auto"/>
              </w:rPr>
            </w:pPr>
            <w:r>
              <w:rPr>
                <w:rFonts w:ascii="Arial" w:cs="Arial" w:eastAsia="Arial" w:hAnsi="Arial"/>
                <w:sz w:val="16"/>
                <w:szCs w:val="16"/>
                <w:color w:val="auto"/>
              </w:rPr>
              <w:t>2020</w:t>
            </w:r>
          </w:p>
        </w:tc>
      </w:tr>
      <w:tr>
        <w:trPr>
          <w:trHeight w:val="189"/>
        </w:trPr>
        <w:tc>
          <w:tcPr>
            <w:tcW w:w="2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Wygen II</w:t>
            </w:r>
          </w:p>
        </w:tc>
        <w:tc>
          <w:tcPr>
            <w:tcW w:w="2260" w:type="dxa"/>
            <w:vAlign w:val="bottom"/>
            <w:shd w:val="clear" w:color="auto" w:fill="CFF0FC"/>
          </w:tcPr>
          <w:p>
            <w:pPr>
              <w:jc w:val="center"/>
              <w:ind w:left="39"/>
              <w:spacing w:after="0"/>
              <w:rPr>
                <w:sz w:val="20"/>
                <w:szCs w:val="20"/>
                <w:color w:val="auto"/>
              </w:rPr>
            </w:pPr>
            <w:r>
              <w:rPr>
                <w:rFonts w:ascii="Arial" w:cs="Arial" w:eastAsia="Arial" w:hAnsi="Arial"/>
                <w:sz w:val="16"/>
                <w:szCs w:val="16"/>
                <w:color w:val="auto"/>
              </w:rPr>
              <w:t>Coal</w:t>
            </w:r>
          </w:p>
        </w:tc>
        <w:tc>
          <w:tcPr>
            <w:tcW w:w="23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Gillette, Wyoming</w:t>
            </w:r>
          </w:p>
        </w:tc>
        <w:tc>
          <w:tcPr>
            <w:tcW w:w="13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100%</w:t>
            </w:r>
          </w:p>
        </w:tc>
        <w:tc>
          <w:tcPr>
            <w:tcW w:w="1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95.0</w:t>
            </w:r>
          </w:p>
        </w:tc>
        <w:tc>
          <w:tcPr>
            <w:tcW w:w="10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2008</w:t>
            </w:r>
          </w:p>
        </w:tc>
      </w:tr>
      <w:tr>
        <w:trPr>
          <w:trHeight w:val="189"/>
        </w:trPr>
        <w:tc>
          <w:tcPr>
            <w:tcW w:w="2760" w:type="dxa"/>
            <w:vAlign w:val="bottom"/>
          </w:tcPr>
          <w:p>
            <w:pPr>
              <w:ind w:left="20"/>
              <w:spacing w:after="0"/>
              <w:rPr>
                <w:sz w:val="20"/>
                <w:szCs w:val="20"/>
                <w:color w:val="auto"/>
              </w:rPr>
            </w:pPr>
            <w:r>
              <w:rPr>
                <w:rFonts w:ascii="Arial" w:cs="Arial" w:eastAsia="Arial" w:hAnsi="Arial"/>
                <w:sz w:val="16"/>
                <w:szCs w:val="16"/>
                <w:b w:val="1"/>
                <w:bCs w:val="1"/>
                <w:color w:val="auto"/>
              </w:rPr>
              <w:t>Integrated Generation:</w:t>
            </w:r>
          </w:p>
        </w:tc>
        <w:tc>
          <w:tcPr>
            <w:tcW w:w="22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9"/>
        </w:trPr>
        <w:tc>
          <w:tcPr>
            <w:tcW w:w="2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Wygen I</w:t>
            </w:r>
          </w:p>
        </w:tc>
        <w:tc>
          <w:tcPr>
            <w:tcW w:w="2260" w:type="dxa"/>
            <w:vAlign w:val="bottom"/>
            <w:shd w:val="clear" w:color="auto" w:fill="CFF0FC"/>
          </w:tcPr>
          <w:p>
            <w:pPr>
              <w:jc w:val="center"/>
              <w:ind w:left="39"/>
              <w:spacing w:after="0"/>
              <w:rPr>
                <w:sz w:val="20"/>
                <w:szCs w:val="20"/>
                <w:color w:val="auto"/>
              </w:rPr>
            </w:pPr>
            <w:r>
              <w:rPr>
                <w:rFonts w:ascii="Arial" w:cs="Arial" w:eastAsia="Arial" w:hAnsi="Arial"/>
                <w:sz w:val="16"/>
                <w:szCs w:val="16"/>
                <w:color w:val="auto"/>
              </w:rPr>
              <w:t>Coal</w:t>
            </w:r>
          </w:p>
        </w:tc>
        <w:tc>
          <w:tcPr>
            <w:tcW w:w="23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Gillette, Wyoming</w:t>
            </w:r>
          </w:p>
        </w:tc>
        <w:tc>
          <w:tcPr>
            <w:tcW w:w="13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76.5%</w:t>
            </w:r>
          </w:p>
        </w:tc>
        <w:tc>
          <w:tcPr>
            <w:tcW w:w="1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68.9</w:t>
            </w:r>
          </w:p>
        </w:tc>
        <w:tc>
          <w:tcPr>
            <w:tcW w:w="10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2003</w:t>
            </w:r>
          </w:p>
        </w:tc>
      </w:tr>
      <w:tr>
        <w:trPr>
          <w:trHeight w:val="189"/>
        </w:trPr>
        <w:tc>
          <w:tcPr>
            <w:tcW w:w="2760" w:type="dxa"/>
            <w:vAlign w:val="bottom"/>
          </w:tcPr>
          <w:p>
            <w:pPr>
              <w:ind w:left="20"/>
              <w:spacing w:after="0"/>
              <w:rPr>
                <w:sz w:val="20"/>
                <w:szCs w:val="20"/>
                <w:color w:val="auto"/>
              </w:rPr>
            </w:pPr>
            <w:r>
              <w:rPr>
                <w:rFonts w:ascii="Arial" w:cs="Arial" w:eastAsia="Arial" w:hAnsi="Arial"/>
                <w:sz w:val="16"/>
                <w:szCs w:val="16"/>
                <w:color w:val="auto"/>
              </w:rPr>
              <w:t>Pueblo Airport Generation #4-5</w:t>
            </w:r>
          </w:p>
        </w:tc>
        <w:tc>
          <w:tcPr>
            <w:tcW w:w="2260" w:type="dxa"/>
            <w:vAlign w:val="bottom"/>
          </w:tcPr>
          <w:p>
            <w:pPr>
              <w:jc w:val="center"/>
              <w:ind w:left="39"/>
              <w:spacing w:after="0"/>
              <w:rPr>
                <w:sz w:val="20"/>
                <w:szCs w:val="20"/>
                <w:color w:val="auto"/>
              </w:rPr>
            </w:pPr>
            <w:r>
              <w:rPr>
                <w:rFonts w:ascii="Arial" w:cs="Arial" w:eastAsia="Arial" w:hAnsi="Arial"/>
                <w:sz w:val="16"/>
                <w:szCs w:val="16"/>
                <w:color w:val="auto"/>
              </w:rPr>
              <w:t>Natural Gas</w:t>
            </w:r>
          </w:p>
        </w:tc>
        <w:tc>
          <w:tcPr>
            <w:tcW w:w="2340" w:type="dxa"/>
            <w:vAlign w:val="bottom"/>
          </w:tcPr>
          <w:p>
            <w:pPr>
              <w:jc w:val="center"/>
              <w:spacing w:after="0"/>
              <w:rPr>
                <w:sz w:val="20"/>
                <w:szCs w:val="20"/>
                <w:color w:val="auto"/>
              </w:rPr>
            </w:pPr>
            <w:r>
              <w:rPr>
                <w:rFonts w:ascii="Arial" w:cs="Arial" w:eastAsia="Arial" w:hAnsi="Arial"/>
                <w:sz w:val="16"/>
                <w:szCs w:val="16"/>
                <w:color w:val="auto"/>
              </w:rPr>
              <w:t>Pueblo, Colorado</w:t>
            </w:r>
          </w:p>
        </w:tc>
        <w:tc>
          <w:tcPr>
            <w:tcW w:w="1380" w:type="dxa"/>
            <w:vAlign w:val="bottom"/>
          </w:tcPr>
          <w:p>
            <w:pPr>
              <w:jc w:val="center"/>
              <w:spacing w:after="0" w:line="189" w:lineRule="exact"/>
              <w:rPr>
                <w:sz w:val="20"/>
                <w:szCs w:val="20"/>
                <w:color w:val="auto"/>
              </w:rPr>
            </w:pPr>
            <w:r>
              <w:rPr>
                <w:rFonts w:ascii="Arial" w:cs="Arial" w:eastAsia="Arial" w:hAnsi="Arial"/>
                <w:sz w:val="16"/>
                <w:szCs w:val="16"/>
                <w:color w:val="auto"/>
                <w:w w:val="95"/>
              </w:rPr>
              <w:t xml:space="preserve">50.1% </w:t>
            </w:r>
            <w:r>
              <w:rPr>
                <w:rFonts w:ascii="Arial" w:cs="Arial" w:eastAsia="Arial" w:hAnsi="Arial"/>
                <w:sz w:val="21"/>
                <w:szCs w:val="21"/>
                <w:color w:val="auto"/>
                <w:w w:val="95"/>
                <w:vertAlign w:val="superscript"/>
              </w:rPr>
              <w:t>(d)</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200.0</w:t>
            </w:r>
          </w:p>
        </w:tc>
        <w:tc>
          <w:tcPr>
            <w:tcW w:w="1020" w:type="dxa"/>
            <w:vAlign w:val="bottom"/>
          </w:tcPr>
          <w:p>
            <w:pPr>
              <w:jc w:val="center"/>
              <w:spacing w:after="0"/>
              <w:rPr>
                <w:sz w:val="20"/>
                <w:szCs w:val="20"/>
                <w:color w:val="auto"/>
              </w:rPr>
            </w:pPr>
            <w:r>
              <w:rPr>
                <w:rFonts w:ascii="Arial" w:cs="Arial" w:eastAsia="Arial" w:hAnsi="Arial"/>
                <w:sz w:val="16"/>
                <w:szCs w:val="16"/>
                <w:color w:val="auto"/>
              </w:rPr>
              <w:t>2012</w:t>
            </w:r>
          </w:p>
        </w:tc>
      </w:tr>
      <w:tr>
        <w:trPr>
          <w:trHeight w:val="189"/>
        </w:trPr>
        <w:tc>
          <w:tcPr>
            <w:tcW w:w="2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Busch Ranch I</w:t>
            </w:r>
          </w:p>
        </w:tc>
        <w:tc>
          <w:tcPr>
            <w:tcW w:w="2260" w:type="dxa"/>
            <w:vAlign w:val="bottom"/>
            <w:shd w:val="clear" w:color="auto" w:fill="CFF0FC"/>
          </w:tcPr>
          <w:p>
            <w:pPr>
              <w:jc w:val="center"/>
              <w:ind w:left="19"/>
              <w:spacing w:after="0"/>
              <w:rPr>
                <w:sz w:val="20"/>
                <w:szCs w:val="20"/>
                <w:color w:val="auto"/>
              </w:rPr>
            </w:pPr>
            <w:r>
              <w:rPr>
                <w:rFonts w:ascii="Arial" w:cs="Arial" w:eastAsia="Arial" w:hAnsi="Arial"/>
                <w:sz w:val="16"/>
                <w:szCs w:val="16"/>
                <w:color w:val="auto"/>
                <w:w w:val="98"/>
              </w:rPr>
              <w:t>Wind</w:t>
            </w:r>
          </w:p>
        </w:tc>
        <w:tc>
          <w:tcPr>
            <w:tcW w:w="23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Pueblo, Colorado</w:t>
            </w:r>
          </w:p>
        </w:tc>
        <w:tc>
          <w:tcPr>
            <w:tcW w:w="13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50%</w:t>
            </w:r>
          </w:p>
        </w:tc>
        <w:tc>
          <w:tcPr>
            <w:tcW w:w="1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14.5</w:t>
            </w:r>
          </w:p>
        </w:tc>
        <w:tc>
          <w:tcPr>
            <w:tcW w:w="10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2012</w:t>
            </w:r>
          </w:p>
        </w:tc>
      </w:tr>
      <w:tr>
        <w:trPr>
          <w:trHeight w:val="189"/>
        </w:trPr>
        <w:tc>
          <w:tcPr>
            <w:tcW w:w="2760" w:type="dxa"/>
            <w:vAlign w:val="bottom"/>
          </w:tcPr>
          <w:p>
            <w:pPr>
              <w:ind w:left="20"/>
              <w:spacing w:after="0" w:line="189" w:lineRule="exact"/>
              <w:rPr>
                <w:sz w:val="20"/>
                <w:szCs w:val="20"/>
                <w:color w:val="auto"/>
              </w:rPr>
            </w:pPr>
            <w:r>
              <w:rPr>
                <w:rFonts w:ascii="Arial" w:cs="Arial" w:eastAsia="Arial" w:hAnsi="Arial"/>
                <w:sz w:val="16"/>
                <w:szCs w:val="16"/>
                <w:color w:val="auto"/>
              </w:rPr>
              <w:t xml:space="preserve">Busch Ranch II </w:t>
            </w:r>
            <w:r>
              <w:rPr>
                <w:rFonts w:ascii="Arial" w:cs="Arial" w:eastAsia="Arial" w:hAnsi="Arial"/>
                <w:sz w:val="21"/>
                <w:szCs w:val="21"/>
                <w:color w:val="auto"/>
                <w:vertAlign w:val="superscript"/>
              </w:rPr>
              <w:t>(b)</w:t>
            </w:r>
          </w:p>
        </w:tc>
        <w:tc>
          <w:tcPr>
            <w:tcW w:w="2260" w:type="dxa"/>
            <w:vAlign w:val="bottom"/>
          </w:tcPr>
          <w:p>
            <w:pPr>
              <w:jc w:val="center"/>
              <w:ind w:left="19"/>
              <w:spacing w:after="0"/>
              <w:rPr>
                <w:sz w:val="20"/>
                <w:szCs w:val="20"/>
                <w:color w:val="auto"/>
              </w:rPr>
            </w:pPr>
            <w:r>
              <w:rPr>
                <w:rFonts w:ascii="Arial" w:cs="Arial" w:eastAsia="Arial" w:hAnsi="Arial"/>
                <w:sz w:val="16"/>
                <w:szCs w:val="16"/>
                <w:color w:val="auto"/>
                <w:w w:val="98"/>
              </w:rPr>
              <w:t>Wind</w:t>
            </w:r>
          </w:p>
        </w:tc>
        <w:tc>
          <w:tcPr>
            <w:tcW w:w="2340" w:type="dxa"/>
            <w:vAlign w:val="bottom"/>
          </w:tcPr>
          <w:p>
            <w:pPr>
              <w:jc w:val="center"/>
              <w:spacing w:after="0"/>
              <w:rPr>
                <w:sz w:val="20"/>
                <w:szCs w:val="20"/>
                <w:color w:val="auto"/>
              </w:rPr>
            </w:pPr>
            <w:r>
              <w:rPr>
                <w:rFonts w:ascii="Arial" w:cs="Arial" w:eastAsia="Arial" w:hAnsi="Arial"/>
                <w:sz w:val="16"/>
                <w:szCs w:val="16"/>
                <w:color w:val="auto"/>
              </w:rPr>
              <w:t>Pueblo, Colorado</w:t>
            </w:r>
          </w:p>
        </w:tc>
        <w:tc>
          <w:tcPr>
            <w:tcW w:w="1380" w:type="dxa"/>
            <w:vAlign w:val="bottom"/>
          </w:tcPr>
          <w:p>
            <w:pPr>
              <w:jc w:val="center"/>
              <w:spacing w:after="0"/>
              <w:rPr>
                <w:sz w:val="20"/>
                <w:szCs w:val="20"/>
                <w:color w:val="auto"/>
              </w:rPr>
            </w:pPr>
            <w:r>
              <w:rPr>
                <w:rFonts w:ascii="Arial" w:cs="Arial" w:eastAsia="Arial" w:hAnsi="Arial"/>
                <w:sz w:val="16"/>
                <w:szCs w:val="16"/>
                <w:color w:val="auto"/>
              </w:rPr>
              <w:t>100%</w:t>
            </w:r>
          </w:p>
        </w:tc>
        <w:tc>
          <w:tcPr>
            <w:tcW w:w="1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59.4</w:t>
            </w:r>
          </w:p>
        </w:tc>
        <w:tc>
          <w:tcPr>
            <w:tcW w:w="1020" w:type="dxa"/>
            <w:vAlign w:val="bottom"/>
          </w:tcPr>
          <w:p>
            <w:pPr>
              <w:jc w:val="center"/>
              <w:spacing w:after="0"/>
              <w:rPr>
                <w:sz w:val="20"/>
                <w:szCs w:val="20"/>
                <w:color w:val="auto"/>
              </w:rPr>
            </w:pPr>
            <w:r>
              <w:rPr>
                <w:rFonts w:ascii="Arial" w:cs="Arial" w:eastAsia="Arial" w:hAnsi="Arial"/>
                <w:sz w:val="16"/>
                <w:szCs w:val="16"/>
                <w:color w:val="auto"/>
              </w:rPr>
              <w:t>2019</w:t>
            </w:r>
          </w:p>
        </w:tc>
      </w:tr>
      <w:tr>
        <w:trPr>
          <w:trHeight w:val="208"/>
        </w:trPr>
        <w:tc>
          <w:tcPr>
            <w:tcW w:w="2760" w:type="dxa"/>
            <w:vAlign w:val="bottom"/>
          </w:tcPr>
          <w:p>
            <w:pPr>
              <w:ind w:left="20"/>
              <w:spacing w:after="0"/>
              <w:rPr>
                <w:sz w:val="20"/>
                <w:szCs w:val="20"/>
                <w:color w:val="auto"/>
              </w:rPr>
            </w:pPr>
            <w:r>
              <w:rPr>
                <w:rFonts w:ascii="Arial" w:cs="Arial" w:eastAsia="Arial" w:hAnsi="Arial"/>
                <w:sz w:val="16"/>
                <w:szCs w:val="16"/>
                <w:color w:val="auto"/>
              </w:rPr>
              <w:t>Total MW Capacity</w:t>
            </w:r>
          </w:p>
        </w:tc>
        <w:tc>
          <w:tcPr>
            <w:tcW w:w="22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1,394.4</w:t>
            </w:r>
          </w:p>
        </w:tc>
        <w:tc>
          <w:tcPr>
            <w:tcW w:w="10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____________________</w:t>
      </w:r>
    </w:p>
    <w:p>
      <w:pPr>
        <w:spacing w:after="0" w:line="40"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PTCs for Peak View flow back to customers through the RESA and ECA mechanisms as a reduction to Colorado Electric’s margins.</w:t>
      </w:r>
    </w:p>
    <w:p>
      <w:pPr>
        <w:spacing w:after="0" w:line="15" w:lineRule="exact"/>
        <w:rPr>
          <w:rFonts w:ascii="Arial" w:cs="Arial" w:eastAsia="Arial" w:hAnsi="Arial"/>
          <w:sz w:val="14"/>
          <w:szCs w:val="14"/>
          <w:color w:val="auto"/>
        </w:rPr>
      </w:pPr>
    </w:p>
    <w:p>
      <w:pPr>
        <w:ind w:left="520" w:hanging="512"/>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This facility qualifies for PTCs at $29/MWh under IRC 45 during the 10-year period beginning on the date the facility was originally placed in service.</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Jointly owned facilities are discussed in </w:t>
      </w:r>
      <w:r>
        <w:rPr>
          <w:rFonts w:ascii="Arial" w:cs="Arial" w:eastAsia="Arial" w:hAnsi="Arial"/>
          <w:sz w:val="14"/>
          <w:szCs w:val="14"/>
          <w:u w:val="single" w:color="auto"/>
          <w:color w:val="0000FF"/>
        </w:rPr>
        <w:t>Note 6</w:t>
      </w:r>
      <w:r>
        <w:rPr>
          <w:rFonts w:ascii="Arial" w:cs="Arial" w:eastAsia="Arial" w:hAnsi="Arial"/>
          <w:sz w:val="14"/>
          <w:szCs w:val="14"/>
          <w:color w:val="auto"/>
        </w:rPr>
        <w:t xml:space="preserve"> of the Notes to Consolidated Financial Statements in this Annual Report on Form 10-K.</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Non-controlling interest is discussed in </w:t>
      </w:r>
      <w:r>
        <w:rPr>
          <w:rFonts w:ascii="Arial" w:cs="Arial" w:eastAsia="Arial" w:hAnsi="Arial"/>
          <w:sz w:val="14"/>
          <w:szCs w:val="14"/>
          <w:u w:val="single" w:color="auto"/>
          <w:color w:val="0000FF"/>
        </w:rPr>
        <w:t>Note 12</w:t>
      </w:r>
      <w:r>
        <w:rPr>
          <w:rFonts w:ascii="Arial" w:cs="Arial" w:eastAsia="Arial" w:hAnsi="Arial"/>
          <w:sz w:val="14"/>
          <w:szCs w:val="14"/>
          <w:color w:val="auto"/>
        </w:rPr>
        <w:t xml:space="preserve">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1943100</wp:posOffset>
            </wp:positionH>
            <wp:positionV relativeFrom="paragraph">
              <wp:posOffset>-113030</wp:posOffset>
            </wp:positionV>
            <wp:extent cx="2692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9240" cy="8890"/>
                    </a:xfrm>
                    <a:prstGeom prst="rect">
                      <a:avLst/>
                    </a:prstGeom>
                    <a:noFill/>
                  </pic:spPr>
                </pic:pic>
              </a:graphicData>
            </a:graphic>
          </wp:anchor>
        </w:drawing>
        <w:drawing>
          <wp:anchor simplePos="0" relativeHeight="251657728" behindDoc="1" locked="0" layoutInCell="0" allowOverlap="1">
            <wp:simplePos x="0" y="0"/>
            <wp:positionH relativeFrom="column">
              <wp:posOffset>1912620</wp:posOffset>
            </wp:positionH>
            <wp:positionV relativeFrom="paragraph">
              <wp:posOffset>-10160</wp:posOffset>
            </wp:positionV>
            <wp:extent cx="32004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0040"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Our Electric Utilities’ power supply by resource as a percent of the total power supply for our energy needs for the years ended December 31 was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Power Supply</w:t>
            </w:r>
          </w:p>
        </w:tc>
        <w:tc>
          <w:tcPr>
            <w:tcW w:w="160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2024</w:t>
            </w:r>
          </w:p>
        </w:tc>
        <w:tc>
          <w:tcPr>
            <w:tcW w:w="142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2023</w:t>
            </w: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r>
      <w:tr>
        <w:trPr>
          <w:trHeight w:val="183"/>
        </w:trPr>
        <w:tc>
          <w:tcPr>
            <w:tcW w:w="698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Coal</w:t>
            </w:r>
          </w:p>
        </w:tc>
        <w:tc>
          <w:tcPr>
            <w:tcW w:w="1600" w:type="dxa"/>
            <w:vAlign w:val="bottom"/>
            <w:shd w:val="clear" w:color="auto" w:fill="CFF0FC"/>
          </w:tcPr>
          <w:p>
            <w:pPr>
              <w:jc w:val="right"/>
              <w:ind w:right="139"/>
              <w:spacing w:after="0" w:line="183" w:lineRule="exact"/>
              <w:rPr>
                <w:sz w:val="20"/>
                <w:szCs w:val="20"/>
                <w:color w:val="auto"/>
              </w:rPr>
            </w:pPr>
            <w:r>
              <w:rPr>
                <w:rFonts w:ascii="Arial" w:cs="Arial" w:eastAsia="Arial" w:hAnsi="Arial"/>
                <w:sz w:val="16"/>
                <w:szCs w:val="16"/>
                <w:color w:val="auto"/>
              </w:rPr>
              <w:t>32.5 %</w:t>
            </w:r>
          </w:p>
        </w:tc>
        <w:tc>
          <w:tcPr>
            <w:tcW w:w="1420" w:type="dxa"/>
            <w:vAlign w:val="bottom"/>
            <w:shd w:val="clear" w:color="auto" w:fill="CFF0FC"/>
          </w:tcPr>
          <w:p>
            <w:pPr>
              <w:jc w:val="right"/>
              <w:ind w:right="159"/>
              <w:spacing w:after="0" w:line="183" w:lineRule="exact"/>
              <w:rPr>
                <w:sz w:val="20"/>
                <w:szCs w:val="20"/>
                <w:color w:val="auto"/>
              </w:rPr>
            </w:pPr>
            <w:r>
              <w:rPr>
                <w:rFonts w:ascii="Arial" w:cs="Arial" w:eastAsia="Arial" w:hAnsi="Arial"/>
                <w:sz w:val="16"/>
                <w:szCs w:val="16"/>
                <w:color w:val="auto"/>
              </w:rPr>
              <w:t>35.0 %</w:t>
            </w:r>
          </w:p>
        </w:tc>
        <w:tc>
          <w:tcPr>
            <w:tcW w:w="12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35.1 %</w:t>
            </w:r>
          </w:p>
        </w:tc>
      </w:tr>
      <w:tr>
        <w:trPr>
          <w:trHeight w:val="189"/>
        </w:trPr>
        <w:tc>
          <w:tcPr>
            <w:tcW w:w="6980" w:type="dxa"/>
            <w:vAlign w:val="bottom"/>
          </w:tcPr>
          <w:p>
            <w:pPr>
              <w:ind w:left="20"/>
              <w:spacing w:after="0"/>
              <w:rPr>
                <w:sz w:val="20"/>
                <w:szCs w:val="20"/>
                <w:color w:val="auto"/>
              </w:rPr>
            </w:pPr>
            <w:r>
              <w:rPr>
                <w:rFonts w:ascii="Arial" w:cs="Arial" w:eastAsia="Arial" w:hAnsi="Arial"/>
                <w:sz w:val="16"/>
                <w:szCs w:val="16"/>
                <w:color w:val="auto"/>
              </w:rPr>
              <w:t>Natural Gas</w:t>
            </w:r>
          </w:p>
        </w:tc>
        <w:tc>
          <w:tcPr>
            <w:tcW w:w="1600" w:type="dxa"/>
            <w:vAlign w:val="bottom"/>
          </w:tcPr>
          <w:p>
            <w:pPr>
              <w:jc w:val="right"/>
              <w:ind w:right="139"/>
              <w:spacing w:after="0"/>
              <w:rPr>
                <w:sz w:val="20"/>
                <w:szCs w:val="20"/>
                <w:color w:val="auto"/>
              </w:rPr>
            </w:pPr>
            <w:r>
              <w:rPr>
                <w:rFonts w:ascii="Arial" w:cs="Arial" w:eastAsia="Arial" w:hAnsi="Arial"/>
                <w:sz w:val="16"/>
                <w:szCs w:val="16"/>
                <w:color w:val="auto"/>
              </w:rPr>
              <w:t>29.4 %</w:t>
            </w:r>
          </w:p>
        </w:tc>
        <w:tc>
          <w:tcPr>
            <w:tcW w:w="1420" w:type="dxa"/>
            <w:vAlign w:val="bottom"/>
          </w:tcPr>
          <w:p>
            <w:pPr>
              <w:jc w:val="right"/>
              <w:ind w:right="159"/>
              <w:spacing w:after="0"/>
              <w:rPr>
                <w:sz w:val="20"/>
                <w:szCs w:val="20"/>
                <w:color w:val="auto"/>
              </w:rPr>
            </w:pPr>
            <w:r>
              <w:rPr>
                <w:rFonts w:ascii="Arial" w:cs="Arial" w:eastAsia="Arial" w:hAnsi="Arial"/>
                <w:sz w:val="16"/>
                <w:szCs w:val="16"/>
                <w:color w:val="auto"/>
              </w:rPr>
              <w:t>26.4 %</w:t>
            </w:r>
          </w:p>
        </w:tc>
        <w:tc>
          <w:tcPr>
            <w:tcW w:w="1240" w:type="dxa"/>
            <w:vAlign w:val="bottom"/>
          </w:tcPr>
          <w:p>
            <w:pPr>
              <w:jc w:val="right"/>
              <w:spacing w:after="0"/>
              <w:rPr>
                <w:sz w:val="20"/>
                <w:szCs w:val="20"/>
                <w:color w:val="auto"/>
              </w:rPr>
            </w:pPr>
            <w:r>
              <w:rPr>
                <w:rFonts w:ascii="Arial" w:cs="Arial" w:eastAsia="Arial" w:hAnsi="Arial"/>
                <w:sz w:val="16"/>
                <w:szCs w:val="16"/>
                <w:color w:val="auto"/>
              </w:rPr>
              <w:t>18.8 %</w:t>
            </w:r>
          </w:p>
        </w:tc>
      </w:tr>
      <w:tr>
        <w:trPr>
          <w:trHeight w:val="189"/>
        </w:trPr>
        <w:tc>
          <w:tcPr>
            <w:tcW w:w="6980" w:type="dxa"/>
            <w:vAlign w:val="bottom"/>
            <w:tcBorders>
              <w:bottom w:val="single" w:sz="8" w:color="CFF0FC"/>
            </w:tcBorders>
            <w:shd w:val="clear" w:color="auto" w:fill="CFF0FC"/>
          </w:tcPr>
          <w:p>
            <w:pPr>
              <w:ind w:left="20"/>
              <w:spacing w:after="0" w:line="189" w:lineRule="exact"/>
              <w:rPr>
                <w:sz w:val="20"/>
                <w:szCs w:val="20"/>
                <w:color w:val="auto"/>
              </w:rPr>
            </w:pPr>
            <w:r>
              <w:rPr>
                <w:rFonts w:ascii="Arial" w:cs="Arial" w:eastAsia="Arial" w:hAnsi="Arial"/>
                <w:sz w:val="16"/>
                <w:szCs w:val="16"/>
                <w:color w:val="auto"/>
              </w:rPr>
              <w:t xml:space="preserve">Wind </w:t>
            </w:r>
            <w:r>
              <w:rPr>
                <w:rFonts w:ascii="Arial" w:cs="Arial" w:eastAsia="Arial" w:hAnsi="Arial"/>
                <w:sz w:val="21"/>
                <w:szCs w:val="21"/>
                <w:color w:val="auto"/>
                <w:vertAlign w:val="superscript"/>
              </w:rPr>
              <w:t>(a)</w:t>
            </w:r>
          </w:p>
        </w:tc>
        <w:tc>
          <w:tcPr>
            <w:tcW w:w="160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color w:val="auto"/>
              </w:rPr>
              <w:t>8.6 %</w:t>
            </w:r>
          </w:p>
        </w:tc>
        <w:tc>
          <w:tcPr>
            <w:tcW w:w="142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8.9 %</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11.4 %</w:t>
            </w:r>
          </w:p>
        </w:tc>
      </w:tr>
      <w:tr>
        <w:trPr>
          <w:trHeight w:val="183"/>
        </w:trPr>
        <w:tc>
          <w:tcPr>
            <w:tcW w:w="6980" w:type="dxa"/>
            <w:vAlign w:val="bottom"/>
          </w:tcPr>
          <w:p>
            <w:pPr>
              <w:ind w:left="20"/>
              <w:spacing w:after="0" w:line="183" w:lineRule="exact"/>
              <w:rPr>
                <w:sz w:val="20"/>
                <w:szCs w:val="20"/>
                <w:color w:val="auto"/>
              </w:rPr>
            </w:pPr>
            <w:r>
              <w:rPr>
                <w:rFonts w:ascii="Arial" w:cs="Arial" w:eastAsia="Arial" w:hAnsi="Arial"/>
                <w:sz w:val="16"/>
                <w:szCs w:val="16"/>
                <w:color w:val="auto"/>
              </w:rPr>
              <w:t xml:space="preserve">Total Generated </w:t>
            </w:r>
            <w:r>
              <w:rPr>
                <w:rFonts w:ascii="Arial" w:cs="Arial" w:eastAsia="Arial" w:hAnsi="Arial"/>
                <w:sz w:val="21"/>
                <w:szCs w:val="21"/>
                <w:color w:val="auto"/>
                <w:vertAlign w:val="superscript"/>
              </w:rPr>
              <w:t>(b)</w:t>
            </w:r>
          </w:p>
        </w:tc>
        <w:tc>
          <w:tcPr>
            <w:tcW w:w="160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rPr>
              <w:t>70.5 %</w:t>
            </w:r>
          </w:p>
        </w:tc>
        <w:tc>
          <w:tcPr>
            <w:tcW w:w="1420" w:type="dxa"/>
            <w:vAlign w:val="bottom"/>
            <w:tcBorders>
              <w:bottom w:val="single" w:sz="8" w:color="auto"/>
            </w:tcBorders>
          </w:tcPr>
          <w:p>
            <w:pPr>
              <w:jc w:val="right"/>
              <w:ind w:right="159"/>
              <w:spacing w:after="0" w:line="183" w:lineRule="exact"/>
              <w:rPr>
                <w:sz w:val="20"/>
                <w:szCs w:val="20"/>
                <w:color w:val="auto"/>
              </w:rPr>
            </w:pPr>
            <w:r>
              <w:rPr>
                <w:rFonts w:ascii="Arial" w:cs="Arial" w:eastAsia="Arial" w:hAnsi="Arial"/>
                <w:sz w:val="16"/>
                <w:szCs w:val="16"/>
                <w:color w:val="auto"/>
              </w:rPr>
              <w:t>70.3 %</w:t>
            </w:r>
          </w:p>
        </w:tc>
        <w:tc>
          <w:tcPr>
            <w:tcW w:w="1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65.3 %</w:t>
            </w:r>
          </w:p>
        </w:tc>
      </w:tr>
      <w:tr>
        <w:trPr>
          <w:trHeight w:val="183"/>
        </w:trPr>
        <w:tc>
          <w:tcPr>
            <w:tcW w:w="698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Coal, Natural Gas, Diesel Oil and Other Market Purchases</w:t>
            </w:r>
          </w:p>
        </w:tc>
        <w:tc>
          <w:tcPr>
            <w:tcW w:w="1600" w:type="dxa"/>
            <w:vAlign w:val="bottom"/>
            <w:shd w:val="clear" w:color="auto" w:fill="CFF0FC"/>
          </w:tcPr>
          <w:p>
            <w:pPr>
              <w:jc w:val="right"/>
              <w:ind w:right="139"/>
              <w:spacing w:after="0" w:line="183" w:lineRule="exact"/>
              <w:rPr>
                <w:sz w:val="20"/>
                <w:szCs w:val="20"/>
                <w:color w:val="auto"/>
              </w:rPr>
            </w:pPr>
            <w:r>
              <w:rPr>
                <w:rFonts w:ascii="Arial" w:cs="Arial" w:eastAsia="Arial" w:hAnsi="Arial"/>
                <w:sz w:val="16"/>
                <w:szCs w:val="16"/>
                <w:color w:val="auto"/>
              </w:rPr>
              <w:t>14.7 %</w:t>
            </w:r>
          </w:p>
        </w:tc>
        <w:tc>
          <w:tcPr>
            <w:tcW w:w="1420" w:type="dxa"/>
            <w:vAlign w:val="bottom"/>
            <w:shd w:val="clear" w:color="auto" w:fill="CFF0FC"/>
          </w:tcPr>
          <w:p>
            <w:pPr>
              <w:jc w:val="right"/>
              <w:ind w:right="159"/>
              <w:spacing w:after="0" w:line="183" w:lineRule="exact"/>
              <w:rPr>
                <w:sz w:val="20"/>
                <w:szCs w:val="20"/>
                <w:color w:val="auto"/>
              </w:rPr>
            </w:pPr>
            <w:r>
              <w:rPr>
                <w:rFonts w:ascii="Arial" w:cs="Arial" w:eastAsia="Arial" w:hAnsi="Arial"/>
                <w:sz w:val="16"/>
                <w:szCs w:val="16"/>
                <w:color w:val="auto"/>
              </w:rPr>
              <w:t>24.1 %</w:t>
            </w:r>
          </w:p>
        </w:tc>
        <w:tc>
          <w:tcPr>
            <w:tcW w:w="12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29.6 %</w:t>
            </w:r>
          </w:p>
        </w:tc>
      </w:tr>
      <w:tr>
        <w:trPr>
          <w:trHeight w:val="189"/>
        </w:trPr>
        <w:tc>
          <w:tcPr>
            <w:tcW w:w="6980" w:type="dxa"/>
            <w:vAlign w:val="bottom"/>
          </w:tcPr>
          <w:p>
            <w:pPr>
              <w:ind w:left="20"/>
              <w:spacing w:after="0" w:line="189" w:lineRule="exact"/>
              <w:rPr>
                <w:sz w:val="20"/>
                <w:szCs w:val="20"/>
                <w:color w:val="auto"/>
              </w:rPr>
            </w:pPr>
            <w:r>
              <w:rPr>
                <w:rFonts w:ascii="Arial" w:cs="Arial" w:eastAsia="Arial" w:hAnsi="Arial"/>
                <w:sz w:val="16"/>
                <w:szCs w:val="16"/>
                <w:color w:val="auto"/>
              </w:rPr>
              <w:t xml:space="preserve">Wind and Solar Purchases </w:t>
            </w:r>
            <w:r>
              <w:rPr>
                <w:rFonts w:ascii="Arial" w:cs="Arial" w:eastAsia="Arial" w:hAnsi="Arial"/>
                <w:sz w:val="21"/>
                <w:szCs w:val="21"/>
                <w:color w:val="auto"/>
                <w:vertAlign w:val="superscript"/>
              </w:rPr>
              <w:t>(c)</w:t>
            </w:r>
          </w:p>
        </w:tc>
        <w:tc>
          <w:tcPr>
            <w:tcW w:w="16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14.8 %</w:t>
            </w:r>
          </w:p>
        </w:tc>
        <w:tc>
          <w:tcPr>
            <w:tcW w:w="1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5.6 %</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5.1 %</w:t>
            </w:r>
          </w:p>
        </w:tc>
      </w:tr>
      <w:tr>
        <w:trPr>
          <w:trHeight w:val="183"/>
        </w:trPr>
        <w:tc>
          <w:tcPr>
            <w:tcW w:w="698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Total Purchased</w:t>
            </w:r>
          </w:p>
        </w:tc>
        <w:tc>
          <w:tcPr>
            <w:tcW w:w="1600" w:type="dxa"/>
            <w:vAlign w:val="bottom"/>
            <w:tcBorders>
              <w:bottom w:val="single" w:sz="8" w:color="auto"/>
            </w:tcBorders>
            <w:shd w:val="clear" w:color="auto" w:fill="CFF0FC"/>
          </w:tcPr>
          <w:p>
            <w:pPr>
              <w:jc w:val="right"/>
              <w:ind w:right="139"/>
              <w:spacing w:after="0" w:line="183" w:lineRule="exact"/>
              <w:rPr>
                <w:sz w:val="20"/>
                <w:szCs w:val="20"/>
                <w:color w:val="auto"/>
              </w:rPr>
            </w:pPr>
            <w:r>
              <w:rPr>
                <w:rFonts w:ascii="Arial" w:cs="Arial" w:eastAsia="Arial" w:hAnsi="Arial"/>
                <w:sz w:val="16"/>
                <w:szCs w:val="16"/>
                <w:color w:val="auto"/>
              </w:rPr>
              <w:t>29.5 %</w:t>
            </w:r>
          </w:p>
        </w:tc>
        <w:tc>
          <w:tcPr>
            <w:tcW w:w="1420" w:type="dxa"/>
            <w:vAlign w:val="bottom"/>
            <w:tcBorders>
              <w:bottom w:val="single" w:sz="8" w:color="auto"/>
            </w:tcBorders>
            <w:shd w:val="clear" w:color="auto" w:fill="CFF0FC"/>
          </w:tcPr>
          <w:p>
            <w:pPr>
              <w:jc w:val="right"/>
              <w:ind w:right="159"/>
              <w:spacing w:after="0" w:line="183" w:lineRule="exact"/>
              <w:rPr>
                <w:sz w:val="20"/>
                <w:szCs w:val="20"/>
                <w:color w:val="auto"/>
              </w:rPr>
            </w:pPr>
            <w:r>
              <w:rPr>
                <w:rFonts w:ascii="Arial" w:cs="Arial" w:eastAsia="Arial" w:hAnsi="Arial"/>
                <w:sz w:val="16"/>
                <w:szCs w:val="16"/>
                <w:color w:val="auto"/>
              </w:rPr>
              <w:t>29.7 %</w:t>
            </w:r>
          </w:p>
        </w:tc>
        <w:tc>
          <w:tcPr>
            <w:tcW w:w="12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34.7 %</w:t>
            </w:r>
          </w:p>
        </w:tc>
      </w:tr>
      <w:tr>
        <w:trPr>
          <w:trHeight w:val="208"/>
        </w:trPr>
        <w:tc>
          <w:tcPr>
            <w:tcW w:w="6980" w:type="dxa"/>
            <w:vAlign w:val="bottom"/>
          </w:tcPr>
          <w:p>
            <w:pPr>
              <w:ind w:left="20"/>
              <w:spacing w:after="0"/>
              <w:rPr>
                <w:sz w:val="20"/>
                <w:szCs w:val="20"/>
                <w:color w:val="auto"/>
              </w:rPr>
            </w:pPr>
            <w:r>
              <w:rPr>
                <w:rFonts w:ascii="Arial" w:cs="Arial" w:eastAsia="Arial" w:hAnsi="Arial"/>
                <w:sz w:val="16"/>
                <w:szCs w:val="16"/>
                <w:color w:val="auto"/>
              </w:rPr>
              <w:t>Total</w:t>
            </w:r>
          </w:p>
        </w:tc>
        <w:tc>
          <w:tcPr>
            <w:tcW w:w="1600" w:type="dxa"/>
            <w:vAlign w:val="bottom"/>
          </w:tcPr>
          <w:p>
            <w:pPr>
              <w:jc w:val="right"/>
              <w:ind w:right="139"/>
              <w:spacing w:after="0"/>
              <w:rPr>
                <w:sz w:val="20"/>
                <w:szCs w:val="20"/>
                <w:color w:val="auto"/>
              </w:rPr>
            </w:pPr>
            <w:r>
              <w:rPr>
                <w:rFonts w:ascii="Arial" w:cs="Arial" w:eastAsia="Arial" w:hAnsi="Arial"/>
                <w:sz w:val="16"/>
                <w:szCs w:val="16"/>
                <w:color w:val="auto"/>
              </w:rPr>
              <w:t>100.0 %</w:t>
            </w:r>
          </w:p>
        </w:tc>
        <w:tc>
          <w:tcPr>
            <w:tcW w:w="1420" w:type="dxa"/>
            <w:vAlign w:val="bottom"/>
          </w:tcPr>
          <w:p>
            <w:pPr>
              <w:jc w:val="right"/>
              <w:ind w:right="159"/>
              <w:spacing w:after="0"/>
              <w:rPr>
                <w:sz w:val="20"/>
                <w:szCs w:val="20"/>
                <w:color w:val="auto"/>
              </w:rPr>
            </w:pPr>
            <w:r>
              <w:rPr>
                <w:rFonts w:ascii="Arial" w:cs="Arial" w:eastAsia="Arial" w:hAnsi="Arial"/>
                <w:sz w:val="16"/>
                <w:szCs w:val="16"/>
                <w:color w:val="auto"/>
              </w:rPr>
              <w:t>100.0 %</w:t>
            </w:r>
          </w:p>
        </w:tc>
        <w:tc>
          <w:tcPr>
            <w:tcW w:w="1240" w:type="dxa"/>
            <w:vAlign w:val="bottom"/>
          </w:tcPr>
          <w:p>
            <w:pPr>
              <w:jc w:val="right"/>
              <w:spacing w:after="0"/>
              <w:rPr>
                <w:sz w:val="20"/>
                <w:szCs w:val="20"/>
                <w:color w:val="auto"/>
              </w:rPr>
            </w:pPr>
            <w:r>
              <w:rPr>
                <w:rFonts w:ascii="Arial" w:cs="Arial" w:eastAsia="Arial" w:hAnsi="Arial"/>
                <w:sz w:val="16"/>
                <w:szCs w:val="16"/>
                <w:color w:val="auto"/>
              </w:rPr>
              <w:t>100.0 %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-15875</wp:posOffset>
            </wp:positionV>
            <wp:extent cx="270891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70891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635</wp:posOffset>
            </wp:positionV>
            <wp:extent cx="27089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____________________</w:t>
      </w:r>
    </w:p>
    <w:p>
      <w:pPr>
        <w:spacing w:after="0" w:line="26"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Wind generation decreased due to the sale of Northern Iowa Windpower assets in March 2023.</w:t>
      </w:r>
    </w:p>
    <w:p>
      <w:pPr>
        <w:spacing w:after="0" w:line="15" w:lineRule="exact"/>
        <w:rPr>
          <w:rFonts w:ascii="Arial" w:cs="Arial" w:eastAsia="Arial" w:hAnsi="Arial"/>
          <w:sz w:val="14"/>
          <w:szCs w:val="14"/>
          <w:color w:val="auto"/>
        </w:rPr>
      </w:pPr>
    </w:p>
    <w:p>
      <w:pPr>
        <w:ind w:left="520" w:right="120" w:hanging="512"/>
        <w:spacing w:after="0" w:line="241" w:lineRule="auto"/>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diesel oil-fueled generating units are generally used as supplemental peaking units. Power generated from these units, as a percentage of total power supply, was 0.0% for each of the years presented.</w:t>
      </w:r>
    </w:p>
    <w:p>
      <w:pPr>
        <w:ind w:left="520" w:right="40" w:hanging="512"/>
        <w:spacing w:after="0" w:line="264" w:lineRule="auto"/>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Renewable energy purchases increased in 2024 primarily due to Wyoming Electric entering into a new wind PPA effective December 2023 and a new solar energy PPA effective March 2024. The renewable energy from these PPAs is used to serve our expanding partnerships with LPCS customers.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Our Electric Utilities’ weighted average cost of fuel utilized to generate electricity and the average price paid for purchased power (excluding contracted capacity) per MWh for the years ended December 31 were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Fuel and Purchased Power (dollars per MWh)</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r>
      <w:tr>
        <w:trPr>
          <w:trHeight w:val="183"/>
        </w:trPr>
        <w:tc>
          <w:tcPr>
            <w:tcW w:w="70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Coal</w:t>
            </w:r>
          </w:p>
        </w:tc>
        <w:tc>
          <w:tcPr>
            <w:tcW w:w="840" w:type="dxa"/>
            <w:vAlign w:val="bottom"/>
            <w:shd w:val="clear" w:color="auto" w:fill="CFF0FC"/>
          </w:tcPr>
          <w:p>
            <w:pPr>
              <w:jc w:val="right"/>
              <w:ind w:right="639"/>
              <w:spacing w:after="0" w:line="183" w:lineRule="exact"/>
              <w:rPr>
                <w:sz w:val="20"/>
                <w:szCs w:val="20"/>
                <w:color w:val="auto"/>
              </w:rPr>
            </w:pPr>
            <w:r>
              <w:rPr>
                <w:rFonts w:ascii="Arial" w:cs="Arial" w:eastAsia="Arial" w:hAnsi="Arial"/>
                <w:sz w:val="16"/>
                <w:szCs w:val="16"/>
                <w:color w:val="auto"/>
              </w:rPr>
              <w:t>$</w:t>
            </w:r>
          </w:p>
        </w:tc>
        <w:tc>
          <w:tcPr>
            <w:tcW w:w="5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99"/>
              </w:rPr>
              <w:t>13.87</w:t>
            </w:r>
          </w:p>
        </w:tc>
        <w:tc>
          <w:tcPr>
            <w:tcW w:w="900" w:type="dxa"/>
            <w:vAlign w:val="bottom"/>
            <w:shd w:val="clear" w:color="auto" w:fill="CFF0FC"/>
          </w:tcPr>
          <w:p>
            <w:pPr>
              <w:jc w:val="right"/>
              <w:ind w:right="659"/>
              <w:spacing w:after="0" w:line="183" w:lineRule="exact"/>
              <w:rPr>
                <w:sz w:val="20"/>
                <w:szCs w:val="20"/>
                <w:color w:val="auto"/>
              </w:rPr>
            </w:pPr>
            <w:r>
              <w:rPr>
                <w:rFonts w:ascii="Arial" w:cs="Arial" w:eastAsia="Arial" w:hAnsi="Arial"/>
                <w:sz w:val="16"/>
                <w:szCs w:val="16"/>
                <w:color w:val="auto"/>
              </w:rPr>
              <w:t>$</w:t>
            </w:r>
          </w:p>
        </w:tc>
        <w:tc>
          <w:tcPr>
            <w:tcW w:w="4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99"/>
              </w:rPr>
              <w:t>13.40</w:t>
            </w:r>
          </w:p>
        </w:tc>
        <w:tc>
          <w:tcPr>
            <w:tcW w:w="34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12.76</w:t>
            </w:r>
          </w:p>
        </w:tc>
      </w:tr>
      <w:tr>
        <w:trPr>
          <w:trHeight w:val="189"/>
        </w:trPr>
        <w:tc>
          <w:tcPr>
            <w:tcW w:w="7060" w:type="dxa"/>
            <w:vAlign w:val="bottom"/>
          </w:tcPr>
          <w:p>
            <w:pPr>
              <w:ind w:left="20"/>
              <w:spacing w:after="0"/>
              <w:rPr>
                <w:sz w:val="20"/>
                <w:szCs w:val="20"/>
                <w:color w:val="auto"/>
              </w:rPr>
            </w:pPr>
            <w:r>
              <w:rPr>
                <w:rFonts w:ascii="Arial" w:cs="Arial" w:eastAsia="Arial" w:hAnsi="Arial"/>
                <w:sz w:val="16"/>
                <w:szCs w:val="16"/>
                <w:color w:val="auto"/>
              </w:rPr>
              <w:t>Natural Gas</w:t>
            </w:r>
          </w:p>
        </w:tc>
        <w:tc>
          <w:tcPr>
            <w:tcW w:w="8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9"/>
              </w:rPr>
              <w:t>15.64</w:t>
            </w:r>
          </w:p>
        </w:tc>
        <w:tc>
          <w:tcPr>
            <w:tcW w:w="9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20.20</w:t>
            </w:r>
          </w:p>
        </w:tc>
        <w:tc>
          <w:tcPr>
            <w:tcW w:w="34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37.09</w:t>
            </w:r>
          </w:p>
        </w:tc>
      </w:tr>
      <w:tr>
        <w:trPr>
          <w:trHeight w:val="189"/>
        </w:trPr>
        <w:tc>
          <w:tcPr>
            <w:tcW w:w="7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Wind</w:t>
            </w:r>
          </w:p>
        </w:tc>
        <w:tc>
          <w:tcPr>
            <w:tcW w:w="840" w:type="dxa"/>
            <w:vAlign w:val="bottom"/>
            <w:tcBorders>
              <w:bottom w:val="single" w:sz="8" w:color="auto"/>
            </w:tcBorders>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r>
      <w:tr>
        <w:trPr>
          <w:trHeight w:val="183"/>
        </w:trPr>
        <w:tc>
          <w:tcPr>
            <w:tcW w:w="7060" w:type="dxa"/>
            <w:vAlign w:val="bottom"/>
          </w:tcPr>
          <w:p>
            <w:pPr>
              <w:ind w:left="20"/>
              <w:spacing w:after="0" w:line="183" w:lineRule="exact"/>
              <w:rPr>
                <w:sz w:val="20"/>
                <w:szCs w:val="20"/>
                <w:color w:val="auto"/>
              </w:rPr>
            </w:pPr>
            <w:r>
              <w:rPr>
                <w:rFonts w:ascii="Arial" w:cs="Arial" w:eastAsia="Arial" w:hAnsi="Arial"/>
                <w:sz w:val="16"/>
                <w:szCs w:val="16"/>
                <w:color w:val="auto"/>
              </w:rPr>
              <w:t>Total Generated Weighted Average Fuel Cost</w:t>
            </w:r>
          </w:p>
        </w:tc>
        <w:tc>
          <w:tcPr>
            <w:tcW w:w="8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99"/>
              </w:rPr>
              <w:t>12.90</w:t>
            </w:r>
          </w:p>
        </w:tc>
        <w:tc>
          <w:tcPr>
            <w:tcW w:w="9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99"/>
              </w:rPr>
              <w:t>14.27</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17.57</w:t>
            </w:r>
          </w:p>
        </w:tc>
      </w:tr>
      <w:tr>
        <w:trPr>
          <w:trHeight w:val="183"/>
        </w:trPr>
        <w:tc>
          <w:tcPr>
            <w:tcW w:w="70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Coal, Natural Gas, Diesel Oil and Other Market Purchases</w:t>
            </w:r>
          </w:p>
        </w:tc>
        <w:tc>
          <w:tcPr>
            <w:tcW w:w="84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99"/>
              </w:rPr>
              <w:t>67.04</w:t>
            </w:r>
          </w:p>
        </w:tc>
        <w:tc>
          <w:tcPr>
            <w:tcW w:w="90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99"/>
              </w:rPr>
              <w:t>55.61</w:t>
            </w:r>
          </w:p>
        </w:tc>
        <w:tc>
          <w:tcPr>
            <w:tcW w:w="34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66.35</w:t>
            </w:r>
          </w:p>
        </w:tc>
      </w:tr>
      <w:tr>
        <w:trPr>
          <w:trHeight w:val="189"/>
        </w:trPr>
        <w:tc>
          <w:tcPr>
            <w:tcW w:w="7060" w:type="dxa"/>
            <w:vAlign w:val="bottom"/>
          </w:tcPr>
          <w:p>
            <w:pPr>
              <w:ind w:left="20"/>
              <w:spacing w:after="0"/>
              <w:rPr>
                <w:sz w:val="20"/>
                <w:szCs w:val="20"/>
                <w:color w:val="auto"/>
              </w:rPr>
            </w:pPr>
            <w:r>
              <w:rPr>
                <w:rFonts w:ascii="Arial" w:cs="Arial" w:eastAsia="Arial" w:hAnsi="Arial"/>
                <w:sz w:val="16"/>
                <w:szCs w:val="16"/>
                <w:color w:val="auto"/>
              </w:rPr>
              <w:t>Wind and Solar Purchases</w:t>
            </w:r>
          </w:p>
        </w:tc>
        <w:tc>
          <w:tcPr>
            <w:tcW w:w="8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38.70</w:t>
            </w:r>
          </w:p>
        </w:tc>
        <w:tc>
          <w:tcPr>
            <w:tcW w:w="9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34.99</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33.78</w:t>
            </w:r>
          </w:p>
        </w:tc>
      </w:tr>
      <w:tr>
        <w:trPr>
          <w:trHeight w:val="183"/>
        </w:trPr>
        <w:tc>
          <w:tcPr>
            <w:tcW w:w="706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Total Purchased Power Weighted Average Cost</w:t>
            </w:r>
          </w:p>
        </w:tc>
        <w:tc>
          <w:tcPr>
            <w:tcW w:w="840" w:type="dxa"/>
            <w:vAlign w:val="bottom"/>
            <w:tcBorders>
              <w:bottom w:val="single" w:sz="8" w:color="auto"/>
            </w:tcBorders>
            <w:shd w:val="clear" w:color="auto" w:fill="CFF0FC"/>
          </w:tcPr>
          <w:p>
            <w:pPr>
              <w:spacing w:after="0"/>
              <w:rPr>
                <w:sz w:val="15"/>
                <w:szCs w:val="15"/>
                <w:color w:val="auto"/>
              </w:rPr>
            </w:pPr>
          </w:p>
        </w:tc>
        <w:tc>
          <w:tcPr>
            <w:tcW w:w="5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99"/>
              </w:rPr>
              <w:t>52.79</w:t>
            </w:r>
          </w:p>
        </w:tc>
        <w:tc>
          <w:tcPr>
            <w:tcW w:w="900" w:type="dxa"/>
            <w:vAlign w:val="bottom"/>
            <w:tcBorders>
              <w:bottom w:val="single" w:sz="8" w:color="auto"/>
            </w:tcBorders>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99"/>
              </w:rPr>
              <w:t>51.68</w:t>
            </w:r>
          </w:p>
        </w:tc>
        <w:tc>
          <w:tcPr>
            <w:tcW w:w="34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61.56</w:t>
            </w:r>
          </w:p>
        </w:tc>
      </w:tr>
      <w:tr>
        <w:trPr>
          <w:trHeight w:val="183"/>
        </w:trPr>
        <w:tc>
          <w:tcPr>
            <w:tcW w:w="7060" w:type="dxa"/>
            <w:vAlign w:val="bottom"/>
          </w:tcPr>
          <w:p>
            <w:pPr>
              <w:ind w:left="20"/>
              <w:spacing w:after="0" w:line="183" w:lineRule="exact"/>
              <w:rPr>
                <w:sz w:val="20"/>
                <w:szCs w:val="20"/>
                <w:color w:val="auto"/>
              </w:rPr>
            </w:pPr>
            <w:r>
              <w:rPr>
                <w:rFonts w:ascii="Arial" w:cs="Arial" w:eastAsia="Arial" w:hAnsi="Arial"/>
                <w:sz w:val="16"/>
                <w:szCs w:val="16"/>
                <w:color w:val="auto"/>
              </w:rPr>
              <w:t>Total Weighted Average Fuel and Purchased Power Cost</w:t>
            </w:r>
          </w:p>
        </w:tc>
        <w:tc>
          <w:tcPr>
            <w:tcW w:w="840" w:type="dxa"/>
            <w:vAlign w:val="bottom"/>
            <w:tcBorders>
              <w:bottom w:val="single" w:sz="8" w:color="auto"/>
            </w:tcBorders>
          </w:tcPr>
          <w:p>
            <w:pPr>
              <w:jc w:val="right"/>
              <w:ind w:right="639"/>
              <w:spacing w:after="0" w:line="183" w:lineRule="exact"/>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99"/>
              </w:rPr>
              <w:t>24.66</w:t>
            </w:r>
          </w:p>
        </w:tc>
        <w:tc>
          <w:tcPr>
            <w:tcW w:w="900" w:type="dxa"/>
            <w:vAlign w:val="bottom"/>
            <w:tcBorders>
              <w:bottom w:val="single" w:sz="8" w:color="auto"/>
            </w:tcBorders>
          </w:tcPr>
          <w:p>
            <w:pPr>
              <w:jc w:val="right"/>
              <w:ind w:right="659"/>
              <w:spacing w:after="0" w:line="183" w:lineRule="exact"/>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99"/>
              </w:rPr>
              <w:t>25.39</w:t>
            </w:r>
          </w:p>
        </w:tc>
        <w:tc>
          <w:tcPr>
            <w:tcW w:w="34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32.82</w:t>
            </w:r>
          </w:p>
        </w:tc>
      </w:tr>
      <w:tr>
        <w:trPr>
          <w:trHeight w:val="20"/>
        </w:trPr>
        <w:tc>
          <w:tcPr>
            <w:tcW w:w="70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b w:val="1"/>
          <w:bCs w:val="1"/>
          <w:i w:val="1"/>
          <w:iCs w:val="1"/>
          <w:color w:val="auto"/>
        </w:rPr>
        <w:t xml:space="preserve">Purchased Power. </w:t>
      </w:r>
      <w:r>
        <w:rPr>
          <w:rFonts w:ascii="Arial" w:cs="Arial" w:eastAsia="Arial" w:hAnsi="Arial"/>
          <w:sz w:val="16"/>
          <w:szCs w:val="16"/>
          <w:color w:val="auto"/>
        </w:rPr>
        <w:t>We have executed various PPAs to support our Electric Utilities’ capacity and energy needs beyond our regulated power plants’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generation, which include long-term related party agreements with our non-regulated power generation businesses. See additional information in </w:t>
      </w:r>
      <w:r>
        <w:rPr>
          <w:rFonts w:ascii="Arial" w:cs="Arial" w:eastAsia="Arial" w:hAnsi="Arial"/>
          <w:sz w:val="16"/>
          <w:szCs w:val="16"/>
          <w:u w:val="single" w:color="auto"/>
          <w:color w:val="0000FF"/>
        </w:rPr>
        <w:t>Note 3</w:t>
      </w:r>
      <w:r>
        <w:rPr>
          <w:rFonts w:ascii="Arial" w:cs="Arial" w:eastAsia="Arial" w:hAnsi="Arial"/>
          <w:sz w:val="16"/>
          <w:szCs w:val="16"/>
          <w:color w:val="auto"/>
        </w:rPr>
        <w:t xml:space="preserve">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6604000</wp:posOffset>
            </wp:positionH>
            <wp:positionV relativeFrom="paragraph">
              <wp:posOffset>-156210</wp:posOffset>
            </wp:positionV>
            <wp:extent cx="30289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24"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b w:val="1"/>
          <w:bCs w:val="1"/>
          <w:i w:val="1"/>
          <w:iCs w:val="1"/>
          <w:color w:val="auto"/>
        </w:rPr>
        <w:t xml:space="preserve">Coal Mining. </w:t>
      </w:r>
      <w:r>
        <w:rPr>
          <w:rFonts w:ascii="Arial" w:cs="Arial" w:eastAsia="Arial" w:hAnsi="Arial"/>
          <w:sz w:val="16"/>
          <w:szCs w:val="16"/>
          <w:color w:val="auto"/>
        </w:rPr>
        <w:t>We own and operate a single coal mine through our WRDC subsidiary which is reported within our Electric Utilities segment. We surface mine,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process and sell low-sulfur sub-bituminous coal at our mine located immediately adjacent to our Gillette Energy Complex in the Powder River Basin in northeastern Wyoming, where our five coal-fired power plants are located. We produced approximately 3.7 million tons of coal in 2024.</w:t>
      </w:r>
    </w:p>
    <w:p>
      <w:pPr>
        <w:spacing w:after="0" w:line="144"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The mine provides low-sulfur coal directly to these five power plants via a conveyor belt system, minimizing transportation costs. The fuel can be delivered to our adjacent power plants at very cost competitive prices (i.e., $1.19 per MMBtu for year ended December 31, 2024) when compared to alternatives. Nearly all of the mine’s production is sold to our on-site generation facilities under long-term supply contracts.</w:t>
      </w:r>
    </w:p>
    <w:p>
      <w:pPr>
        <w:spacing w:after="0" w:line="144"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As of December 31, 2024, we estimated our recoverable reserves to be approximately 175 million tons, based on a life-of-mine engineering study utilizing currently available drilling data and geological information prepared by internal engineering analyses. The recoverable reserve life is equal to approximately 47 years at the current production levels.</w:t>
      </w:r>
    </w:p>
    <w:p>
      <w:pPr>
        <w:spacing w:after="0" w:line="144"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b w:val="1"/>
          <w:bCs w:val="1"/>
          <w:i w:val="1"/>
          <w:iCs w:val="1"/>
          <w:color w:val="auto"/>
        </w:rPr>
        <w:t xml:space="preserve">Transmission and Distribution. </w:t>
      </w:r>
      <w:r>
        <w:rPr>
          <w:rFonts w:ascii="Arial" w:cs="Arial" w:eastAsia="Arial" w:hAnsi="Arial"/>
          <w:sz w:val="16"/>
          <w:szCs w:val="16"/>
          <w:color w:val="auto"/>
        </w:rPr>
        <w:t>Through our Electric Utilities, we own electric transmission and distribution systems composed of high voltage lines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(greater than 69 kV) and low voltage lines (69 kV or less). We also jointly operate an electric transmission system, referred to as the Common Use System, with Basin Electric Power Cooperative and Powder River Energy Corporation. Each participant in the Common Use System individually owns assets that are operated together for a single system. The Common Use System also provides transmission service to our Transmission Tie. South Dakota Electric owns 35% of the Transmission Tie. The Transmission Tie is further discussed in </w:t>
      </w:r>
      <w:r>
        <w:rPr>
          <w:rFonts w:ascii="Arial" w:cs="Arial" w:eastAsia="Arial" w:hAnsi="Arial"/>
          <w:sz w:val="16"/>
          <w:szCs w:val="16"/>
          <w:u w:val="single" w:color="auto"/>
          <w:color w:val="0000FF"/>
        </w:rPr>
        <w:t>Note 6</w:t>
      </w:r>
      <w:r>
        <w:rPr>
          <w:rFonts w:ascii="Arial" w:cs="Arial" w:eastAsia="Arial" w:hAnsi="Arial"/>
          <w:sz w:val="16"/>
          <w:szCs w:val="16"/>
          <w:color w:val="auto"/>
        </w:rPr>
        <w:t xml:space="preserve">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3406775</wp:posOffset>
            </wp:positionH>
            <wp:positionV relativeFrom="paragraph">
              <wp:posOffset>-27940</wp:posOffset>
            </wp:positionV>
            <wp:extent cx="30289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2024, our Electric Utilities owned the electric transmission and distribution lines shown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Utility</w:t>
            </w:r>
          </w:p>
        </w:tc>
        <w:tc>
          <w:tcPr>
            <w:tcW w:w="3780" w:type="dxa"/>
            <w:vAlign w:val="bottom"/>
            <w:tcBorders>
              <w:bottom w:val="single" w:sz="8" w:color="auto"/>
            </w:tcBorders>
          </w:tcPr>
          <w:p>
            <w:pPr>
              <w:jc w:val="center"/>
              <w:ind w:left="319"/>
              <w:spacing w:after="0"/>
              <w:rPr>
                <w:sz w:val="20"/>
                <w:szCs w:val="20"/>
                <w:color w:val="auto"/>
              </w:rPr>
            </w:pPr>
            <w:r>
              <w:rPr>
                <w:rFonts w:ascii="Arial" w:cs="Arial" w:eastAsia="Arial" w:hAnsi="Arial"/>
                <w:sz w:val="16"/>
                <w:szCs w:val="16"/>
                <w:b w:val="1"/>
                <w:bCs w:val="1"/>
                <w:color w:val="auto"/>
                <w:w w:val="97"/>
              </w:rPr>
              <w:t>State</w:t>
            </w:r>
          </w:p>
        </w:tc>
        <w:tc>
          <w:tcPr>
            <w:tcW w:w="280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b w:val="1"/>
                <w:bCs w:val="1"/>
                <w:color w:val="auto"/>
              </w:rPr>
              <w:t xml:space="preserve">Transmission </w:t>
            </w:r>
            <w:r>
              <w:rPr>
                <w:rFonts w:ascii="Arial" w:cs="Arial" w:eastAsia="Arial" w:hAnsi="Arial"/>
                <w:sz w:val="21"/>
                <w:szCs w:val="21"/>
                <w:b w:val="1"/>
                <w:bCs w:val="1"/>
                <w:color w:val="auto"/>
                <w:vertAlign w:val="superscript"/>
              </w:rPr>
              <w:t>(a)</w:t>
            </w:r>
          </w:p>
        </w:tc>
        <w:tc>
          <w:tcPr>
            <w:tcW w:w="17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Distribution</w:t>
            </w:r>
          </w:p>
        </w:tc>
      </w:tr>
      <w:tr>
        <w:trPr>
          <w:trHeight w:val="183"/>
        </w:trPr>
        <w:tc>
          <w:tcPr>
            <w:tcW w:w="296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280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(in Line Miles)</w:t>
            </w:r>
          </w:p>
        </w:tc>
        <w:tc>
          <w:tcPr>
            <w:tcW w:w="1700" w:type="dxa"/>
            <w:vAlign w:val="bottom"/>
            <w:tcBorders>
              <w:bottom w:val="single" w:sz="8" w:color="auto"/>
            </w:tcBorders>
          </w:tcPr>
          <w:p>
            <w:pPr>
              <w:spacing w:after="0"/>
              <w:rPr>
                <w:sz w:val="15"/>
                <w:szCs w:val="15"/>
                <w:color w:val="auto"/>
              </w:rPr>
            </w:pPr>
          </w:p>
        </w:tc>
      </w:tr>
      <w:tr>
        <w:trPr>
          <w:trHeight w:val="183"/>
        </w:trPr>
        <w:tc>
          <w:tcPr>
            <w:tcW w:w="29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Colorado Electric</w:t>
            </w:r>
          </w:p>
        </w:tc>
        <w:tc>
          <w:tcPr>
            <w:tcW w:w="3780" w:type="dxa"/>
            <w:vAlign w:val="bottom"/>
            <w:shd w:val="clear" w:color="auto" w:fill="CFF0FC"/>
          </w:tcPr>
          <w:p>
            <w:pPr>
              <w:jc w:val="center"/>
              <w:ind w:left="319"/>
              <w:spacing w:after="0" w:line="183" w:lineRule="exact"/>
              <w:rPr>
                <w:sz w:val="20"/>
                <w:szCs w:val="20"/>
                <w:color w:val="auto"/>
              </w:rPr>
            </w:pPr>
            <w:r>
              <w:rPr>
                <w:rFonts w:ascii="Arial" w:cs="Arial" w:eastAsia="Arial" w:hAnsi="Arial"/>
                <w:sz w:val="16"/>
                <w:szCs w:val="16"/>
                <w:color w:val="auto"/>
              </w:rPr>
              <w:t>Colorado</w:t>
            </w:r>
          </w:p>
        </w:tc>
        <w:tc>
          <w:tcPr>
            <w:tcW w:w="2800" w:type="dxa"/>
            <w:vAlign w:val="bottom"/>
            <w:shd w:val="clear" w:color="auto" w:fill="CFF0FC"/>
          </w:tcPr>
          <w:p>
            <w:pPr>
              <w:jc w:val="right"/>
              <w:ind w:right="479"/>
              <w:spacing w:after="0" w:line="183" w:lineRule="exact"/>
              <w:rPr>
                <w:sz w:val="20"/>
                <w:szCs w:val="20"/>
                <w:color w:val="auto"/>
              </w:rPr>
            </w:pPr>
            <w:r>
              <w:rPr>
                <w:rFonts w:ascii="Arial" w:cs="Arial" w:eastAsia="Arial" w:hAnsi="Arial"/>
                <w:sz w:val="16"/>
                <w:szCs w:val="16"/>
                <w:color w:val="auto"/>
              </w:rPr>
              <w:t>655</w:t>
            </w:r>
          </w:p>
        </w:tc>
        <w:tc>
          <w:tcPr>
            <w:tcW w:w="170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3,222</w:t>
            </w:r>
          </w:p>
        </w:tc>
      </w:tr>
      <w:tr>
        <w:trPr>
          <w:trHeight w:val="189"/>
        </w:trPr>
        <w:tc>
          <w:tcPr>
            <w:tcW w:w="2960" w:type="dxa"/>
            <w:vAlign w:val="bottom"/>
          </w:tcPr>
          <w:p>
            <w:pPr>
              <w:ind w:left="20"/>
              <w:spacing w:after="0" w:line="189" w:lineRule="exact"/>
              <w:rPr>
                <w:sz w:val="20"/>
                <w:szCs w:val="20"/>
                <w:color w:val="auto"/>
              </w:rPr>
            </w:pPr>
            <w:r>
              <w:rPr>
                <w:rFonts w:ascii="Arial" w:cs="Arial" w:eastAsia="Arial" w:hAnsi="Arial"/>
                <w:sz w:val="16"/>
                <w:szCs w:val="16"/>
                <w:color w:val="auto"/>
              </w:rPr>
              <w:t xml:space="preserve">South Dakota Electric </w:t>
            </w:r>
            <w:r>
              <w:rPr>
                <w:rFonts w:ascii="Arial" w:cs="Arial" w:eastAsia="Arial" w:hAnsi="Arial"/>
                <w:sz w:val="21"/>
                <w:szCs w:val="21"/>
                <w:color w:val="auto"/>
                <w:vertAlign w:val="superscript"/>
              </w:rPr>
              <w:t>(b)</w:t>
            </w:r>
          </w:p>
        </w:tc>
        <w:tc>
          <w:tcPr>
            <w:tcW w:w="3780" w:type="dxa"/>
            <w:vAlign w:val="bottom"/>
          </w:tcPr>
          <w:p>
            <w:pPr>
              <w:jc w:val="center"/>
              <w:ind w:left="319"/>
              <w:spacing w:after="0"/>
              <w:rPr>
                <w:sz w:val="20"/>
                <w:szCs w:val="20"/>
                <w:color w:val="auto"/>
              </w:rPr>
            </w:pPr>
            <w:r>
              <w:rPr>
                <w:rFonts w:ascii="Arial" w:cs="Arial" w:eastAsia="Arial" w:hAnsi="Arial"/>
                <w:sz w:val="16"/>
                <w:szCs w:val="16"/>
                <w:color w:val="auto"/>
              </w:rPr>
              <w:t>South Dakota, Wyoming</w:t>
            </w:r>
          </w:p>
        </w:tc>
        <w:tc>
          <w:tcPr>
            <w:tcW w:w="2800" w:type="dxa"/>
            <w:vAlign w:val="bottom"/>
          </w:tcPr>
          <w:p>
            <w:pPr>
              <w:jc w:val="right"/>
              <w:ind w:right="479"/>
              <w:spacing w:after="0"/>
              <w:rPr>
                <w:sz w:val="20"/>
                <w:szCs w:val="20"/>
                <w:color w:val="auto"/>
              </w:rPr>
            </w:pPr>
            <w:r>
              <w:rPr>
                <w:rFonts w:ascii="Arial" w:cs="Arial" w:eastAsia="Arial" w:hAnsi="Arial"/>
                <w:sz w:val="16"/>
                <w:szCs w:val="16"/>
                <w:color w:val="auto"/>
              </w:rPr>
              <w:t>1,234</w:t>
            </w:r>
          </w:p>
        </w:tc>
        <w:tc>
          <w:tcPr>
            <w:tcW w:w="1700" w:type="dxa"/>
            <w:vAlign w:val="bottom"/>
          </w:tcPr>
          <w:p>
            <w:pPr>
              <w:jc w:val="right"/>
              <w:ind w:right="59"/>
              <w:spacing w:after="0"/>
              <w:rPr>
                <w:sz w:val="20"/>
                <w:szCs w:val="20"/>
                <w:color w:val="auto"/>
              </w:rPr>
            </w:pPr>
            <w:r>
              <w:rPr>
                <w:rFonts w:ascii="Arial" w:cs="Arial" w:eastAsia="Arial" w:hAnsi="Arial"/>
                <w:sz w:val="16"/>
                <w:szCs w:val="16"/>
                <w:color w:val="auto"/>
              </w:rPr>
              <w:t>2,627</w:t>
            </w:r>
          </w:p>
        </w:tc>
      </w:tr>
      <w:tr>
        <w:trPr>
          <w:trHeight w:val="189"/>
        </w:trPr>
        <w:tc>
          <w:tcPr>
            <w:tcW w:w="2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Wyoming Electric</w:t>
            </w:r>
          </w:p>
        </w:tc>
        <w:tc>
          <w:tcPr>
            <w:tcW w:w="3780" w:type="dxa"/>
            <w:vAlign w:val="bottom"/>
            <w:tcBorders>
              <w:bottom w:val="single" w:sz="8" w:color="CFF0FC"/>
            </w:tcBorders>
            <w:shd w:val="clear" w:color="auto" w:fill="CFF0FC"/>
          </w:tcPr>
          <w:p>
            <w:pPr>
              <w:jc w:val="center"/>
              <w:ind w:left="319"/>
              <w:spacing w:after="0"/>
              <w:rPr>
                <w:sz w:val="20"/>
                <w:szCs w:val="20"/>
                <w:color w:val="auto"/>
              </w:rPr>
            </w:pPr>
            <w:r>
              <w:rPr>
                <w:rFonts w:ascii="Arial" w:cs="Arial" w:eastAsia="Arial" w:hAnsi="Arial"/>
                <w:sz w:val="16"/>
                <w:szCs w:val="16"/>
                <w:color w:val="auto"/>
                <w:w w:val="98"/>
              </w:rPr>
              <w:t>Wyoming</w:t>
            </w:r>
          </w:p>
        </w:tc>
        <w:tc>
          <w:tcPr>
            <w:tcW w:w="2800" w:type="dxa"/>
            <w:vAlign w:val="bottom"/>
            <w:tcBorders>
              <w:bottom w:val="single" w:sz="8" w:color="auto"/>
            </w:tcBorders>
            <w:shd w:val="clear" w:color="auto" w:fill="CFF0FC"/>
          </w:tcPr>
          <w:p>
            <w:pPr>
              <w:jc w:val="right"/>
              <w:ind w:right="479"/>
              <w:spacing w:after="0"/>
              <w:rPr>
                <w:sz w:val="20"/>
                <w:szCs w:val="20"/>
                <w:color w:val="auto"/>
              </w:rPr>
            </w:pPr>
            <w:r>
              <w:rPr>
                <w:rFonts w:ascii="Arial" w:cs="Arial" w:eastAsia="Arial" w:hAnsi="Arial"/>
                <w:sz w:val="16"/>
                <w:szCs w:val="16"/>
                <w:color w:val="auto"/>
              </w:rPr>
              <w:t>88</w:t>
            </w:r>
          </w:p>
        </w:tc>
        <w:tc>
          <w:tcPr>
            <w:tcW w:w="17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1,370</w:t>
            </w:r>
          </w:p>
        </w:tc>
      </w:tr>
      <w:tr>
        <w:trPr>
          <w:trHeight w:val="208"/>
        </w:trPr>
        <w:tc>
          <w:tcPr>
            <w:tcW w:w="29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800" w:type="dxa"/>
            <w:vAlign w:val="bottom"/>
          </w:tcPr>
          <w:p>
            <w:pPr>
              <w:jc w:val="right"/>
              <w:ind w:right="479"/>
              <w:spacing w:after="0"/>
              <w:rPr>
                <w:sz w:val="20"/>
                <w:szCs w:val="20"/>
                <w:color w:val="auto"/>
              </w:rPr>
            </w:pPr>
            <w:r>
              <w:rPr>
                <w:rFonts w:ascii="Arial" w:cs="Arial" w:eastAsia="Arial" w:hAnsi="Arial"/>
                <w:sz w:val="16"/>
                <w:szCs w:val="16"/>
                <w:color w:val="auto"/>
              </w:rPr>
              <w:t>1,977</w:t>
            </w:r>
          </w:p>
        </w:tc>
        <w:tc>
          <w:tcPr>
            <w:tcW w:w="1700" w:type="dxa"/>
            <w:vAlign w:val="bottom"/>
          </w:tcPr>
          <w:p>
            <w:pPr>
              <w:jc w:val="right"/>
              <w:ind w:right="59"/>
              <w:spacing w:after="0"/>
              <w:rPr>
                <w:sz w:val="20"/>
                <w:szCs w:val="20"/>
                <w:color w:val="auto"/>
              </w:rPr>
            </w:pPr>
            <w:r>
              <w:rPr>
                <w:rFonts w:ascii="Arial" w:cs="Arial" w:eastAsia="Arial" w:hAnsi="Arial"/>
                <w:sz w:val="16"/>
                <w:szCs w:val="16"/>
                <w:color w:val="auto"/>
              </w:rPr>
              <w:t>7,219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-15875</wp:posOffset>
            </wp:positionV>
            <wp:extent cx="28632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6321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635</wp:posOffset>
            </wp:positionV>
            <wp:extent cx="28632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____________________</w:t>
      </w:r>
    </w:p>
    <w:p>
      <w:pPr>
        <w:spacing w:after="0" w:line="40"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Electric transmission line miles include voltages of 69 kV and above.</w:t>
      </w:r>
    </w:p>
    <w:p>
      <w:pPr>
        <w:spacing w:after="0" w:line="15" w:lineRule="exact"/>
        <w:rPr>
          <w:rFonts w:ascii="Arial" w:cs="Arial" w:eastAsia="Arial" w:hAnsi="Arial"/>
          <w:sz w:val="14"/>
          <w:szCs w:val="14"/>
          <w:color w:val="auto"/>
        </w:rPr>
      </w:pPr>
    </w:p>
    <w:p>
      <w:pPr>
        <w:ind w:left="520" w:hanging="512"/>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South Dakota Electric transmission line miles include 43 miles within the Common Use System.</w:t>
      </w:r>
    </w:p>
    <w:p>
      <w:pPr>
        <w:spacing w:after="0" w:line="17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 xml:space="preserve">Material transmission services agreements are included in our disclosures in </w:t>
      </w:r>
      <w:r>
        <w:rPr>
          <w:rFonts w:ascii="Arial" w:cs="Arial" w:eastAsia="Arial" w:hAnsi="Arial"/>
          <w:sz w:val="16"/>
          <w:szCs w:val="16"/>
          <w:u w:val="single" w:color="auto"/>
          <w:color w:val="0000FF"/>
        </w:rPr>
        <w:t>Note 3</w:t>
      </w:r>
      <w:r>
        <w:rPr>
          <w:rFonts w:ascii="Arial" w:cs="Arial" w:eastAsia="Arial" w:hAnsi="Arial"/>
          <w:sz w:val="16"/>
          <w:szCs w:val="16"/>
          <w:color w:val="auto"/>
        </w:rPr>
        <w:t xml:space="preserve">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3509645</wp:posOffset>
            </wp:positionH>
            <wp:positionV relativeFrom="paragraph">
              <wp:posOffset>-165735</wp:posOffset>
            </wp:positionV>
            <wp:extent cx="30289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09"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b w:val="1"/>
          <w:bCs w:val="1"/>
          <w:i w:val="1"/>
          <w:iCs w:val="1"/>
          <w:color w:val="auto"/>
        </w:rPr>
        <w:t xml:space="preserve">Seasonal Variations of Business. </w:t>
      </w:r>
      <w:r>
        <w:rPr>
          <w:rFonts w:ascii="Arial" w:cs="Arial" w:eastAsia="Arial" w:hAnsi="Arial"/>
          <w:sz w:val="16"/>
          <w:szCs w:val="16"/>
          <w:color w:val="auto"/>
        </w:rPr>
        <w:t>Our Electric Utilities are seasonal businesses and weather patterns may impact their operating results. Demand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electricity is sensitive to seasonal cooling, heating and industrial load requirements, as well as market price. In particular, cooling demand is often greater in the summer and heating demand is often greater in the winter.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b w:val="1"/>
          <w:bCs w:val="1"/>
          <w:i w:val="1"/>
          <w:iCs w:val="1"/>
          <w:color w:val="auto"/>
        </w:rPr>
        <w:t xml:space="preserve">Competition. </w:t>
      </w:r>
      <w:r>
        <w:rPr>
          <w:rFonts w:ascii="Arial" w:cs="Arial" w:eastAsia="Arial" w:hAnsi="Arial"/>
          <w:sz w:val="16"/>
          <w:szCs w:val="16"/>
          <w:color w:val="auto"/>
        </w:rPr>
        <w:t>We generally have limited competition for the retail generation and distribution of electricity in our service areas. Various legislative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regulatory restructuring and competitive initiatives have been discussed in several of the states in which our utilities operate. These initiatives would be aimed at increasing competition or providing for distributed generation. To date, these initiatives have not had a material impact on our utilities. In Colorado and Wyoming, our electric utilities are subject to rules which may require competitive bidding for generation supply. Because of these rules, our Electric Utilities face competition from other utilities and non-affiliated IPPs for the right to supply electric energy and capacity when resource plans require additional resources. Additionally, electrification initiatives in our service territories could increase demand for electricity and increase customer growth.</w:t>
      </w:r>
    </w:p>
    <w:p>
      <w:pPr>
        <w:spacing w:after="0" w:line="155"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The independent power industry consists of many strong and capable competitors, some of which may have more extensive operations or greater financial resources than we possess. With respect to the merchant power sector, FERC has taken steps to increase access to the national transmission grid by utility and non-utility purchasers and sellers of electricity to foster competition within the wholesale electricity markets. Our non-regulated power generation businesses could face greater competition if utilities are permitted to robustly invest in power generation assets. Conversely, state regulations requiring utilities to competitively bid generation resources may provide opportunity for IPPs in some regions. To date, these initiatives have not had a material impact on our non-regulated power generation businesses.</w:t>
      </w:r>
    </w:p>
    <w:p>
      <w:pPr>
        <w:spacing w:after="0" w:line="155"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Our mining business strategy is to sell nearly all of our production to on-site generation facilities under long-term supply contracts. Historically, any off-site sales have been to consumers within close proximity to WRDC. Coal competes with other energy sources, such as natural gas, nuclear, wind, solar, and hydropower. Costs and other factors relating to these alternative fuels, such as safety, environmental, and availability considerations affect the overall demand for coal as a fuel.</w:t>
      </w:r>
    </w:p>
    <w:p>
      <w:pPr>
        <w:spacing w:after="0" w:line="151"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b w:val="1"/>
          <w:bCs w:val="1"/>
          <w:i w:val="1"/>
          <w:iCs w:val="1"/>
          <w:color w:val="auto"/>
        </w:rPr>
        <w:t>Operating Statistics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See a summary of key operating statistics in the</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0000FF"/>
        </w:rPr>
        <w:t>Electric Utilities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segment operating results within Management’s Discussion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Analysis of Financial Condition and Results of Operations in </w:t>
      </w:r>
      <w:r>
        <w:rPr>
          <w:rFonts w:ascii="Arial" w:cs="Arial" w:eastAsia="Arial" w:hAnsi="Arial"/>
          <w:sz w:val="16"/>
          <w:szCs w:val="16"/>
          <w:u w:val="single" w:color="auto"/>
          <w:color w:val="0000FF"/>
        </w:rPr>
        <w:t>Item 7</w:t>
      </w:r>
      <w:r>
        <w:rPr>
          <w:rFonts w:ascii="Arial" w:cs="Arial" w:eastAsia="Arial" w:hAnsi="Arial"/>
          <w:sz w:val="16"/>
          <w:szCs w:val="16"/>
          <w:color w:val="auto"/>
        </w:rPr>
        <w:t xml:space="preserve">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3246755</wp:posOffset>
            </wp:positionH>
            <wp:positionV relativeFrom="paragraph">
              <wp:posOffset>-165735</wp:posOffset>
            </wp:positionV>
            <wp:extent cx="69723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7230" cy="8255"/>
                    </a:xfrm>
                    <a:prstGeom prst="rect">
                      <a:avLst/>
                    </a:prstGeom>
                    <a:noFill/>
                  </pic:spPr>
                </pic:pic>
              </a:graphicData>
            </a:graphic>
          </wp:anchor>
        </w:drawing>
        <w:drawing>
          <wp:anchor simplePos="0" relativeHeight="251657728" behindDoc="1" locked="0" layoutInCell="0" allowOverlap="1">
            <wp:simplePos x="0" y="0"/>
            <wp:positionH relativeFrom="column">
              <wp:posOffset>2760980</wp:posOffset>
            </wp:positionH>
            <wp:positionV relativeFrom="paragraph">
              <wp:posOffset>-45720</wp:posOffset>
            </wp:positionV>
            <wp:extent cx="2857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5750" cy="8255"/>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Gas Utilities</w:t>
      </w:r>
    </w:p>
    <w:p>
      <w:pPr>
        <w:spacing w:after="0" w:line="194" w:lineRule="exact"/>
        <w:rPr>
          <w:sz w:val="20"/>
          <w:szCs w:val="20"/>
          <w:color w:val="auto"/>
        </w:rPr>
      </w:pPr>
    </w:p>
    <w:p>
      <w:pPr>
        <w:jc w:val="both"/>
        <w:ind w:right="120"/>
        <w:spacing w:after="0" w:line="266" w:lineRule="auto"/>
        <w:rPr>
          <w:sz w:val="20"/>
          <w:szCs w:val="20"/>
          <w:color w:val="auto"/>
        </w:rPr>
      </w:pPr>
      <w:r>
        <w:rPr>
          <w:rFonts w:ascii="Arial" w:cs="Arial" w:eastAsia="Arial" w:hAnsi="Arial"/>
          <w:sz w:val="16"/>
          <w:szCs w:val="16"/>
          <w:color w:val="auto"/>
        </w:rPr>
        <w:t>We conduct natural gas utility operations through our Arkansas, Colorado, Iowa, Kansas, Nebraska, and Wyoming subsidiaries. Our Gas Utilities transport and distribute natural gas through our distribution network to our retail customers. Additionally, we sell contractual pipeline capacity and gas commodities to other utilities and marketing companies, including our affiliates, on an as-available basis.</w:t>
      </w:r>
    </w:p>
    <w:p>
      <w:pPr>
        <w:spacing w:after="0" w:line="144" w:lineRule="exact"/>
        <w:rPr>
          <w:sz w:val="20"/>
          <w:szCs w:val="20"/>
          <w:color w:val="auto"/>
        </w:rPr>
      </w:pPr>
    </w:p>
    <w:p>
      <w:pPr>
        <w:jc w:val="both"/>
        <w:ind w:right="140"/>
        <w:spacing w:after="0" w:line="266" w:lineRule="auto"/>
        <w:rPr>
          <w:sz w:val="20"/>
          <w:szCs w:val="20"/>
          <w:color w:val="auto"/>
        </w:rPr>
      </w:pPr>
      <w:r>
        <w:rPr>
          <w:rFonts w:ascii="Arial" w:cs="Arial" w:eastAsia="Arial" w:hAnsi="Arial"/>
          <w:sz w:val="16"/>
          <w:szCs w:val="16"/>
          <w:color w:val="auto"/>
        </w:rPr>
        <w:t>We also provide non-regulated services to our regulated customers. Black Hills Energy Services provides natural gas supply to approximately 51,000 retail distribution customers under the Choice Gas Program in Nebraska and Wyoming. Additionally, we provide non-regulated services under the Service Guard Comfort Plan, Tech Services, and HomeServe.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180" w:type="dxa"/>
            <w:vAlign w:val="bottom"/>
          </w:tcPr>
          <w:p>
            <w:pPr>
              <w:jc w:val="right"/>
              <w:ind w:right="479"/>
              <w:spacing w:after="0"/>
              <w:rPr>
                <w:sz w:val="20"/>
                <w:szCs w:val="20"/>
                <w:color w:val="auto"/>
              </w:rPr>
            </w:pPr>
            <w:r>
              <w:rPr>
                <w:rFonts w:ascii="Arial" w:cs="Arial" w:eastAsia="Arial" w:hAnsi="Arial"/>
                <w:sz w:val="16"/>
                <w:szCs w:val="16"/>
                <w:b w:val="1"/>
                <w:bCs w:val="1"/>
                <w:color w:val="auto"/>
              </w:rPr>
              <w:t>As of December 31,</w:t>
            </w:r>
          </w:p>
        </w:tc>
        <w:tc>
          <w:tcPr>
            <w:tcW w:w="1620" w:type="dxa"/>
            <w:vAlign w:val="bottom"/>
          </w:tcPr>
          <w:p>
            <w:pPr>
              <w:spacing w:after="0"/>
              <w:rPr>
                <w:sz w:val="16"/>
                <w:szCs w:val="16"/>
                <w:color w:val="auto"/>
              </w:rPr>
            </w:pPr>
          </w:p>
        </w:tc>
      </w:tr>
      <w:tr>
        <w:trPr>
          <w:trHeight w:val="203"/>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Retail Customers by Customer Class</w:t>
            </w:r>
          </w:p>
        </w:tc>
        <w:tc>
          <w:tcPr>
            <w:tcW w:w="192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2024</w:t>
            </w:r>
          </w:p>
        </w:tc>
        <w:tc>
          <w:tcPr>
            <w:tcW w:w="2180" w:type="dxa"/>
            <w:vAlign w:val="bottom"/>
            <w:tcBorders>
              <w:bottom w:val="single" w:sz="8" w:color="auto"/>
            </w:tcBorders>
          </w:tcPr>
          <w:p>
            <w:pPr>
              <w:jc w:val="right"/>
              <w:ind w:right="1019"/>
              <w:spacing w:after="0"/>
              <w:rPr>
                <w:sz w:val="20"/>
                <w:szCs w:val="20"/>
                <w:color w:val="auto"/>
              </w:rPr>
            </w:pPr>
            <w:r>
              <w:rPr>
                <w:rFonts w:ascii="Arial" w:cs="Arial" w:eastAsia="Arial" w:hAnsi="Arial"/>
                <w:sz w:val="16"/>
                <w:szCs w:val="16"/>
                <w:b w:val="1"/>
                <w:bCs w:val="1"/>
                <w:color w:val="auto"/>
              </w:rPr>
              <w:t>2023</w:t>
            </w:r>
          </w:p>
        </w:tc>
        <w:tc>
          <w:tcPr>
            <w:tcW w:w="162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2022</w:t>
            </w:r>
          </w:p>
        </w:tc>
      </w:tr>
      <w:tr>
        <w:trPr>
          <w:trHeight w:val="183"/>
        </w:trPr>
        <w:tc>
          <w:tcPr>
            <w:tcW w:w="55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Residential</w:t>
            </w:r>
          </w:p>
        </w:tc>
        <w:tc>
          <w:tcPr>
            <w:tcW w:w="192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882,232</w:t>
            </w:r>
          </w:p>
        </w:tc>
        <w:tc>
          <w:tcPr>
            <w:tcW w:w="2180" w:type="dxa"/>
            <w:vAlign w:val="bottom"/>
            <w:shd w:val="clear" w:color="auto" w:fill="CFF0FC"/>
          </w:tcPr>
          <w:p>
            <w:pPr>
              <w:jc w:val="right"/>
              <w:ind w:right="339"/>
              <w:spacing w:after="0" w:line="183" w:lineRule="exact"/>
              <w:rPr>
                <w:sz w:val="20"/>
                <w:szCs w:val="20"/>
                <w:color w:val="auto"/>
              </w:rPr>
            </w:pPr>
            <w:r>
              <w:rPr>
                <w:rFonts w:ascii="Arial" w:cs="Arial" w:eastAsia="Arial" w:hAnsi="Arial"/>
                <w:sz w:val="16"/>
                <w:szCs w:val="16"/>
                <w:color w:val="auto"/>
              </w:rPr>
              <w:t>871,930</w:t>
            </w:r>
          </w:p>
        </w:tc>
        <w:tc>
          <w:tcPr>
            <w:tcW w:w="162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864,038</w:t>
            </w:r>
          </w:p>
        </w:tc>
      </w:tr>
      <w:tr>
        <w:trPr>
          <w:trHeight w:val="189"/>
        </w:trPr>
        <w:tc>
          <w:tcPr>
            <w:tcW w:w="5520" w:type="dxa"/>
            <w:vAlign w:val="bottom"/>
          </w:tcPr>
          <w:p>
            <w:pPr>
              <w:ind w:left="20"/>
              <w:spacing w:after="0"/>
              <w:rPr>
                <w:sz w:val="20"/>
                <w:szCs w:val="20"/>
                <w:color w:val="auto"/>
              </w:rPr>
            </w:pPr>
            <w:r>
              <w:rPr>
                <w:rFonts w:ascii="Arial" w:cs="Arial" w:eastAsia="Arial" w:hAnsi="Arial"/>
                <w:sz w:val="16"/>
                <w:szCs w:val="16"/>
                <w:color w:val="auto"/>
              </w:rPr>
              <w:t>Commercial</w:t>
            </w:r>
          </w:p>
        </w:tc>
        <w:tc>
          <w:tcPr>
            <w:tcW w:w="1920" w:type="dxa"/>
            <w:vAlign w:val="bottom"/>
          </w:tcPr>
          <w:p>
            <w:pPr>
              <w:jc w:val="right"/>
              <w:ind w:right="59"/>
              <w:spacing w:after="0"/>
              <w:rPr>
                <w:sz w:val="20"/>
                <w:szCs w:val="20"/>
                <w:color w:val="auto"/>
              </w:rPr>
            </w:pPr>
            <w:r>
              <w:rPr>
                <w:rFonts w:ascii="Arial" w:cs="Arial" w:eastAsia="Arial" w:hAnsi="Arial"/>
                <w:sz w:val="16"/>
                <w:szCs w:val="16"/>
                <w:color w:val="auto"/>
              </w:rPr>
              <w:t>85,594</w:t>
            </w:r>
          </w:p>
        </w:tc>
        <w:tc>
          <w:tcPr>
            <w:tcW w:w="2180" w:type="dxa"/>
            <w:vAlign w:val="bottom"/>
          </w:tcPr>
          <w:p>
            <w:pPr>
              <w:jc w:val="right"/>
              <w:ind w:right="339"/>
              <w:spacing w:after="0"/>
              <w:rPr>
                <w:sz w:val="20"/>
                <w:szCs w:val="20"/>
                <w:color w:val="auto"/>
              </w:rPr>
            </w:pPr>
            <w:r>
              <w:rPr>
                <w:rFonts w:ascii="Arial" w:cs="Arial" w:eastAsia="Arial" w:hAnsi="Arial"/>
                <w:sz w:val="16"/>
                <w:szCs w:val="16"/>
                <w:color w:val="auto"/>
              </w:rPr>
              <w:t>84,917</w:t>
            </w:r>
          </w:p>
        </w:tc>
        <w:tc>
          <w:tcPr>
            <w:tcW w:w="1620" w:type="dxa"/>
            <w:vAlign w:val="bottom"/>
          </w:tcPr>
          <w:p>
            <w:pPr>
              <w:jc w:val="right"/>
              <w:ind w:right="59"/>
              <w:spacing w:after="0"/>
              <w:rPr>
                <w:sz w:val="20"/>
                <w:szCs w:val="20"/>
                <w:color w:val="auto"/>
              </w:rPr>
            </w:pPr>
            <w:r>
              <w:rPr>
                <w:rFonts w:ascii="Arial" w:cs="Arial" w:eastAsia="Arial" w:hAnsi="Arial"/>
                <w:sz w:val="16"/>
                <w:szCs w:val="16"/>
                <w:color w:val="auto"/>
              </w:rPr>
              <w:t>85,203</w:t>
            </w:r>
          </w:p>
        </w:tc>
      </w:tr>
      <w:tr>
        <w:trPr>
          <w:trHeight w:val="189"/>
        </w:trPr>
        <w:tc>
          <w:tcPr>
            <w:tcW w:w="5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Industrial</w:t>
            </w:r>
          </w:p>
        </w:tc>
        <w:tc>
          <w:tcPr>
            <w:tcW w:w="19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2,174</w:t>
            </w:r>
          </w:p>
        </w:tc>
        <w:tc>
          <w:tcPr>
            <w:tcW w:w="2180" w:type="dxa"/>
            <w:vAlign w:val="bottom"/>
            <w:shd w:val="clear" w:color="auto" w:fill="CFF0FC"/>
          </w:tcPr>
          <w:p>
            <w:pPr>
              <w:jc w:val="right"/>
              <w:ind w:right="339"/>
              <w:spacing w:after="0"/>
              <w:rPr>
                <w:sz w:val="20"/>
                <w:szCs w:val="20"/>
                <w:color w:val="auto"/>
              </w:rPr>
            </w:pPr>
            <w:r>
              <w:rPr>
                <w:rFonts w:ascii="Arial" w:cs="Arial" w:eastAsia="Arial" w:hAnsi="Arial"/>
                <w:sz w:val="16"/>
                <w:szCs w:val="16"/>
                <w:color w:val="auto"/>
              </w:rPr>
              <w:t>2,179</w:t>
            </w:r>
          </w:p>
        </w:tc>
        <w:tc>
          <w:tcPr>
            <w:tcW w:w="16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2,189</w:t>
            </w:r>
          </w:p>
        </w:tc>
      </w:tr>
      <w:tr>
        <w:trPr>
          <w:trHeight w:val="189"/>
        </w:trPr>
        <w:tc>
          <w:tcPr>
            <w:tcW w:w="5520" w:type="dxa"/>
            <w:vAlign w:val="bottom"/>
          </w:tcPr>
          <w:p>
            <w:pPr>
              <w:ind w:left="20"/>
              <w:spacing w:after="0"/>
              <w:rPr>
                <w:sz w:val="20"/>
                <w:szCs w:val="20"/>
                <w:color w:val="auto"/>
              </w:rPr>
            </w:pPr>
            <w:r>
              <w:rPr>
                <w:rFonts w:ascii="Arial" w:cs="Arial" w:eastAsia="Arial" w:hAnsi="Arial"/>
                <w:sz w:val="16"/>
                <w:szCs w:val="16"/>
                <w:color w:val="auto"/>
              </w:rPr>
              <w:t>Transportation</w:t>
            </w:r>
          </w:p>
        </w:tc>
        <w:tc>
          <w:tcPr>
            <w:tcW w:w="1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158,355</w:t>
            </w:r>
          </w:p>
        </w:tc>
        <w:tc>
          <w:tcPr>
            <w:tcW w:w="21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157,367</w:t>
            </w:r>
          </w:p>
        </w:tc>
        <w:tc>
          <w:tcPr>
            <w:tcW w:w="16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155,685</w:t>
            </w:r>
          </w:p>
        </w:tc>
      </w:tr>
      <w:tr>
        <w:trPr>
          <w:trHeight w:val="223"/>
        </w:trPr>
        <w:tc>
          <w:tcPr>
            <w:tcW w:w="552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Total Natural Gas Retail Customers at End of Year</w:t>
            </w:r>
          </w:p>
        </w:tc>
        <w:tc>
          <w:tcPr>
            <w:tcW w:w="192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1,128,355</w:t>
            </w:r>
          </w:p>
        </w:tc>
        <w:tc>
          <w:tcPr>
            <w:tcW w:w="2180" w:type="dxa"/>
            <w:vAlign w:val="bottom"/>
            <w:tcBorders>
              <w:bottom w:val="single" w:sz="8" w:color="auto"/>
            </w:tcBorders>
            <w:shd w:val="clear" w:color="auto" w:fill="CFF0FC"/>
          </w:tcPr>
          <w:p>
            <w:pPr>
              <w:jc w:val="right"/>
              <w:ind w:right="339"/>
              <w:spacing w:after="0" w:line="183" w:lineRule="exact"/>
              <w:rPr>
                <w:sz w:val="20"/>
                <w:szCs w:val="20"/>
                <w:color w:val="auto"/>
              </w:rPr>
            </w:pPr>
            <w:r>
              <w:rPr>
                <w:rFonts w:ascii="Arial" w:cs="Arial" w:eastAsia="Arial" w:hAnsi="Arial"/>
                <w:sz w:val="16"/>
                <w:szCs w:val="16"/>
                <w:color w:val="auto"/>
              </w:rPr>
              <w:t>1,116,393</w:t>
            </w:r>
          </w:p>
        </w:tc>
        <w:tc>
          <w:tcPr>
            <w:tcW w:w="162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1,107,115</w:t>
            </w: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180" w:type="dxa"/>
            <w:vAlign w:val="bottom"/>
          </w:tcPr>
          <w:p>
            <w:pPr>
              <w:jc w:val="right"/>
              <w:ind w:right="439"/>
              <w:spacing w:after="0"/>
              <w:rPr>
                <w:sz w:val="20"/>
                <w:szCs w:val="20"/>
                <w:color w:val="auto"/>
              </w:rPr>
            </w:pPr>
            <w:r>
              <w:rPr>
                <w:rFonts w:ascii="Arial" w:cs="Arial" w:eastAsia="Arial" w:hAnsi="Arial"/>
                <w:sz w:val="16"/>
                <w:szCs w:val="16"/>
                <w:b w:val="1"/>
                <w:bCs w:val="1"/>
                <w:color w:val="auto"/>
              </w:rPr>
              <w:t>As of December 31,</w:t>
            </w:r>
          </w:p>
        </w:tc>
        <w:tc>
          <w:tcPr>
            <w:tcW w:w="1620" w:type="dxa"/>
            <w:vAlign w:val="bottom"/>
          </w:tcPr>
          <w:p>
            <w:pPr>
              <w:spacing w:after="0"/>
              <w:rPr>
                <w:sz w:val="16"/>
                <w:szCs w:val="16"/>
                <w:color w:val="auto"/>
              </w:rPr>
            </w:pPr>
          </w:p>
        </w:tc>
      </w:tr>
      <w:tr>
        <w:trPr>
          <w:trHeight w:val="203"/>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Retail Customers by Business Unit</w:t>
            </w:r>
          </w:p>
        </w:tc>
        <w:tc>
          <w:tcPr>
            <w:tcW w:w="188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2024</w:t>
            </w:r>
          </w:p>
        </w:tc>
        <w:tc>
          <w:tcPr>
            <w:tcW w:w="2180" w:type="dxa"/>
            <w:vAlign w:val="bottom"/>
            <w:tcBorders>
              <w:bottom w:val="single" w:sz="8" w:color="auto"/>
            </w:tcBorders>
          </w:tcPr>
          <w:p>
            <w:pPr>
              <w:jc w:val="right"/>
              <w:ind w:right="1019"/>
              <w:spacing w:after="0"/>
              <w:rPr>
                <w:sz w:val="20"/>
                <w:szCs w:val="20"/>
                <w:color w:val="auto"/>
              </w:rPr>
            </w:pPr>
            <w:r>
              <w:rPr>
                <w:rFonts w:ascii="Arial" w:cs="Arial" w:eastAsia="Arial" w:hAnsi="Arial"/>
                <w:sz w:val="16"/>
                <w:szCs w:val="16"/>
                <w:b w:val="1"/>
                <w:bCs w:val="1"/>
                <w:color w:val="auto"/>
              </w:rPr>
              <w:t>2023</w:t>
            </w:r>
          </w:p>
        </w:tc>
        <w:tc>
          <w:tcPr>
            <w:tcW w:w="162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2022</w:t>
            </w:r>
          </w:p>
        </w:tc>
      </w:tr>
      <w:tr>
        <w:trPr>
          <w:trHeight w:val="183"/>
        </w:trPr>
        <w:tc>
          <w:tcPr>
            <w:tcW w:w="55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Arkansas Gas</w:t>
            </w:r>
          </w:p>
        </w:tc>
        <w:tc>
          <w:tcPr>
            <w:tcW w:w="18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189,240</w:t>
            </w:r>
          </w:p>
        </w:tc>
        <w:tc>
          <w:tcPr>
            <w:tcW w:w="2180" w:type="dxa"/>
            <w:vAlign w:val="bottom"/>
            <w:shd w:val="clear" w:color="auto" w:fill="CFF0FC"/>
          </w:tcPr>
          <w:p>
            <w:pPr>
              <w:jc w:val="right"/>
              <w:ind w:right="359"/>
              <w:spacing w:after="0" w:line="183" w:lineRule="exact"/>
              <w:rPr>
                <w:sz w:val="20"/>
                <w:szCs w:val="20"/>
                <w:color w:val="auto"/>
              </w:rPr>
            </w:pPr>
            <w:r>
              <w:rPr>
                <w:rFonts w:ascii="Arial" w:cs="Arial" w:eastAsia="Arial" w:hAnsi="Arial"/>
                <w:sz w:val="16"/>
                <w:szCs w:val="16"/>
                <w:color w:val="auto"/>
              </w:rPr>
              <w:t>186,216</w:t>
            </w:r>
          </w:p>
        </w:tc>
        <w:tc>
          <w:tcPr>
            <w:tcW w:w="162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183,270</w:t>
            </w:r>
          </w:p>
        </w:tc>
      </w:tr>
      <w:tr>
        <w:trPr>
          <w:trHeight w:val="189"/>
        </w:trPr>
        <w:tc>
          <w:tcPr>
            <w:tcW w:w="5560" w:type="dxa"/>
            <w:vAlign w:val="bottom"/>
          </w:tcPr>
          <w:p>
            <w:pPr>
              <w:ind w:left="20"/>
              <w:spacing w:after="0"/>
              <w:rPr>
                <w:sz w:val="20"/>
                <w:szCs w:val="20"/>
                <w:color w:val="auto"/>
              </w:rPr>
            </w:pPr>
            <w:r>
              <w:rPr>
                <w:rFonts w:ascii="Arial" w:cs="Arial" w:eastAsia="Arial" w:hAnsi="Arial"/>
                <w:sz w:val="16"/>
                <w:szCs w:val="16"/>
                <w:color w:val="auto"/>
              </w:rPr>
              <w:t>Colorado Gas</w:t>
            </w: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215,190</w:t>
            </w:r>
          </w:p>
        </w:tc>
        <w:tc>
          <w:tcPr>
            <w:tcW w:w="2180" w:type="dxa"/>
            <w:vAlign w:val="bottom"/>
          </w:tcPr>
          <w:p>
            <w:pPr>
              <w:jc w:val="right"/>
              <w:ind w:right="359"/>
              <w:spacing w:after="0"/>
              <w:rPr>
                <w:sz w:val="20"/>
                <w:szCs w:val="20"/>
                <w:color w:val="auto"/>
              </w:rPr>
            </w:pPr>
            <w:r>
              <w:rPr>
                <w:rFonts w:ascii="Arial" w:cs="Arial" w:eastAsia="Arial" w:hAnsi="Arial"/>
                <w:sz w:val="16"/>
                <w:szCs w:val="16"/>
                <w:color w:val="auto"/>
              </w:rPr>
              <w:t>211,155</w:t>
            </w:r>
          </w:p>
        </w:tc>
        <w:tc>
          <w:tcPr>
            <w:tcW w:w="1620" w:type="dxa"/>
            <w:vAlign w:val="bottom"/>
          </w:tcPr>
          <w:p>
            <w:pPr>
              <w:jc w:val="right"/>
              <w:ind w:right="59"/>
              <w:spacing w:after="0"/>
              <w:rPr>
                <w:sz w:val="20"/>
                <w:szCs w:val="20"/>
                <w:color w:val="auto"/>
              </w:rPr>
            </w:pPr>
            <w:r>
              <w:rPr>
                <w:rFonts w:ascii="Arial" w:cs="Arial" w:eastAsia="Arial" w:hAnsi="Arial"/>
                <w:sz w:val="16"/>
                <w:szCs w:val="16"/>
                <w:color w:val="auto"/>
              </w:rPr>
              <w:t>208,060</w:t>
            </w:r>
          </w:p>
        </w:tc>
      </w:tr>
      <w:tr>
        <w:trPr>
          <w:trHeight w:val="189"/>
        </w:trPr>
        <w:tc>
          <w:tcPr>
            <w:tcW w:w="5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Iowa Gas</w:t>
            </w:r>
          </w:p>
        </w:tc>
        <w:tc>
          <w:tcPr>
            <w:tcW w:w="18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164,134</w:t>
            </w:r>
          </w:p>
        </w:tc>
        <w:tc>
          <w:tcPr>
            <w:tcW w:w="2180" w:type="dxa"/>
            <w:vAlign w:val="bottom"/>
            <w:shd w:val="clear" w:color="auto" w:fill="CFF0FC"/>
          </w:tcPr>
          <w:p>
            <w:pPr>
              <w:jc w:val="right"/>
              <w:ind w:right="359"/>
              <w:spacing w:after="0"/>
              <w:rPr>
                <w:sz w:val="20"/>
                <w:szCs w:val="20"/>
                <w:color w:val="auto"/>
              </w:rPr>
            </w:pPr>
            <w:r>
              <w:rPr>
                <w:rFonts w:ascii="Arial" w:cs="Arial" w:eastAsia="Arial" w:hAnsi="Arial"/>
                <w:sz w:val="16"/>
                <w:szCs w:val="16"/>
                <w:color w:val="auto"/>
              </w:rPr>
              <w:t>163,281</w:t>
            </w:r>
          </w:p>
        </w:tc>
        <w:tc>
          <w:tcPr>
            <w:tcW w:w="16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162,801</w:t>
            </w:r>
          </w:p>
        </w:tc>
      </w:tr>
      <w:tr>
        <w:trPr>
          <w:trHeight w:val="189"/>
        </w:trPr>
        <w:tc>
          <w:tcPr>
            <w:tcW w:w="5560" w:type="dxa"/>
            <w:vAlign w:val="bottom"/>
          </w:tcPr>
          <w:p>
            <w:pPr>
              <w:ind w:left="20"/>
              <w:spacing w:after="0"/>
              <w:rPr>
                <w:sz w:val="20"/>
                <w:szCs w:val="20"/>
                <w:color w:val="auto"/>
              </w:rPr>
            </w:pPr>
            <w:r>
              <w:rPr>
                <w:rFonts w:ascii="Arial" w:cs="Arial" w:eastAsia="Arial" w:hAnsi="Arial"/>
                <w:sz w:val="16"/>
                <w:szCs w:val="16"/>
                <w:color w:val="auto"/>
              </w:rPr>
              <w:t>Kansas Gas</w:t>
            </w: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120,225</w:t>
            </w:r>
          </w:p>
        </w:tc>
        <w:tc>
          <w:tcPr>
            <w:tcW w:w="2180" w:type="dxa"/>
            <w:vAlign w:val="bottom"/>
          </w:tcPr>
          <w:p>
            <w:pPr>
              <w:jc w:val="right"/>
              <w:ind w:right="359"/>
              <w:spacing w:after="0"/>
              <w:rPr>
                <w:sz w:val="20"/>
                <w:szCs w:val="20"/>
                <w:color w:val="auto"/>
              </w:rPr>
            </w:pPr>
            <w:r>
              <w:rPr>
                <w:rFonts w:ascii="Arial" w:cs="Arial" w:eastAsia="Arial" w:hAnsi="Arial"/>
                <w:sz w:val="16"/>
                <w:szCs w:val="16"/>
                <w:color w:val="auto"/>
              </w:rPr>
              <w:t>119,407</w:t>
            </w:r>
          </w:p>
        </w:tc>
        <w:tc>
          <w:tcPr>
            <w:tcW w:w="1620" w:type="dxa"/>
            <w:vAlign w:val="bottom"/>
          </w:tcPr>
          <w:p>
            <w:pPr>
              <w:jc w:val="right"/>
              <w:ind w:right="59"/>
              <w:spacing w:after="0"/>
              <w:rPr>
                <w:sz w:val="20"/>
                <w:szCs w:val="20"/>
                <w:color w:val="auto"/>
              </w:rPr>
            </w:pPr>
            <w:r>
              <w:rPr>
                <w:rFonts w:ascii="Arial" w:cs="Arial" w:eastAsia="Arial" w:hAnsi="Arial"/>
                <w:sz w:val="16"/>
                <w:szCs w:val="16"/>
                <w:color w:val="auto"/>
              </w:rPr>
              <w:t>118,599</w:t>
            </w:r>
          </w:p>
        </w:tc>
      </w:tr>
      <w:tr>
        <w:trPr>
          <w:trHeight w:val="189"/>
        </w:trPr>
        <w:tc>
          <w:tcPr>
            <w:tcW w:w="5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Nebraska Gas</w:t>
            </w:r>
          </w:p>
        </w:tc>
        <w:tc>
          <w:tcPr>
            <w:tcW w:w="18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304,429</w:t>
            </w:r>
          </w:p>
        </w:tc>
        <w:tc>
          <w:tcPr>
            <w:tcW w:w="2180" w:type="dxa"/>
            <w:vAlign w:val="bottom"/>
            <w:shd w:val="clear" w:color="auto" w:fill="CFF0FC"/>
          </w:tcPr>
          <w:p>
            <w:pPr>
              <w:jc w:val="right"/>
              <w:ind w:right="359"/>
              <w:spacing w:after="0"/>
              <w:rPr>
                <w:sz w:val="20"/>
                <w:szCs w:val="20"/>
                <w:color w:val="auto"/>
              </w:rPr>
            </w:pPr>
            <w:r>
              <w:rPr>
                <w:rFonts w:ascii="Arial" w:cs="Arial" w:eastAsia="Arial" w:hAnsi="Arial"/>
                <w:sz w:val="16"/>
                <w:szCs w:val="16"/>
                <w:color w:val="auto"/>
              </w:rPr>
              <w:t>302,167</w:t>
            </w:r>
          </w:p>
        </w:tc>
        <w:tc>
          <w:tcPr>
            <w:tcW w:w="16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301,007</w:t>
            </w:r>
          </w:p>
        </w:tc>
      </w:tr>
      <w:tr>
        <w:trPr>
          <w:trHeight w:val="189"/>
        </w:trPr>
        <w:tc>
          <w:tcPr>
            <w:tcW w:w="5560" w:type="dxa"/>
            <w:vAlign w:val="bottom"/>
          </w:tcPr>
          <w:p>
            <w:pPr>
              <w:ind w:left="20"/>
              <w:spacing w:after="0"/>
              <w:rPr>
                <w:sz w:val="20"/>
                <w:szCs w:val="20"/>
                <w:color w:val="auto"/>
              </w:rPr>
            </w:pPr>
            <w:r>
              <w:rPr>
                <w:rFonts w:ascii="Arial" w:cs="Arial" w:eastAsia="Arial" w:hAnsi="Arial"/>
                <w:sz w:val="16"/>
                <w:szCs w:val="16"/>
                <w:color w:val="auto"/>
              </w:rPr>
              <w:t>Wyoming Gas</w:t>
            </w:r>
          </w:p>
        </w:tc>
        <w:tc>
          <w:tcPr>
            <w:tcW w:w="1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135,137</w:t>
            </w:r>
          </w:p>
        </w:tc>
        <w:tc>
          <w:tcPr>
            <w:tcW w:w="21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134,167</w:t>
            </w:r>
          </w:p>
        </w:tc>
        <w:tc>
          <w:tcPr>
            <w:tcW w:w="16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133,378</w:t>
            </w:r>
          </w:p>
        </w:tc>
      </w:tr>
      <w:tr>
        <w:trPr>
          <w:trHeight w:val="223"/>
        </w:trPr>
        <w:tc>
          <w:tcPr>
            <w:tcW w:w="556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Total Natural Gas Retail Customers at End of Year</w:t>
            </w:r>
          </w:p>
        </w:tc>
        <w:tc>
          <w:tcPr>
            <w:tcW w:w="188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1,128,355</w:t>
            </w:r>
          </w:p>
        </w:tc>
        <w:tc>
          <w:tcPr>
            <w:tcW w:w="2180" w:type="dxa"/>
            <w:vAlign w:val="bottom"/>
            <w:tcBorders>
              <w:bottom w:val="single" w:sz="8" w:color="auto"/>
            </w:tcBorders>
            <w:shd w:val="clear" w:color="auto" w:fill="CFF0FC"/>
          </w:tcPr>
          <w:p>
            <w:pPr>
              <w:jc w:val="right"/>
              <w:ind w:right="359"/>
              <w:spacing w:after="0" w:line="183" w:lineRule="exact"/>
              <w:rPr>
                <w:sz w:val="20"/>
                <w:szCs w:val="20"/>
                <w:color w:val="auto"/>
              </w:rPr>
            </w:pPr>
            <w:r>
              <w:rPr>
                <w:rFonts w:ascii="Arial" w:cs="Arial" w:eastAsia="Arial" w:hAnsi="Arial"/>
                <w:sz w:val="16"/>
                <w:szCs w:val="16"/>
                <w:color w:val="auto"/>
              </w:rPr>
              <w:t>1,116,393</w:t>
            </w:r>
          </w:p>
        </w:tc>
        <w:tc>
          <w:tcPr>
            <w:tcW w:w="162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1,107,115</w:t>
            </w:r>
          </w:p>
        </w:tc>
      </w:tr>
    </w:tbl>
    <w:p>
      <w:pPr>
        <w:spacing w:after="0" w:line="175" w:lineRule="exact"/>
        <w:rPr>
          <w:sz w:val="20"/>
          <w:szCs w:val="20"/>
          <w:color w:val="auto"/>
        </w:rPr>
      </w:pPr>
    </w:p>
    <w:p>
      <w:pPr>
        <w:jc w:val="both"/>
        <w:ind w:right="500"/>
        <w:spacing w:after="0" w:line="266" w:lineRule="auto"/>
        <w:rPr>
          <w:sz w:val="20"/>
          <w:szCs w:val="20"/>
          <w:color w:val="auto"/>
        </w:rPr>
      </w:pPr>
      <w:r>
        <w:rPr>
          <w:rFonts w:ascii="Arial" w:cs="Arial" w:eastAsia="Arial" w:hAnsi="Arial"/>
          <w:sz w:val="16"/>
          <w:szCs w:val="16"/>
          <w:color w:val="auto"/>
        </w:rPr>
        <w:t>We procure natural gas for our distribution customers from a diverse mix of producers, processors, and marketers and generally use financial hedges, physical fixed-price purchases, and market-based price purchases to achieve dollar-cost averaging within our natural gas portfolio. The majority of our procured natural gas is transported in interstate pipelines under firm transportation service agreements.</w:t>
      </w:r>
    </w:p>
    <w:p>
      <w:pPr>
        <w:spacing w:after="0" w:line="144"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In addition to company-owned regulated underground natural gas storage assets in Arkansas, Colorado, and Wyoming, we also contract with third-party transportation providers for natural gas storage service to provide gas supply during the winter heating season and to meet peak day customer demand for natural gas.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certain information regarding our company-owned regulated underground gas storage facilities as of December 31, 2024: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4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380" w:type="dxa"/>
            <w:vAlign w:val="bottom"/>
          </w:tcPr>
          <w:p>
            <w:pPr>
              <w:jc w:val="center"/>
              <w:ind w:right="119"/>
              <w:spacing w:after="0"/>
              <w:rPr>
                <w:sz w:val="20"/>
                <w:szCs w:val="20"/>
                <w:color w:val="auto"/>
              </w:rPr>
            </w:pPr>
            <w:r>
              <w:rPr>
                <w:rFonts w:ascii="Arial" w:cs="Arial" w:eastAsia="Arial" w:hAnsi="Arial"/>
                <w:sz w:val="16"/>
                <w:szCs w:val="16"/>
                <w:b w:val="1"/>
                <w:bCs w:val="1"/>
                <w:color w:val="auto"/>
              </w:rPr>
              <w:t>Maximum Daily</w:t>
            </w:r>
          </w:p>
        </w:tc>
      </w:tr>
      <w:tr>
        <w:trPr>
          <w:trHeight w:val="189"/>
        </w:trPr>
        <w:tc>
          <w:tcPr>
            <w:tcW w:w="1460" w:type="dxa"/>
            <w:vAlign w:val="bottom"/>
          </w:tcPr>
          <w:p>
            <w:pPr>
              <w:spacing w:after="0"/>
              <w:rPr>
                <w:sz w:val="16"/>
                <w:szCs w:val="16"/>
                <w:color w:val="auto"/>
              </w:rPr>
            </w:pPr>
          </w:p>
        </w:tc>
        <w:tc>
          <w:tcPr>
            <w:tcW w:w="2700" w:type="dxa"/>
            <w:vAlign w:val="bottom"/>
          </w:tcPr>
          <w:p>
            <w:pPr>
              <w:jc w:val="right"/>
              <w:ind w:right="759"/>
              <w:spacing w:after="0"/>
              <w:rPr>
                <w:sz w:val="20"/>
                <w:szCs w:val="20"/>
                <w:color w:val="auto"/>
              </w:rPr>
            </w:pPr>
            <w:r>
              <w:rPr>
                <w:rFonts w:ascii="Arial" w:cs="Arial" w:eastAsia="Arial" w:hAnsi="Arial"/>
                <w:sz w:val="16"/>
                <w:szCs w:val="16"/>
                <w:b w:val="1"/>
                <w:bCs w:val="1"/>
                <w:color w:val="auto"/>
              </w:rPr>
              <w:t>Working Capacity</w:t>
            </w:r>
          </w:p>
        </w:tc>
        <w:tc>
          <w:tcPr>
            <w:tcW w:w="2420" w:type="dxa"/>
            <w:vAlign w:val="bottom"/>
          </w:tcPr>
          <w:p>
            <w:pPr>
              <w:jc w:val="right"/>
              <w:ind w:right="939"/>
              <w:spacing w:after="0"/>
              <w:rPr>
                <w:sz w:val="20"/>
                <w:szCs w:val="20"/>
                <w:color w:val="auto"/>
              </w:rPr>
            </w:pPr>
            <w:r>
              <w:rPr>
                <w:rFonts w:ascii="Arial" w:cs="Arial" w:eastAsia="Arial" w:hAnsi="Arial"/>
                <w:sz w:val="16"/>
                <w:szCs w:val="16"/>
                <w:b w:val="1"/>
                <w:bCs w:val="1"/>
                <w:color w:val="auto"/>
              </w:rPr>
              <w:t>Cushion Gas</w:t>
            </w:r>
          </w:p>
        </w:tc>
        <w:tc>
          <w:tcPr>
            <w:tcW w:w="2280" w:type="dxa"/>
            <w:vAlign w:val="bottom"/>
          </w:tcPr>
          <w:p>
            <w:pPr>
              <w:jc w:val="right"/>
              <w:ind w:right="719"/>
              <w:spacing w:after="0"/>
              <w:rPr>
                <w:sz w:val="20"/>
                <w:szCs w:val="20"/>
                <w:color w:val="auto"/>
              </w:rPr>
            </w:pPr>
            <w:r>
              <w:rPr>
                <w:rFonts w:ascii="Arial" w:cs="Arial" w:eastAsia="Arial" w:hAnsi="Arial"/>
                <w:sz w:val="16"/>
                <w:szCs w:val="16"/>
                <w:b w:val="1"/>
                <w:bCs w:val="1"/>
                <w:color w:val="auto"/>
              </w:rPr>
              <w:t>Total Capacity</w:t>
            </w:r>
          </w:p>
        </w:tc>
        <w:tc>
          <w:tcPr>
            <w:tcW w:w="2380" w:type="dxa"/>
            <w:vAlign w:val="bottom"/>
          </w:tcPr>
          <w:p>
            <w:pPr>
              <w:jc w:val="center"/>
              <w:ind w:right="139"/>
              <w:spacing w:after="0"/>
              <w:rPr>
                <w:sz w:val="20"/>
                <w:szCs w:val="20"/>
                <w:color w:val="auto"/>
              </w:rPr>
            </w:pPr>
            <w:r>
              <w:rPr>
                <w:rFonts w:ascii="Arial" w:cs="Arial" w:eastAsia="Arial" w:hAnsi="Arial"/>
                <w:sz w:val="16"/>
                <w:szCs w:val="16"/>
                <w:b w:val="1"/>
                <w:bCs w:val="1"/>
                <w:color w:val="auto"/>
              </w:rPr>
              <w:t>Withdrawal Capability</w:t>
            </w:r>
          </w:p>
        </w:tc>
      </w:tr>
      <w:tr>
        <w:trPr>
          <w:trHeight w:val="203"/>
        </w:trPr>
        <w:tc>
          <w:tcPr>
            <w:tcW w:w="146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tcPr>
          <w:p>
            <w:pPr>
              <w:jc w:val="right"/>
              <w:ind w:right="1259"/>
              <w:spacing w:after="0"/>
              <w:rPr>
                <w:sz w:val="20"/>
                <w:szCs w:val="20"/>
                <w:color w:val="auto"/>
              </w:rPr>
            </w:pPr>
            <w:r>
              <w:rPr>
                <w:rFonts w:ascii="Arial" w:cs="Arial" w:eastAsia="Arial" w:hAnsi="Arial"/>
                <w:sz w:val="16"/>
                <w:szCs w:val="16"/>
                <w:b w:val="1"/>
                <w:bCs w:val="1"/>
                <w:color w:val="auto"/>
              </w:rPr>
              <w:t>(Mcf)</w:t>
            </w:r>
          </w:p>
        </w:tc>
        <w:tc>
          <w:tcPr>
            <w:tcW w:w="2420" w:type="dxa"/>
            <w:vAlign w:val="bottom"/>
            <w:tcBorders>
              <w:bottom w:val="single" w:sz="8" w:color="auto"/>
            </w:tcBorders>
          </w:tcPr>
          <w:p>
            <w:pPr>
              <w:jc w:val="right"/>
              <w:ind w:right="1219"/>
              <w:spacing w:after="0"/>
              <w:rPr>
                <w:sz w:val="20"/>
                <w:szCs w:val="20"/>
                <w:color w:val="auto"/>
              </w:rPr>
            </w:pPr>
            <w:r>
              <w:rPr>
                <w:rFonts w:ascii="Arial" w:cs="Arial" w:eastAsia="Arial" w:hAnsi="Arial"/>
                <w:sz w:val="16"/>
                <w:szCs w:val="16"/>
                <w:b w:val="1"/>
                <w:bCs w:val="1"/>
                <w:color w:val="auto"/>
              </w:rPr>
              <w:t>(Mcf)</w:t>
            </w:r>
          </w:p>
        </w:tc>
        <w:tc>
          <w:tcPr>
            <w:tcW w:w="2280" w:type="dxa"/>
            <w:vAlign w:val="bottom"/>
            <w:tcBorders>
              <w:bottom w:val="single" w:sz="8" w:color="auto"/>
            </w:tcBorders>
          </w:tcPr>
          <w:p>
            <w:pPr>
              <w:jc w:val="right"/>
              <w:ind w:right="1079"/>
              <w:spacing w:after="0"/>
              <w:rPr>
                <w:sz w:val="20"/>
                <w:szCs w:val="20"/>
                <w:color w:val="auto"/>
              </w:rPr>
            </w:pPr>
            <w:r>
              <w:rPr>
                <w:rFonts w:ascii="Arial" w:cs="Arial" w:eastAsia="Arial" w:hAnsi="Arial"/>
                <w:sz w:val="16"/>
                <w:szCs w:val="16"/>
                <w:b w:val="1"/>
                <w:bCs w:val="1"/>
                <w:color w:val="auto"/>
              </w:rPr>
              <w:t>(Mcf)</w:t>
            </w:r>
          </w:p>
        </w:tc>
        <w:tc>
          <w:tcPr>
            <w:tcW w:w="238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9"/>
              </w:rPr>
              <w:t>(Mcfd)</w:t>
            </w:r>
          </w:p>
        </w:tc>
      </w:tr>
      <w:tr>
        <w:trPr>
          <w:trHeight w:val="183"/>
        </w:trPr>
        <w:tc>
          <w:tcPr>
            <w:tcW w:w="14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Arkansas Gas</w:t>
            </w:r>
          </w:p>
        </w:tc>
        <w:tc>
          <w:tcPr>
            <w:tcW w:w="2700" w:type="dxa"/>
            <w:vAlign w:val="bottom"/>
            <w:shd w:val="clear" w:color="auto" w:fill="CFF0FC"/>
          </w:tcPr>
          <w:p>
            <w:pPr>
              <w:jc w:val="right"/>
              <w:ind w:right="299"/>
              <w:spacing w:after="0" w:line="183" w:lineRule="exact"/>
              <w:rPr>
                <w:sz w:val="20"/>
                <w:szCs w:val="20"/>
                <w:color w:val="auto"/>
              </w:rPr>
            </w:pPr>
            <w:r>
              <w:rPr>
                <w:rFonts w:ascii="Arial" w:cs="Arial" w:eastAsia="Arial" w:hAnsi="Arial"/>
                <w:sz w:val="16"/>
                <w:szCs w:val="16"/>
                <w:color w:val="auto"/>
              </w:rPr>
              <w:t>8,442,700</w:t>
            </w:r>
          </w:p>
        </w:tc>
        <w:tc>
          <w:tcPr>
            <w:tcW w:w="2420" w:type="dxa"/>
            <w:vAlign w:val="bottom"/>
            <w:shd w:val="clear" w:color="auto" w:fill="CFF0FC"/>
          </w:tcPr>
          <w:p>
            <w:pPr>
              <w:jc w:val="right"/>
              <w:ind w:right="279"/>
              <w:spacing w:after="0" w:line="183" w:lineRule="exact"/>
              <w:rPr>
                <w:sz w:val="20"/>
                <w:szCs w:val="20"/>
                <w:color w:val="auto"/>
              </w:rPr>
            </w:pPr>
            <w:r>
              <w:rPr>
                <w:rFonts w:ascii="Arial" w:cs="Arial" w:eastAsia="Arial" w:hAnsi="Arial"/>
                <w:sz w:val="16"/>
                <w:szCs w:val="16"/>
                <w:color w:val="auto"/>
              </w:rPr>
              <w:t>13,149,040</w:t>
            </w:r>
          </w:p>
        </w:tc>
        <w:tc>
          <w:tcPr>
            <w:tcW w:w="2280" w:type="dxa"/>
            <w:vAlign w:val="bottom"/>
            <w:shd w:val="clear" w:color="auto" w:fill="CFF0FC"/>
          </w:tcPr>
          <w:p>
            <w:pPr>
              <w:jc w:val="right"/>
              <w:ind w:right="139"/>
              <w:spacing w:after="0" w:line="183" w:lineRule="exact"/>
              <w:rPr>
                <w:sz w:val="20"/>
                <w:szCs w:val="20"/>
                <w:color w:val="auto"/>
              </w:rPr>
            </w:pPr>
            <w:r>
              <w:rPr>
                <w:rFonts w:ascii="Arial" w:cs="Arial" w:eastAsia="Arial" w:hAnsi="Arial"/>
                <w:sz w:val="16"/>
                <w:szCs w:val="16"/>
                <w:color w:val="auto"/>
              </w:rPr>
              <w:t>21,591,740</w:t>
            </w:r>
          </w:p>
        </w:tc>
        <w:tc>
          <w:tcPr>
            <w:tcW w:w="238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196,000</w:t>
            </w:r>
          </w:p>
        </w:tc>
      </w:tr>
      <w:tr>
        <w:trPr>
          <w:trHeight w:val="189"/>
        </w:trPr>
        <w:tc>
          <w:tcPr>
            <w:tcW w:w="1460" w:type="dxa"/>
            <w:vAlign w:val="bottom"/>
          </w:tcPr>
          <w:p>
            <w:pPr>
              <w:ind w:left="20"/>
              <w:spacing w:after="0"/>
              <w:rPr>
                <w:sz w:val="20"/>
                <w:szCs w:val="20"/>
                <w:color w:val="auto"/>
              </w:rPr>
            </w:pPr>
            <w:r>
              <w:rPr>
                <w:rFonts w:ascii="Arial" w:cs="Arial" w:eastAsia="Arial" w:hAnsi="Arial"/>
                <w:sz w:val="16"/>
                <w:szCs w:val="16"/>
                <w:color w:val="auto"/>
              </w:rPr>
              <w:t>Colorado Gas</w:t>
            </w:r>
          </w:p>
        </w:tc>
        <w:tc>
          <w:tcPr>
            <w:tcW w:w="2700" w:type="dxa"/>
            <w:vAlign w:val="bottom"/>
          </w:tcPr>
          <w:p>
            <w:pPr>
              <w:jc w:val="right"/>
              <w:ind w:right="299"/>
              <w:spacing w:after="0"/>
              <w:rPr>
                <w:sz w:val="20"/>
                <w:szCs w:val="20"/>
                <w:color w:val="auto"/>
              </w:rPr>
            </w:pPr>
            <w:r>
              <w:rPr>
                <w:rFonts w:ascii="Arial" w:cs="Arial" w:eastAsia="Arial" w:hAnsi="Arial"/>
                <w:sz w:val="16"/>
                <w:szCs w:val="16"/>
                <w:color w:val="auto"/>
              </w:rPr>
              <w:t>2,361,495</w:t>
            </w:r>
          </w:p>
        </w:tc>
        <w:tc>
          <w:tcPr>
            <w:tcW w:w="2420" w:type="dxa"/>
            <w:vAlign w:val="bottom"/>
          </w:tcPr>
          <w:p>
            <w:pPr>
              <w:jc w:val="right"/>
              <w:ind w:right="279"/>
              <w:spacing w:after="0"/>
              <w:rPr>
                <w:sz w:val="20"/>
                <w:szCs w:val="20"/>
                <w:color w:val="auto"/>
              </w:rPr>
            </w:pPr>
            <w:r>
              <w:rPr>
                <w:rFonts w:ascii="Arial" w:cs="Arial" w:eastAsia="Arial" w:hAnsi="Arial"/>
                <w:sz w:val="16"/>
                <w:szCs w:val="16"/>
                <w:color w:val="auto"/>
              </w:rPr>
              <w:t>6,164,715</w:t>
            </w:r>
          </w:p>
        </w:tc>
        <w:tc>
          <w:tcPr>
            <w:tcW w:w="2280" w:type="dxa"/>
            <w:vAlign w:val="bottom"/>
          </w:tcPr>
          <w:p>
            <w:pPr>
              <w:jc w:val="right"/>
              <w:ind w:right="139"/>
              <w:spacing w:after="0"/>
              <w:rPr>
                <w:sz w:val="20"/>
                <w:szCs w:val="20"/>
                <w:color w:val="auto"/>
              </w:rPr>
            </w:pPr>
            <w:r>
              <w:rPr>
                <w:rFonts w:ascii="Arial" w:cs="Arial" w:eastAsia="Arial" w:hAnsi="Arial"/>
                <w:sz w:val="16"/>
                <w:szCs w:val="16"/>
                <w:color w:val="auto"/>
              </w:rPr>
              <w:t>8,526,210</w:t>
            </w:r>
          </w:p>
        </w:tc>
        <w:tc>
          <w:tcPr>
            <w:tcW w:w="2380" w:type="dxa"/>
            <w:vAlign w:val="bottom"/>
          </w:tcPr>
          <w:p>
            <w:pPr>
              <w:jc w:val="right"/>
              <w:ind w:right="59"/>
              <w:spacing w:after="0"/>
              <w:rPr>
                <w:sz w:val="20"/>
                <w:szCs w:val="20"/>
                <w:color w:val="auto"/>
              </w:rPr>
            </w:pPr>
            <w:r>
              <w:rPr>
                <w:rFonts w:ascii="Arial" w:cs="Arial" w:eastAsia="Arial" w:hAnsi="Arial"/>
                <w:sz w:val="16"/>
                <w:szCs w:val="16"/>
                <w:color w:val="auto"/>
              </w:rPr>
              <w:t>30,000</w:t>
            </w:r>
          </w:p>
        </w:tc>
      </w:tr>
      <w:tr>
        <w:trPr>
          <w:trHeight w:val="189"/>
        </w:trPr>
        <w:tc>
          <w:tcPr>
            <w:tcW w:w="1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Wyoming Gas</w:t>
            </w:r>
          </w:p>
        </w:tc>
        <w:tc>
          <w:tcPr>
            <w:tcW w:w="2700" w:type="dxa"/>
            <w:vAlign w:val="bottom"/>
            <w:tcBorders>
              <w:bottom w:val="single" w:sz="8" w:color="auto"/>
            </w:tcBorders>
            <w:shd w:val="clear" w:color="auto" w:fill="CFF0FC"/>
          </w:tcPr>
          <w:p>
            <w:pPr>
              <w:jc w:val="right"/>
              <w:ind w:right="299"/>
              <w:spacing w:after="0"/>
              <w:rPr>
                <w:sz w:val="20"/>
                <w:szCs w:val="20"/>
                <w:color w:val="auto"/>
              </w:rPr>
            </w:pPr>
            <w:r>
              <w:rPr>
                <w:rFonts w:ascii="Arial" w:cs="Arial" w:eastAsia="Arial" w:hAnsi="Arial"/>
                <w:sz w:val="16"/>
                <w:szCs w:val="16"/>
                <w:color w:val="auto"/>
              </w:rPr>
              <w:t>5,733,900</w:t>
            </w:r>
          </w:p>
        </w:tc>
        <w:tc>
          <w:tcPr>
            <w:tcW w:w="2420" w:type="dxa"/>
            <w:vAlign w:val="bottom"/>
            <w:tcBorders>
              <w:bottom w:val="single" w:sz="8" w:color="auto"/>
            </w:tcBorders>
            <w:shd w:val="clear" w:color="auto" w:fill="CFF0FC"/>
          </w:tcPr>
          <w:p>
            <w:pPr>
              <w:jc w:val="right"/>
              <w:ind w:right="279"/>
              <w:spacing w:after="0"/>
              <w:rPr>
                <w:sz w:val="20"/>
                <w:szCs w:val="20"/>
                <w:color w:val="auto"/>
              </w:rPr>
            </w:pPr>
            <w:r>
              <w:rPr>
                <w:rFonts w:ascii="Arial" w:cs="Arial" w:eastAsia="Arial" w:hAnsi="Arial"/>
                <w:sz w:val="16"/>
                <w:szCs w:val="16"/>
                <w:color w:val="auto"/>
              </w:rPr>
              <w:t>17,545,600</w:t>
            </w:r>
          </w:p>
        </w:tc>
        <w:tc>
          <w:tcPr>
            <w:tcW w:w="228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color w:val="auto"/>
              </w:rPr>
              <w:t>23,279,500</w:t>
            </w:r>
          </w:p>
        </w:tc>
        <w:tc>
          <w:tcPr>
            <w:tcW w:w="23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36,000</w:t>
            </w:r>
          </w:p>
        </w:tc>
      </w:tr>
      <w:tr>
        <w:trPr>
          <w:trHeight w:val="183"/>
        </w:trPr>
        <w:tc>
          <w:tcPr>
            <w:tcW w:w="1460" w:type="dxa"/>
            <w:vAlign w:val="bottom"/>
          </w:tcPr>
          <w:p>
            <w:pPr>
              <w:ind w:left="20"/>
              <w:spacing w:after="0" w:line="183" w:lineRule="exact"/>
              <w:rPr>
                <w:sz w:val="20"/>
                <w:szCs w:val="20"/>
                <w:color w:val="auto"/>
              </w:rPr>
            </w:pPr>
            <w:r>
              <w:rPr>
                <w:rFonts w:ascii="Arial" w:cs="Arial" w:eastAsia="Arial" w:hAnsi="Arial"/>
                <w:sz w:val="16"/>
                <w:szCs w:val="16"/>
                <w:color w:val="auto"/>
              </w:rPr>
              <w:t>Total</w:t>
            </w:r>
          </w:p>
        </w:tc>
        <w:tc>
          <w:tcPr>
            <w:tcW w:w="2700" w:type="dxa"/>
            <w:vAlign w:val="bottom"/>
            <w:tcBorders>
              <w:bottom w:val="single" w:sz="8" w:color="auto"/>
            </w:tcBorders>
          </w:tcPr>
          <w:p>
            <w:pPr>
              <w:jc w:val="right"/>
              <w:ind w:right="299"/>
              <w:spacing w:after="0" w:line="183" w:lineRule="exact"/>
              <w:rPr>
                <w:sz w:val="20"/>
                <w:szCs w:val="20"/>
                <w:color w:val="auto"/>
              </w:rPr>
            </w:pPr>
            <w:r>
              <w:rPr>
                <w:rFonts w:ascii="Arial" w:cs="Arial" w:eastAsia="Arial" w:hAnsi="Arial"/>
                <w:sz w:val="16"/>
                <w:szCs w:val="16"/>
                <w:color w:val="auto"/>
              </w:rPr>
              <w:t>16,538,095</w:t>
            </w:r>
          </w:p>
        </w:tc>
        <w:tc>
          <w:tcPr>
            <w:tcW w:w="2420" w:type="dxa"/>
            <w:vAlign w:val="bottom"/>
            <w:tcBorders>
              <w:bottom w:val="single" w:sz="8" w:color="auto"/>
            </w:tcBorders>
          </w:tcPr>
          <w:p>
            <w:pPr>
              <w:jc w:val="right"/>
              <w:ind w:right="279"/>
              <w:spacing w:after="0" w:line="183" w:lineRule="exact"/>
              <w:rPr>
                <w:sz w:val="20"/>
                <w:szCs w:val="20"/>
                <w:color w:val="auto"/>
              </w:rPr>
            </w:pPr>
            <w:r>
              <w:rPr>
                <w:rFonts w:ascii="Arial" w:cs="Arial" w:eastAsia="Arial" w:hAnsi="Arial"/>
                <w:sz w:val="16"/>
                <w:szCs w:val="16"/>
                <w:color w:val="auto"/>
              </w:rPr>
              <w:t>36,859,355</w:t>
            </w:r>
          </w:p>
        </w:tc>
        <w:tc>
          <w:tcPr>
            <w:tcW w:w="228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rPr>
              <w:t>53,397,450</w:t>
            </w:r>
          </w:p>
        </w:tc>
        <w:tc>
          <w:tcPr>
            <w:tcW w:w="238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262,000</w:t>
            </w:r>
          </w:p>
        </w:tc>
      </w:tr>
      <w:tr>
        <w:trPr>
          <w:trHeight w:val="20"/>
        </w:trPr>
        <w:tc>
          <w:tcPr>
            <w:tcW w:w="1460" w:type="dxa"/>
            <w:vAlign w:val="bottom"/>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certain information regarding our system infrastructure as of December 31, 2024: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40" w:type="dxa"/>
            <w:vAlign w:val="bottom"/>
          </w:tcPr>
          <w:p>
            <w:pPr>
              <w:spacing w:after="0"/>
              <w:rPr>
                <w:sz w:val="16"/>
                <w:szCs w:val="16"/>
                <w:color w:val="auto"/>
              </w:rPr>
            </w:pPr>
          </w:p>
        </w:tc>
        <w:tc>
          <w:tcPr>
            <w:tcW w:w="2280" w:type="dxa"/>
            <w:vAlign w:val="bottom"/>
          </w:tcPr>
          <w:p>
            <w:pPr>
              <w:jc w:val="center"/>
              <w:ind w:left="299"/>
              <w:spacing w:after="0"/>
              <w:rPr>
                <w:sz w:val="20"/>
                <w:szCs w:val="20"/>
                <w:color w:val="auto"/>
              </w:rPr>
            </w:pPr>
            <w:r>
              <w:rPr>
                <w:rFonts w:ascii="Arial" w:cs="Arial" w:eastAsia="Arial" w:hAnsi="Arial"/>
                <w:sz w:val="16"/>
                <w:szCs w:val="16"/>
                <w:b w:val="1"/>
                <w:bCs w:val="1"/>
                <w:color w:val="auto"/>
              </w:rPr>
              <w:t>Intrastate Gas</w:t>
            </w:r>
          </w:p>
        </w:tc>
        <w:tc>
          <w:tcPr>
            <w:tcW w:w="840" w:type="dxa"/>
            <w:vAlign w:val="bottom"/>
          </w:tcPr>
          <w:p>
            <w:pPr>
              <w:spacing w:after="0"/>
              <w:rPr>
                <w:sz w:val="16"/>
                <w:szCs w:val="16"/>
                <w:color w:val="auto"/>
              </w:rPr>
            </w:pPr>
          </w:p>
        </w:tc>
        <w:tc>
          <w:tcPr>
            <w:tcW w:w="2820" w:type="dxa"/>
            <w:vAlign w:val="bottom"/>
          </w:tcPr>
          <w:p>
            <w:pPr>
              <w:jc w:val="center"/>
              <w:ind w:right="639"/>
              <w:spacing w:after="0"/>
              <w:rPr>
                <w:sz w:val="20"/>
                <w:szCs w:val="20"/>
                <w:color w:val="auto"/>
              </w:rPr>
            </w:pPr>
            <w:r>
              <w:rPr>
                <w:rFonts w:ascii="Arial" w:cs="Arial" w:eastAsia="Arial" w:hAnsi="Arial"/>
                <w:sz w:val="16"/>
                <w:szCs w:val="16"/>
                <w:b w:val="1"/>
                <w:bCs w:val="1"/>
                <w:color w:val="auto"/>
              </w:rPr>
              <w:t>Gas Distribution</w:t>
            </w:r>
          </w:p>
        </w:tc>
        <w:tc>
          <w:tcPr>
            <w:tcW w:w="2560" w:type="dxa"/>
            <w:vAlign w:val="bottom"/>
          </w:tcPr>
          <w:p>
            <w:pPr>
              <w:jc w:val="right"/>
              <w:ind w:right="799"/>
              <w:spacing w:after="0"/>
              <w:rPr>
                <w:sz w:val="20"/>
                <w:szCs w:val="20"/>
                <w:color w:val="auto"/>
              </w:rPr>
            </w:pPr>
            <w:r>
              <w:rPr>
                <w:rFonts w:ascii="Arial" w:cs="Arial" w:eastAsia="Arial" w:hAnsi="Arial"/>
                <w:sz w:val="16"/>
                <w:szCs w:val="16"/>
                <w:b w:val="1"/>
                <w:bCs w:val="1"/>
                <w:color w:val="auto"/>
              </w:rPr>
              <w:t>Gas Distribution</w:t>
            </w:r>
          </w:p>
        </w:tc>
      </w:tr>
      <w:tr>
        <w:trPr>
          <w:trHeight w:val="203"/>
        </w:trPr>
        <w:tc>
          <w:tcPr>
            <w:tcW w:w="27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jc w:val="center"/>
              <w:ind w:left="339"/>
              <w:spacing w:after="0"/>
              <w:rPr>
                <w:sz w:val="20"/>
                <w:szCs w:val="20"/>
                <w:color w:val="auto"/>
              </w:rPr>
            </w:pPr>
            <w:r>
              <w:rPr>
                <w:rFonts w:ascii="Arial" w:cs="Arial" w:eastAsia="Arial" w:hAnsi="Arial"/>
                <w:sz w:val="16"/>
                <w:szCs w:val="16"/>
                <w:b w:val="1"/>
                <w:bCs w:val="1"/>
                <w:color w:val="auto"/>
              </w:rPr>
              <w:t>Transmission Pipelines</w:t>
            </w:r>
          </w:p>
        </w:tc>
        <w:tc>
          <w:tcPr>
            <w:tcW w:w="84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tcPr>
          <w:p>
            <w:pPr>
              <w:jc w:val="center"/>
              <w:ind w:right="639"/>
              <w:spacing w:after="0"/>
              <w:rPr>
                <w:sz w:val="20"/>
                <w:szCs w:val="20"/>
                <w:color w:val="auto"/>
              </w:rPr>
            </w:pPr>
            <w:r>
              <w:rPr>
                <w:rFonts w:ascii="Arial" w:cs="Arial" w:eastAsia="Arial" w:hAnsi="Arial"/>
                <w:sz w:val="16"/>
                <w:szCs w:val="16"/>
                <w:b w:val="1"/>
                <w:bCs w:val="1"/>
                <w:color w:val="auto"/>
              </w:rPr>
              <w:t>Mains</w:t>
            </w:r>
          </w:p>
        </w:tc>
        <w:tc>
          <w:tcPr>
            <w:tcW w:w="256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Service Lines</w:t>
            </w:r>
          </w:p>
        </w:tc>
      </w:tr>
      <w:tr>
        <w:trPr>
          <w:trHeight w:val="183"/>
        </w:trPr>
        <w:tc>
          <w:tcPr>
            <w:tcW w:w="2740" w:type="dxa"/>
            <w:vAlign w:val="bottom"/>
          </w:tcPr>
          <w:p>
            <w:pPr>
              <w:spacing w:after="0"/>
              <w:rPr>
                <w:sz w:val="15"/>
                <w:szCs w:val="15"/>
                <w:color w:val="auto"/>
              </w:rPr>
            </w:pPr>
          </w:p>
        </w:tc>
        <w:tc>
          <w:tcPr>
            <w:tcW w:w="2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tcPr>
          <w:p>
            <w:pPr>
              <w:jc w:val="center"/>
              <w:ind w:right="599"/>
              <w:spacing w:after="0" w:line="183" w:lineRule="exact"/>
              <w:rPr>
                <w:sz w:val="20"/>
                <w:szCs w:val="20"/>
                <w:color w:val="auto"/>
              </w:rPr>
            </w:pPr>
            <w:r>
              <w:rPr>
                <w:rFonts w:ascii="Arial" w:cs="Arial" w:eastAsia="Arial" w:hAnsi="Arial"/>
                <w:sz w:val="16"/>
                <w:szCs w:val="16"/>
                <w:color w:val="auto"/>
              </w:rPr>
              <w:t>(in Line Miles)</w:t>
            </w:r>
          </w:p>
        </w:tc>
        <w:tc>
          <w:tcPr>
            <w:tcW w:w="2560" w:type="dxa"/>
            <w:vAlign w:val="bottom"/>
            <w:tcBorders>
              <w:bottom w:val="single" w:sz="8" w:color="auto"/>
            </w:tcBorders>
          </w:tcPr>
          <w:p>
            <w:pPr>
              <w:spacing w:after="0"/>
              <w:rPr>
                <w:sz w:val="15"/>
                <w:szCs w:val="15"/>
                <w:color w:val="auto"/>
              </w:rPr>
            </w:pPr>
          </w:p>
        </w:tc>
      </w:tr>
      <w:tr>
        <w:trPr>
          <w:trHeight w:val="183"/>
        </w:trPr>
        <w:tc>
          <w:tcPr>
            <w:tcW w:w="5020" w:type="dxa"/>
            <w:vAlign w:val="bottom"/>
            <w:gridSpan w:val="2"/>
            <w:shd w:val="clear" w:color="auto" w:fill="CFF0FC"/>
          </w:tcPr>
          <w:p>
            <w:pPr>
              <w:ind w:left="20"/>
              <w:spacing w:after="0" w:line="183" w:lineRule="exact"/>
              <w:rPr>
                <w:sz w:val="20"/>
                <w:szCs w:val="20"/>
                <w:color w:val="auto"/>
              </w:rPr>
            </w:pPr>
            <w:r>
              <w:rPr>
                <w:rFonts w:ascii="Arial" w:cs="Arial" w:eastAsia="Arial" w:hAnsi="Arial"/>
                <w:sz w:val="16"/>
                <w:szCs w:val="16"/>
                <w:color w:val="auto"/>
              </w:rPr>
              <w:t>Arkansas Gas</w:t>
            </w:r>
          </w:p>
        </w:tc>
        <w:tc>
          <w:tcPr>
            <w:tcW w:w="840" w:type="dxa"/>
            <w:vAlign w:val="bottom"/>
            <w:shd w:val="clear" w:color="auto" w:fill="CFF0FC"/>
          </w:tcPr>
          <w:p>
            <w:pPr>
              <w:jc w:val="right"/>
              <w:ind w:right="339"/>
              <w:spacing w:after="0" w:line="183" w:lineRule="exact"/>
              <w:rPr>
                <w:sz w:val="20"/>
                <w:szCs w:val="20"/>
                <w:color w:val="auto"/>
              </w:rPr>
            </w:pPr>
            <w:r>
              <w:rPr>
                <w:rFonts w:ascii="Arial" w:cs="Arial" w:eastAsia="Arial" w:hAnsi="Arial"/>
                <w:sz w:val="16"/>
                <w:szCs w:val="16"/>
                <w:color w:val="auto"/>
              </w:rPr>
              <w:t>875</w:t>
            </w:r>
          </w:p>
        </w:tc>
        <w:tc>
          <w:tcPr>
            <w:tcW w:w="2820" w:type="dxa"/>
            <w:vAlign w:val="bottom"/>
            <w:shd w:val="clear" w:color="auto" w:fill="CFF0FC"/>
          </w:tcPr>
          <w:p>
            <w:pPr>
              <w:jc w:val="right"/>
              <w:ind w:right="359"/>
              <w:spacing w:after="0" w:line="183" w:lineRule="exact"/>
              <w:rPr>
                <w:sz w:val="20"/>
                <w:szCs w:val="20"/>
                <w:color w:val="auto"/>
              </w:rPr>
            </w:pPr>
            <w:r>
              <w:rPr>
                <w:rFonts w:ascii="Arial" w:cs="Arial" w:eastAsia="Arial" w:hAnsi="Arial"/>
                <w:sz w:val="16"/>
                <w:szCs w:val="16"/>
                <w:color w:val="auto"/>
              </w:rPr>
              <w:t>5,317</w:t>
            </w:r>
          </w:p>
        </w:tc>
        <w:tc>
          <w:tcPr>
            <w:tcW w:w="256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1,411</w:t>
            </w:r>
          </w:p>
        </w:tc>
      </w:tr>
      <w:tr>
        <w:trPr>
          <w:trHeight w:val="189"/>
        </w:trPr>
        <w:tc>
          <w:tcPr>
            <w:tcW w:w="5020" w:type="dxa"/>
            <w:vAlign w:val="bottom"/>
            <w:gridSpan w:val="2"/>
          </w:tcPr>
          <w:p>
            <w:pPr>
              <w:ind w:left="20"/>
              <w:spacing w:after="0"/>
              <w:rPr>
                <w:sz w:val="20"/>
                <w:szCs w:val="20"/>
                <w:color w:val="auto"/>
              </w:rPr>
            </w:pPr>
            <w:r>
              <w:rPr>
                <w:rFonts w:ascii="Arial" w:cs="Arial" w:eastAsia="Arial" w:hAnsi="Arial"/>
                <w:sz w:val="16"/>
                <w:szCs w:val="16"/>
                <w:color w:val="auto"/>
              </w:rPr>
              <w:t>Colorado Gas</w:t>
            </w:r>
          </w:p>
        </w:tc>
        <w:tc>
          <w:tcPr>
            <w:tcW w:w="840" w:type="dxa"/>
            <w:vAlign w:val="bottom"/>
          </w:tcPr>
          <w:p>
            <w:pPr>
              <w:jc w:val="right"/>
              <w:ind w:right="339"/>
              <w:spacing w:after="0"/>
              <w:rPr>
                <w:sz w:val="20"/>
                <w:szCs w:val="20"/>
                <w:color w:val="auto"/>
              </w:rPr>
            </w:pPr>
            <w:r>
              <w:rPr>
                <w:rFonts w:ascii="Arial" w:cs="Arial" w:eastAsia="Arial" w:hAnsi="Arial"/>
                <w:sz w:val="16"/>
                <w:szCs w:val="16"/>
                <w:color w:val="auto"/>
              </w:rPr>
              <w:t>682</w:t>
            </w:r>
          </w:p>
        </w:tc>
        <w:tc>
          <w:tcPr>
            <w:tcW w:w="2820" w:type="dxa"/>
            <w:vAlign w:val="bottom"/>
          </w:tcPr>
          <w:p>
            <w:pPr>
              <w:jc w:val="right"/>
              <w:ind w:right="359"/>
              <w:spacing w:after="0"/>
              <w:rPr>
                <w:sz w:val="20"/>
                <w:szCs w:val="20"/>
                <w:color w:val="auto"/>
              </w:rPr>
            </w:pPr>
            <w:r>
              <w:rPr>
                <w:rFonts w:ascii="Arial" w:cs="Arial" w:eastAsia="Arial" w:hAnsi="Arial"/>
                <w:sz w:val="16"/>
                <w:szCs w:val="16"/>
                <w:color w:val="auto"/>
              </w:rPr>
              <w:t>7,290</w:t>
            </w:r>
          </w:p>
        </w:tc>
        <w:tc>
          <w:tcPr>
            <w:tcW w:w="2560" w:type="dxa"/>
            <w:vAlign w:val="bottom"/>
          </w:tcPr>
          <w:p>
            <w:pPr>
              <w:jc w:val="right"/>
              <w:ind w:right="59"/>
              <w:spacing w:after="0"/>
              <w:rPr>
                <w:sz w:val="20"/>
                <w:szCs w:val="20"/>
                <w:color w:val="auto"/>
              </w:rPr>
            </w:pPr>
            <w:r>
              <w:rPr>
                <w:rFonts w:ascii="Arial" w:cs="Arial" w:eastAsia="Arial" w:hAnsi="Arial"/>
                <w:sz w:val="16"/>
                <w:szCs w:val="16"/>
                <w:color w:val="auto"/>
              </w:rPr>
              <w:t>2,245</w:t>
            </w:r>
          </w:p>
        </w:tc>
      </w:tr>
      <w:tr>
        <w:trPr>
          <w:trHeight w:val="189"/>
        </w:trPr>
        <w:tc>
          <w:tcPr>
            <w:tcW w:w="50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Iowa Gas</w:t>
            </w:r>
          </w:p>
        </w:tc>
        <w:tc>
          <w:tcPr>
            <w:tcW w:w="840" w:type="dxa"/>
            <w:vAlign w:val="bottom"/>
            <w:shd w:val="clear" w:color="auto" w:fill="CFF0FC"/>
          </w:tcPr>
          <w:p>
            <w:pPr>
              <w:jc w:val="right"/>
              <w:ind w:right="339"/>
              <w:spacing w:after="0"/>
              <w:rPr>
                <w:sz w:val="20"/>
                <w:szCs w:val="20"/>
                <w:color w:val="auto"/>
              </w:rPr>
            </w:pPr>
            <w:r>
              <w:rPr>
                <w:rFonts w:ascii="Arial" w:cs="Arial" w:eastAsia="Arial" w:hAnsi="Arial"/>
                <w:sz w:val="16"/>
                <w:szCs w:val="16"/>
                <w:color w:val="auto"/>
              </w:rPr>
              <w:t>173</w:t>
            </w:r>
          </w:p>
        </w:tc>
        <w:tc>
          <w:tcPr>
            <w:tcW w:w="2820" w:type="dxa"/>
            <w:vAlign w:val="bottom"/>
            <w:shd w:val="clear" w:color="auto" w:fill="CFF0FC"/>
          </w:tcPr>
          <w:p>
            <w:pPr>
              <w:jc w:val="right"/>
              <w:ind w:right="359"/>
              <w:spacing w:after="0"/>
              <w:rPr>
                <w:sz w:val="20"/>
                <w:szCs w:val="20"/>
                <w:color w:val="auto"/>
              </w:rPr>
            </w:pPr>
            <w:r>
              <w:rPr>
                <w:rFonts w:ascii="Arial" w:cs="Arial" w:eastAsia="Arial" w:hAnsi="Arial"/>
                <w:sz w:val="16"/>
                <w:szCs w:val="16"/>
                <w:color w:val="auto"/>
              </w:rPr>
              <w:t>2,938</w:t>
            </w:r>
          </w:p>
        </w:tc>
        <w:tc>
          <w:tcPr>
            <w:tcW w:w="25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3,729</w:t>
            </w:r>
          </w:p>
        </w:tc>
      </w:tr>
      <w:tr>
        <w:trPr>
          <w:trHeight w:val="189"/>
        </w:trPr>
        <w:tc>
          <w:tcPr>
            <w:tcW w:w="5020" w:type="dxa"/>
            <w:vAlign w:val="bottom"/>
            <w:gridSpan w:val="2"/>
          </w:tcPr>
          <w:p>
            <w:pPr>
              <w:ind w:left="20"/>
              <w:spacing w:after="0"/>
              <w:rPr>
                <w:sz w:val="20"/>
                <w:szCs w:val="20"/>
                <w:color w:val="auto"/>
              </w:rPr>
            </w:pPr>
            <w:r>
              <w:rPr>
                <w:rFonts w:ascii="Arial" w:cs="Arial" w:eastAsia="Arial" w:hAnsi="Arial"/>
                <w:sz w:val="16"/>
                <w:szCs w:val="16"/>
                <w:color w:val="auto"/>
              </w:rPr>
              <w:t>Kansas Gas</w:t>
            </w:r>
          </w:p>
        </w:tc>
        <w:tc>
          <w:tcPr>
            <w:tcW w:w="840" w:type="dxa"/>
            <w:vAlign w:val="bottom"/>
          </w:tcPr>
          <w:p>
            <w:pPr>
              <w:jc w:val="right"/>
              <w:ind w:right="339"/>
              <w:spacing w:after="0"/>
              <w:rPr>
                <w:sz w:val="20"/>
                <w:szCs w:val="20"/>
                <w:color w:val="auto"/>
              </w:rPr>
            </w:pPr>
            <w:r>
              <w:rPr>
                <w:rFonts w:ascii="Arial" w:cs="Arial" w:eastAsia="Arial" w:hAnsi="Arial"/>
                <w:sz w:val="16"/>
                <w:szCs w:val="16"/>
                <w:color w:val="auto"/>
              </w:rPr>
              <w:t>339</w:t>
            </w:r>
          </w:p>
        </w:tc>
        <w:tc>
          <w:tcPr>
            <w:tcW w:w="2820" w:type="dxa"/>
            <w:vAlign w:val="bottom"/>
          </w:tcPr>
          <w:p>
            <w:pPr>
              <w:jc w:val="right"/>
              <w:ind w:right="359"/>
              <w:spacing w:after="0"/>
              <w:rPr>
                <w:sz w:val="20"/>
                <w:szCs w:val="20"/>
                <w:color w:val="auto"/>
              </w:rPr>
            </w:pPr>
            <w:r>
              <w:rPr>
                <w:rFonts w:ascii="Arial" w:cs="Arial" w:eastAsia="Arial" w:hAnsi="Arial"/>
                <w:sz w:val="16"/>
                <w:szCs w:val="16"/>
                <w:color w:val="auto"/>
              </w:rPr>
              <w:t>3,096</w:t>
            </w:r>
          </w:p>
        </w:tc>
        <w:tc>
          <w:tcPr>
            <w:tcW w:w="2560" w:type="dxa"/>
            <w:vAlign w:val="bottom"/>
          </w:tcPr>
          <w:p>
            <w:pPr>
              <w:jc w:val="right"/>
              <w:ind w:right="59"/>
              <w:spacing w:after="0"/>
              <w:rPr>
                <w:sz w:val="20"/>
                <w:szCs w:val="20"/>
                <w:color w:val="auto"/>
              </w:rPr>
            </w:pPr>
            <w:r>
              <w:rPr>
                <w:rFonts w:ascii="Arial" w:cs="Arial" w:eastAsia="Arial" w:hAnsi="Arial"/>
                <w:sz w:val="16"/>
                <w:szCs w:val="16"/>
                <w:color w:val="auto"/>
              </w:rPr>
              <w:t>1,510</w:t>
            </w:r>
          </w:p>
        </w:tc>
      </w:tr>
      <w:tr>
        <w:trPr>
          <w:trHeight w:val="189"/>
        </w:trPr>
        <w:tc>
          <w:tcPr>
            <w:tcW w:w="50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Nebraska Gas</w:t>
            </w:r>
          </w:p>
        </w:tc>
        <w:tc>
          <w:tcPr>
            <w:tcW w:w="840" w:type="dxa"/>
            <w:vAlign w:val="bottom"/>
            <w:shd w:val="clear" w:color="auto" w:fill="CFF0FC"/>
          </w:tcPr>
          <w:p>
            <w:pPr>
              <w:jc w:val="right"/>
              <w:ind w:right="339"/>
              <w:spacing w:after="0"/>
              <w:rPr>
                <w:sz w:val="20"/>
                <w:szCs w:val="20"/>
                <w:color w:val="auto"/>
              </w:rPr>
            </w:pPr>
            <w:r>
              <w:rPr>
                <w:rFonts w:ascii="Arial" w:cs="Arial" w:eastAsia="Arial" w:hAnsi="Arial"/>
                <w:sz w:val="16"/>
                <w:szCs w:val="16"/>
                <w:color w:val="auto"/>
                <w:w w:val="99"/>
              </w:rPr>
              <w:t>1,313</w:t>
            </w:r>
          </w:p>
        </w:tc>
        <w:tc>
          <w:tcPr>
            <w:tcW w:w="2820" w:type="dxa"/>
            <w:vAlign w:val="bottom"/>
            <w:shd w:val="clear" w:color="auto" w:fill="CFF0FC"/>
          </w:tcPr>
          <w:p>
            <w:pPr>
              <w:jc w:val="right"/>
              <w:ind w:right="359"/>
              <w:spacing w:after="0"/>
              <w:rPr>
                <w:sz w:val="20"/>
                <w:szCs w:val="20"/>
                <w:color w:val="auto"/>
              </w:rPr>
            </w:pPr>
            <w:r>
              <w:rPr>
                <w:rFonts w:ascii="Arial" w:cs="Arial" w:eastAsia="Arial" w:hAnsi="Arial"/>
                <w:sz w:val="16"/>
                <w:szCs w:val="16"/>
                <w:color w:val="auto"/>
              </w:rPr>
              <w:t>8,658</w:t>
            </w:r>
          </w:p>
        </w:tc>
        <w:tc>
          <w:tcPr>
            <w:tcW w:w="25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2,967</w:t>
            </w:r>
          </w:p>
        </w:tc>
      </w:tr>
      <w:tr>
        <w:trPr>
          <w:trHeight w:val="189"/>
        </w:trPr>
        <w:tc>
          <w:tcPr>
            <w:tcW w:w="2740" w:type="dxa"/>
            <w:vAlign w:val="bottom"/>
          </w:tcPr>
          <w:p>
            <w:pPr>
              <w:ind w:left="20"/>
              <w:spacing w:after="0"/>
              <w:rPr>
                <w:sz w:val="20"/>
                <w:szCs w:val="20"/>
                <w:color w:val="auto"/>
              </w:rPr>
            </w:pPr>
            <w:r>
              <w:rPr>
                <w:rFonts w:ascii="Arial" w:cs="Arial" w:eastAsia="Arial" w:hAnsi="Arial"/>
                <w:sz w:val="16"/>
                <w:szCs w:val="16"/>
                <w:color w:val="auto"/>
              </w:rPr>
              <w:t>Wyoming Gas</w:t>
            </w:r>
          </w:p>
        </w:tc>
        <w:tc>
          <w:tcPr>
            <w:tcW w:w="2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99"/>
              </w:rPr>
              <w:t>1,266</w:t>
            </w:r>
          </w:p>
        </w:tc>
        <w:tc>
          <w:tcPr>
            <w:tcW w:w="28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3,618</w:t>
            </w:r>
          </w:p>
        </w:tc>
        <w:tc>
          <w:tcPr>
            <w:tcW w:w="25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1,745</w:t>
            </w:r>
          </w:p>
        </w:tc>
      </w:tr>
      <w:tr>
        <w:trPr>
          <w:trHeight w:val="223"/>
        </w:trPr>
        <w:tc>
          <w:tcPr>
            <w:tcW w:w="274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Total</w:t>
            </w:r>
          </w:p>
        </w:tc>
        <w:tc>
          <w:tcPr>
            <w:tcW w:w="22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339"/>
              <w:spacing w:after="0" w:line="183" w:lineRule="exact"/>
              <w:rPr>
                <w:sz w:val="20"/>
                <w:szCs w:val="20"/>
                <w:color w:val="auto"/>
              </w:rPr>
            </w:pPr>
            <w:r>
              <w:rPr>
                <w:rFonts w:ascii="Arial" w:cs="Arial" w:eastAsia="Arial" w:hAnsi="Arial"/>
                <w:sz w:val="16"/>
                <w:szCs w:val="16"/>
                <w:color w:val="auto"/>
                <w:w w:val="99"/>
              </w:rPr>
              <w:t>4,648</w:t>
            </w:r>
          </w:p>
        </w:tc>
        <w:tc>
          <w:tcPr>
            <w:tcW w:w="2820" w:type="dxa"/>
            <w:vAlign w:val="bottom"/>
            <w:tcBorders>
              <w:bottom w:val="single" w:sz="8" w:color="auto"/>
            </w:tcBorders>
            <w:shd w:val="clear" w:color="auto" w:fill="CFF0FC"/>
          </w:tcPr>
          <w:p>
            <w:pPr>
              <w:jc w:val="right"/>
              <w:ind w:right="359"/>
              <w:spacing w:after="0" w:line="183" w:lineRule="exact"/>
              <w:rPr>
                <w:sz w:val="20"/>
                <w:szCs w:val="20"/>
                <w:color w:val="auto"/>
              </w:rPr>
            </w:pPr>
            <w:r>
              <w:rPr>
                <w:rFonts w:ascii="Arial" w:cs="Arial" w:eastAsia="Arial" w:hAnsi="Arial"/>
                <w:sz w:val="16"/>
                <w:szCs w:val="16"/>
                <w:color w:val="auto"/>
              </w:rPr>
              <w:t>30,917</w:t>
            </w:r>
          </w:p>
        </w:tc>
        <w:tc>
          <w:tcPr>
            <w:tcW w:w="256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13,607</w:t>
            </w:r>
          </w:p>
        </w:tc>
      </w:tr>
    </w:tbl>
    <w:p>
      <w:pPr>
        <w:spacing w:after="0" w:line="175"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b w:val="1"/>
          <w:bCs w:val="1"/>
          <w:i w:val="1"/>
          <w:iCs w:val="1"/>
          <w:color w:val="auto"/>
        </w:rPr>
        <w:t xml:space="preserve">Seasonal Variations of Business. </w:t>
      </w:r>
      <w:r>
        <w:rPr>
          <w:rFonts w:ascii="Arial" w:cs="Arial" w:eastAsia="Arial" w:hAnsi="Arial"/>
          <w:sz w:val="16"/>
          <w:szCs w:val="16"/>
          <w:color w:val="auto"/>
        </w:rPr>
        <w:t>Our Gas Utilities are seasonal businesses and weather patterns may impact their operating results. Demand for natural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gas is sensitive to seasonal heating and industrial load requirements, as well as market price. In particular, demand is often greater in the winter months for heating. Natural gas is used primarily for residential and commercial heating, and demand for this product can depend heavily upon weather throughout our service territories. As a result, a significant amount of natural gas revenue is normally recognized in the heating season consisting of the first and fourth quarters. Demand for natural gas can also be impacted by summer temperatures and precipitation, which can affect demand for irrigation.</w:t>
      </w:r>
    </w:p>
    <w:p>
      <w:pPr>
        <w:spacing w:after="0" w:line="153" w:lineRule="exact"/>
        <w:rPr>
          <w:sz w:val="20"/>
          <w:szCs w:val="20"/>
          <w:color w:val="auto"/>
        </w:rPr>
      </w:pPr>
    </w:p>
    <w:p>
      <w:pPr>
        <w:ind w:right="160"/>
        <w:spacing w:after="0" w:line="254" w:lineRule="auto"/>
        <w:rPr>
          <w:sz w:val="20"/>
          <w:szCs w:val="20"/>
          <w:color w:val="auto"/>
        </w:rPr>
      </w:pPr>
      <w:r>
        <w:rPr>
          <w:rFonts w:ascii="Arial" w:cs="Arial" w:eastAsia="Arial" w:hAnsi="Arial"/>
          <w:sz w:val="16"/>
          <w:szCs w:val="16"/>
          <w:b w:val="1"/>
          <w:bCs w:val="1"/>
          <w:i w:val="1"/>
          <w:iCs w:val="1"/>
          <w:color w:val="auto"/>
        </w:rPr>
        <w:t xml:space="preserve">Competition. </w:t>
      </w:r>
      <w:r>
        <w:rPr>
          <w:rFonts w:ascii="Arial" w:cs="Arial" w:eastAsia="Arial" w:hAnsi="Arial"/>
          <w:sz w:val="16"/>
          <w:szCs w:val="16"/>
          <w:color w:val="auto"/>
        </w:rPr>
        <w:t>We generally have limited competition for the retail distribution of natural gas in our service areas. Various restructuring and competitive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initiatives have been discussed in several of the states in which our utilities operate. These initiatives are aimed at increasing competition. Additionally, electrification initiatives in our service territories could negatively impact demand for natural gas and decrease future growth. To date, these initiatives have not had a material impact on our utilities. Although we face competition from independent marketers for the sale of natural gas to our industrial and commercial customers, in instances where independent marketers displace us as the seller of natural gas, we still collect fees for transporting the gas through our distribution network.</w:t>
      </w:r>
    </w:p>
    <w:p>
      <w:pPr>
        <w:spacing w:after="0" w:line="15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b w:val="1"/>
          <w:bCs w:val="1"/>
          <w:i w:val="1"/>
          <w:iCs w:val="1"/>
          <w:color w:val="auto"/>
        </w:rPr>
        <w:t>Operating statistics</w:t>
      </w:r>
      <w:r>
        <w:rPr>
          <w:rFonts w:ascii="Arial" w:cs="Arial" w:eastAsia="Arial" w:hAnsi="Arial"/>
          <w:sz w:val="16"/>
          <w:szCs w:val="16"/>
          <w:color w:val="auto"/>
        </w:rPr>
        <w:t>. See a summary of key operating statistics in the</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0000FF"/>
        </w:rPr>
        <w:t>Gas Utilities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segment operating results within Management’s Discussion and Analysis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of Financial Condition and Results of Operations in </w:t>
      </w:r>
      <w:r>
        <w:rPr>
          <w:rFonts w:ascii="Arial" w:cs="Arial" w:eastAsia="Arial" w:hAnsi="Arial"/>
          <w:sz w:val="16"/>
          <w:szCs w:val="16"/>
          <w:u w:val="single" w:color="auto"/>
          <w:color w:val="0000FF"/>
        </w:rPr>
        <w:t>Item 7</w:t>
      </w:r>
      <w:r>
        <w:rPr>
          <w:rFonts w:ascii="Arial" w:cs="Arial" w:eastAsia="Arial" w:hAnsi="Arial"/>
          <w:sz w:val="16"/>
          <w:szCs w:val="16"/>
          <w:color w:val="auto"/>
        </w:rPr>
        <w:t xml:space="preserve">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3235325</wp:posOffset>
            </wp:positionH>
            <wp:positionV relativeFrom="paragraph">
              <wp:posOffset>-165735</wp:posOffset>
            </wp:positionV>
            <wp:extent cx="54864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48640" cy="8890"/>
                    </a:xfrm>
                    <a:prstGeom prst="rect">
                      <a:avLst/>
                    </a:prstGeom>
                    <a:noFill/>
                  </pic:spPr>
                </pic:pic>
              </a:graphicData>
            </a:graphic>
          </wp:anchor>
        </w:drawing>
        <w:drawing>
          <wp:anchor simplePos="0" relativeHeight="251657728" behindDoc="1" locked="0" layoutInCell="0" allowOverlap="1">
            <wp:simplePos x="0" y="0"/>
            <wp:positionH relativeFrom="column">
              <wp:posOffset>2349500</wp:posOffset>
            </wp:positionH>
            <wp:positionV relativeFrom="paragraph">
              <wp:posOffset>-45720</wp:posOffset>
            </wp:positionV>
            <wp:extent cx="28575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5750" cy="8255"/>
                    </a:xfrm>
                    <a:prstGeom prst="rect">
                      <a:avLst/>
                    </a:prstGeom>
                    <a:noFill/>
                  </pic:spPr>
                </pic:pic>
              </a:graphicData>
            </a:graphic>
          </wp:anchor>
        </w:drawing>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Utility Regulation Characteristics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Our Utilities are subject to regulation by a number of federal, state and other organizations, including, but not limited to, the following:</w:t>
      </w:r>
    </w:p>
    <w:p>
      <w:pPr>
        <w:spacing w:after="0" w:line="194" w:lineRule="exact"/>
        <w:rPr>
          <w:sz w:val="20"/>
          <w:szCs w:val="20"/>
          <w:color w:val="auto"/>
        </w:rPr>
      </w:pPr>
    </w:p>
    <w:p>
      <w:pPr>
        <w:ind w:left="1020" w:right="500" w:hanging="503"/>
        <w:spacing w:after="0" w:line="285" w:lineRule="auto"/>
        <w:tabs>
          <w:tab w:leader="none" w:pos="102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state public utility commissions, which have jurisdiction over services and facilities, rates and charges, accounting, valuation of property, depreciation rates, and various other matters;</w:t>
      </w:r>
    </w:p>
    <w:p>
      <w:pPr>
        <w:spacing w:after="0" w:line="129" w:lineRule="exact"/>
        <w:rPr>
          <w:rFonts w:ascii="Times New Roman" w:cs="Times New Roman" w:eastAsia="Times New Roman" w:hAnsi="Times New Roman"/>
          <w:sz w:val="16"/>
          <w:szCs w:val="16"/>
          <w:color w:val="auto"/>
        </w:rPr>
      </w:pPr>
    </w:p>
    <w:p>
      <w:pPr>
        <w:jc w:val="both"/>
        <w:ind w:left="1020" w:right="540" w:hanging="503"/>
        <w:spacing w:after="0" w:line="266" w:lineRule="auto"/>
        <w:tabs>
          <w:tab w:leader="none" w:pos="102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the FERC, which oversees the acquisition and disposition of generation, transmission and other facilities, transmission of electricity and natural gas in interstate commerce, proposals to build and operate interstate natural gas pipelines and storage facilities, and wholesale purchases and sales of electric energy, among other things;</w:t>
      </w:r>
    </w:p>
    <w:p>
      <w:pPr>
        <w:spacing w:after="0" w:line="143" w:lineRule="exact"/>
        <w:rPr>
          <w:rFonts w:ascii="Times New Roman" w:cs="Times New Roman" w:eastAsia="Times New Roman" w:hAnsi="Times New Roman"/>
          <w:sz w:val="16"/>
          <w:szCs w:val="16"/>
          <w:color w:val="auto"/>
        </w:rPr>
      </w:pPr>
    </w:p>
    <w:p>
      <w:pPr>
        <w:ind w:left="1020" w:right="180" w:hanging="503"/>
        <w:spacing w:after="0" w:line="285" w:lineRule="auto"/>
        <w:tabs>
          <w:tab w:leader="none" w:pos="102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the NERC, which, through its regional entities, establishes and enforces mandatory reliability standards, subject to approval by the FERC, to ensure the reliability of the U.S. electric transmission and generation system, and to prevent major system blackouts;</w:t>
      </w:r>
    </w:p>
    <w:p>
      <w:pPr>
        <w:spacing w:after="0" w:line="129" w:lineRule="exact"/>
        <w:rPr>
          <w:rFonts w:ascii="Times New Roman" w:cs="Times New Roman" w:eastAsia="Times New Roman" w:hAnsi="Times New Roman"/>
          <w:sz w:val="16"/>
          <w:szCs w:val="16"/>
          <w:color w:val="auto"/>
        </w:rPr>
      </w:pPr>
    </w:p>
    <w:p>
      <w:pPr>
        <w:ind w:left="1020" w:right="600" w:hanging="503"/>
        <w:spacing w:after="0" w:line="266" w:lineRule="auto"/>
        <w:tabs>
          <w:tab w:leader="none" w:pos="102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the EPA, which has the responsibility to maintain and enforce national standards under a variety of environmental laws, in some cases delegating authority to state agencies. The EPA also works with industries and all levels of government, including federal and state governments, in a wide variety of voluntary pollution prevention programs and energy conservation efforts;</w:t>
      </w:r>
    </w:p>
    <w:p>
      <w:pPr>
        <w:spacing w:after="0" w:line="143" w:lineRule="exact"/>
        <w:rPr>
          <w:rFonts w:ascii="Times New Roman" w:cs="Times New Roman" w:eastAsia="Times New Roman" w:hAnsi="Times New Roman"/>
          <w:sz w:val="16"/>
          <w:szCs w:val="16"/>
          <w:color w:val="auto"/>
        </w:rPr>
      </w:pPr>
    </w:p>
    <w:p>
      <w:pPr>
        <w:ind w:left="1020" w:right="20" w:hanging="503"/>
        <w:spacing w:after="0" w:line="259" w:lineRule="auto"/>
        <w:tabs>
          <w:tab w:leader="none" w:pos="102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the PHMSA, which is responsible for administering the federal regulatory program to help ensure the safe transportation of natural gas, petroleum, and other hazardous materials by pipelines, including pipelines associated with natural gas storage, and develops regulations and other approaches to risk management to help ensure safety in design, construction, testing, operation, maintenance, and emergency response of pipeline facilities.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Rates and Regulation</w:t>
      </w:r>
    </w:p>
    <w:p>
      <w:pPr>
        <w:spacing w:after="0" w:line="194"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Our Utilities are subject to the jurisdiction of the public utility commissions in the states where they operate and the FERC for certain assets and transactions. These commissions oversee services and facilities, rates and charges, accounting, valuation of property, depreciation rates, and various other matters. Rate decisions are influenced by many factors, including the cost of providing service, capital expenditures, the prudence of costs we incur, views concerning appropriate rates of return, general economic conditions, and the political environment. Certain commissions also have jurisdiction over the issuance of debt or securities and the creation of liens on property located in their states to secure bonds or other securities.</w:t>
      </w:r>
    </w:p>
    <w:p>
      <w:pPr>
        <w:spacing w:after="0" w:line="153"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regulatory provisions for recovering the costs of service vary by jurisdiction. Our Utilities have cost recovery mechanisms that allow us to pass the prudently-incurred cost of natural gas, fuel, and purchased power to customers. These mechanisms allow the utility operating in that state to collect or refund the difference between the cost of commodities and certain services embedded in our base rates and the actual cost of the commodities and certain services without filing a general rate review. In addition, some jurisdictions allow us to recover certain costs or earn a return on capital investments placed in service between base rate reviews through approved rider tariffs, such as energy efficiency plan costs and system safety and integrity investments. These tariffs allow the utility a return on the investment.</w:t>
      </w: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Electric Utilities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regulatory information for each of our Electric Utilities: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Authorized</w:t>
            </w:r>
          </w:p>
        </w:tc>
        <w:tc>
          <w:tcPr>
            <w:tcW w:w="10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Authorized</w:t>
            </w: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Percentage of</w:t>
            </w:r>
          </w:p>
        </w:tc>
        <w:tc>
          <w:tcPr>
            <w:tcW w:w="0" w:type="dxa"/>
            <w:vAlign w:val="bottom"/>
          </w:tcPr>
          <w:p>
            <w:pPr>
              <w:spacing w:after="0"/>
              <w:rPr>
                <w:sz w:val="1"/>
                <w:szCs w:val="1"/>
                <w:color w:val="auto"/>
              </w:rPr>
            </w:pPr>
          </w:p>
        </w:tc>
      </w:tr>
      <w:tr>
        <w:trPr>
          <w:trHeight w:val="162"/>
        </w:trPr>
        <w:tc>
          <w:tcPr>
            <w:tcW w:w="1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Rate of</w:t>
            </w:r>
          </w:p>
        </w:tc>
        <w:tc>
          <w:tcPr>
            <w:tcW w:w="1040" w:type="dxa"/>
            <w:vAlign w:val="bottom"/>
          </w:tcPr>
          <w:p>
            <w:pPr>
              <w:jc w:val="center"/>
              <w:spacing w:after="0"/>
              <w:rPr>
                <w:sz w:val="20"/>
                <w:szCs w:val="20"/>
                <w:color w:val="auto"/>
              </w:rPr>
            </w:pPr>
            <w:r>
              <w:rPr>
                <w:rFonts w:ascii="Arial" w:cs="Arial" w:eastAsia="Arial" w:hAnsi="Arial"/>
                <w:sz w:val="14"/>
                <w:szCs w:val="14"/>
                <w:color w:val="auto"/>
              </w:rPr>
              <w:t>Authorized</w:t>
            </w:r>
          </w:p>
        </w:tc>
        <w:tc>
          <w:tcPr>
            <w:tcW w:w="1040" w:type="dxa"/>
            <w:vAlign w:val="bottom"/>
          </w:tcPr>
          <w:p>
            <w:pPr>
              <w:jc w:val="center"/>
              <w:spacing w:after="0"/>
              <w:rPr>
                <w:sz w:val="20"/>
                <w:szCs w:val="20"/>
                <w:color w:val="auto"/>
              </w:rPr>
            </w:pPr>
            <w:r>
              <w:rPr>
                <w:rFonts w:ascii="Arial" w:cs="Arial" w:eastAsia="Arial" w:hAnsi="Arial"/>
                <w:sz w:val="14"/>
                <w:szCs w:val="14"/>
                <w:color w:val="auto"/>
              </w:rPr>
              <w:t>Capital</w:t>
            </w:r>
          </w:p>
        </w:tc>
        <w:tc>
          <w:tcPr>
            <w:tcW w:w="1080" w:type="dxa"/>
            <w:vAlign w:val="bottom"/>
          </w:tcPr>
          <w:p>
            <w:pPr>
              <w:jc w:val="center"/>
              <w:spacing w:after="0"/>
              <w:rPr>
                <w:sz w:val="20"/>
                <w:szCs w:val="20"/>
                <w:color w:val="auto"/>
              </w:rPr>
            </w:pPr>
            <w:r>
              <w:rPr>
                <w:rFonts w:ascii="Arial" w:cs="Arial" w:eastAsia="Arial" w:hAnsi="Arial"/>
                <w:sz w:val="14"/>
                <w:szCs w:val="14"/>
                <w:color w:val="auto"/>
              </w:rPr>
              <w:t>Authorized</w:t>
            </w:r>
          </w:p>
        </w:tc>
        <w:tc>
          <w:tcPr>
            <w:tcW w:w="7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Power Marketing</w:t>
            </w:r>
          </w:p>
        </w:tc>
        <w:tc>
          <w:tcPr>
            <w:tcW w:w="0" w:type="dxa"/>
            <w:vAlign w:val="bottom"/>
          </w:tcPr>
          <w:p>
            <w:pPr>
              <w:spacing w:after="0"/>
              <w:rPr>
                <w:sz w:val="1"/>
                <w:szCs w:val="1"/>
                <w:color w:val="auto"/>
              </w:rPr>
            </w:pPr>
          </w:p>
        </w:tc>
      </w:tr>
      <w:tr>
        <w:trPr>
          <w:trHeight w:val="162"/>
        </w:trPr>
        <w:tc>
          <w:tcPr>
            <w:tcW w:w="1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Return on</w:t>
            </w:r>
          </w:p>
        </w:tc>
        <w:tc>
          <w:tcPr>
            <w:tcW w:w="1040" w:type="dxa"/>
            <w:vAlign w:val="bottom"/>
          </w:tcPr>
          <w:p>
            <w:pPr>
              <w:jc w:val="center"/>
              <w:spacing w:after="0"/>
              <w:rPr>
                <w:sz w:val="20"/>
                <w:szCs w:val="20"/>
                <w:color w:val="auto"/>
              </w:rPr>
            </w:pPr>
            <w:r>
              <w:rPr>
                <w:rFonts w:ascii="Arial" w:cs="Arial" w:eastAsia="Arial" w:hAnsi="Arial"/>
                <w:sz w:val="14"/>
                <w:szCs w:val="14"/>
                <w:color w:val="auto"/>
              </w:rPr>
              <w:t>Return on</w:t>
            </w:r>
          </w:p>
        </w:tc>
        <w:tc>
          <w:tcPr>
            <w:tcW w:w="1040" w:type="dxa"/>
            <w:vAlign w:val="bottom"/>
          </w:tcPr>
          <w:p>
            <w:pPr>
              <w:jc w:val="center"/>
              <w:spacing w:after="0"/>
              <w:rPr>
                <w:sz w:val="20"/>
                <w:szCs w:val="20"/>
                <w:color w:val="auto"/>
              </w:rPr>
            </w:pPr>
            <w:r>
              <w:rPr>
                <w:rFonts w:ascii="Arial" w:cs="Arial" w:eastAsia="Arial" w:hAnsi="Arial"/>
                <w:sz w:val="14"/>
                <w:szCs w:val="14"/>
                <w:color w:val="auto"/>
              </w:rPr>
              <w:t>Structure</w:t>
            </w:r>
          </w:p>
        </w:tc>
        <w:tc>
          <w:tcPr>
            <w:tcW w:w="1080" w:type="dxa"/>
            <w:vAlign w:val="bottom"/>
          </w:tcPr>
          <w:p>
            <w:pPr>
              <w:jc w:val="center"/>
              <w:spacing w:after="0"/>
              <w:rPr>
                <w:sz w:val="20"/>
                <w:szCs w:val="20"/>
                <w:color w:val="auto"/>
              </w:rPr>
            </w:pPr>
            <w:r>
              <w:rPr>
                <w:rFonts w:ascii="Arial" w:cs="Arial" w:eastAsia="Arial" w:hAnsi="Arial"/>
                <w:sz w:val="14"/>
                <w:szCs w:val="14"/>
                <w:color w:val="auto"/>
              </w:rPr>
              <w:t>Rate Base (in</w:t>
            </w:r>
          </w:p>
        </w:tc>
        <w:tc>
          <w:tcPr>
            <w:tcW w:w="760" w:type="dxa"/>
            <w:vAlign w:val="bottom"/>
          </w:tcPr>
          <w:p>
            <w:pPr>
              <w:jc w:val="center"/>
              <w:spacing w:after="0"/>
              <w:rPr>
                <w:sz w:val="20"/>
                <w:szCs w:val="20"/>
                <w:color w:val="auto"/>
              </w:rPr>
            </w:pPr>
            <w:r>
              <w:rPr>
                <w:rFonts w:ascii="Arial" w:cs="Arial" w:eastAsia="Arial" w:hAnsi="Arial"/>
                <w:sz w:val="14"/>
                <w:szCs w:val="14"/>
                <w:color w:val="auto"/>
              </w:rPr>
              <w:t>Effective</w:t>
            </w:r>
          </w:p>
        </w:tc>
        <w:tc>
          <w:tcPr>
            <w:tcW w:w="2120" w:type="dxa"/>
            <w:vAlign w:val="bottom"/>
          </w:tcPr>
          <w:p>
            <w:pPr>
              <w:jc w:val="center"/>
              <w:spacing w:after="0"/>
              <w:rPr>
                <w:sz w:val="20"/>
                <w:szCs w:val="20"/>
                <w:color w:val="auto"/>
              </w:rPr>
            </w:pPr>
            <w:r>
              <w:rPr>
                <w:rFonts w:ascii="Arial" w:cs="Arial" w:eastAsia="Arial" w:hAnsi="Arial"/>
                <w:sz w:val="14"/>
                <w:szCs w:val="14"/>
                <w:color w:val="auto"/>
              </w:rPr>
              <w:t>Additional Regulatory</w:t>
            </w:r>
          </w:p>
        </w:tc>
        <w:tc>
          <w:tcPr>
            <w:tcW w:w="1360" w:type="dxa"/>
            <w:vAlign w:val="bottom"/>
          </w:tcPr>
          <w:p>
            <w:pPr>
              <w:jc w:val="center"/>
              <w:spacing w:after="0"/>
              <w:rPr>
                <w:sz w:val="20"/>
                <w:szCs w:val="20"/>
                <w:color w:val="auto"/>
              </w:rPr>
            </w:pPr>
            <w:r>
              <w:rPr>
                <w:rFonts w:ascii="Arial" w:cs="Arial" w:eastAsia="Arial" w:hAnsi="Arial"/>
                <w:sz w:val="14"/>
                <w:szCs w:val="14"/>
                <w:color w:val="auto"/>
              </w:rPr>
              <w:t>Profit Shared with</w:t>
            </w:r>
          </w:p>
        </w:tc>
        <w:tc>
          <w:tcPr>
            <w:tcW w:w="0" w:type="dxa"/>
            <w:vAlign w:val="bottom"/>
          </w:tcPr>
          <w:p>
            <w:pPr>
              <w:spacing w:after="0"/>
              <w:rPr>
                <w:sz w:val="1"/>
                <w:szCs w:val="1"/>
                <w:color w:val="auto"/>
              </w:rPr>
            </w:pPr>
          </w:p>
        </w:tc>
      </w:tr>
      <w:tr>
        <w:trPr>
          <w:trHeight w:val="171"/>
        </w:trPr>
        <w:tc>
          <w:tcPr>
            <w:tcW w:w="168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Subsidiary</w:t>
            </w:r>
          </w:p>
        </w:tc>
        <w:tc>
          <w:tcPr>
            <w:tcW w:w="116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rPr>
              <w:t>Jurisdiction</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Equity</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Rate Base</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Debt/Equity</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millions)</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Date</w:t>
            </w: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Mechanisms</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Customers</w:t>
            </w:r>
          </w:p>
        </w:tc>
        <w:tc>
          <w:tcPr>
            <w:tcW w:w="0" w:type="dxa"/>
            <w:vAlign w:val="bottom"/>
          </w:tcPr>
          <w:p>
            <w:pPr>
              <w:spacing w:after="0"/>
              <w:rPr>
                <w:sz w:val="1"/>
                <w:szCs w:val="1"/>
                <w:color w:val="auto"/>
              </w:rPr>
            </w:pPr>
          </w:p>
        </w:tc>
      </w:tr>
      <w:tr>
        <w:trPr>
          <w:trHeight w:val="156"/>
        </w:trPr>
        <w:tc>
          <w:tcPr>
            <w:tcW w:w="16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680" w:type="dxa"/>
            <w:vAlign w:val="bottom"/>
            <w:shd w:val="clear" w:color="auto" w:fill="CFF0FC"/>
          </w:tcPr>
          <w:p>
            <w:pPr>
              <w:ind w:left="20"/>
              <w:spacing w:after="0" w:line="153" w:lineRule="exact"/>
              <w:rPr>
                <w:sz w:val="20"/>
                <w:szCs w:val="20"/>
                <w:color w:val="auto"/>
              </w:rPr>
            </w:pPr>
            <w:r>
              <w:rPr>
                <w:rFonts w:ascii="Arial" w:cs="Arial" w:eastAsia="Arial" w:hAnsi="Arial"/>
                <w:sz w:val="13"/>
                <w:szCs w:val="13"/>
                <w:color w:val="auto"/>
              </w:rPr>
              <w:t>Colorado Electric</w:t>
            </w:r>
            <w:r>
              <w:rPr>
                <w:rFonts w:ascii="Arial" w:cs="Arial" w:eastAsia="Arial" w:hAnsi="Arial"/>
                <w:sz w:val="17"/>
                <w:szCs w:val="17"/>
                <w:color w:val="auto"/>
                <w:vertAlign w:val="superscript"/>
              </w:rPr>
              <w:t>(c)</w:t>
            </w:r>
          </w:p>
        </w:tc>
        <w:tc>
          <w:tcPr>
            <w:tcW w:w="1160" w:type="dxa"/>
            <w:vAlign w:val="bottom"/>
            <w:shd w:val="clear" w:color="auto" w:fill="CFF0FC"/>
          </w:tcPr>
          <w:p>
            <w:pPr>
              <w:jc w:val="center"/>
              <w:ind w:left="68"/>
              <w:spacing w:after="0" w:line="153" w:lineRule="exact"/>
              <w:rPr>
                <w:sz w:val="20"/>
                <w:szCs w:val="20"/>
                <w:color w:val="auto"/>
              </w:rPr>
            </w:pPr>
            <w:r>
              <w:rPr>
                <w:rFonts w:ascii="Arial" w:cs="Arial" w:eastAsia="Arial" w:hAnsi="Arial"/>
                <w:sz w:val="14"/>
                <w:szCs w:val="14"/>
                <w:color w:val="auto"/>
              </w:rPr>
              <w:t>CO</w:t>
            </w:r>
          </w:p>
        </w:tc>
        <w:tc>
          <w:tcPr>
            <w:tcW w:w="1000" w:type="dxa"/>
            <w:vAlign w:val="bottom"/>
            <w:shd w:val="clear" w:color="auto" w:fill="CFF0FC"/>
          </w:tcPr>
          <w:p>
            <w:pPr>
              <w:jc w:val="center"/>
              <w:spacing w:after="0" w:line="153" w:lineRule="exact"/>
              <w:rPr>
                <w:sz w:val="20"/>
                <w:szCs w:val="20"/>
                <w:color w:val="auto"/>
              </w:rPr>
            </w:pPr>
            <w:r>
              <w:rPr>
                <w:rFonts w:ascii="Arial" w:cs="Arial" w:eastAsia="Arial" w:hAnsi="Arial"/>
                <w:sz w:val="14"/>
                <w:szCs w:val="14"/>
                <w:color w:val="auto"/>
              </w:rPr>
              <w:t>9.37%</w:t>
            </w:r>
          </w:p>
        </w:tc>
        <w:tc>
          <w:tcPr>
            <w:tcW w:w="1040" w:type="dxa"/>
            <w:vAlign w:val="bottom"/>
            <w:shd w:val="clear" w:color="auto" w:fill="CFF0FC"/>
          </w:tcPr>
          <w:p>
            <w:pPr>
              <w:jc w:val="center"/>
              <w:spacing w:after="0" w:line="153" w:lineRule="exact"/>
              <w:rPr>
                <w:sz w:val="20"/>
                <w:szCs w:val="20"/>
                <w:color w:val="auto"/>
              </w:rPr>
            </w:pPr>
            <w:r>
              <w:rPr>
                <w:rFonts w:ascii="Arial" w:cs="Arial" w:eastAsia="Arial" w:hAnsi="Arial"/>
                <w:sz w:val="14"/>
                <w:szCs w:val="14"/>
                <w:color w:val="auto"/>
              </w:rPr>
              <w:t>7.43%</w:t>
            </w:r>
          </w:p>
        </w:tc>
        <w:tc>
          <w:tcPr>
            <w:tcW w:w="1040" w:type="dxa"/>
            <w:vAlign w:val="bottom"/>
            <w:shd w:val="clear" w:color="auto" w:fill="CFF0FC"/>
          </w:tcPr>
          <w:p>
            <w:pPr>
              <w:jc w:val="center"/>
              <w:spacing w:after="0" w:line="153" w:lineRule="exact"/>
              <w:rPr>
                <w:sz w:val="20"/>
                <w:szCs w:val="20"/>
                <w:color w:val="auto"/>
              </w:rPr>
            </w:pPr>
            <w:r>
              <w:rPr>
                <w:rFonts w:ascii="Arial" w:cs="Arial" w:eastAsia="Arial" w:hAnsi="Arial"/>
                <w:sz w:val="14"/>
                <w:szCs w:val="14"/>
                <w:color w:val="auto"/>
              </w:rPr>
              <w:t>48%/52%</w:t>
            </w:r>
          </w:p>
        </w:tc>
        <w:tc>
          <w:tcPr>
            <w:tcW w:w="1080" w:type="dxa"/>
            <w:vAlign w:val="bottom"/>
            <w:shd w:val="clear" w:color="auto" w:fill="CFF0FC"/>
          </w:tcPr>
          <w:p>
            <w:pPr>
              <w:jc w:val="center"/>
              <w:spacing w:after="0" w:line="153" w:lineRule="exact"/>
              <w:rPr>
                <w:sz w:val="20"/>
                <w:szCs w:val="20"/>
                <w:color w:val="auto"/>
              </w:rPr>
            </w:pPr>
            <w:r>
              <w:rPr>
                <w:rFonts w:ascii="Arial" w:cs="Arial" w:eastAsia="Arial" w:hAnsi="Arial"/>
                <w:sz w:val="13"/>
                <w:szCs w:val="13"/>
                <w:color w:val="auto"/>
              </w:rPr>
              <w:t xml:space="preserve">$653.7 </w:t>
            </w:r>
            <w:r>
              <w:rPr>
                <w:rFonts w:ascii="Arial" w:cs="Arial" w:eastAsia="Arial" w:hAnsi="Arial"/>
                <w:sz w:val="17"/>
                <w:szCs w:val="17"/>
                <w:color w:val="auto"/>
                <w:vertAlign w:val="superscript"/>
              </w:rPr>
              <w:t>(a)</w:t>
            </w:r>
          </w:p>
        </w:tc>
        <w:tc>
          <w:tcPr>
            <w:tcW w:w="760" w:type="dxa"/>
            <w:vAlign w:val="bottom"/>
            <w:shd w:val="clear" w:color="auto" w:fill="CFF0FC"/>
          </w:tcPr>
          <w:p>
            <w:pPr>
              <w:jc w:val="center"/>
              <w:spacing w:after="0" w:line="153" w:lineRule="exact"/>
              <w:rPr>
                <w:sz w:val="20"/>
                <w:szCs w:val="20"/>
                <w:color w:val="auto"/>
              </w:rPr>
            </w:pPr>
            <w:r>
              <w:rPr>
                <w:rFonts w:ascii="Arial" w:cs="Arial" w:eastAsia="Arial" w:hAnsi="Arial"/>
                <w:sz w:val="14"/>
                <w:szCs w:val="14"/>
                <w:color w:val="auto"/>
              </w:rPr>
              <w:t>1/2017</w:t>
            </w:r>
          </w:p>
        </w:tc>
        <w:tc>
          <w:tcPr>
            <w:tcW w:w="2120" w:type="dxa"/>
            <w:vAlign w:val="bottom"/>
            <w:shd w:val="clear" w:color="auto" w:fill="CFF0FC"/>
          </w:tcPr>
          <w:p>
            <w:pPr>
              <w:jc w:val="center"/>
              <w:spacing w:after="0" w:line="153" w:lineRule="exact"/>
              <w:rPr>
                <w:sz w:val="20"/>
                <w:szCs w:val="20"/>
                <w:color w:val="auto"/>
              </w:rPr>
            </w:pPr>
            <w:r>
              <w:rPr>
                <w:rFonts w:ascii="Arial" w:cs="Arial" w:eastAsia="Arial" w:hAnsi="Arial"/>
                <w:sz w:val="14"/>
                <w:szCs w:val="14"/>
                <w:color w:val="auto"/>
              </w:rPr>
              <w:t>ECA, TCA, PCCA,</w:t>
            </w:r>
          </w:p>
        </w:tc>
        <w:tc>
          <w:tcPr>
            <w:tcW w:w="1360" w:type="dxa"/>
            <w:vAlign w:val="bottom"/>
            <w:shd w:val="clear" w:color="auto" w:fill="CFF0FC"/>
          </w:tcPr>
          <w:p>
            <w:pPr>
              <w:jc w:val="center"/>
              <w:spacing w:after="0" w:line="153" w:lineRule="exact"/>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62"/>
        </w:trPr>
        <w:tc>
          <w:tcPr>
            <w:tcW w:w="16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12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EECR/DSM, RESA, TEPR,</w:t>
            </w:r>
          </w:p>
        </w:tc>
        <w:tc>
          <w:tcPr>
            <w:tcW w:w="13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12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Energy Assistance Benefit</w:t>
            </w:r>
          </w:p>
        </w:tc>
        <w:tc>
          <w:tcPr>
            <w:tcW w:w="13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6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12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Charge, CEPR</w:t>
            </w:r>
          </w:p>
        </w:tc>
        <w:tc>
          <w:tcPr>
            <w:tcW w:w="13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80" w:type="dxa"/>
            <w:vAlign w:val="bottom"/>
          </w:tcPr>
          <w:p>
            <w:pPr>
              <w:spacing w:after="0"/>
              <w:rPr>
                <w:sz w:val="14"/>
                <w:szCs w:val="14"/>
                <w:color w:val="auto"/>
              </w:rPr>
            </w:pPr>
          </w:p>
        </w:tc>
        <w:tc>
          <w:tcPr>
            <w:tcW w:w="1160" w:type="dxa"/>
            <w:vAlign w:val="bottom"/>
          </w:tcPr>
          <w:p>
            <w:pPr>
              <w:jc w:val="center"/>
              <w:ind w:left="68"/>
              <w:spacing w:after="0"/>
              <w:rPr>
                <w:sz w:val="20"/>
                <w:szCs w:val="20"/>
                <w:color w:val="auto"/>
              </w:rPr>
            </w:pPr>
            <w:r>
              <w:rPr>
                <w:rFonts w:ascii="Arial" w:cs="Arial" w:eastAsia="Arial" w:hAnsi="Arial"/>
                <w:sz w:val="14"/>
                <w:szCs w:val="14"/>
                <w:color w:val="auto"/>
              </w:rPr>
              <w:t>CO</w:t>
            </w:r>
          </w:p>
        </w:tc>
        <w:tc>
          <w:tcPr>
            <w:tcW w:w="1000" w:type="dxa"/>
            <w:vAlign w:val="bottom"/>
          </w:tcPr>
          <w:p>
            <w:pPr>
              <w:jc w:val="center"/>
              <w:spacing w:after="0"/>
              <w:rPr>
                <w:sz w:val="20"/>
                <w:szCs w:val="20"/>
                <w:color w:val="auto"/>
              </w:rPr>
            </w:pPr>
            <w:r>
              <w:rPr>
                <w:rFonts w:ascii="Arial" w:cs="Arial" w:eastAsia="Arial" w:hAnsi="Arial"/>
                <w:sz w:val="14"/>
                <w:szCs w:val="14"/>
                <w:color w:val="auto"/>
              </w:rPr>
              <w:t>9.37%</w:t>
            </w:r>
          </w:p>
        </w:tc>
        <w:tc>
          <w:tcPr>
            <w:tcW w:w="1040" w:type="dxa"/>
            <w:vAlign w:val="bottom"/>
          </w:tcPr>
          <w:p>
            <w:pPr>
              <w:jc w:val="center"/>
              <w:spacing w:after="0"/>
              <w:rPr>
                <w:sz w:val="20"/>
                <w:szCs w:val="20"/>
                <w:color w:val="auto"/>
              </w:rPr>
            </w:pPr>
            <w:r>
              <w:rPr>
                <w:rFonts w:ascii="Arial" w:cs="Arial" w:eastAsia="Arial" w:hAnsi="Arial"/>
                <w:sz w:val="14"/>
                <w:szCs w:val="14"/>
                <w:color w:val="auto"/>
              </w:rPr>
              <w:t>6.02%</w:t>
            </w:r>
          </w:p>
        </w:tc>
        <w:tc>
          <w:tcPr>
            <w:tcW w:w="1040" w:type="dxa"/>
            <w:vAlign w:val="bottom"/>
          </w:tcPr>
          <w:p>
            <w:pPr>
              <w:jc w:val="center"/>
              <w:spacing w:after="0"/>
              <w:rPr>
                <w:sz w:val="20"/>
                <w:szCs w:val="20"/>
                <w:color w:val="auto"/>
              </w:rPr>
            </w:pPr>
            <w:r>
              <w:rPr>
                <w:rFonts w:ascii="Arial" w:cs="Arial" w:eastAsia="Arial" w:hAnsi="Arial"/>
                <w:sz w:val="14"/>
                <w:szCs w:val="14"/>
                <w:color w:val="auto"/>
              </w:rPr>
              <w:t>67%/33%</w:t>
            </w:r>
          </w:p>
        </w:tc>
        <w:tc>
          <w:tcPr>
            <w:tcW w:w="1080" w:type="dxa"/>
            <w:vAlign w:val="bottom"/>
          </w:tcPr>
          <w:p>
            <w:pPr>
              <w:jc w:val="center"/>
              <w:spacing w:after="0"/>
              <w:rPr>
                <w:sz w:val="20"/>
                <w:szCs w:val="20"/>
                <w:color w:val="auto"/>
              </w:rPr>
            </w:pPr>
            <w:r>
              <w:rPr>
                <w:rFonts w:ascii="Arial" w:cs="Arial" w:eastAsia="Arial" w:hAnsi="Arial"/>
                <w:sz w:val="14"/>
                <w:szCs w:val="14"/>
                <w:color w:val="auto"/>
              </w:rPr>
              <w:t>$57.9</w:t>
            </w:r>
          </w:p>
        </w:tc>
        <w:tc>
          <w:tcPr>
            <w:tcW w:w="760" w:type="dxa"/>
            <w:vAlign w:val="bottom"/>
          </w:tcPr>
          <w:p>
            <w:pPr>
              <w:jc w:val="center"/>
              <w:spacing w:after="0"/>
              <w:rPr>
                <w:sz w:val="20"/>
                <w:szCs w:val="20"/>
                <w:color w:val="auto"/>
              </w:rPr>
            </w:pPr>
            <w:r>
              <w:rPr>
                <w:rFonts w:ascii="Arial" w:cs="Arial" w:eastAsia="Arial" w:hAnsi="Arial"/>
                <w:sz w:val="14"/>
                <w:szCs w:val="14"/>
                <w:color w:val="auto"/>
              </w:rPr>
              <w:t>1/2017</w:t>
            </w:r>
          </w:p>
        </w:tc>
        <w:tc>
          <w:tcPr>
            <w:tcW w:w="2120" w:type="dxa"/>
            <w:vAlign w:val="bottom"/>
          </w:tcPr>
          <w:p>
            <w:pPr>
              <w:jc w:val="center"/>
              <w:spacing w:after="0"/>
              <w:rPr>
                <w:sz w:val="20"/>
                <w:szCs w:val="20"/>
                <w:color w:val="auto"/>
              </w:rPr>
            </w:pPr>
            <w:r>
              <w:rPr>
                <w:rFonts w:ascii="Arial" w:cs="Arial" w:eastAsia="Arial" w:hAnsi="Arial"/>
                <w:sz w:val="14"/>
                <w:szCs w:val="14"/>
                <w:color w:val="auto"/>
              </w:rPr>
              <w:t>CACJA Adjustment Rider</w:t>
            </w:r>
          </w:p>
        </w:tc>
        <w:tc>
          <w:tcPr>
            <w:tcW w:w="1360" w:type="dxa"/>
            <w:vAlign w:val="bottom"/>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1680" w:type="dxa"/>
            <w:vAlign w:val="bottom"/>
            <w:shd w:val="clear" w:color="auto" w:fill="CFF0FC"/>
          </w:tcPr>
          <w:p>
            <w:pPr>
              <w:spacing w:after="0"/>
              <w:rPr>
                <w:sz w:val="14"/>
                <w:szCs w:val="14"/>
                <w:color w:val="auto"/>
              </w:rPr>
            </w:pPr>
          </w:p>
        </w:tc>
        <w:tc>
          <w:tcPr>
            <w:tcW w:w="1160" w:type="dxa"/>
            <w:vAlign w:val="bottom"/>
            <w:shd w:val="clear" w:color="auto" w:fill="CFF0FC"/>
          </w:tcPr>
          <w:p>
            <w:pPr>
              <w:jc w:val="center"/>
              <w:ind w:left="48"/>
              <w:spacing w:after="0"/>
              <w:rPr>
                <w:sz w:val="20"/>
                <w:szCs w:val="20"/>
                <w:color w:val="auto"/>
              </w:rPr>
            </w:pPr>
            <w:r>
              <w:rPr>
                <w:rFonts w:ascii="Arial" w:cs="Arial" w:eastAsia="Arial" w:hAnsi="Arial"/>
                <w:sz w:val="14"/>
                <w:szCs w:val="14"/>
                <w:color w:val="auto"/>
              </w:rPr>
              <w:t>FERC</w:t>
            </w:r>
          </w:p>
        </w:tc>
        <w:tc>
          <w:tcPr>
            <w:tcW w:w="100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9.80%</w:t>
            </w:r>
          </w:p>
        </w:tc>
        <w:tc>
          <w:tcPr>
            <w:tcW w:w="10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6.45%</w:t>
            </w:r>
          </w:p>
        </w:tc>
        <w:tc>
          <w:tcPr>
            <w:tcW w:w="10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53%/47%</w:t>
            </w: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(a)</w:t>
            </w:r>
          </w:p>
        </w:tc>
        <w:tc>
          <w:tcPr>
            <w:tcW w:w="76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9/2022</w:t>
            </w:r>
          </w:p>
        </w:tc>
        <w:tc>
          <w:tcPr>
            <w:tcW w:w="212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FERC Transmission Tariff</w:t>
            </w:r>
          </w:p>
        </w:tc>
        <w:tc>
          <w:tcPr>
            <w:tcW w:w="136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1680" w:type="dxa"/>
            <w:vAlign w:val="bottom"/>
          </w:tcPr>
          <w:p>
            <w:pPr>
              <w:ind w:left="20"/>
              <w:spacing w:after="0"/>
              <w:rPr>
                <w:sz w:val="20"/>
                <w:szCs w:val="20"/>
                <w:color w:val="auto"/>
              </w:rPr>
            </w:pPr>
            <w:r>
              <w:rPr>
                <w:rFonts w:ascii="Arial" w:cs="Arial" w:eastAsia="Arial" w:hAnsi="Arial"/>
                <w:sz w:val="14"/>
                <w:szCs w:val="14"/>
                <w:color w:val="auto"/>
              </w:rPr>
              <w:t>South Dakota Electric</w:t>
            </w:r>
          </w:p>
        </w:tc>
        <w:tc>
          <w:tcPr>
            <w:tcW w:w="1160" w:type="dxa"/>
            <w:vAlign w:val="bottom"/>
          </w:tcPr>
          <w:p>
            <w:pPr>
              <w:jc w:val="center"/>
              <w:ind w:left="48"/>
              <w:spacing w:after="0"/>
              <w:rPr>
                <w:sz w:val="20"/>
                <w:szCs w:val="20"/>
                <w:color w:val="auto"/>
              </w:rPr>
            </w:pPr>
            <w:r>
              <w:rPr>
                <w:rFonts w:ascii="Arial" w:cs="Arial" w:eastAsia="Arial" w:hAnsi="Arial"/>
                <w:sz w:val="14"/>
                <w:szCs w:val="14"/>
                <w:color w:val="auto"/>
              </w:rPr>
              <w:t>WY</w:t>
            </w:r>
          </w:p>
        </w:tc>
        <w:tc>
          <w:tcPr>
            <w:tcW w:w="1000" w:type="dxa"/>
            <w:vAlign w:val="bottom"/>
          </w:tcPr>
          <w:p>
            <w:pPr>
              <w:jc w:val="center"/>
              <w:spacing w:after="0"/>
              <w:rPr>
                <w:sz w:val="20"/>
                <w:szCs w:val="20"/>
                <w:color w:val="auto"/>
              </w:rPr>
            </w:pPr>
            <w:r>
              <w:rPr>
                <w:rFonts w:ascii="Arial" w:cs="Arial" w:eastAsia="Arial" w:hAnsi="Arial"/>
                <w:sz w:val="14"/>
                <w:szCs w:val="14"/>
                <w:color w:val="auto"/>
              </w:rPr>
              <w:t>9.90%</w:t>
            </w:r>
          </w:p>
        </w:tc>
        <w:tc>
          <w:tcPr>
            <w:tcW w:w="1040" w:type="dxa"/>
            <w:vAlign w:val="bottom"/>
          </w:tcPr>
          <w:p>
            <w:pPr>
              <w:jc w:val="center"/>
              <w:spacing w:after="0"/>
              <w:rPr>
                <w:sz w:val="20"/>
                <w:szCs w:val="20"/>
                <w:color w:val="auto"/>
              </w:rPr>
            </w:pPr>
            <w:r>
              <w:rPr>
                <w:rFonts w:ascii="Arial" w:cs="Arial" w:eastAsia="Arial" w:hAnsi="Arial"/>
                <w:sz w:val="14"/>
                <w:szCs w:val="14"/>
                <w:color w:val="auto"/>
              </w:rPr>
              <w:t>8.13%</w:t>
            </w:r>
          </w:p>
        </w:tc>
        <w:tc>
          <w:tcPr>
            <w:tcW w:w="1040" w:type="dxa"/>
            <w:vAlign w:val="bottom"/>
          </w:tcPr>
          <w:p>
            <w:pPr>
              <w:jc w:val="center"/>
              <w:spacing w:after="0"/>
              <w:rPr>
                <w:sz w:val="20"/>
                <w:szCs w:val="20"/>
                <w:color w:val="auto"/>
              </w:rPr>
            </w:pPr>
            <w:r>
              <w:rPr>
                <w:rFonts w:ascii="Arial" w:cs="Arial" w:eastAsia="Arial" w:hAnsi="Arial"/>
                <w:sz w:val="14"/>
                <w:szCs w:val="14"/>
                <w:color w:val="auto"/>
              </w:rPr>
              <w:t>47%/53%</w:t>
            </w:r>
          </w:p>
        </w:tc>
        <w:tc>
          <w:tcPr>
            <w:tcW w:w="1080" w:type="dxa"/>
            <w:vAlign w:val="bottom"/>
          </w:tcPr>
          <w:p>
            <w:pPr>
              <w:jc w:val="center"/>
              <w:spacing w:after="0"/>
              <w:rPr>
                <w:sz w:val="20"/>
                <w:szCs w:val="20"/>
                <w:color w:val="auto"/>
              </w:rPr>
            </w:pPr>
            <w:r>
              <w:rPr>
                <w:rFonts w:ascii="Arial" w:cs="Arial" w:eastAsia="Arial" w:hAnsi="Arial"/>
                <w:sz w:val="14"/>
                <w:szCs w:val="14"/>
                <w:color w:val="auto"/>
              </w:rPr>
              <w:t>$46.8</w:t>
            </w:r>
          </w:p>
        </w:tc>
        <w:tc>
          <w:tcPr>
            <w:tcW w:w="760" w:type="dxa"/>
            <w:vAlign w:val="bottom"/>
          </w:tcPr>
          <w:p>
            <w:pPr>
              <w:jc w:val="center"/>
              <w:spacing w:after="0"/>
              <w:rPr>
                <w:sz w:val="20"/>
                <w:szCs w:val="20"/>
                <w:color w:val="auto"/>
              </w:rPr>
            </w:pPr>
            <w:r>
              <w:rPr>
                <w:rFonts w:ascii="Arial" w:cs="Arial" w:eastAsia="Arial" w:hAnsi="Arial"/>
                <w:sz w:val="14"/>
                <w:szCs w:val="14"/>
                <w:color w:val="auto"/>
              </w:rPr>
              <w:t>10/2014</w:t>
            </w:r>
          </w:p>
        </w:tc>
        <w:tc>
          <w:tcPr>
            <w:tcW w:w="2120" w:type="dxa"/>
            <w:vAlign w:val="bottom"/>
          </w:tcPr>
          <w:p>
            <w:pPr>
              <w:jc w:val="center"/>
              <w:spacing w:after="0"/>
              <w:rPr>
                <w:sz w:val="20"/>
                <w:szCs w:val="20"/>
                <w:color w:val="auto"/>
              </w:rPr>
            </w:pPr>
            <w:r>
              <w:rPr>
                <w:rFonts w:ascii="Arial" w:cs="Arial" w:eastAsia="Arial" w:hAnsi="Arial"/>
                <w:sz w:val="14"/>
                <w:szCs w:val="14"/>
                <w:color w:val="auto"/>
              </w:rPr>
              <w:t>ECA</w:t>
            </w:r>
          </w:p>
        </w:tc>
        <w:tc>
          <w:tcPr>
            <w:tcW w:w="1360" w:type="dxa"/>
            <w:vAlign w:val="bottom"/>
          </w:tcPr>
          <w:p>
            <w:pPr>
              <w:jc w:val="center"/>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53"/>
        </w:trPr>
        <w:tc>
          <w:tcPr>
            <w:tcW w:w="1680" w:type="dxa"/>
            <w:vAlign w:val="bottom"/>
            <w:shd w:val="clear" w:color="auto" w:fill="CFF0FC"/>
          </w:tcPr>
          <w:p>
            <w:pPr>
              <w:spacing w:after="0"/>
              <w:rPr>
                <w:sz w:val="13"/>
                <w:szCs w:val="13"/>
                <w:color w:val="auto"/>
              </w:rPr>
            </w:pPr>
          </w:p>
        </w:tc>
        <w:tc>
          <w:tcPr>
            <w:tcW w:w="1160" w:type="dxa"/>
            <w:vAlign w:val="bottom"/>
            <w:shd w:val="clear" w:color="auto" w:fill="CFF0FC"/>
          </w:tcPr>
          <w:p>
            <w:pPr>
              <w:jc w:val="center"/>
              <w:ind w:left="48"/>
              <w:spacing w:after="0" w:line="153" w:lineRule="exact"/>
              <w:rPr>
                <w:sz w:val="20"/>
                <w:szCs w:val="20"/>
                <w:color w:val="auto"/>
              </w:rPr>
            </w:pPr>
            <w:r>
              <w:rPr>
                <w:rFonts w:ascii="Arial" w:cs="Arial" w:eastAsia="Arial" w:hAnsi="Arial"/>
                <w:sz w:val="14"/>
                <w:szCs w:val="14"/>
                <w:color w:val="auto"/>
              </w:rPr>
              <w:t>SD</w:t>
            </w:r>
          </w:p>
        </w:tc>
        <w:tc>
          <w:tcPr>
            <w:tcW w:w="1000" w:type="dxa"/>
            <w:vAlign w:val="bottom"/>
            <w:shd w:val="clear" w:color="auto" w:fill="CFF0FC"/>
          </w:tcPr>
          <w:p>
            <w:pPr>
              <w:jc w:val="center"/>
              <w:spacing w:after="0" w:line="153" w:lineRule="exact"/>
              <w:rPr>
                <w:sz w:val="20"/>
                <w:szCs w:val="20"/>
                <w:color w:val="auto"/>
              </w:rPr>
            </w:pPr>
            <w:r>
              <w:rPr>
                <w:rFonts w:ascii="Arial" w:cs="Arial" w:eastAsia="Arial" w:hAnsi="Arial"/>
                <w:sz w:val="14"/>
                <w:szCs w:val="14"/>
                <w:color w:val="auto"/>
              </w:rPr>
              <w:t>Black-box</w:t>
            </w:r>
          </w:p>
        </w:tc>
        <w:tc>
          <w:tcPr>
            <w:tcW w:w="1040" w:type="dxa"/>
            <w:vAlign w:val="bottom"/>
            <w:shd w:val="clear" w:color="auto" w:fill="CFF0FC"/>
          </w:tcPr>
          <w:p>
            <w:pPr>
              <w:jc w:val="center"/>
              <w:spacing w:after="0" w:line="153" w:lineRule="exact"/>
              <w:rPr>
                <w:sz w:val="20"/>
                <w:szCs w:val="20"/>
                <w:color w:val="auto"/>
              </w:rPr>
            </w:pPr>
            <w:r>
              <w:rPr>
                <w:rFonts w:ascii="Arial" w:cs="Arial" w:eastAsia="Arial" w:hAnsi="Arial"/>
                <w:sz w:val="14"/>
                <w:szCs w:val="14"/>
                <w:color w:val="auto"/>
              </w:rPr>
              <w:t>7.76%</w:t>
            </w:r>
          </w:p>
        </w:tc>
        <w:tc>
          <w:tcPr>
            <w:tcW w:w="1040" w:type="dxa"/>
            <w:vAlign w:val="bottom"/>
            <w:shd w:val="clear" w:color="auto" w:fill="CFF0FC"/>
          </w:tcPr>
          <w:p>
            <w:pPr>
              <w:jc w:val="center"/>
              <w:spacing w:after="0" w:line="153" w:lineRule="exact"/>
              <w:rPr>
                <w:sz w:val="20"/>
                <w:szCs w:val="20"/>
                <w:color w:val="auto"/>
              </w:rPr>
            </w:pPr>
            <w:r>
              <w:rPr>
                <w:rFonts w:ascii="Arial" w:cs="Arial" w:eastAsia="Arial" w:hAnsi="Arial"/>
                <w:sz w:val="14"/>
                <w:szCs w:val="14"/>
                <w:color w:val="auto"/>
              </w:rPr>
              <w:t>Black-box</w:t>
            </w:r>
          </w:p>
        </w:tc>
        <w:tc>
          <w:tcPr>
            <w:tcW w:w="1080" w:type="dxa"/>
            <w:vAlign w:val="bottom"/>
            <w:shd w:val="clear" w:color="auto" w:fill="CFF0FC"/>
          </w:tcPr>
          <w:p>
            <w:pPr>
              <w:jc w:val="center"/>
              <w:spacing w:after="0" w:line="153" w:lineRule="exact"/>
              <w:rPr>
                <w:sz w:val="20"/>
                <w:szCs w:val="20"/>
                <w:color w:val="auto"/>
              </w:rPr>
            </w:pPr>
            <w:r>
              <w:rPr>
                <w:rFonts w:ascii="Arial" w:cs="Arial" w:eastAsia="Arial" w:hAnsi="Arial"/>
                <w:sz w:val="14"/>
                <w:szCs w:val="14"/>
                <w:color w:val="auto"/>
              </w:rPr>
              <w:t>$543.9</w:t>
            </w:r>
          </w:p>
        </w:tc>
        <w:tc>
          <w:tcPr>
            <w:tcW w:w="760" w:type="dxa"/>
            <w:vAlign w:val="bottom"/>
            <w:shd w:val="clear" w:color="auto" w:fill="CFF0FC"/>
          </w:tcPr>
          <w:p>
            <w:pPr>
              <w:jc w:val="center"/>
              <w:spacing w:after="0" w:line="153" w:lineRule="exact"/>
              <w:rPr>
                <w:sz w:val="20"/>
                <w:szCs w:val="20"/>
                <w:color w:val="auto"/>
              </w:rPr>
            </w:pPr>
            <w:r>
              <w:rPr>
                <w:rFonts w:ascii="Arial" w:cs="Arial" w:eastAsia="Arial" w:hAnsi="Arial"/>
                <w:sz w:val="14"/>
                <w:szCs w:val="14"/>
                <w:color w:val="auto"/>
              </w:rPr>
              <w:t>10/2014</w:t>
            </w:r>
          </w:p>
        </w:tc>
        <w:tc>
          <w:tcPr>
            <w:tcW w:w="2120" w:type="dxa"/>
            <w:vAlign w:val="bottom"/>
            <w:shd w:val="clear" w:color="auto" w:fill="CFF0FC"/>
          </w:tcPr>
          <w:p>
            <w:pPr>
              <w:jc w:val="center"/>
              <w:spacing w:after="0" w:line="153" w:lineRule="exact"/>
              <w:rPr>
                <w:sz w:val="20"/>
                <w:szCs w:val="20"/>
                <w:color w:val="auto"/>
              </w:rPr>
            </w:pPr>
            <w:r>
              <w:rPr>
                <w:rFonts w:ascii="Arial" w:cs="Arial" w:eastAsia="Arial" w:hAnsi="Arial"/>
                <w:sz w:val="14"/>
                <w:szCs w:val="14"/>
                <w:color w:val="auto"/>
              </w:rPr>
              <w:t>ECA, TFA, EIA</w:t>
            </w:r>
          </w:p>
        </w:tc>
        <w:tc>
          <w:tcPr>
            <w:tcW w:w="1360" w:type="dxa"/>
            <w:vAlign w:val="bottom"/>
            <w:shd w:val="clear" w:color="auto" w:fill="CFF0FC"/>
          </w:tcPr>
          <w:p>
            <w:pPr>
              <w:jc w:val="center"/>
              <w:spacing w:after="0" w:line="153"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71"/>
        </w:trPr>
        <w:tc>
          <w:tcPr>
            <w:tcW w:w="16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Settlement</w:t>
            </w:r>
          </w:p>
        </w:tc>
        <w:tc>
          <w:tcPr>
            <w:tcW w:w="1040" w:type="dxa"/>
            <w:vAlign w:val="bottom"/>
            <w:shd w:val="clear" w:color="auto" w:fill="CFF0FC"/>
          </w:tcPr>
          <w:p>
            <w:pPr>
              <w:spacing w:after="0"/>
              <w:rPr>
                <w:sz w:val="14"/>
                <w:szCs w:val="14"/>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Settlement</w:t>
            </w:r>
          </w:p>
        </w:tc>
        <w:tc>
          <w:tcPr>
            <w:tcW w:w="10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12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80" w:type="dxa"/>
            <w:vAlign w:val="bottom"/>
          </w:tcPr>
          <w:p>
            <w:pPr>
              <w:spacing w:after="0"/>
              <w:rPr>
                <w:sz w:val="14"/>
                <w:szCs w:val="14"/>
                <w:color w:val="auto"/>
              </w:rPr>
            </w:pPr>
          </w:p>
        </w:tc>
        <w:tc>
          <w:tcPr>
            <w:tcW w:w="1160" w:type="dxa"/>
            <w:vAlign w:val="bottom"/>
          </w:tcPr>
          <w:p>
            <w:pPr>
              <w:jc w:val="center"/>
              <w:ind w:left="48"/>
              <w:spacing w:after="0"/>
              <w:rPr>
                <w:sz w:val="20"/>
                <w:szCs w:val="20"/>
                <w:color w:val="auto"/>
              </w:rPr>
            </w:pPr>
            <w:r>
              <w:rPr>
                <w:rFonts w:ascii="Arial" w:cs="Arial" w:eastAsia="Arial" w:hAnsi="Arial"/>
                <w:sz w:val="14"/>
                <w:szCs w:val="14"/>
                <w:color w:val="auto"/>
              </w:rPr>
              <w:t>FERC</w:t>
            </w:r>
          </w:p>
        </w:tc>
        <w:tc>
          <w:tcPr>
            <w:tcW w:w="1000" w:type="dxa"/>
            <w:vAlign w:val="bottom"/>
          </w:tcPr>
          <w:p>
            <w:pPr>
              <w:jc w:val="center"/>
              <w:spacing w:after="0"/>
              <w:rPr>
                <w:sz w:val="20"/>
                <w:szCs w:val="20"/>
                <w:color w:val="auto"/>
              </w:rPr>
            </w:pPr>
            <w:r>
              <w:rPr>
                <w:rFonts w:ascii="Arial" w:cs="Arial" w:eastAsia="Arial" w:hAnsi="Arial"/>
                <w:sz w:val="14"/>
                <w:szCs w:val="14"/>
                <w:color w:val="auto"/>
              </w:rPr>
              <w:t>10.80%</w:t>
            </w:r>
          </w:p>
        </w:tc>
        <w:tc>
          <w:tcPr>
            <w:tcW w:w="1040" w:type="dxa"/>
            <w:vAlign w:val="bottom"/>
          </w:tcPr>
          <w:p>
            <w:pPr>
              <w:jc w:val="center"/>
              <w:spacing w:after="0"/>
              <w:rPr>
                <w:sz w:val="20"/>
                <w:szCs w:val="20"/>
                <w:color w:val="auto"/>
              </w:rPr>
            </w:pPr>
            <w:r>
              <w:rPr>
                <w:rFonts w:ascii="Arial" w:cs="Arial" w:eastAsia="Arial" w:hAnsi="Arial"/>
                <w:sz w:val="14"/>
                <w:szCs w:val="14"/>
                <w:color w:val="auto"/>
              </w:rPr>
              <w:t>8.76%</w:t>
            </w:r>
          </w:p>
        </w:tc>
        <w:tc>
          <w:tcPr>
            <w:tcW w:w="1040" w:type="dxa"/>
            <w:vAlign w:val="bottom"/>
          </w:tcPr>
          <w:p>
            <w:pPr>
              <w:jc w:val="center"/>
              <w:spacing w:after="0"/>
              <w:rPr>
                <w:sz w:val="20"/>
                <w:szCs w:val="20"/>
                <w:color w:val="auto"/>
              </w:rPr>
            </w:pPr>
            <w:r>
              <w:rPr>
                <w:rFonts w:ascii="Arial" w:cs="Arial" w:eastAsia="Arial" w:hAnsi="Arial"/>
                <w:sz w:val="14"/>
                <w:szCs w:val="14"/>
                <w:color w:val="auto"/>
              </w:rPr>
              <w:t>43%/57%</w:t>
            </w:r>
          </w:p>
        </w:tc>
        <w:tc>
          <w:tcPr>
            <w:tcW w:w="1080" w:type="dxa"/>
            <w:vAlign w:val="bottom"/>
          </w:tcPr>
          <w:p>
            <w:pPr>
              <w:ind w:left="280"/>
              <w:spacing w:after="0" w:line="162" w:lineRule="exact"/>
              <w:rPr>
                <w:sz w:val="20"/>
                <w:szCs w:val="20"/>
                <w:color w:val="auto"/>
              </w:rPr>
            </w:pPr>
            <w:r>
              <w:rPr>
                <w:rFonts w:ascii="Arial" w:cs="Arial" w:eastAsia="Arial" w:hAnsi="Arial"/>
                <w:sz w:val="14"/>
                <w:szCs w:val="14"/>
                <w:color w:val="auto"/>
              </w:rPr>
              <w:t xml:space="preserve">$200.4 </w:t>
            </w:r>
            <w:r>
              <w:rPr>
                <w:rFonts w:ascii="Arial" w:cs="Arial" w:eastAsia="Arial" w:hAnsi="Arial"/>
                <w:sz w:val="18"/>
                <w:szCs w:val="18"/>
                <w:color w:val="auto"/>
                <w:vertAlign w:val="superscript"/>
              </w:rPr>
              <w:t>(b)</w:t>
            </w:r>
          </w:p>
        </w:tc>
        <w:tc>
          <w:tcPr>
            <w:tcW w:w="760" w:type="dxa"/>
            <w:vAlign w:val="bottom"/>
          </w:tcPr>
          <w:p>
            <w:pPr>
              <w:jc w:val="center"/>
              <w:spacing w:after="0"/>
              <w:rPr>
                <w:sz w:val="20"/>
                <w:szCs w:val="20"/>
                <w:color w:val="auto"/>
              </w:rPr>
            </w:pPr>
            <w:r>
              <w:rPr>
                <w:rFonts w:ascii="Arial" w:cs="Arial" w:eastAsia="Arial" w:hAnsi="Arial"/>
                <w:sz w:val="14"/>
                <w:szCs w:val="14"/>
                <w:color w:val="auto"/>
              </w:rPr>
              <w:t>2/2009</w:t>
            </w:r>
          </w:p>
        </w:tc>
        <w:tc>
          <w:tcPr>
            <w:tcW w:w="2120" w:type="dxa"/>
            <w:vAlign w:val="bottom"/>
          </w:tcPr>
          <w:p>
            <w:pPr>
              <w:jc w:val="center"/>
              <w:spacing w:after="0"/>
              <w:rPr>
                <w:sz w:val="20"/>
                <w:szCs w:val="20"/>
                <w:color w:val="auto"/>
              </w:rPr>
            </w:pPr>
            <w:r>
              <w:rPr>
                <w:rFonts w:ascii="Arial" w:cs="Arial" w:eastAsia="Arial" w:hAnsi="Arial"/>
                <w:sz w:val="14"/>
                <w:szCs w:val="14"/>
                <w:color w:val="auto"/>
              </w:rPr>
              <w:t>FERC Transmission Tariff</w:t>
            </w:r>
          </w:p>
        </w:tc>
        <w:tc>
          <w:tcPr>
            <w:tcW w:w="1360" w:type="dxa"/>
            <w:vAlign w:val="bottom"/>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53"/>
        </w:trPr>
        <w:tc>
          <w:tcPr>
            <w:tcW w:w="1680" w:type="dxa"/>
            <w:vAlign w:val="bottom"/>
            <w:shd w:val="clear" w:color="auto" w:fill="CFF0FC"/>
          </w:tcPr>
          <w:p>
            <w:pPr>
              <w:ind w:left="20"/>
              <w:spacing w:after="0" w:line="153" w:lineRule="exact"/>
              <w:rPr>
                <w:sz w:val="20"/>
                <w:szCs w:val="20"/>
                <w:color w:val="auto"/>
              </w:rPr>
            </w:pPr>
            <w:r>
              <w:rPr>
                <w:rFonts w:ascii="Arial" w:cs="Arial" w:eastAsia="Arial" w:hAnsi="Arial"/>
                <w:sz w:val="14"/>
                <w:szCs w:val="14"/>
                <w:color w:val="auto"/>
              </w:rPr>
              <w:t>Wyoming Electric</w:t>
            </w:r>
          </w:p>
        </w:tc>
        <w:tc>
          <w:tcPr>
            <w:tcW w:w="1160" w:type="dxa"/>
            <w:vAlign w:val="bottom"/>
            <w:shd w:val="clear" w:color="auto" w:fill="CFF0FC"/>
          </w:tcPr>
          <w:p>
            <w:pPr>
              <w:jc w:val="center"/>
              <w:ind w:left="48"/>
              <w:spacing w:after="0" w:line="153" w:lineRule="exact"/>
              <w:rPr>
                <w:sz w:val="20"/>
                <w:szCs w:val="20"/>
                <w:color w:val="auto"/>
              </w:rPr>
            </w:pPr>
            <w:r>
              <w:rPr>
                <w:rFonts w:ascii="Arial" w:cs="Arial" w:eastAsia="Arial" w:hAnsi="Arial"/>
                <w:sz w:val="14"/>
                <w:szCs w:val="14"/>
                <w:color w:val="auto"/>
              </w:rPr>
              <w:t>WY</w:t>
            </w:r>
          </w:p>
        </w:tc>
        <w:tc>
          <w:tcPr>
            <w:tcW w:w="1000" w:type="dxa"/>
            <w:vAlign w:val="bottom"/>
            <w:shd w:val="clear" w:color="auto" w:fill="CFF0FC"/>
          </w:tcPr>
          <w:p>
            <w:pPr>
              <w:jc w:val="center"/>
              <w:spacing w:after="0" w:line="153" w:lineRule="exact"/>
              <w:rPr>
                <w:sz w:val="20"/>
                <w:szCs w:val="20"/>
                <w:color w:val="auto"/>
              </w:rPr>
            </w:pPr>
            <w:r>
              <w:rPr>
                <w:rFonts w:ascii="Arial" w:cs="Arial" w:eastAsia="Arial" w:hAnsi="Arial"/>
                <w:sz w:val="14"/>
                <w:szCs w:val="14"/>
                <w:color w:val="auto"/>
              </w:rPr>
              <w:t>9.75%</w:t>
            </w:r>
          </w:p>
        </w:tc>
        <w:tc>
          <w:tcPr>
            <w:tcW w:w="1040" w:type="dxa"/>
            <w:vAlign w:val="bottom"/>
            <w:shd w:val="clear" w:color="auto" w:fill="CFF0FC"/>
          </w:tcPr>
          <w:p>
            <w:pPr>
              <w:jc w:val="center"/>
              <w:spacing w:after="0" w:line="153" w:lineRule="exact"/>
              <w:rPr>
                <w:sz w:val="20"/>
                <w:szCs w:val="20"/>
                <w:color w:val="auto"/>
              </w:rPr>
            </w:pPr>
            <w:r>
              <w:rPr>
                <w:rFonts w:ascii="Arial" w:cs="Arial" w:eastAsia="Arial" w:hAnsi="Arial"/>
                <w:sz w:val="14"/>
                <w:szCs w:val="14"/>
                <w:color w:val="auto"/>
              </w:rPr>
              <w:t>7.48%</w:t>
            </w:r>
          </w:p>
        </w:tc>
        <w:tc>
          <w:tcPr>
            <w:tcW w:w="1040" w:type="dxa"/>
            <w:vAlign w:val="bottom"/>
            <w:shd w:val="clear" w:color="auto" w:fill="CFF0FC"/>
          </w:tcPr>
          <w:p>
            <w:pPr>
              <w:jc w:val="center"/>
              <w:spacing w:after="0" w:line="153" w:lineRule="exact"/>
              <w:rPr>
                <w:sz w:val="20"/>
                <w:szCs w:val="20"/>
                <w:color w:val="auto"/>
              </w:rPr>
            </w:pPr>
            <w:r>
              <w:rPr>
                <w:rFonts w:ascii="Arial" w:cs="Arial" w:eastAsia="Arial" w:hAnsi="Arial"/>
                <w:sz w:val="14"/>
                <w:szCs w:val="14"/>
                <w:color w:val="auto"/>
              </w:rPr>
              <w:t>48%/52%</w:t>
            </w:r>
          </w:p>
        </w:tc>
        <w:tc>
          <w:tcPr>
            <w:tcW w:w="1080" w:type="dxa"/>
            <w:vAlign w:val="bottom"/>
            <w:shd w:val="clear" w:color="auto" w:fill="CFF0FC"/>
          </w:tcPr>
          <w:p>
            <w:pPr>
              <w:ind w:left="300"/>
              <w:spacing w:after="0" w:line="153" w:lineRule="exact"/>
              <w:rPr>
                <w:sz w:val="20"/>
                <w:szCs w:val="20"/>
                <w:color w:val="auto"/>
              </w:rPr>
            </w:pPr>
            <w:r>
              <w:rPr>
                <w:rFonts w:ascii="Arial" w:cs="Arial" w:eastAsia="Arial" w:hAnsi="Arial"/>
                <w:sz w:val="13"/>
                <w:szCs w:val="13"/>
                <w:color w:val="auto"/>
              </w:rPr>
              <w:t xml:space="preserve">$551.2 </w:t>
            </w:r>
            <w:r>
              <w:rPr>
                <w:rFonts w:ascii="Arial" w:cs="Arial" w:eastAsia="Arial" w:hAnsi="Arial"/>
                <w:sz w:val="17"/>
                <w:szCs w:val="17"/>
                <w:color w:val="auto"/>
                <w:vertAlign w:val="superscript"/>
              </w:rPr>
              <w:t>(a)</w:t>
            </w:r>
          </w:p>
        </w:tc>
        <w:tc>
          <w:tcPr>
            <w:tcW w:w="760" w:type="dxa"/>
            <w:vAlign w:val="bottom"/>
            <w:shd w:val="clear" w:color="auto" w:fill="CFF0FC"/>
          </w:tcPr>
          <w:p>
            <w:pPr>
              <w:jc w:val="center"/>
              <w:spacing w:after="0" w:line="153" w:lineRule="exact"/>
              <w:rPr>
                <w:sz w:val="20"/>
                <w:szCs w:val="20"/>
                <w:color w:val="auto"/>
              </w:rPr>
            </w:pPr>
            <w:r>
              <w:rPr>
                <w:rFonts w:ascii="Arial" w:cs="Arial" w:eastAsia="Arial" w:hAnsi="Arial"/>
                <w:sz w:val="14"/>
                <w:szCs w:val="14"/>
                <w:color w:val="auto"/>
              </w:rPr>
              <w:t>3/2023</w:t>
            </w:r>
          </w:p>
        </w:tc>
        <w:tc>
          <w:tcPr>
            <w:tcW w:w="2120" w:type="dxa"/>
            <w:vAlign w:val="bottom"/>
            <w:shd w:val="clear" w:color="auto" w:fill="CFF0FC"/>
          </w:tcPr>
          <w:p>
            <w:pPr>
              <w:jc w:val="center"/>
              <w:spacing w:after="0" w:line="153" w:lineRule="exact"/>
              <w:rPr>
                <w:sz w:val="20"/>
                <w:szCs w:val="20"/>
                <w:color w:val="auto"/>
              </w:rPr>
            </w:pPr>
            <w:r>
              <w:rPr>
                <w:rFonts w:ascii="Arial" w:cs="Arial" w:eastAsia="Arial" w:hAnsi="Arial"/>
                <w:sz w:val="14"/>
                <w:szCs w:val="14"/>
                <w:color w:val="auto"/>
              </w:rPr>
              <w:t>PCA, EECR/DSM, Rate Base</w:t>
            </w:r>
          </w:p>
        </w:tc>
        <w:tc>
          <w:tcPr>
            <w:tcW w:w="1360" w:type="dxa"/>
            <w:vAlign w:val="bottom"/>
            <w:shd w:val="clear" w:color="auto" w:fill="CFF0FC"/>
          </w:tcPr>
          <w:p>
            <w:pPr>
              <w:jc w:val="center"/>
              <w:spacing w:after="0" w:line="153"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16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12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Recovery on Acquisition</w:t>
            </w:r>
          </w:p>
        </w:tc>
        <w:tc>
          <w:tcPr>
            <w:tcW w:w="13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6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12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Adjustment, TCAM</w:t>
            </w:r>
          </w:p>
        </w:tc>
        <w:tc>
          <w:tcPr>
            <w:tcW w:w="13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680" w:type="dxa"/>
            <w:vAlign w:val="bottom"/>
            <w:vMerge w:val="restart"/>
          </w:tcPr>
          <w:p>
            <w:pPr>
              <w:spacing w:after="0"/>
              <w:rPr>
                <w:sz w:val="20"/>
                <w:szCs w:val="20"/>
                <w:color w:val="auto"/>
              </w:rPr>
            </w:pPr>
            <w:r>
              <w:rPr>
                <w:rFonts w:ascii="Arial" w:cs="Arial" w:eastAsia="Arial" w:hAnsi="Arial"/>
                <w:sz w:val="11"/>
                <w:szCs w:val="11"/>
                <w:color w:val="auto"/>
              </w:rPr>
              <w:t>____________________</w:t>
            </w:r>
          </w:p>
        </w:tc>
        <w:tc>
          <w:tcPr>
            <w:tcW w:w="1160" w:type="dxa"/>
            <w:vAlign w:val="bottom"/>
          </w:tcPr>
          <w:p>
            <w:pPr>
              <w:jc w:val="center"/>
              <w:ind w:left="48"/>
              <w:spacing w:after="0"/>
              <w:rPr>
                <w:sz w:val="20"/>
                <w:szCs w:val="20"/>
                <w:color w:val="auto"/>
              </w:rPr>
            </w:pPr>
            <w:r>
              <w:rPr>
                <w:rFonts w:ascii="Arial" w:cs="Arial" w:eastAsia="Arial" w:hAnsi="Arial"/>
                <w:sz w:val="14"/>
                <w:szCs w:val="14"/>
                <w:color w:val="auto"/>
              </w:rPr>
              <w:t>FERC</w:t>
            </w:r>
          </w:p>
        </w:tc>
        <w:tc>
          <w:tcPr>
            <w:tcW w:w="1000" w:type="dxa"/>
            <w:vAlign w:val="bottom"/>
          </w:tcPr>
          <w:p>
            <w:pPr>
              <w:jc w:val="center"/>
              <w:spacing w:after="0"/>
              <w:rPr>
                <w:sz w:val="20"/>
                <w:szCs w:val="20"/>
                <w:color w:val="auto"/>
              </w:rPr>
            </w:pPr>
            <w:r>
              <w:rPr>
                <w:rFonts w:ascii="Arial" w:cs="Arial" w:eastAsia="Arial" w:hAnsi="Arial"/>
                <w:sz w:val="14"/>
                <w:szCs w:val="14"/>
                <w:color w:val="auto"/>
              </w:rPr>
              <w:t>9.90%</w:t>
            </w:r>
          </w:p>
        </w:tc>
        <w:tc>
          <w:tcPr>
            <w:tcW w:w="1040" w:type="dxa"/>
            <w:vAlign w:val="bottom"/>
          </w:tcPr>
          <w:p>
            <w:pPr>
              <w:jc w:val="center"/>
              <w:spacing w:after="0"/>
              <w:rPr>
                <w:sz w:val="20"/>
                <w:szCs w:val="20"/>
                <w:color w:val="auto"/>
              </w:rPr>
            </w:pPr>
            <w:r>
              <w:rPr>
                <w:rFonts w:ascii="Arial" w:cs="Arial" w:eastAsia="Arial" w:hAnsi="Arial"/>
                <w:sz w:val="14"/>
                <w:szCs w:val="14"/>
                <w:color w:val="auto"/>
              </w:rPr>
              <w:t>8.77%</w:t>
            </w:r>
          </w:p>
        </w:tc>
        <w:tc>
          <w:tcPr>
            <w:tcW w:w="1040" w:type="dxa"/>
            <w:vAlign w:val="bottom"/>
          </w:tcPr>
          <w:p>
            <w:pPr>
              <w:jc w:val="center"/>
              <w:spacing w:after="0"/>
              <w:rPr>
                <w:sz w:val="20"/>
                <w:szCs w:val="20"/>
                <w:color w:val="auto"/>
              </w:rPr>
            </w:pPr>
            <w:r>
              <w:rPr>
                <w:rFonts w:ascii="Arial" w:cs="Arial" w:eastAsia="Arial" w:hAnsi="Arial"/>
                <w:sz w:val="14"/>
                <w:szCs w:val="14"/>
                <w:color w:val="auto"/>
              </w:rPr>
              <w:t>44%/56%</w:t>
            </w:r>
          </w:p>
        </w:tc>
        <w:tc>
          <w:tcPr>
            <w:tcW w:w="1080" w:type="dxa"/>
            <w:vAlign w:val="bottom"/>
          </w:tcPr>
          <w:p>
            <w:pPr>
              <w:jc w:val="center"/>
              <w:spacing w:after="0"/>
              <w:rPr>
                <w:sz w:val="20"/>
                <w:szCs w:val="20"/>
                <w:color w:val="auto"/>
              </w:rPr>
            </w:pPr>
            <w:r>
              <w:rPr>
                <w:rFonts w:ascii="Arial" w:cs="Arial" w:eastAsia="Arial" w:hAnsi="Arial"/>
                <w:sz w:val="14"/>
                <w:szCs w:val="14"/>
                <w:color w:val="auto"/>
              </w:rPr>
              <w:t>(a)</w:t>
            </w:r>
          </w:p>
        </w:tc>
        <w:tc>
          <w:tcPr>
            <w:tcW w:w="760" w:type="dxa"/>
            <w:vAlign w:val="bottom"/>
          </w:tcPr>
          <w:p>
            <w:pPr>
              <w:jc w:val="center"/>
              <w:spacing w:after="0"/>
              <w:rPr>
                <w:sz w:val="20"/>
                <w:szCs w:val="20"/>
                <w:color w:val="auto"/>
              </w:rPr>
            </w:pPr>
            <w:r>
              <w:rPr>
                <w:rFonts w:ascii="Arial" w:cs="Arial" w:eastAsia="Arial" w:hAnsi="Arial"/>
                <w:sz w:val="14"/>
                <w:szCs w:val="14"/>
                <w:color w:val="auto"/>
              </w:rPr>
              <w:t>1/2019</w:t>
            </w:r>
          </w:p>
        </w:tc>
        <w:tc>
          <w:tcPr>
            <w:tcW w:w="2120" w:type="dxa"/>
            <w:vAlign w:val="bottom"/>
          </w:tcPr>
          <w:p>
            <w:pPr>
              <w:jc w:val="center"/>
              <w:spacing w:after="0"/>
              <w:rPr>
                <w:sz w:val="20"/>
                <w:szCs w:val="20"/>
                <w:color w:val="auto"/>
              </w:rPr>
            </w:pPr>
            <w:r>
              <w:rPr>
                <w:rFonts w:ascii="Arial" w:cs="Arial" w:eastAsia="Arial" w:hAnsi="Arial"/>
                <w:sz w:val="14"/>
                <w:szCs w:val="14"/>
                <w:color w:val="auto"/>
              </w:rPr>
              <w:t>FERC Transmission Tariff</w:t>
            </w:r>
          </w:p>
        </w:tc>
        <w:tc>
          <w:tcPr>
            <w:tcW w:w="1360" w:type="dxa"/>
            <w:vAlign w:val="bottom"/>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00"/>
        </w:trPr>
        <w:tc>
          <w:tcPr>
            <w:tcW w:w="168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520" w:right="160" w:hanging="512"/>
        <w:spacing w:after="0" w:line="246" w:lineRule="auto"/>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For both Wyoming Electric and Colorado Electric retail customers, transmission investments are recovered through retail rates rather than FERC Transmission Tariffs. Transmission investments are recovered from wholesale transmission customers under the FERC Formula Transmission rate. The rate base associated with FERC assets is not displayed separate from that collected through the state recovery mechanisms, to avoid double counting. Authorized totals for Colorado Electric and Wyoming Electric include amounts recovered through base rates and the authorized regulatory mechanisms.</w:t>
      </w:r>
    </w:p>
    <w:p>
      <w:pPr>
        <w:spacing w:after="0" w:line="1" w:lineRule="exact"/>
        <w:rPr>
          <w:rFonts w:ascii="Arial" w:cs="Arial" w:eastAsia="Arial" w:hAnsi="Arial"/>
          <w:sz w:val="14"/>
          <w:szCs w:val="14"/>
          <w:color w:val="auto"/>
        </w:rPr>
      </w:pPr>
    </w:p>
    <w:p>
      <w:pPr>
        <w:ind w:left="520" w:right="480" w:hanging="512"/>
        <w:spacing w:after="0" w:line="241" w:lineRule="auto"/>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$183.3 million in 2024 rate base for the 2024 Projected Common Use System formula rate that is updated annually and $17.1 million in rate base for the Transmission Tie that is based on the approved stated rate from 2005.</w:t>
      </w:r>
    </w:p>
    <w:p>
      <w:pPr>
        <w:ind w:left="520" w:hanging="512"/>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 xml:space="preserve">For additional information regarding recent rate review updates, see </w:t>
      </w:r>
      <w:r>
        <w:rPr>
          <w:rFonts w:ascii="Arial" w:cs="Arial" w:eastAsia="Arial" w:hAnsi="Arial"/>
          <w:sz w:val="14"/>
          <w:szCs w:val="14"/>
          <w:u w:val="single" w:color="auto"/>
          <w:color w:val="0000FF"/>
        </w:rPr>
        <w:t>Note 2</w:t>
      </w:r>
      <w:r>
        <w:rPr>
          <w:rFonts w:ascii="Arial" w:cs="Arial" w:eastAsia="Arial" w:hAnsi="Arial"/>
          <w:sz w:val="14"/>
          <w:szCs w:val="14"/>
          <w:color w:val="auto"/>
        </w:rPr>
        <w:t xml:space="preserve">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-10160</wp:posOffset>
            </wp:positionV>
            <wp:extent cx="26924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924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mechanisms we have in place for each of our Electric Utilities: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4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color w:val="auto"/>
              </w:rPr>
              <w:t>Cost Recovery Mechanisms</w:t>
            </w:r>
          </w:p>
        </w:tc>
        <w:tc>
          <w:tcPr>
            <w:tcW w:w="1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r>
      <w:tr>
        <w:trPr>
          <w:trHeight w:val="146"/>
        </w:trPr>
        <w:tc>
          <w:tcPr>
            <w:tcW w:w="30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80" w:type="dxa"/>
            <w:vAlign w:val="bottom"/>
          </w:tcPr>
          <w:p>
            <w:pPr>
              <w:jc w:val="center"/>
              <w:spacing w:after="0" w:line="147" w:lineRule="exact"/>
              <w:rPr>
                <w:sz w:val="20"/>
                <w:szCs w:val="20"/>
                <w:color w:val="auto"/>
              </w:rPr>
            </w:pPr>
            <w:r>
              <w:rPr>
                <w:rFonts w:ascii="Arial" w:cs="Arial" w:eastAsia="Arial" w:hAnsi="Arial"/>
                <w:sz w:val="14"/>
                <w:szCs w:val="14"/>
                <w:color w:val="auto"/>
              </w:rPr>
              <w:t>Transmission</w:t>
            </w:r>
          </w:p>
        </w:tc>
        <w:tc>
          <w:tcPr>
            <w:tcW w:w="1180" w:type="dxa"/>
            <w:vAlign w:val="bottom"/>
          </w:tcPr>
          <w:p>
            <w:pPr>
              <w:jc w:val="center"/>
              <w:spacing w:after="0" w:line="147" w:lineRule="exact"/>
              <w:rPr>
                <w:sz w:val="20"/>
                <w:szCs w:val="20"/>
                <w:color w:val="auto"/>
              </w:rPr>
            </w:pPr>
            <w:r>
              <w:rPr>
                <w:rFonts w:ascii="Arial" w:cs="Arial" w:eastAsia="Arial" w:hAnsi="Arial"/>
                <w:sz w:val="14"/>
                <w:szCs w:val="14"/>
                <w:color w:val="auto"/>
              </w:rPr>
              <w:t>Fuel</w:t>
            </w:r>
          </w:p>
        </w:tc>
        <w:tc>
          <w:tcPr>
            <w:tcW w:w="1560" w:type="dxa"/>
            <w:vAlign w:val="bottom"/>
          </w:tcPr>
          <w:p>
            <w:pPr>
              <w:jc w:val="center"/>
              <w:ind w:left="28"/>
              <w:spacing w:after="0" w:line="147" w:lineRule="exact"/>
              <w:rPr>
                <w:sz w:val="20"/>
                <w:szCs w:val="20"/>
                <w:color w:val="auto"/>
              </w:rPr>
            </w:pPr>
            <w:r>
              <w:rPr>
                <w:rFonts w:ascii="Arial" w:cs="Arial" w:eastAsia="Arial" w:hAnsi="Arial"/>
                <w:sz w:val="14"/>
                <w:szCs w:val="14"/>
                <w:color w:val="auto"/>
              </w:rPr>
              <w:t>Transmission</w:t>
            </w:r>
          </w:p>
        </w:tc>
        <w:tc>
          <w:tcPr>
            <w:tcW w:w="1280" w:type="dxa"/>
            <w:vAlign w:val="bottom"/>
          </w:tcPr>
          <w:p>
            <w:pPr>
              <w:jc w:val="center"/>
              <w:spacing w:after="0" w:line="147" w:lineRule="exact"/>
              <w:rPr>
                <w:sz w:val="20"/>
                <w:szCs w:val="20"/>
                <w:color w:val="auto"/>
              </w:rPr>
            </w:pPr>
            <w:r>
              <w:rPr>
                <w:rFonts w:ascii="Arial" w:cs="Arial" w:eastAsia="Arial" w:hAnsi="Arial"/>
                <w:sz w:val="14"/>
                <w:szCs w:val="14"/>
                <w:color w:val="auto"/>
              </w:rPr>
              <w:t>Purchased</w:t>
            </w:r>
          </w:p>
        </w:tc>
        <w:tc>
          <w:tcPr>
            <w:tcW w:w="1320" w:type="dxa"/>
            <w:vAlign w:val="bottom"/>
          </w:tcPr>
          <w:p>
            <w:pPr>
              <w:spacing w:after="0"/>
              <w:rPr>
                <w:sz w:val="12"/>
                <w:szCs w:val="12"/>
                <w:color w:val="auto"/>
              </w:rPr>
            </w:pPr>
          </w:p>
        </w:tc>
      </w:tr>
      <w:tr>
        <w:trPr>
          <w:trHeight w:val="171"/>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Electric Utility Jurisdiction</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EECR/DSM</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Expense</w:t>
            </w:r>
          </w:p>
        </w:tc>
        <w:tc>
          <w:tcPr>
            <w:tcW w:w="118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rPr>
              <w:t>Cost</w:t>
            </w:r>
          </w:p>
        </w:tc>
        <w:tc>
          <w:tcPr>
            <w:tcW w:w="156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color w:val="auto"/>
              </w:rPr>
              <w:t>Capital</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Power</w:t>
            </w:r>
          </w:p>
        </w:tc>
        <w:tc>
          <w:tcPr>
            <w:tcW w:w="13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rPr>
              <w:t>RESA/CEPR</w:t>
            </w:r>
          </w:p>
        </w:tc>
      </w:tr>
      <w:tr>
        <w:trPr>
          <w:trHeight w:val="169"/>
        </w:trPr>
        <w:tc>
          <w:tcPr>
            <w:tcW w:w="3040" w:type="dxa"/>
            <w:vAlign w:val="bottom"/>
            <w:shd w:val="clear" w:color="auto" w:fill="CFF0FC"/>
          </w:tcPr>
          <w:p>
            <w:pPr>
              <w:ind w:left="20"/>
              <w:spacing w:after="0" w:line="169" w:lineRule="exact"/>
              <w:rPr>
                <w:sz w:val="20"/>
                <w:szCs w:val="20"/>
                <w:color w:val="auto"/>
              </w:rPr>
            </w:pPr>
            <w:r>
              <w:rPr>
                <w:rFonts w:ascii="Arial" w:cs="Arial" w:eastAsia="Arial" w:hAnsi="Arial"/>
                <w:sz w:val="14"/>
                <w:szCs w:val="14"/>
                <w:color w:val="auto"/>
              </w:rPr>
              <w:t xml:space="preserve">Colorado Electric </w:t>
            </w:r>
            <w:r>
              <w:rPr>
                <w:rFonts w:ascii="Arial" w:cs="Arial" w:eastAsia="Arial" w:hAnsi="Arial"/>
                <w:sz w:val="19"/>
                <w:szCs w:val="19"/>
                <w:color w:val="auto"/>
                <w:vertAlign w:val="superscript"/>
              </w:rPr>
              <w:t>(a)</w:t>
            </w:r>
          </w:p>
        </w:tc>
        <w:tc>
          <w:tcPr>
            <w:tcW w:w="1380" w:type="dxa"/>
            <w:vAlign w:val="bottom"/>
            <w:shd w:val="clear" w:color="auto" w:fill="CFF0FC"/>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480" w:type="dxa"/>
            <w:vAlign w:val="bottom"/>
            <w:shd w:val="clear" w:color="auto" w:fill="CFF0FC"/>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1180" w:type="dxa"/>
            <w:vAlign w:val="bottom"/>
            <w:shd w:val="clear" w:color="auto" w:fill="CFF0FC"/>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560" w:type="dxa"/>
            <w:vAlign w:val="bottom"/>
            <w:shd w:val="clear" w:color="auto" w:fill="CFF0FC"/>
          </w:tcPr>
          <w:p>
            <w:pPr>
              <w:jc w:val="center"/>
              <w:ind w:left="28"/>
              <w:spacing w:after="0" w:line="141" w:lineRule="exact"/>
              <w:rPr>
                <w:sz w:val="20"/>
                <w:szCs w:val="20"/>
                <w:color w:val="auto"/>
              </w:rPr>
            </w:pPr>
            <w:r>
              <w:rPr>
                <w:rFonts w:ascii="MS PGothic" w:cs="MS PGothic" w:eastAsia="MS PGothic" w:hAnsi="MS PGothic"/>
                <w:sz w:val="14"/>
                <w:szCs w:val="14"/>
                <w:color w:val="auto"/>
                <w:w w:val="99"/>
              </w:rPr>
              <w:t>☑</w:t>
            </w:r>
          </w:p>
        </w:tc>
        <w:tc>
          <w:tcPr>
            <w:tcW w:w="1280" w:type="dxa"/>
            <w:vAlign w:val="bottom"/>
            <w:shd w:val="clear" w:color="auto" w:fill="CFF0FC"/>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320" w:type="dxa"/>
            <w:vAlign w:val="bottom"/>
            <w:shd w:val="clear" w:color="auto" w:fill="CFF0FC"/>
          </w:tcPr>
          <w:p>
            <w:pPr>
              <w:jc w:val="center"/>
              <w:ind w:left="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5"/>
        </w:trPr>
        <w:tc>
          <w:tcPr>
            <w:tcW w:w="3040" w:type="dxa"/>
            <w:vAlign w:val="bottom"/>
          </w:tcPr>
          <w:p>
            <w:pPr>
              <w:ind w:left="20"/>
              <w:spacing w:after="0" w:line="175" w:lineRule="exact"/>
              <w:rPr>
                <w:sz w:val="20"/>
                <w:szCs w:val="20"/>
                <w:color w:val="auto"/>
              </w:rPr>
            </w:pPr>
            <w:r>
              <w:rPr>
                <w:rFonts w:ascii="Arial" w:cs="Arial" w:eastAsia="Arial" w:hAnsi="Arial"/>
                <w:sz w:val="14"/>
                <w:szCs w:val="14"/>
                <w:color w:val="auto"/>
              </w:rPr>
              <w:t xml:space="preserve">Colorado Electric (FERC) </w:t>
            </w:r>
            <w:r>
              <w:rPr>
                <w:rFonts w:ascii="Arial" w:cs="Arial" w:eastAsia="Arial" w:hAnsi="Arial"/>
                <w:sz w:val="19"/>
                <w:szCs w:val="19"/>
                <w:color w:val="auto"/>
                <w:vertAlign w:val="superscript"/>
              </w:rPr>
              <w:t>(a)</w:t>
            </w:r>
          </w:p>
        </w:tc>
        <w:tc>
          <w:tcPr>
            <w:tcW w:w="13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560" w:type="dxa"/>
            <w:vAlign w:val="bottom"/>
          </w:tcPr>
          <w:p>
            <w:pPr>
              <w:jc w:val="center"/>
              <w:ind w:left="28"/>
              <w:spacing w:after="0" w:line="141" w:lineRule="exact"/>
              <w:rPr>
                <w:sz w:val="20"/>
                <w:szCs w:val="20"/>
                <w:color w:val="auto"/>
              </w:rPr>
            </w:pPr>
            <w:r>
              <w:rPr>
                <w:rFonts w:ascii="MS PGothic" w:cs="MS PGothic" w:eastAsia="MS PGothic" w:hAnsi="MS PGothic"/>
                <w:sz w:val="14"/>
                <w:szCs w:val="14"/>
                <w:color w:val="auto"/>
                <w:w w:val="99"/>
              </w:rPr>
              <w:t>☑</w:t>
            </w:r>
          </w:p>
        </w:tc>
        <w:tc>
          <w:tcPr>
            <w:tcW w:w="12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3040" w:type="dxa"/>
            <w:vAlign w:val="bottom"/>
            <w:shd w:val="clear" w:color="auto" w:fill="CFF0FC"/>
          </w:tcPr>
          <w:p>
            <w:pPr>
              <w:ind w:left="20"/>
              <w:spacing w:after="0" w:line="175" w:lineRule="exact"/>
              <w:rPr>
                <w:sz w:val="20"/>
                <w:szCs w:val="20"/>
                <w:color w:val="auto"/>
              </w:rPr>
            </w:pPr>
            <w:r>
              <w:rPr>
                <w:rFonts w:ascii="Arial" w:cs="Arial" w:eastAsia="Arial" w:hAnsi="Arial"/>
                <w:sz w:val="14"/>
                <w:szCs w:val="14"/>
                <w:color w:val="auto"/>
              </w:rPr>
              <w:t xml:space="preserve">South Dakota Electric (SD) </w:t>
            </w:r>
            <w:r>
              <w:rPr>
                <w:rFonts w:ascii="Arial" w:cs="Arial" w:eastAsia="Arial" w:hAnsi="Arial"/>
                <w:sz w:val="19"/>
                <w:szCs w:val="19"/>
                <w:color w:val="auto"/>
                <w:vertAlign w:val="superscript"/>
              </w:rPr>
              <w:t>(b)</w:t>
            </w:r>
          </w:p>
        </w:tc>
        <w:tc>
          <w:tcPr>
            <w:tcW w:w="1380" w:type="dxa"/>
            <w:vAlign w:val="bottom"/>
            <w:shd w:val="clear" w:color="auto" w:fill="CFF0FC"/>
          </w:tcPr>
          <w:p>
            <w:pPr>
              <w:spacing w:after="0"/>
              <w:rPr>
                <w:sz w:val="15"/>
                <w:szCs w:val="15"/>
                <w:color w:val="auto"/>
              </w:rPr>
            </w:pPr>
          </w:p>
        </w:tc>
        <w:tc>
          <w:tcPr>
            <w:tcW w:w="1480" w:type="dxa"/>
            <w:vAlign w:val="bottom"/>
            <w:shd w:val="clear" w:color="auto" w:fill="CFF0FC"/>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1180" w:type="dxa"/>
            <w:vAlign w:val="bottom"/>
            <w:shd w:val="clear" w:color="auto" w:fill="CFF0FC"/>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560" w:type="dxa"/>
            <w:vAlign w:val="bottom"/>
            <w:shd w:val="clear" w:color="auto" w:fill="CFF0FC"/>
          </w:tcPr>
          <w:p>
            <w:pPr>
              <w:spacing w:after="0"/>
              <w:rPr>
                <w:sz w:val="15"/>
                <w:szCs w:val="15"/>
                <w:color w:val="auto"/>
              </w:rPr>
            </w:pPr>
          </w:p>
        </w:tc>
        <w:tc>
          <w:tcPr>
            <w:tcW w:w="1280" w:type="dxa"/>
            <w:vAlign w:val="bottom"/>
            <w:shd w:val="clear" w:color="auto" w:fill="CFF0FC"/>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320" w:type="dxa"/>
            <w:vAlign w:val="bottom"/>
            <w:shd w:val="clear" w:color="auto" w:fill="CFF0FC"/>
          </w:tcPr>
          <w:p>
            <w:pPr>
              <w:spacing w:after="0"/>
              <w:rPr>
                <w:sz w:val="15"/>
                <w:szCs w:val="15"/>
                <w:color w:val="auto"/>
              </w:rPr>
            </w:pPr>
          </w:p>
        </w:tc>
      </w:tr>
      <w:tr>
        <w:trPr>
          <w:trHeight w:val="175"/>
        </w:trPr>
        <w:tc>
          <w:tcPr>
            <w:tcW w:w="3040" w:type="dxa"/>
            <w:vAlign w:val="bottom"/>
          </w:tcPr>
          <w:p>
            <w:pPr>
              <w:ind w:left="20"/>
              <w:spacing w:after="0" w:line="175" w:lineRule="exact"/>
              <w:rPr>
                <w:sz w:val="20"/>
                <w:szCs w:val="20"/>
                <w:color w:val="auto"/>
              </w:rPr>
            </w:pPr>
            <w:r>
              <w:rPr>
                <w:rFonts w:ascii="Arial" w:cs="Arial" w:eastAsia="Arial" w:hAnsi="Arial"/>
                <w:sz w:val="14"/>
                <w:szCs w:val="14"/>
                <w:color w:val="auto"/>
              </w:rPr>
              <w:t xml:space="preserve">South Dakota Electric (WY) </w:t>
            </w:r>
            <w:r>
              <w:rPr>
                <w:rFonts w:ascii="Arial" w:cs="Arial" w:eastAsia="Arial" w:hAnsi="Arial"/>
                <w:sz w:val="19"/>
                <w:szCs w:val="19"/>
                <w:color w:val="auto"/>
                <w:vertAlign w:val="superscript"/>
              </w:rPr>
              <w:t>(c)</w:t>
            </w:r>
          </w:p>
        </w:tc>
        <w:tc>
          <w:tcPr>
            <w:tcW w:w="13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4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11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560" w:type="dxa"/>
            <w:vAlign w:val="bottom"/>
          </w:tcPr>
          <w:p>
            <w:pPr>
              <w:spacing w:after="0"/>
              <w:rPr>
                <w:sz w:val="15"/>
                <w:szCs w:val="15"/>
                <w:color w:val="auto"/>
              </w:rPr>
            </w:pPr>
          </w:p>
        </w:tc>
        <w:tc>
          <w:tcPr>
            <w:tcW w:w="12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320" w:type="dxa"/>
            <w:vAlign w:val="bottom"/>
          </w:tcPr>
          <w:p>
            <w:pPr>
              <w:spacing w:after="0"/>
              <w:rPr>
                <w:sz w:val="15"/>
                <w:szCs w:val="15"/>
                <w:color w:val="auto"/>
              </w:rPr>
            </w:pPr>
          </w:p>
        </w:tc>
      </w:tr>
      <w:tr>
        <w:trPr>
          <w:trHeight w:val="175"/>
        </w:trPr>
        <w:tc>
          <w:tcPr>
            <w:tcW w:w="3040" w:type="dxa"/>
            <w:vAlign w:val="bottom"/>
            <w:shd w:val="clear" w:color="auto" w:fill="CFF0FC"/>
          </w:tcPr>
          <w:p>
            <w:pPr>
              <w:ind w:left="20"/>
              <w:spacing w:after="0"/>
              <w:rPr>
                <w:sz w:val="20"/>
                <w:szCs w:val="20"/>
                <w:color w:val="auto"/>
              </w:rPr>
            </w:pPr>
            <w:r>
              <w:rPr>
                <w:rFonts w:ascii="Arial" w:cs="Arial" w:eastAsia="Arial" w:hAnsi="Arial"/>
                <w:sz w:val="14"/>
                <w:szCs w:val="14"/>
                <w:color w:val="auto"/>
              </w:rPr>
              <w:t>South Dakota Electric (FERC)</w:t>
            </w:r>
          </w:p>
        </w:tc>
        <w:tc>
          <w:tcPr>
            <w:tcW w:w="138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560" w:type="dxa"/>
            <w:vAlign w:val="bottom"/>
            <w:shd w:val="clear" w:color="auto" w:fill="CFF0FC"/>
          </w:tcPr>
          <w:p>
            <w:pPr>
              <w:jc w:val="center"/>
              <w:ind w:left="28"/>
              <w:spacing w:after="0" w:line="141" w:lineRule="exact"/>
              <w:rPr>
                <w:sz w:val="20"/>
                <w:szCs w:val="20"/>
                <w:color w:val="auto"/>
              </w:rPr>
            </w:pPr>
            <w:r>
              <w:rPr>
                <w:rFonts w:ascii="MS PGothic" w:cs="MS PGothic" w:eastAsia="MS PGothic" w:hAnsi="MS PGothic"/>
                <w:sz w:val="14"/>
                <w:szCs w:val="14"/>
                <w:color w:val="auto"/>
                <w:w w:val="99"/>
              </w:rPr>
              <w:t>☑</w:t>
            </w:r>
          </w:p>
        </w:tc>
        <w:tc>
          <w:tcPr>
            <w:tcW w:w="128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r>
      <w:tr>
        <w:trPr>
          <w:trHeight w:val="135"/>
        </w:trPr>
        <w:tc>
          <w:tcPr>
            <w:tcW w:w="3040" w:type="dxa"/>
            <w:vAlign w:val="bottom"/>
          </w:tcPr>
          <w:p>
            <w:pPr>
              <w:ind w:left="20"/>
              <w:spacing w:after="0" w:line="135" w:lineRule="exact"/>
              <w:rPr>
                <w:sz w:val="20"/>
                <w:szCs w:val="20"/>
                <w:color w:val="auto"/>
              </w:rPr>
            </w:pPr>
            <w:r>
              <w:rPr>
                <w:rFonts w:ascii="Arial" w:cs="Arial" w:eastAsia="Arial" w:hAnsi="Arial"/>
                <w:sz w:val="12"/>
                <w:szCs w:val="12"/>
                <w:color w:val="auto"/>
              </w:rPr>
              <w:t xml:space="preserve">Wyoming Electric </w:t>
            </w:r>
            <w:r>
              <w:rPr>
                <w:rFonts w:ascii="Arial" w:cs="Arial" w:eastAsia="Arial" w:hAnsi="Arial"/>
                <w:sz w:val="15"/>
                <w:szCs w:val="15"/>
                <w:color w:val="auto"/>
                <w:vertAlign w:val="superscript"/>
              </w:rPr>
              <w:t>(a)</w:t>
            </w:r>
          </w:p>
        </w:tc>
        <w:tc>
          <w:tcPr>
            <w:tcW w:w="1380" w:type="dxa"/>
            <w:vAlign w:val="bottom"/>
          </w:tcPr>
          <w:p>
            <w:pPr>
              <w:jc w:val="center"/>
              <w:spacing w:after="0" w:line="135" w:lineRule="exact"/>
              <w:rPr>
                <w:sz w:val="20"/>
                <w:szCs w:val="20"/>
                <w:color w:val="auto"/>
              </w:rPr>
            </w:pPr>
            <w:r>
              <w:rPr>
                <w:rFonts w:ascii="MS PGothic" w:cs="MS PGothic" w:eastAsia="MS PGothic" w:hAnsi="MS PGothic"/>
                <w:sz w:val="14"/>
                <w:szCs w:val="14"/>
                <w:color w:val="auto"/>
                <w:w w:val="85"/>
              </w:rPr>
              <w:t>☑</w:t>
            </w:r>
          </w:p>
        </w:tc>
        <w:tc>
          <w:tcPr>
            <w:tcW w:w="1480" w:type="dxa"/>
            <w:vAlign w:val="bottom"/>
          </w:tcPr>
          <w:p>
            <w:pPr>
              <w:jc w:val="center"/>
              <w:spacing w:after="0" w:line="135" w:lineRule="exact"/>
              <w:rPr>
                <w:sz w:val="20"/>
                <w:szCs w:val="20"/>
                <w:color w:val="auto"/>
              </w:rPr>
            </w:pPr>
            <w:r>
              <w:rPr>
                <w:rFonts w:ascii="MS PGothic" w:cs="MS PGothic" w:eastAsia="MS PGothic" w:hAnsi="MS PGothic"/>
                <w:sz w:val="14"/>
                <w:szCs w:val="14"/>
                <w:color w:val="auto"/>
                <w:w w:val="99"/>
              </w:rPr>
              <w:t>☑</w:t>
            </w:r>
          </w:p>
        </w:tc>
        <w:tc>
          <w:tcPr>
            <w:tcW w:w="1180" w:type="dxa"/>
            <w:vAlign w:val="bottom"/>
          </w:tcPr>
          <w:p>
            <w:pPr>
              <w:jc w:val="center"/>
              <w:spacing w:after="0" w:line="135" w:lineRule="exact"/>
              <w:rPr>
                <w:sz w:val="20"/>
                <w:szCs w:val="20"/>
                <w:color w:val="auto"/>
              </w:rPr>
            </w:pPr>
            <w:r>
              <w:rPr>
                <w:rFonts w:ascii="MS PGothic" w:cs="MS PGothic" w:eastAsia="MS PGothic" w:hAnsi="MS PGothic"/>
                <w:sz w:val="14"/>
                <w:szCs w:val="14"/>
                <w:color w:val="auto"/>
                <w:w w:val="85"/>
              </w:rPr>
              <w:t>☑</w:t>
            </w:r>
          </w:p>
        </w:tc>
        <w:tc>
          <w:tcPr>
            <w:tcW w:w="1560" w:type="dxa"/>
            <w:vAlign w:val="bottom"/>
          </w:tcPr>
          <w:p>
            <w:pPr>
              <w:jc w:val="center"/>
              <w:ind w:left="28"/>
              <w:spacing w:after="0" w:line="135" w:lineRule="exact"/>
              <w:rPr>
                <w:sz w:val="20"/>
                <w:szCs w:val="20"/>
                <w:color w:val="auto"/>
              </w:rPr>
            </w:pPr>
            <w:r>
              <w:rPr>
                <w:rFonts w:ascii="MS PGothic" w:cs="MS PGothic" w:eastAsia="MS PGothic" w:hAnsi="MS PGothic"/>
                <w:sz w:val="14"/>
                <w:szCs w:val="14"/>
                <w:color w:val="auto"/>
                <w:w w:val="99"/>
              </w:rPr>
              <w:t>☑</w:t>
            </w:r>
          </w:p>
        </w:tc>
        <w:tc>
          <w:tcPr>
            <w:tcW w:w="1280" w:type="dxa"/>
            <w:vAlign w:val="bottom"/>
          </w:tcPr>
          <w:p>
            <w:pPr>
              <w:jc w:val="center"/>
              <w:spacing w:after="0" w:line="135" w:lineRule="exact"/>
              <w:rPr>
                <w:sz w:val="20"/>
                <w:szCs w:val="20"/>
                <w:color w:val="auto"/>
              </w:rPr>
            </w:pPr>
            <w:r>
              <w:rPr>
                <w:rFonts w:ascii="MS PGothic" w:cs="MS PGothic" w:eastAsia="MS PGothic" w:hAnsi="MS PGothic"/>
                <w:sz w:val="14"/>
                <w:szCs w:val="14"/>
                <w:color w:val="auto"/>
                <w:w w:val="85"/>
              </w:rPr>
              <w:t>☑</w:t>
            </w:r>
          </w:p>
        </w:tc>
        <w:tc>
          <w:tcPr>
            <w:tcW w:w="1320" w:type="dxa"/>
            <w:vAlign w:val="bottom"/>
          </w:tcPr>
          <w:p>
            <w:pPr>
              <w:spacing w:after="0"/>
              <w:rPr>
                <w:sz w:val="11"/>
                <w:szCs w:val="11"/>
                <w:color w:val="auto"/>
              </w:rPr>
            </w:pPr>
          </w:p>
        </w:tc>
      </w:tr>
      <w:tr>
        <w:trPr>
          <w:trHeight w:val="213"/>
        </w:trPr>
        <w:tc>
          <w:tcPr>
            <w:tcW w:w="3040" w:type="dxa"/>
            <w:vAlign w:val="bottom"/>
          </w:tcPr>
          <w:p>
            <w:pPr>
              <w:ind w:left="20"/>
              <w:spacing w:after="0" w:line="213" w:lineRule="exact"/>
              <w:rPr>
                <w:sz w:val="20"/>
                <w:szCs w:val="20"/>
                <w:color w:val="auto"/>
              </w:rPr>
            </w:pPr>
            <w:r>
              <w:rPr>
                <w:rFonts w:ascii="Arial" w:cs="Arial" w:eastAsia="Arial" w:hAnsi="Arial"/>
                <w:sz w:val="14"/>
                <w:szCs w:val="14"/>
                <w:color w:val="auto"/>
              </w:rPr>
              <w:t xml:space="preserve">Wyoming Electric (FERC) </w:t>
            </w:r>
            <w:r>
              <w:rPr>
                <w:rFonts w:ascii="Arial" w:cs="Arial" w:eastAsia="Arial" w:hAnsi="Arial"/>
                <w:sz w:val="19"/>
                <w:szCs w:val="19"/>
                <w:color w:val="auto"/>
                <w:vertAlign w:val="superscript"/>
              </w:rPr>
              <w:t>(a)</w:t>
            </w:r>
          </w:p>
        </w:tc>
        <w:tc>
          <w:tcPr>
            <w:tcW w:w="1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60" w:type="dxa"/>
            <w:vAlign w:val="bottom"/>
          </w:tcPr>
          <w:p>
            <w:pPr>
              <w:jc w:val="center"/>
              <w:ind w:left="28"/>
              <w:spacing w:after="0" w:line="141" w:lineRule="exact"/>
              <w:rPr>
                <w:sz w:val="20"/>
                <w:szCs w:val="20"/>
                <w:color w:val="auto"/>
              </w:rPr>
            </w:pPr>
            <w:r>
              <w:rPr>
                <w:rFonts w:ascii="MS PGothic" w:cs="MS PGothic" w:eastAsia="MS PGothic" w:hAnsi="MS PGothic"/>
                <w:sz w:val="14"/>
                <w:szCs w:val="14"/>
                <w:color w:val="auto"/>
                <w:w w:val="99"/>
              </w:rPr>
              <w:t>☑</w:t>
            </w:r>
          </w:p>
        </w:tc>
        <w:tc>
          <w:tcPr>
            <w:tcW w:w="1280" w:type="dxa"/>
            <w:vAlign w:val="bottom"/>
          </w:tcPr>
          <w:p>
            <w:pPr>
              <w:spacing w:after="0"/>
              <w:rPr>
                <w:sz w:val="18"/>
                <w:szCs w:val="18"/>
                <w:color w:val="auto"/>
              </w:rPr>
            </w:pPr>
          </w:p>
        </w:tc>
        <w:tc>
          <w:tcPr>
            <w:tcW w:w="13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1111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____________________</w:t>
      </w:r>
    </w:p>
    <w:p>
      <w:pPr>
        <w:spacing w:after="0" w:line="16" w:lineRule="exact"/>
        <w:rPr>
          <w:sz w:val="20"/>
          <w:szCs w:val="20"/>
          <w:color w:val="auto"/>
        </w:rPr>
      </w:pPr>
    </w:p>
    <w:p>
      <w:pPr>
        <w:ind w:left="520" w:right="160" w:hanging="512"/>
        <w:spacing w:after="0" w:line="251" w:lineRule="auto"/>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For both Wyoming Electric and Colorado Electric retail customers, transmission investments are recovered through retail rates rather than FERC Transmission Tariffs. Transmission investments are recovered from wholesale transmission customers under the FERC Formula Transmission rate.</w:t>
      </w:r>
    </w:p>
    <w:p>
      <w:pPr>
        <w:spacing w:after="0" w:line="1" w:lineRule="exact"/>
        <w:rPr>
          <w:rFonts w:ascii="Arial" w:cs="Arial" w:eastAsia="Arial" w:hAnsi="Arial"/>
          <w:sz w:val="14"/>
          <w:szCs w:val="14"/>
          <w:color w:val="auto"/>
        </w:rPr>
      </w:pPr>
    </w:p>
    <w:p>
      <w:pPr>
        <w:ind w:left="520" w:right="20" w:hanging="512"/>
        <w:spacing w:after="0" w:line="243" w:lineRule="auto"/>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South Dakota Electric’s EIA and TFA tariffs were suspended for a six-year moratorium period effective July 1, 2017. On January 7, 2020, South Dakota Electric received approval from the SDPUC to extend the 6-year moratorium period by an additional 3 years whereby these recovery mechanisms will not be effective prior to July 1, 2026.</w:t>
      </w:r>
    </w:p>
    <w:p>
      <w:pPr>
        <w:spacing w:after="0" w:line="159" w:lineRule="exact"/>
        <w:rPr>
          <w:rFonts w:ascii="Arial" w:cs="Arial" w:eastAsia="Arial" w:hAnsi="Arial"/>
          <w:sz w:val="14"/>
          <w:szCs w:val="14"/>
          <w:color w:val="auto"/>
        </w:rPr>
      </w:pPr>
    </w:p>
    <w:p>
      <w:pPr>
        <w:ind w:left="520" w:right="80" w:hanging="512"/>
        <w:spacing w:after="0" w:line="264" w:lineRule="auto"/>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South Dakota Electric has WPSC authorization to accumulate certain energy efficiency costs in a regulatory asset with determination of recovery to be made in the next rate review.</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Gas Utilities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regulatory information for each of our Gas Utilities: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5"/>
                <w:szCs w:val="15"/>
                <w:color w:val="auto"/>
              </w:rPr>
              <w:t>Authorized</w:t>
            </w: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jc w:val="center"/>
              <w:spacing w:after="0" w:line="162" w:lineRule="exact"/>
              <w:rPr>
                <w:sz w:val="20"/>
                <w:szCs w:val="20"/>
                <w:color w:val="auto"/>
              </w:rPr>
            </w:pPr>
            <w:r>
              <w:rPr>
                <w:rFonts w:ascii="Arial" w:cs="Arial" w:eastAsia="Arial" w:hAnsi="Arial"/>
                <w:sz w:val="15"/>
                <w:szCs w:val="15"/>
                <w:color w:val="auto"/>
              </w:rPr>
              <w:t>Authorized Rate</w:t>
            </w:r>
          </w:p>
        </w:tc>
        <w:tc>
          <w:tcPr>
            <w:tcW w:w="1220" w:type="dxa"/>
            <w:vAlign w:val="bottom"/>
          </w:tcPr>
          <w:p>
            <w:pPr>
              <w:jc w:val="center"/>
              <w:spacing w:after="0" w:line="162" w:lineRule="exact"/>
              <w:rPr>
                <w:sz w:val="20"/>
                <w:szCs w:val="20"/>
                <w:color w:val="auto"/>
              </w:rPr>
            </w:pPr>
            <w:r>
              <w:rPr>
                <w:rFonts w:ascii="Arial" w:cs="Arial" w:eastAsia="Arial" w:hAnsi="Arial"/>
                <w:sz w:val="15"/>
                <w:szCs w:val="15"/>
                <w:color w:val="auto"/>
              </w:rPr>
              <w:t>Authorized</w:t>
            </w:r>
          </w:p>
        </w:tc>
        <w:tc>
          <w:tcPr>
            <w:tcW w:w="1040" w:type="dxa"/>
            <w:vAlign w:val="bottom"/>
          </w:tcPr>
          <w:p>
            <w:pPr>
              <w:jc w:val="center"/>
              <w:spacing w:after="0" w:line="162" w:lineRule="exact"/>
              <w:rPr>
                <w:sz w:val="20"/>
                <w:szCs w:val="20"/>
                <w:color w:val="auto"/>
              </w:rPr>
            </w:pPr>
            <w:r>
              <w:rPr>
                <w:rFonts w:ascii="Arial" w:cs="Arial" w:eastAsia="Arial" w:hAnsi="Arial"/>
                <w:sz w:val="15"/>
                <w:szCs w:val="15"/>
                <w:color w:val="auto"/>
              </w:rPr>
              <w:t>Capital</w:t>
            </w:r>
          </w:p>
        </w:tc>
        <w:tc>
          <w:tcPr>
            <w:tcW w:w="1160" w:type="dxa"/>
            <w:vAlign w:val="bottom"/>
          </w:tcPr>
          <w:p>
            <w:pPr>
              <w:jc w:val="center"/>
              <w:spacing w:after="0" w:line="162" w:lineRule="exact"/>
              <w:rPr>
                <w:sz w:val="20"/>
                <w:szCs w:val="20"/>
                <w:color w:val="auto"/>
              </w:rPr>
            </w:pPr>
            <w:r>
              <w:rPr>
                <w:rFonts w:ascii="Arial" w:cs="Arial" w:eastAsia="Arial" w:hAnsi="Arial"/>
                <w:sz w:val="15"/>
                <w:szCs w:val="15"/>
                <w:color w:val="auto"/>
              </w:rPr>
              <w:t>Authorized</w:t>
            </w:r>
          </w:p>
        </w:tc>
        <w:tc>
          <w:tcPr>
            <w:tcW w:w="8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jc w:val="center"/>
              <w:spacing w:after="0" w:line="162" w:lineRule="exact"/>
              <w:rPr>
                <w:sz w:val="20"/>
                <w:szCs w:val="20"/>
                <w:color w:val="auto"/>
              </w:rPr>
            </w:pPr>
            <w:r>
              <w:rPr>
                <w:rFonts w:ascii="Arial" w:cs="Arial" w:eastAsia="Arial" w:hAnsi="Arial"/>
                <w:sz w:val="15"/>
                <w:szCs w:val="15"/>
                <w:color w:val="auto"/>
              </w:rPr>
              <w:t>of Return on</w:t>
            </w:r>
          </w:p>
        </w:tc>
        <w:tc>
          <w:tcPr>
            <w:tcW w:w="1220" w:type="dxa"/>
            <w:vAlign w:val="bottom"/>
          </w:tcPr>
          <w:p>
            <w:pPr>
              <w:jc w:val="center"/>
              <w:spacing w:after="0" w:line="162" w:lineRule="exact"/>
              <w:rPr>
                <w:sz w:val="20"/>
                <w:szCs w:val="20"/>
                <w:color w:val="auto"/>
              </w:rPr>
            </w:pPr>
            <w:r>
              <w:rPr>
                <w:rFonts w:ascii="Arial" w:cs="Arial" w:eastAsia="Arial" w:hAnsi="Arial"/>
                <w:sz w:val="15"/>
                <w:szCs w:val="15"/>
                <w:color w:val="auto"/>
              </w:rPr>
              <w:t>Return on Rate</w:t>
            </w:r>
          </w:p>
        </w:tc>
        <w:tc>
          <w:tcPr>
            <w:tcW w:w="1040" w:type="dxa"/>
            <w:vAlign w:val="bottom"/>
          </w:tcPr>
          <w:p>
            <w:pPr>
              <w:jc w:val="center"/>
              <w:spacing w:after="0" w:line="162" w:lineRule="exact"/>
              <w:rPr>
                <w:sz w:val="20"/>
                <w:szCs w:val="20"/>
                <w:color w:val="auto"/>
              </w:rPr>
            </w:pPr>
            <w:r>
              <w:rPr>
                <w:rFonts w:ascii="Arial" w:cs="Arial" w:eastAsia="Arial" w:hAnsi="Arial"/>
                <w:sz w:val="15"/>
                <w:szCs w:val="15"/>
                <w:color w:val="auto"/>
              </w:rPr>
              <w:t>Structure</w:t>
            </w:r>
          </w:p>
        </w:tc>
        <w:tc>
          <w:tcPr>
            <w:tcW w:w="1160" w:type="dxa"/>
            <w:vAlign w:val="bottom"/>
          </w:tcPr>
          <w:p>
            <w:pPr>
              <w:jc w:val="center"/>
              <w:spacing w:after="0" w:line="162" w:lineRule="exact"/>
              <w:rPr>
                <w:sz w:val="20"/>
                <w:szCs w:val="20"/>
                <w:color w:val="auto"/>
              </w:rPr>
            </w:pPr>
            <w:r>
              <w:rPr>
                <w:rFonts w:ascii="Arial" w:cs="Arial" w:eastAsia="Arial" w:hAnsi="Arial"/>
                <w:sz w:val="15"/>
                <w:szCs w:val="15"/>
                <w:color w:val="auto"/>
              </w:rPr>
              <w:t>Rate Base (in</w:t>
            </w:r>
          </w:p>
        </w:tc>
        <w:tc>
          <w:tcPr>
            <w:tcW w:w="820" w:type="dxa"/>
            <w:vAlign w:val="bottom"/>
          </w:tcPr>
          <w:p>
            <w:pPr>
              <w:jc w:val="center"/>
              <w:spacing w:after="0" w:line="162" w:lineRule="exact"/>
              <w:rPr>
                <w:sz w:val="20"/>
                <w:szCs w:val="20"/>
                <w:color w:val="auto"/>
              </w:rPr>
            </w:pPr>
            <w:r>
              <w:rPr>
                <w:rFonts w:ascii="Arial" w:cs="Arial" w:eastAsia="Arial" w:hAnsi="Arial"/>
                <w:sz w:val="15"/>
                <w:szCs w:val="15"/>
                <w:color w:val="auto"/>
              </w:rPr>
              <w:t>Effective</w:t>
            </w: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500" w:type="dxa"/>
            <w:vAlign w:val="bottom"/>
            <w:tcBorders>
              <w:bottom w:val="single" w:sz="8" w:color="auto"/>
            </w:tcBorders>
          </w:tcPr>
          <w:p>
            <w:pPr>
              <w:ind w:left="440"/>
              <w:spacing w:after="0"/>
              <w:rPr>
                <w:sz w:val="20"/>
                <w:szCs w:val="20"/>
                <w:color w:val="auto"/>
              </w:rPr>
            </w:pPr>
            <w:r>
              <w:rPr>
                <w:rFonts w:ascii="Arial" w:cs="Arial" w:eastAsia="Arial" w:hAnsi="Arial"/>
                <w:sz w:val="15"/>
                <w:szCs w:val="15"/>
                <w:color w:val="auto"/>
              </w:rPr>
              <w:t>Subsidiary</w:t>
            </w:r>
          </w:p>
        </w:tc>
        <w:tc>
          <w:tcPr>
            <w:tcW w:w="1060" w:type="dxa"/>
            <w:vAlign w:val="bottom"/>
            <w:tcBorders>
              <w:bottom w:val="single" w:sz="8" w:color="auto"/>
            </w:tcBorders>
          </w:tcPr>
          <w:p>
            <w:pPr>
              <w:jc w:val="center"/>
              <w:ind w:left="64"/>
              <w:spacing w:after="0"/>
              <w:rPr>
                <w:sz w:val="20"/>
                <w:szCs w:val="20"/>
                <w:color w:val="auto"/>
              </w:rPr>
            </w:pPr>
            <w:r>
              <w:rPr>
                <w:rFonts w:ascii="Arial" w:cs="Arial" w:eastAsia="Arial" w:hAnsi="Arial"/>
                <w:sz w:val="15"/>
                <w:szCs w:val="15"/>
                <w:color w:val="auto"/>
              </w:rPr>
              <w:t>Jurisdiction</w:t>
            </w:r>
          </w:p>
        </w:tc>
        <w:tc>
          <w:tcPr>
            <w:tcW w:w="1240" w:type="dxa"/>
            <w:vAlign w:val="bottom"/>
            <w:tcBorders>
              <w:bottom w:val="single" w:sz="8" w:color="auto"/>
            </w:tcBorders>
          </w:tcPr>
          <w:p>
            <w:pPr>
              <w:jc w:val="center"/>
              <w:ind w:left="4"/>
              <w:spacing w:after="0"/>
              <w:rPr>
                <w:sz w:val="20"/>
                <w:szCs w:val="20"/>
                <w:color w:val="auto"/>
              </w:rPr>
            </w:pPr>
            <w:r>
              <w:rPr>
                <w:rFonts w:ascii="Arial" w:cs="Arial" w:eastAsia="Arial" w:hAnsi="Arial"/>
                <w:sz w:val="15"/>
                <w:szCs w:val="15"/>
                <w:color w:val="auto"/>
              </w:rPr>
              <w:t>Equity</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9"/>
              </w:rPr>
              <w:t>Base</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Debt/Equity</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millions)</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Date</w:t>
            </w:r>
          </w:p>
        </w:tc>
        <w:tc>
          <w:tcPr>
            <w:tcW w:w="3200" w:type="dxa"/>
            <w:vAlign w:val="bottom"/>
            <w:tcBorders>
              <w:bottom w:val="single" w:sz="8" w:color="auto"/>
            </w:tcBorders>
          </w:tcPr>
          <w:p>
            <w:pPr>
              <w:ind w:left="460"/>
              <w:spacing w:after="0"/>
              <w:rPr>
                <w:sz w:val="20"/>
                <w:szCs w:val="20"/>
                <w:color w:val="auto"/>
              </w:rPr>
            </w:pPr>
            <w:r>
              <w:rPr>
                <w:rFonts w:ascii="Arial" w:cs="Arial" w:eastAsia="Arial" w:hAnsi="Arial"/>
                <w:sz w:val="15"/>
                <w:szCs w:val="15"/>
                <w:color w:val="auto"/>
              </w:rPr>
              <w:t>Additional Regulatory Mechanisms</w:t>
            </w:r>
          </w:p>
        </w:tc>
        <w:tc>
          <w:tcPr>
            <w:tcW w:w="0" w:type="dxa"/>
            <w:vAlign w:val="bottom"/>
          </w:tcPr>
          <w:p>
            <w:pPr>
              <w:spacing w:after="0"/>
              <w:rPr>
                <w:sz w:val="1"/>
                <w:szCs w:val="1"/>
                <w:color w:val="auto"/>
              </w:rPr>
            </w:pPr>
          </w:p>
        </w:tc>
      </w:tr>
      <w:tr>
        <w:trPr>
          <w:trHeight w:val="138"/>
        </w:trPr>
        <w:tc>
          <w:tcPr>
            <w:tcW w:w="1500" w:type="dxa"/>
            <w:vAlign w:val="bottom"/>
            <w:shd w:val="clear" w:color="auto" w:fill="CFF0FC"/>
          </w:tcPr>
          <w:p>
            <w:pPr>
              <w:ind w:left="20"/>
              <w:spacing w:after="0" w:line="138" w:lineRule="exact"/>
              <w:rPr>
                <w:sz w:val="20"/>
                <w:szCs w:val="20"/>
                <w:color w:val="auto"/>
              </w:rPr>
            </w:pPr>
            <w:r>
              <w:rPr>
                <w:rFonts w:ascii="Arial" w:cs="Arial" w:eastAsia="Arial" w:hAnsi="Arial"/>
                <w:sz w:val="12"/>
                <w:szCs w:val="12"/>
                <w:color w:val="auto"/>
              </w:rPr>
              <w:t xml:space="preserve">Arkansas Gas </w:t>
            </w:r>
            <w:r>
              <w:rPr>
                <w:rFonts w:ascii="Arial" w:cs="Arial" w:eastAsia="Arial" w:hAnsi="Arial"/>
                <w:sz w:val="16"/>
                <w:szCs w:val="16"/>
                <w:color w:val="auto"/>
                <w:vertAlign w:val="superscript"/>
              </w:rPr>
              <w:t>(a)</w:t>
            </w:r>
          </w:p>
        </w:tc>
        <w:tc>
          <w:tcPr>
            <w:tcW w:w="1060" w:type="dxa"/>
            <w:vAlign w:val="bottom"/>
            <w:shd w:val="clear" w:color="auto" w:fill="CFF0FC"/>
          </w:tcPr>
          <w:p>
            <w:pPr>
              <w:jc w:val="center"/>
              <w:ind w:left="44"/>
              <w:spacing w:after="0" w:line="138" w:lineRule="exact"/>
              <w:rPr>
                <w:sz w:val="20"/>
                <w:szCs w:val="20"/>
                <w:color w:val="auto"/>
              </w:rPr>
            </w:pPr>
            <w:r>
              <w:rPr>
                <w:rFonts w:ascii="Arial" w:cs="Arial" w:eastAsia="Arial" w:hAnsi="Arial"/>
                <w:sz w:val="15"/>
                <w:szCs w:val="15"/>
                <w:color w:val="auto"/>
              </w:rPr>
              <w:t>AR</w:t>
            </w:r>
          </w:p>
        </w:tc>
        <w:tc>
          <w:tcPr>
            <w:tcW w:w="1240" w:type="dxa"/>
            <w:vAlign w:val="bottom"/>
            <w:shd w:val="clear" w:color="auto" w:fill="CFF0FC"/>
          </w:tcPr>
          <w:p>
            <w:pPr>
              <w:jc w:val="center"/>
              <w:ind w:left="4"/>
              <w:spacing w:after="0" w:line="138" w:lineRule="exact"/>
              <w:rPr>
                <w:sz w:val="20"/>
                <w:szCs w:val="20"/>
                <w:color w:val="auto"/>
              </w:rPr>
            </w:pPr>
            <w:r>
              <w:rPr>
                <w:rFonts w:ascii="Arial" w:cs="Arial" w:eastAsia="Arial" w:hAnsi="Arial"/>
                <w:sz w:val="15"/>
                <w:szCs w:val="15"/>
                <w:color w:val="auto"/>
              </w:rPr>
              <w:t>9.85%</w:t>
            </w:r>
          </w:p>
        </w:tc>
        <w:tc>
          <w:tcPr>
            <w:tcW w:w="1220" w:type="dxa"/>
            <w:vAlign w:val="bottom"/>
            <w:shd w:val="clear" w:color="auto" w:fill="CFF0FC"/>
          </w:tcPr>
          <w:p>
            <w:pPr>
              <w:jc w:val="center"/>
              <w:spacing w:after="0" w:line="138" w:lineRule="exact"/>
              <w:rPr>
                <w:sz w:val="20"/>
                <w:szCs w:val="20"/>
                <w:color w:val="auto"/>
              </w:rPr>
            </w:pPr>
            <w:r>
              <w:rPr>
                <w:rFonts w:ascii="Arial" w:cs="Arial" w:eastAsia="Arial" w:hAnsi="Arial"/>
                <w:sz w:val="12"/>
                <w:szCs w:val="12"/>
                <w:color w:val="auto"/>
              </w:rPr>
              <w:t xml:space="preserve">7.07% </w:t>
            </w:r>
            <w:r>
              <w:rPr>
                <w:rFonts w:ascii="Arial" w:cs="Arial" w:eastAsia="Arial" w:hAnsi="Arial"/>
                <w:sz w:val="16"/>
                <w:szCs w:val="16"/>
                <w:color w:val="auto"/>
                <w:vertAlign w:val="superscript"/>
              </w:rPr>
              <w:t>(b)</w:t>
            </w:r>
          </w:p>
        </w:tc>
        <w:tc>
          <w:tcPr>
            <w:tcW w:w="1040" w:type="dxa"/>
            <w:vAlign w:val="bottom"/>
            <w:shd w:val="clear" w:color="auto" w:fill="CFF0FC"/>
          </w:tcPr>
          <w:p>
            <w:pPr>
              <w:jc w:val="center"/>
              <w:spacing w:after="0" w:line="138" w:lineRule="exact"/>
              <w:rPr>
                <w:sz w:val="20"/>
                <w:szCs w:val="20"/>
                <w:color w:val="auto"/>
              </w:rPr>
            </w:pPr>
            <w:r>
              <w:rPr>
                <w:rFonts w:ascii="Arial" w:cs="Arial" w:eastAsia="Arial" w:hAnsi="Arial"/>
                <w:sz w:val="15"/>
                <w:szCs w:val="15"/>
                <w:color w:val="auto"/>
              </w:rPr>
              <w:t>54%/46%</w:t>
            </w:r>
          </w:p>
        </w:tc>
        <w:tc>
          <w:tcPr>
            <w:tcW w:w="1160" w:type="dxa"/>
            <w:vAlign w:val="bottom"/>
            <w:shd w:val="clear" w:color="auto" w:fill="CFF0FC"/>
          </w:tcPr>
          <w:p>
            <w:pPr>
              <w:jc w:val="center"/>
              <w:spacing w:after="0" w:line="138" w:lineRule="exact"/>
              <w:rPr>
                <w:sz w:val="20"/>
                <w:szCs w:val="20"/>
                <w:color w:val="auto"/>
              </w:rPr>
            </w:pPr>
            <w:r>
              <w:rPr>
                <w:rFonts w:ascii="Arial" w:cs="Arial" w:eastAsia="Arial" w:hAnsi="Arial"/>
                <w:sz w:val="12"/>
                <w:szCs w:val="12"/>
                <w:color w:val="auto"/>
              </w:rPr>
              <w:t xml:space="preserve">$823.4 </w:t>
            </w:r>
            <w:r>
              <w:rPr>
                <w:rFonts w:ascii="Arial" w:cs="Arial" w:eastAsia="Arial" w:hAnsi="Arial"/>
                <w:sz w:val="16"/>
                <w:szCs w:val="16"/>
                <w:color w:val="auto"/>
                <w:vertAlign w:val="superscript"/>
              </w:rPr>
              <w:t>(c)</w:t>
            </w:r>
          </w:p>
        </w:tc>
        <w:tc>
          <w:tcPr>
            <w:tcW w:w="820" w:type="dxa"/>
            <w:vAlign w:val="bottom"/>
            <w:shd w:val="clear" w:color="auto" w:fill="CFF0FC"/>
          </w:tcPr>
          <w:p>
            <w:pPr>
              <w:jc w:val="center"/>
              <w:spacing w:after="0" w:line="138" w:lineRule="exact"/>
              <w:rPr>
                <w:sz w:val="20"/>
                <w:szCs w:val="20"/>
                <w:color w:val="auto"/>
              </w:rPr>
            </w:pPr>
            <w:r>
              <w:rPr>
                <w:rFonts w:ascii="Arial" w:cs="Arial" w:eastAsia="Arial" w:hAnsi="Arial"/>
                <w:sz w:val="15"/>
                <w:szCs w:val="15"/>
                <w:color w:val="auto"/>
              </w:rPr>
              <w:t>10/2024</w:t>
            </w:r>
          </w:p>
        </w:tc>
        <w:tc>
          <w:tcPr>
            <w:tcW w:w="3200" w:type="dxa"/>
            <w:vAlign w:val="bottom"/>
            <w:shd w:val="clear" w:color="auto" w:fill="CFF0FC"/>
          </w:tcPr>
          <w:p>
            <w:pPr>
              <w:ind w:left="80"/>
              <w:spacing w:after="0" w:line="138" w:lineRule="exact"/>
              <w:rPr>
                <w:sz w:val="20"/>
                <w:szCs w:val="20"/>
                <w:color w:val="auto"/>
              </w:rPr>
            </w:pPr>
            <w:r>
              <w:rPr>
                <w:rFonts w:ascii="Arial" w:cs="Arial" w:eastAsia="Arial" w:hAnsi="Arial"/>
                <w:sz w:val="15"/>
                <w:szCs w:val="15"/>
                <w:color w:val="auto"/>
              </w:rPr>
              <w:t>GCA, Safety and Integrity Rider, EECR,</w:t>
            </w:r>
          </w:p>
        </w:tc>
        <w:tc>
          <w:tcPr>
            <w:tcW w:w="0" w:type="dxa"/>
            <w:vAlign w:val="bottom"/>
          </w:tcPr>
          <w:p>
            <w:pPr>
              <w:spacing w:after="0"/>
              <w:rPr>
                <w:sz w:val="1"/>
                <w:szCs w:val="1"/>
                <w:color w:val="auto"/>
              </w:rPr>
            </w:pPr>
          </w:p>
        </w:tc>
      </w:tr>
      <w:tr>
        <w:trPr>
          <w:trHeight w:val="162"/>
        </w:trPr>
        <w:tc>
          <w:tcPr>
            <w:tcW w:w="15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3200" w:type="dxa"/>
            <w:vAlign w:val="bottom"/>
            <w:shd w:val="clear" w:color="auto" w:fill="CFF0FC"/>
          </w:tcPr>
          <w:p>
            <w:pPr>
              <w:ind w:left="80"/>
              <w:spacing w:after="0" w:line="162" w:lineRule="exact"/>
              <w:rPr>
                <w:sz w:val="20"/>
                <w:szCs w:val="20"/>
                <w:color w:val="auto"/>
              </w:rPr>
            </w:pPr>
            <w:r>
              <w:rPr>
                <w:rFonts w:ascii="Arial" w:cs="Arial" w:eastAsia="Arial" w:hAnsi="Arial"/>
                <w:sz w:val="15"/>
                <w:szCs w:val="15"/>
                <w:color w:val="auto"/>
              </w:rPr>
              <w:t>Weather Normalization Adjustment, Billing</w:t>
            </w:r>
          </w:p>
        </w:tc>
        <w:tc>
          <w:tcPr>
            <w:tcW w:w="0" w:type="dxa"/>
            <w:vAlign w:val="bottom"/>
          </w:tcPr>
          <w:p>
            <w:pPr>
              <w:spacing w:after="0"/>
              <w:rPr>
                <w:sz w:val="1"/>
                <w:szCs w:val="1"/>
                <w:color w:val="auto"/>
              </w:rPr>
            </w:pPr>
          </w:p>
        </w:tc>
      </w:tr>
      <w:tr>
        <w:trPr>
          <w:trHeight w:val="162"/>
        </w:trPr>
        <w:tc>
          <w:tcPr>
            <w:tcW w:w="15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3200" w:type="dxa"/>
            <w:vAlign w:val="bottom"/>
            <w:shd w:val="clear" w:color="auto" w:fill="CFF0FC"/>
          </w:tcPr>
          <w:p>
            <w:pPr>
              <w:ind w:left="80"/>
              <w:spacing w:after="0" w:line="162" w:lineRule="exact"/>
              <w:rPr>
                <w:sz w:val="20"/>
                <w:szCs w:val="20"/>
                <w:color w:val="auto"/>
              </w:rPr>
            </w:pPr>
            <w:r>
              <w:rPr>
                <w:rFonts w:ascii="Arial" w:cs="Arial" w:eastAsia="Arial" w:hAnsi="Arial"/>
                <w:sz w:val="15"/>
                <w:szCs w:val="15"/>
                <w:color w:val="auto"/>
              </w:rPr>
              <w:t>Determinant Adjustment, Tax Adjustment</w:t>
            </w:r>
          </w:p>
        </w:tc>
        <w:tc>
          <w:tcPr>
            <w:tcW w:w="0" w:type="dxa"/>
            <w:vAlign w:val="bottom"/>
          </w:tcPr>
          <w:p>
            <w:pPr>
              <w:spacing w:after="0"/>
              <w:rPr>
                <w:sz w:val="1"/>
                <w:szCs w:val="1"/>
                <w:color w:val="auto"/>
              </w:rPr>
            </w:pPr>
          </w:p>
        </w:tc>
      </w:tr>
      <w:tr>
        <w:trPr>
          <w:trHeight w:val="179"/>
        </w:trPr>
        <w:tc>
          <w:tcPr>
            <w:tcW w:w="15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3200" w:type="dxa"/>
            <w:vAlign w:val="bottom"/>
            <w:shd w:val="clear" w:color="auto" w:fill="CFF0FC"/>
          </w:tcPr>
          <w:p>
            <w:pPr>
              <w:ind w:left="80"/>
              <w:spacing w:after="0"/>
              <w:rPr>
                <w:sz w:val="20"/>
                <w:szCs w:val="20"/>
                <w:color w:val="auto"/>
              </w:rPr>
            </w:pPr>
            <w:r>
              <w:rPr>
                <w:rFonts w:ascii="Arial" w:cs="Arial" w:eastAsia="Arial" w:hAnsi="Arial"/>
                <w:sz w:val="15"/>
                <w:szCs w:val="15"/>
                <w:color w:val="auto"/>
              </w:rPr>
              <w:t>Rider</w:t>
            </w:r>
          </w:p>
        </w:tc>
        <w:tc>
          <w:tcPr>
            <w:tcW w:w="0" w:type="dxa"/>
            <w:vAlign w:val="bottom"/>
          </w:tcPr>
          <w:p>
            <w:pPr>
              <w:spacing w:after="0"/>
              <w:rPr>
                <w:sz w:val="1"/>
                <w:szCs w:val="1"/>
                <w:color w:val="auto"/>
              </w:rPr>
            </w:pPr>
          </w:p>
        </w:tc>
      </w:tr>
      <w:tr>
        <w:trPr>
          <w:trHeight w:val="145"/>
        </w:trPr>
        <w:tc>
          <w:tcPr>
            <w:tcW w:w="1500" w:type="dxa"/>
            <w:vAlign w:val="bottom"/>
          </w:tcPr>
          <w:p>
            <w:pPr>
              <w:ind w:left="20"/>
              <w:spacing w:after="0" w:line="145" w:lineRule="exact"/>
              <w:rPr>
                <w:sz w:val="20"/>
                <w:szCs w:val="20"/>
                <w:color w:val="auto"/>
              </w:rPr>
            </w:pPr>
            <w:r>
              <w:rPr>
                <w:rFonts w:ascii="Arial" w:cs="Arial" w:eastAsia="Arial" w:hAnsi="Arial"/>
                <w:sz w:val="12"/>
                <w:szCs w:val="12"/>
                <w:color w:val="auto"/>
              </w:rPr>
              <w:t xml:space="preserve">Colorado Gas </w:t>
            </w:r>
            <w:r>
              <w:rPr>
                <w:rFonts w:ascii="Arial" w:cs="Arial" w:eastAsia="Arial" w:hAnsi="Arial"/>
                <w:sz w:val="16"/>
                <w:szCs w:val="16"/>
                <w:color w:val="auto"/>
                <w:vertAlign w:val="superscript"/>
              </w:rPr>
              <w:t>(a)</w:t>
            </w:r>
          </w:p>
        </w:tc>
        <w:tc>
          <w:tcPr>
            <w:tcW w:w="1060" w:type="dxa"/>
            <w:vAlign w:val="bottom"/>
          </w:tcPr>
          <w:p>
            <w:pPr>
              <w:jc w:val="center"/>
              <w:ind w:left="44"/>
              <w:spacing w:after="0" w:line="145" w:lineRule="exact"/>
              <w:rPr>
                <w:sz w:val="20"/>
                <w:szCs w:val="20"/>
                <w:color w:val="auto"/>
              </w:rPr>
            </w:pPr>
            <w:r>
              <w:rPr>
                <w:rFonts w:ascii="Arial" w:cs="Arial" w:eastAsia="Arial" w:hAnsi="Arial"/>
                <w:sz w:val="15"/>
                <w:szCs w:val="15"/>
                <w:color w:val="auto"/>
                <w:w w:val="97"/>
              </w:rPr>
              <w:t>CO</w:t>
            </w:r>
          </w:p>
        </w:tc>
        <w:tc>
          <w:tcPr>
            <w:tcW w:w="1240" w:type="dxa"/>
            <w:vAlign w:val="bottom"/>
          </w:tcPr>
          <w:p>
            <w:pPr>
              <w:jc w:val="center"/>
              <w:ind w:left="4"/>
              <w:spacing w:after="0" w:line="145" w:lineRule="exact"/>
              <w:rPr>
                <w:sz w:val="20"/>
                <w:szCs w:val="20"/>
                <w:color w:val="auto"/>
              </w:rPr>
            </w:pPr>
            <w:r>
              <w:rPr>
                <w:rFonts w:ascii="Arial" w:cs="Arial" w:eastAsia="Arial" w:hAnsi="Arial"/>
                <w:sz w:val="15"/>
                <w:szCs w:val="15"/>
                <w:color w:val="auto"/>
              </w:rPr>
              <w:t>9.30%</w:t>
            </w:r>
          </w:p>
        </w:tc>
        <w:tc>
          <w:tcPr>
            <w:tcW w:w="1220" w:type="dxa"/>
            <w:vAlign w:val="bottom"/>
          </w:tcPr>
          <w:p>
            <w:pPr>
              <w:jc w:val="center"/>
              <w:spacing w:after="0" w:line="145" w:lineRule="exact"/>
              <w:rPr>
                <w:sz w:val="20"/>
                <w:szCs w:val="20"/>
                <w:color w:val="auto"/>
              </w:rPr>
            </w:pPr>
            <w:r>
              <w:rPr>
                <w:rFonts w:ascii="Arial" w:cs="Arial" w:eastAsia="Arial" w:hAnsi="Arial"/>
                <w:sz w:val="15"/>
                <w:szCs w:val="15"/>
                <w:color w:val="auto"/>
                <w:w w:val="98"/>
              </w:rPr>
              <w:t>6.90%</w:t>
            </w:r>
          </w:p>
        </w:tc>
        <w:tc>
          <w:tcPr>
            <w:tcW w:w="1040" w:type="dxa"/>
            <w:vAlign w:val="bottom"/>
          </w:tcPr>
          <w:p>
            <w:pPr>
              <w:jc w:val="center"/>
              <w:spacing w:after="0" w:line="145" w:lineRule="exact"/>
              <w:rPr>
                <w:sz w:val="20"/>
                <w:szCs w:val="20"/>
                <w:color w:val="auto"/>
              </w:rPr>
            </w:pPr>
            <w:r>
              <w:rPr>
                <w:rFonts w:ascii="Arial" w:cs="Arial" w:eastAsia="Arial" w:hAnsi="Arial"/>
                <w:sz w:val="15"/>
                <w:szCs w:val="15"/>
                <w:color w:val="auto"/>
              </w:rPr>
              <w:t>49%/51%</w:t>
            </w:r>
          </w:p>
        </w:tc>
        <w:tc>
          <w:tcPr>
            <w:tcW w:w="1160" w:type="dxa"/>
            <w:vAlign w:val="bottom"/>
          </w:tcPr>
          <w:p>
            <w:pPr>
              <w:jc w:val="center"/>
              <w:spacing w:after="0" w:line="145" w:lineRule="exact"/>
              <w:rPr>
                <w:sz w:val="20"/>
                <w:szCs w:val="20"/>
                <w:color w:val="auto"/>
              </w:rPr>
            </w:pPr>
            <w:r>
              <w:rPr>
                <w:rFonts w:ascii="Arial" w:cs="Arial" w:eastAsia="Arial" w:hAnsi="Arial"/>
                <w:sz w:val="15"/>
                <w:szCs w:val="15"/>
                <w:color w:val="auto"/>
              </w:rPr>
              <w:t>$378.4</w:t>
            </w:r>
          </w:p>
        </w:tc>
        <w:tc>
          <w:tcPr>
            <w:tcW w:w="820" w:type="dxa"/>
            <w:vAlign w:val="bottom"/>
          </w:tcPr>
          <w:p>
            <w:pPr>
              <w:jc w:val="center"/>
              <w:spacing w:after="0" w:line="145" w:lineRule="exact"/>
              <w:rPr>
                <w:sz w:val="20"/>
                <w:szCs w:val="20"/>
                <w:color w:val="auto"/>
              </w:rPr>
            </w:pPr>
            <w:r>
              <w:rPr>
                <w:rFonts w:ascii="Arial" w:cs="Arial" w:eastAsia="Arial" w:hAnsi="Arial"/>
                <w:sz w:val="15"/>
                <w:szCs w:val="15"/>
                <w:color w:val="auto"/>
              </w:rPr>
              <w:t>5/2024</w:t>
            </w:r>
          </w:p>
        </w:tc>
        <w:tc>
          <w:tcPr>
            <w:tcW w:w="3200" w:type="dxa"/>
            <w:vAlign w:val="bottom"/>
          </w:tcPr>
          <w:p>
            <w:pPr>
              <w:ind w:left="80"/>
              <w:spacing w:after="0" w:line="145" w:lineRule="exact"/>
              <w:rPr>
                <w:sz w:val="20"/>
                <w:szCs w:val="20"/>
                <w:color w:val="auto"/>
              </w:rPr>
            </w:pPr>
            <w:r>
              <w:rPr>
                <w:rFonts w:ascii="Arial" w:cs="Arial" w:eastAsia="Arial" w:hAnsi="Arial"/>
                <w:sz w:val="15"/>
                <w:szCs w:val="15"/>
                <w:color w:val="auto"/>
              </w:rPr>
              <w:t>GCA, DSM, Gas Price Risk Management</w:t>
            </w:r>
          </w:p>
        </w:tc>
        <w:tc>
          <w:tcPr>
            <w:tcW w:w="0" w:type="dxa"/>
            <w:vAlign w:val="bottom"/>
          </w:tcPr>
          <w:p>
            <w:pPr>
              <w:spacing w:after="0"/>
              <w:rPr>
                <w:sz w:val="1"/>
                <w:szCs w:val="1"/>
                <w:color w:val="auto"/>
              </w:rPr>
            </w:pPr>
          </w:p>
        </w:tc>
      </w:tr>
      <w:tr>
        <w:trPr>
          <w:trHeight w:val="179"/>
        </w:trPr>
        <w:tc>
          <w:tcPr>
            <w:tcW w:w="1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0" w:type="dxa"/>
            <w:vAlign w:val="bottom"/>
          </w:tcPr>
          <w:p>
            <w:pPr>
              <w:ind w:left="80"/>
              <w:spacing w:after="0"/>
              <w:rPr>
                <w:sz w:val="20"/>
                <w:szCs w:val="20"/>
                <w:color w:val="auto"/>
              </w:rPr>
            </w:pPr>
            <w:r>
              <w:rPr>
                <w:rFonts w:ascii="Arial" w:cs="Arial" w:eastAsia="Arial" w:hAnsi="Arial"/>
                <w:sz w:val="15"/>
                <w:szCs w:val="15"/>
                <w:color w:val="auto"/>
              </w:rPr>
              <w:t>Rider, Energy Assistance Benefit Charge</w:t>
            </w:r>
          </w:p>
        </w:tc>
        <w:tc>
          <w:tcPr>
            <w:tcW w:w="0" w:type="dxa"/>
            <w:vAlign w:val="bottom"/>
          </w:tcPr>
          <w:p>
            <w:pPr>
              <w:spacing w:after="0"/>
              <w:rPr>
                <w:sz w:val="1"/>
                <w:szCs w:val="1"/>
                <w:color w:val="auto"/>
              </w:rPr>
            </w:pPr>
          </w:p>
        </w:tc>
      </w:tr>
      <w:tr>
        <w:trPr>
          <w:trHeight w:val="145"/>
        </w:trPr>
        <w:tc>
          <w:tcPr>
            <w:tcW w:w="1500" w:type="dxa"/>
            <w:vAlign w:val="bottom"/>
            <w:shd w:val="clear" w:color="auto" w:fill="CFF0FC"/>
          </w:tcPr>
          <w:p>
            <w:pPr>
              <w:ind w:left="20"/>
              <w:spacing w:after="0" w:line="145" w:lineRule="exact"/>
              <w:rPr>
                <w:sz w:val="20"/>
                <w:szCs w:val="20"/>
                <w:color w:val="auto"/>
              </w:rPr>
            </w:pPr>
            <w:r>
              <w:rPr>
                <w:rFonts w:ascii="Arial" w:cs="Arial" w:eastAsia="Arial" w:hAnsi="Arial"/>
                <w:sz w:val="15"/>
                <w:szCs w:val="15"/>
                <w:color w:val="auto"/>
              </w:rPr>
              <w:t>RMNG</w:t>
            </w:r>
          </w:p>
        </w:tc>
        <w:tc>
          <w:tcPr>
            <w:tcW w:w="1060" w:type="dxa"/>
            <w:vAlign w:val="bottom"/>
            <w:shd w:val="clear" w:color="auto" w:fill="CFF0FC"/>
          </w:tcPr>
          <w:p>
            <w:pPr>
              <w:jc w:val="center"/>
              <w:ind w:left="44"/>
              <w:spacing w:after="0" w:line="145" w:lineRule="exact"/>
              <w:rPr>
                <w:sz w:val="20"/>
                <w:szCs w:val="20"/>
                <w:color w:val="auto"/>
              </w:rPr>
            </w:pPr>
            <w:r>
              <w:rPr>
                <w:rFonts w:ascii="Arial" w:cs="Arial" w:eastAsia="Arial" w:hAnsi="Arial"/>
                <w:sz w:val="15"/>
                <w:szCs w:val="15"/>
                <w:color w:val="auto"/>
                <w:w w:val="97"/>
              </w:rPr>
              <w:t>CO</w:t>
            </w:r>
          </w:p>
        </w:tc>
        <w:tc>
          <w:tcPr>
            <w:tcW w:w="1240" w:type="dxa"/>
            <w:vAlign w:val="bottom"/>
            <w:shd w:val="clear" w:color="auto" w:fill="CFF0FC"/>
          </w:tcPr>
          <w:p>
            <w:pPr>
              <w:jc w:val="center"/>
              <w:ind w:left="4"/>
              <w:spacing w:after="0" w:line="145" w:lineRule="exact"/>
              <w:rPr>
                <w:sz w:val="20"/>
                <w:szCs w:val="20"/>
                <w:color w:val="auto"/>
              </w:rPr>
            </w:pPr>
            <w:r>
              <w:rPr>
                <w:rFonts w:ascii="Arial" w:cs="Arial" w:eastAsia="Arial" w:hAnsi="Arial"/>
                <w:sz w:val="15"/>
                <w:szCs w:val="15"/>
                <w:color w:val="auto"/>
              </w:rPr>
              <w:t>9.50%-9.70%</w:t>
            </w:r>
          </w:p>
        </w:tc>
        <w:tc>
          <w:tcPr>
            <w:tcW w:w="1220" w:type="dxa"/>
            <w:vAlign w:val="bottom"/>
            <w:shd w:val="clear" w:color="auto" w:fill="CFF0FC"/>
          </w:tcPr>
          <w:p>
            <w:pPr>
              <w:jc w:val="center"/>
              <w:spacing w:after="0" w:line="145" w:lineRule="exact"/>
              <w:rPr>
                <w:sz w:val="20"/>
                <w:szCs w:val="20"/>
                <w:color w:val="auto"/>
              </w:rPr>
            </w:pPr>
            <w:r>
              <w:rPr>
                <w:rFonts w:ascii="Arial" w:cs="Arial" w:eastAsia="Arial" w:hAnsi="Arial"/>
                <w:sz w:val="15"/>
                <w:szCs w:val="15"/>
                <w:color w:val="auto"/>
                <w:w w:val="98"/>
              </w:rPr>
              <w:t>6.93%</w:t>
            </w:r>
          </w:p>
        </w:tc>
        <w:tc>
          <w:tcPr>
            <w:tcW w:w="1040" w:type="dxa"/>
            <w:vAlign w:val="bottom"/>
            <w:shd w:val="clear" w:color="auto" w:fill="CFF0FC"/>
          </w:tcPr>
          <w:p>
            <w:pPr>
              <w:jc w:val="center"/>
              <w:spacing w:after="0" w:line="145" w:lineRule="exact"/>
              <w:rPr>
                <w:sz w:val="20"/>
                <w:szCs w:val="20"/>
                <w:color w:val="auto"/>
              </w:rPr>
            </w:pPr>
            <w:r>
              <w:rPr>
                <w:rFonts w:ascii="Arial" w:cs="Arial" w:eastAsia="Arial" w:hAnsi="Arial"/>
                <w:sz w:val="15"/>
                <w:szCs w:val="15"/>
                <w:color w:val="auto"/>
              </w:rPr>
              <w:t>48%-50%/</w:t>
            </w:r>
          </w:p>
        </w:tc>
        <w:tc>
          <w:tcPr>
            <w:tcW w:w="1160" w:type="dxa"/>
            <w:vAlign w:val="bottom"/>
            <w:shd w:val="clear" w:color="auto" w:fill="CFF0FC"/>
          </w:tcPr>
          <w:p>
            <w:pPr>
              <w:jc w:val="center"/>
              <w:spacing w:after="0" w:line="145" w:lineRule="exact"/>
              <w:rPr>
                <w:sz w:val="20"/>
                <w:szCs w:val="20"/>
                <w:color w:val="auto"/>
              </w:rPr>
            </w:pPr>
            <w:r>
              <w:rPr>
                <w:rFonts w:ascii="Arial" w:cs="Arial" w:eastAsia="Arial" w:hAnsi="Arial"/>
                <w:sz w:val="15"/>
                <w:szCs w:val="15"/>
                <w:color w:val="auto"/>
              </w:rPr>
              <w:t>$209.3</w:t>
            </w:r>
          </w:p>
        </w:tc>
        <w:tc>
          <w:tcPr>
            <w:tcW w:w="820" w:type="dxa"/>
            <w:vAlign w:val="bottom"/>
            <w:shd w:val="clear" w:color="auto" w:fill="CFF0FC"/>
          </w:tcPr>
          <w:p>
            <w:pPr>
              <w:jc w:val="center"/>
              <w:spacing w:after="0" w:line="145" w:lineRule="exact"/>
              <w:rPr>
                <w:sz w:val="20"/>
                <w:szCs w:val="20"/>
                <w:color w:val="auto"/>
              </w:rPr>
            </w:pPr>
            <w:r>
              <w:rPr>
                <w:rFonts w:ascii="Arial" w:cs="Arial" w:eastAsia="Arial" w:hAnsi="Arial"/>
                <w:sz w:val="15"/>
                <w:szCs w:val="15"/>
                <w:color w:val="auto"/>
              </w:rPr>
              <w:t>7/2023</w:t>
            </w:r>
          </w:p>
        </w:tc>
        <w:tc>
          <w:tcPr>
            <w:tcW w:w="3200" w:type="dxa"/>
            <w:vAlign w:val="bottom"/>
            <w:shd w:val="clear" w:color="auto" w:fill="CFF0FC"/>
          </w:tcPr>
          <w:p>
            <w:pPr>
              <w:ind w:left="80"/>
              <w:spacing w:after="0" w:line="145" w:lineRule="exact"/>
              <w:rPr>
                <w:sz w:val="20"/>
                <w:szCs w:val="20"/>
                <w:color w:val="auto"/>
              </w:rPr>
            </w:pPr>
            <w:r>
              <w:rPr>
                <w:rFonts w:ascii="Arial" w:cs="Arial" w:eastAsia="Arial" w:hAnsi="Arial"/>
                <w:sz w:val="15"/>
                <w:szCs w:val="15"/>
                <w:color w:val="auto"/>
              </w:rPr>
              <w:t>Liquids/Off-system/Market Center Services</w:t>
            </w:r>
          </w:p>
        </w:tc>
        <w:tc>
          <w:tcPr>
            <w:tcW w:w="0" w:type="dxa"/>
            <w:vAlign w:val="bottom"/>
          </w:tcPr>
          <w:p>
            <w:pPr>
              <w:spacing w:after="0"/>
              <w:rPr>
                <w:sz w:val="1"/>
                <w:szCs w:val="1"/>
                <w:color w:val="auto"/>
              </w:rPr>
            </w:pPr>
          </w:p>
        </w:tc>
      </w:tr>
      <w:tr>
        <w:trPr>
          <w:trHeight w:val="179"/>
        </w:trPr>
        <w:tc>
          <w:tcPr>
            <w:tcW w:w="15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5"/>
                <w:szCs w:val="15"/>
                <w:color w:val="auto"/>
              </w:rPr>
              <w:t>50%-52%</w:t>
            </w:r>
          </w:p>
        </w:tc>
        <w:tc>
          <w:tcPr>
            <w:tcW w:w="11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3200" w:type="dxa"/>
            <w:vAlign w:val="bottom"/>
            <w:shd w:val="clear" w:color="auto" w:fill="CFF0FC"/>
          </w:tcPr>
          <w:p>
            <w:pPr>
              <w:ind w:left="80"/>
              <w:spacing w:after="0"/>
              <w:rPr>
                <w:sz w:val="20"/>
                <w:szCs w:val="20"/>
                <w:color w:val="auto"/>
              </w:rPr>
            </w:pPr>
            <w:r>
              <w:rPr>
                <w:rFonts w:ascii="Arial" w:cs="Arial" w:eastAsia="Arial" w:hAnsi="Arial"/>
                <w:sz w:val="15"/>
                <w:szCs w:val="15"/>
                <w:color w:val="auto"/>
              </w:rPr>
              <w:t>Revenue Sharing</w:t>
            </w:r>
          </w:p>
        </w:tc>
        <w:tc>
          <w:tcPr>
            <w:tcW w:w="0" w:type="dxa"/>
            <w:vAlign w:val="bottom"/>
          </w:tcPr>
          <w:p>
            <w:pPr>
              <w:spacing w:after="0"/>
              <w:rPr>
                <w:sz w:val="1"/>
                <w:szCs w:val="1"/>
                <w:color w:val="auto"/>
              </w:rPr>
            </w:pPr>
          </w:p>
        </w:tc>
      </w:tr>
      <w:tr>
        <w:trPr>
          <w:trHeight w:val="145"/>
        </w:trPr>
        <w:tc>
          <w:tcPr>
            <w:tcW w:w="1500" w:type="dxa"/>
            <w:vAlign w:val="bottom"/>
          </w:tcPr>
          <w:p>
            <w:pPr>
              <w:ind w:left="20"/>
              <w:spacing w:after="0" w:line="145" w:lineRule="exact"/>
              <w:rPr>
                <w:sz w:val="20"/>
                <w:szCs w:val="20"/>
                <w:color w:val="auto"/>
              </w:rPr>
            </w:pPr>
            <w:r>
              <w:rPr>
                <w:rFonts w:ascii="Arial" w:cs="Arial" w:eastAsia="Arial" w:hAnsi="Arial"/>
                <w:sz w:val="15"/>
                <w:szCs w:val="15"/>
                <w:color w:val="auto"/>
              </w:rPr>
              <w:t>Iowa Gas</w:t>
            </w:r>
          </w:p>
        </w:tc>
        <w:tc>
          <w:tcPr>
            <w:tcW w:w="1060" w:type="dxa"/>
            <w:vAlign w:val="bottom"/>
          </w:tcPr>
          <w:p>
            <w:pPr>
              <w:jc w:val="center"/>
              <w:ind w:left="44"/>
              <w:spacing w:after="0" w:line="145" w:lineRule="exact"/>
              <w:rPr>
                <w:sz w:val="20"/>
                <w:szCs w:val="20"/>
                <w:color w:val="auto"/>
              </w:rPr>
            </w:pPr>
            <w:r>
              <w:rPr>
                <w:rFonts w:ascii="Arial" w:cs="Arial" w:eastAsia="Arial" w:hAnsi="Arial"/>
                <w:sz w:val="15"/>
                <w:szCs w:val="15"/>
                <w:color w:val="auto"/>
                <w:w w:val="98"/>
              </w:rPr>
              <w:t>IA</w:t>
            </w:r>
          </w:p>
        </w:tc>
        <w:tc>
          <w:tcPr>
            <w:tcW w:w="1240" w:type="dxa"/>
            <w:vAlign w:val="bottom"/>
          </w:tcPr>
          <w:p>
            <w:pPr>
              <w:jc w:val="center"/>
              <w:spacing w:after="0" w:line="145" w:lineRule="exact"/>
              <w:rPr>
                <w:sz w:val="20"/>
                <w:szCs w:val="20"/>
                <w:color w:val="auto"/>
              </w:rPr>
            </w:pPr>
            <w:r>
              <w:rPr>
                <w:rFonts w:ascii="Arial" w:cs="Arial" w:eastAsia="Arial" w:hAnsi="Arial"/>
                <w:sz w:val="15"/>
                <w:szCs w:val="15"/>
                <w:color w:val="auto"/>
              </w:rPr>
              <w:t>Black-box</w:t>
            </w:r>
          </w:p>
        </w:tc>
        <w:tc>
          <w:tcPr>
            <w:tcW w:w="1220" w:type="dxa"/>
            <w:vAlign w:val="bottom"/>
          </w:tcPr>
          <w:p>
            <w:pPr>
              <w:jc w:val="center"/>
              <w:spacing w:after="0" w:line="145" w:lineRule="exact"/>
              <w:rPr>
                <w:sz w:val="20"/>
                <w:szCs w:val="20"/>
                <w:color w:val="auto"/>
              </w:rPr>
            </w:pPr>
            <w:r>
              <w:rPr>
                <w:rFonts w:ascii="Arial" w:cs="Arial" w:eastAsia="Arial" w:hAnsi="Arial"/>
                <w:sz w:val="15"/>
                <w:szCs w:val="15"/>
                <w:color w:val="auto"/>
                <w:w w:val="98"/>
              </w:rPr>
              <w:t>7.21%</w:t>
            </w:r>
          </w:p>
        </w:tc>
        <w:tc>
          <w:tcPr>
            <w:tcW w:w="1040" w:type="dxa"/>
            <w:vAlign w:val="bottom"/>
          </w:tcPr>
          <w:p>
            <w:pPr>
              <w:jc w:val="center"/>
              <w:spacing w:after="0" w:line="145" w:lineRule="exact"/>
              <w:rPr>
                <w:sz w:val="20"/>
                <w:szCs w:val="20"/>
                <w:color w:val="auto"/>
              </w:rPr>
            </w:pPr>
            <w:r>
              <w:rPr>
                <w:rFonts w:ascii="Arial" w:cs="Arial" w:eastAsia="Arial" w:hAnsi="Arial"/>
                <w:sz w:val="15"/>
                <w:szCs w:val="15"/>
                <w:color w:val="auto"/>
              </w:rPr>
              <w:t>Black-box</w:t>
            </w:r>
          </w:p>
        </w:tc>
        <w:tc>
          <w:tcPr>
            <w:tcW w:w="1160" w:type="dxa"/>
            <w:vAlign w:val="bottom"/>
          </w:tcPr>
          <w:p>
            <w:pPr>
              <w:jc w:val="center"/>
              <w:spacing w:after="0" w:line="145" w:lineRule="exact"/>
              <w:rPr>
                <w:sz w:val="20"/>
                <w:szCs w:val="20"/>
                <w:color w:val="auto"/>
              </w:rPr>
            </w:pPr>
            <w:r>
              <w:rPr>
                <w:rFonts w:ascii="Arial" w:cs="Arial" w:eastAsia="Arial" w:hAnsi="Arial"/>
                <w:sz w:val="15"/>
                <w:szCs w:val="15"/>
                <w:color w:val="auto"/>
              </w:rPr>
              <w:t>$393.8</w:t>
            </w:r>
          </w:p>
        </w:tc>
        <w:tc>
          <w:tcPr>
            <w:tcW w:w="820" w:type="dxa"/>
            <w:vAlign w:val="bottom"/>
          </w:tcPr>
          <w:p>
            <w:pPr>
              <w:jc w:val="center"/>
              <w:spacing w:after="0" w:line="145" w:lineRule="exact"/>
              <w:rPr>
                <w:sz w:val="20"/>
                <w:szCs w:val="20"/>
                <w:color w:val="auto"/>
              </w:rPr>
            </w:pPr>
            <w:r>
              <w:rPr>
                <w:rFonts w:ascii="Arial" w:cs="Arial" w:eastAsia="Arial" w:hAnsi="Arial"/>
                <w:sz w:val="15"/>
                <w:szCs w:val="15"/>
                <w:color w:val="auto"/>
              </w:rPr>
              <w:t>1/2025</w:t>
            </w:r>
          </w:p>
        </w:tc>
        <w:tc>
          <w:tcPr>
            <w:tcW w:w="3200" w:type="dxa"/>
            <w:vAlign w:val="bottom"/>
          </w:tcPr>
          <w:p>
            <w:pPr>
              <w:ind w:left="80"/>
              <w:spacing w:after="0" w:line="145" w:lineRule="exact"/>
              <w:rPr>
                <w:sz w:val="20"/>
                <w:szCs w:val="20"/>
                <w:color w:val="auto"/>
              </w:rPr>
            </w:pPr>
            <w:r>
              <w:rPr>
                <w:rFonts w:ascii="Arial" w:cs="Arial" w:eastAsia="Arial" w:hAnsi="Arial"/>
                <w:sz w:val="15"/>
                <w:szCs w:val="15"/>
                <w:color w:val="auto"/>
              </w:rPr>
              <w:t>GCA, EECR, System Safety and</w:t>
            </w: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jc w:val="center"/>
              <w:ind w:left="4"/>
              <w:spacing w:after="0" w:line="162" w:lineRule="exact"/>
              <w:rPr>
                <w:sz w:val="20"/>
                <w:szCs w:val="20"/>
                <w:color w:val="auto"/>
              </w:rPr>
            </w:pPr>
            <w:r>
              <w:rPr>
                <w:rFonts w:ascii="Arial" w:cs="Arial" w:eastAsia="Arial" w:hAnsi="Arial"/>
                <w:sz w:val="15"/>
                <w:szCs w:val="15"/>
                <w:color w:val="auto"/>
              </w:rPr>
              <w:t>Settlement</w:t>
            </w:r>
          </w:p>
        </w:tc>
        <w:tc>
          <w:tcPr>
            <w:tcW w:w="1220" w:type="dxa"/>
            <w:vAlign w:val="bottom"/>
          </w:tcPr>
          <w:p>
            <w:pPr>
              <w:spacing w:after="0"/>
              <w:rPr>
                <w:sz w:val="14"/>
                <w:szCs w:val="14"/>
                <w:color w:val="auto"/>
              </w:rPr>
            </w:pPr>
          </w:p>
        </w:tc>
        <w:tc>
          <w:tcPr>
            <w:tcW w:w="1040" w:type="dxa"/>
            <w:vAlign w:val="bottom"/>
          </w:tcPr>
          <w:p>
            <w:pPr>
              <w:jc w:val="center"/>
              <w:spacing w:after="0" w:line="162" w:lineRule="exact"/>
              <w:rPr>
                <w:sz w:val="20"/>
                <w:szCs w:val="20"/>
                <w:color w:val="auto"/>
              </w:rPr>
            </w:pPr>
            <w:r>
              <w:rPr>
                <w:rFonts w:ascii="Arial" w:cs="Arial" w:eastAsia="Arial" w:hAnsi="Arial"/>
                <w:sz w:val="15"/>
                <w:szCs w:val="15"/>
                <w:color w:val="auto"/>
              </w:rPr>
              <w:t>Settlement</w:t>
            </w: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0" w:type="dxa"/>
            <w:vAlign w:val="bottom"/>
          </w:tcPr>
          <w:p>
            <w:pPr>
              <w:ind w:left="80"/>
              <w:spacing w:after="0" w:line="162" w:lineRule="exact"/>
              <w:rPr>
                <w:sz w:val="20"/>
                <w:szCs w:val="20"/>
                <w:color w:val="auto"/>
              </w:rPr>
            </w:pPr>
            <w:r>
              <w:rPr>
                <w:rFonts w:ascii="Arial" w:cs="Arial" w:eastAsia="Arial" w:hAnsi="Arial"/>
                <w:sz w:val="15"/>
                <w:szCs w:val="15"/>
                <w:color w:val="auto"/>
              </w:rPr>
              <w:t>Maintenance Adjustment Rider, Gas Supply</w:t>
            </w:r>
          </w:p>
        </w:tc>
        <w:tc>
          <w:tcPr>
            <w:tcW w:w="0" w:type="dxa"/>
            <w:vAlign w:val="bottom"/>
          </w:tcPr>
          <w:p>
            <w:pPr>
              <w:spacing w:after="0"/>
              <w:rPr>
                <w:sz w:val="1"/>
                <w:szCs w:val="1"/>
                <w:color w:val="auto"/>
              </w:rPr>
            </w:pPr>
          </w:p>
        </w:tc>
      </w:tr>
      <w:tr>
        <w:trPr>
          <w:trHeight w:val="179"/>
        </w:trPr>
        <w:tc>
          <w:tcPr>
            <w:tcW w:w="1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0" w:type="dxa"/>
            <w:vAlign w:val="bottom"/>
          </w:tcPr>
          <w:p>
            <w:pPr>
              <w:ind w:left="80"/>
              <w:spacing w:after="0"/>
              <w:rPr>
                <w:sz w:val="20"/>
                <w:szCs w:val="20"/>
                <w:color w:val="auto"/>
              </w:rPr>
            </w:pPr>
            <w:r>
              <w:rPr>
                <w:rFonts w:ascii="Arial" w:cs="Arial" w:eastAsia="Arial" w:hAnsi="Arial"/>
                <w:sz w:val="15"/>
                <w:szCs w:val="15"/>
                <w:color w:val="auto"/>
              </w:rPr>
              <w:t>Optimization revenue sharing</w:t>
            </w:r>
          </w:p>
        </w:tc>
        <w:tc>
          <w:tcPr>
            <w:tcW w:w="0" w:type="dxa"/>
            <w:vAlign w:val="bottom"/>
          </w:tcPr>
          <w:p>
            <w:pPr>
              <w:spacing w:after="0"/>
              <w:rPr>
                <w:sz w:val="1"/>
                <w:szCs w:val="1"/>
                <w:color w:val="auto"/>
              </w:rPr>
            </w:pPr>
          </w:p>
        </w:tc>
      </w:tr>
      <w:tr>
        <w:trPr>
          <w:trHeight w:val="145"/>
        </w:trPr>
        <w:tc>
          <w:tcPr>
            <w:tcW w:w="1500" w:type="dxa"/>
            <w:vAlign w:val="bottom"/>
            <w:shd w:val="clear" w:color="auto" w:fill="CFF0FC"/>
          </w:tcPr>
          <w:p>
            <w:pPr>
              <w:ind w:left="20"/>
              <w:spacing w:after="0" w:line="145" w:lineRule="exact"/>
              <w:rPr>
                <w:sz w:val="20"/>
                <w:szCs w:val="20"/>
                <w:color w:val="auto"/>
              </w:rPr>
            </w:pPr>
            <w:r>
              <w:rPr>
                <w:rFonts w:ascii="Arial" w:cs="Arial" w:eastAsia="Arial" w:hAnsi="Arial"/>
                <w:sz w:val="15"/>
                <w:szCs w:val="15"/>
                <w:color w:val="auto"/>
              </w:rPr>
              <w:t>Kansas Gas</w:t>
            </w:r>
          </w:p>
        </w:tc>
        <w:tc>
          <w:tcPr>
            <w:tcW w:w="1060" w:type="dxa"/>
            <w:vAlign w:val="bottom"/>
            <w:shd w:val="clear" w:color="auto" w:fill="CFF0FC"/>
          </w:tcPr>
          <w:p>
            <w:pPr>
              <w:jc w:val="center"/>
              <w:ind w:left="64"/>
              <w:spacing w:after="0" w:line="145" w:lineRule="exact"/>
              <w:rPr>
                <w:sz w:val="20"/>
                <w:szCs w:val="20"/>
                <w:color w:val="auto"/>
              </w:rPr>
            </w:pPr>
            <w:r>
              <w:rPr>
                <w:rFonts w:ascii="Arial" w:cs="Arial" w:eastAsia="Arial" w:hAnsi="Arial"/>
                <w:sz w:val="15"/>
                <w:szCs w:val="15"/>
                <w:color w:val="auto"/>
                <w:w w:val="99"/>
              </w:rPr>
              <w:t>KS</w:t>
            </w:r>
          </w:p>
        </w:tc>
        <w:tc>
          <w:tcPr>
            <w:tcW w:w="1240" w:type="dxa"/>
            <w:vAlign w:val="bottom"/>
            <w:shd w:val="clear" w:color="auto" w:fill="CFF0FC"/>
          </w:tcPr>
          <w:p>
            <w:pPr>
              <w:jc w:val="center"/>
              <w:spacing w:after="0" w:line="145" w:lineRule="exact"/>
              <w:rPr>
                <w:sz w:val="20"/>
                <w:szCs w:val="20"/>
                <w:color w:val="auto"/>
              </w:rPr>
            </w:pPr>
            <w:r>
              <w:rPr>
                <w:rFonts w:ascii="Arial" w:cs="Arial" w:eastAsia="Arial" w:hAnsi="Arial"/>
                <w:sz w:val="14"/>
                <w:szCs w:val="14"/>
                <w:color w:val="auto"/>
              </w:rPr>
              <w:t>Black-box</w:t>
            </w:r>
          </w:p>
        </w:tc>
        <w:tc>
          <w:tcPr>
            <w:tcW w:w="1220" w:type="dxa"/>
            <w:vAlign w:val="bottom"/>
            <w:shd w:val="clear" w:color="auto" w:fill="CFF0FC"/>
          </w:tcPr>
          <w:p>
            <w:pPr>
              <w:jc w:val="center"/>
              <w:spacing w:after="0" w:line="145" w:lineRule="exact"/>
              <w:rPr>
                <w:sz w:val="20"/>
                <w:szCs w:val="20"/>
                <w:color w:val="auto"/>
              </w:rPr>
            </w:pPr>
            <w:r>
              <w:rPr>
                <w:rFonts w:ascii="Arial" w:cs="Arial" w:eastAsia="Arial" w:hAnsi="Arial"/>
                <w:sz w:val="14"/>
                <w:szCs w:val="14"/>
                <w:color w:val="auto"/>
              </w:rPr>
              <w:t>Black-box</w:t>
            </w:r>
          </w:p>
        </w:tc>
        <w:tc>
          <w:tcPr>
            <w:tcW w:w="1040" w:type="dxa"/>
            <w:vAlign w:val="bottom"/>
            <w:shd w:val="clear" w:color="auto" w:fill="CFF0FC"/>
          </w:tcPr>
          <w:p>
            <w:pPr>
              <w:jc w:val="center"/>
              <w:spacing w:after="0" w:line="145" w:lineRule="exact"/>
              <w:rPr>
                <w:sz w:val="20"/>
                <w:szCs w:val="20"/>
                <w:color w:val="auto"/>
              </w:rPr>
            </w:pPr>
            <w:r>
              <w:rPr>
                <w:rFonts w:ascii="Arial" w:cs="Arial" w:eastAsia="Arial" w:hAnsi="Arial"/>
                <w:sz w:val="14"/>
                <w:szCs w:val="14"/>
                <w:color w:val="auto"/>
              </w:rPr>
              <w:t>Black-box</w:t>
            </w:r>
          </w:p>
        </w:tc>
        <w:tc>
          <w:tcPr>
            <w:tcW w:w="1160" w:type="dxa"/>
            <w:vAlign w:val="bottom"/>
            <w:shd w:val="clear" w:color="auto" w:fill="CFF0FC"/>
          </w:tcPr>
          <w:p>
            <w:pPr>
              <w:jc w:val="center"/>
              <w:spacing w:after="0" w:line="145" w:lineRule="exact"/>
              <w:rPr>
                <w:sz w:val="20"/>
                <w:szCs w:val="20"/>
                <w:color w:val="auto"/>
              </w:rPr>
            </w:pPr>
            <w:r>
              <w:rPr>
                <w:rFonts w:ascii="Arial" w:cs="Arial" w:eastAsia="Arial" w:hAnsi="Arial"/>
                <w:sz w:val="14"/>
                <w:szCs w:val="14"/>
                <w:color w:val="auto"/>
              </w:rPr>
              <w:t>Black-box</w:t>
            </w:r>
          </w:p>
        </w:tc>
        <w:tc>
          <w:tcPr>
            <w:tcW w:w="820" w:type="dxa"/>
            <w:vAlign w:val="bottom"/>
            <w:shd w:val="clear" w:color="auto" w:fill="CFF0FC"/>
          </w:tcPr>
          <w:p>
            <w:pPr>
              <w:jc w:val="center"/>
              <w:spacing w:after="0" w:line="145" w:lineRule="exact"/>
              <w:rPr>
                <w:sz w:val="20"/>
                <w:szCs w:val="20"/>
                <w:color w:val="auto"/>
              </w:rPr>
            </w:pPr>
            <w:r>
              <w:rPr>
                <w:rFonts w:ascii="Arial" w:cs="Arial" w:eastAsia="Arial" w:hAnsi="Arial"/>
                <w:sz w:val="15"/>
                <w:szCs w:val="15"/>
                <w:color w:val="auto"/>
              </w:rPr>
              <w:t>1/2022</w:t>
            </w:r>
          </w:p>
        </w:tc>
        <w:tc>
          <w:tcPr>
            <w:tcW w:w="3200" w:type="dxa"/>
            <w:vAlign w:val="bottom"/>
            <w:shd w:val="clear" w:color="auto" w:fill="CFF0FC"/>
          </w:tcPr>
          <w:p>
            <w:pPr>
              <w:ind w:left="80"/>
              <w:spacing w:after="0" w:line="145" w:lineRule="exact"/>
              <w:rPr>
                <w:sz w:val="20"/>
                <w:szCs w:val="20"/>
                <w:color w:val="auto"/>
              </w:rPr>
            </w:pPr>
            <w:r>
              <w:rPr>
                <w:rFonts w:ascii="Arial" w:cs="Arial" w:eastAsia="Arial" w:hAnsi="Arial"/>
                <w:sz w:val="15"/>
                <w:szCs w:val="15"/>
                <w:color w:val="auto"/>
              </w:rPr>
              <w:t>GCA, Weather Normalization Tariff, Gas</w:t>
            </w:r>
          </w:p>
        </w:tc>
        <w:tc>
          <w:tcPr>
            <w:tcW w:w="0" w:type="dxa"/>
            <w:vAlign w:val="bottom"/>
          </w:tcPr>
          <w:p>
            <w:pPr>
              <w:spacing w:after="0"/>
              <w:rPr>
                <w:sz w:val="1"/>
                <w:szCs w:val="1"/>
                <w:color w:val="auto"/>
              </w:rPr>
            </w:pPr>
          </w:p>
        </w:tc>
      </w:tr>
      <w:tr>
        <w:trPr>
          <w:trHeight w:val="162"/>
        </w:trPr>
        <w:tc>
          <w:tcPr>
            <w:tcW w:w="15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240" w:type="dxa"/>
            <w:vAlign w:val="bottom"/>
            <w:shd w:val="clear" w:color="auto" w:fill="CFF0FC"/>
          </w:tcPr>
          <w:p>
            <w:pPr>
              <w:jc w:val="center"/>
              <w:ind w:left="4"/>
              <w:spacing w:after="0" w:line="162" w:lineRule="exact"/>
              <w:rPr>
                <w:sz w:val="20"/>
                <w:szCs w:val="20"/>
                <w:color w:val="auto"/>
              </w:rPr>
            </w:pPr>
            <w:r>
              <w:rPr>
                <w:rFonts w:ascii="Arial" w:cs="Arial" w:eastAsia="Arial" w:hAnsi="Arial"/>
                <w:sz w:val="14"/>
                <w:szCs w:val="14"/>
                <w:color w:val="auto"/>
              </w:rPr>
              <w:t>Settlemen</w:t>
            </w:r>
            <w:r>
              <w:rPr>
                <w:rFonts w:ascii="Arial" w:cs="Arial" w:eastAsia="Arial" w:hAnsi="Arial"/>
                <w:sz w:val="15"/>
                <w:szCs w:val="15"/>
                <w:color w:val="auto"/>
              </w:rPr>
              <w:t>t</w:t>
            </w:r>
          </w:p>
        </w:tc>
        <w:tc>
          <w:tcPr>
            <w:tcW w:w="122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Settlement</w:t>
            </w:r>
          </w:p>
        </w:tc>
        <w:tc>
          <w:tcPr>
            <w:tcW w:w="1040" w:type="dxa"/>
            <w:vAlign w:val="bottom"/>
            <w:shd w:val="clear" w:color="auto" w:fill="CFF0FC"/>
          </w:tcPr>
          <w:p>
            <w:pPr>
              <w:jc w:val="center"/>
              <w:spacing w:after="0" w:line="162" w:lineRule="exact"/>
              <w:rPr>
                <w:sz w:val="20"/>
                <w:szCs w:val="20"/>
                <w:color w:val="auto"/>
              </w:rPr>
            </w:pPr>
            <w:r>
              <w:rPr>
                <w:rFonts w:ascii="Arial" w:cs="Arial" w:eastAsia="Arial" w:hAnsi="Arial"/>
                <w:sz w:val="14"/>
                <w:szCs w:val="14"/>
                <w:color w:val="auto"/>
              </w:rPr>
              <w:t>Settlemen</w:t>
            </w:r>
            <w:r>
              <w:rPr>
                <w:rFonts w:ascii="Arial" w:cs="Arial" w:eastAsia="Arial" w:hAnsi="Arial"/>
                <w:sz w:val="15"/>
                <w:szCs w:val="15"/>
                <w:color w:val="auto"/>
              </w:rPr>
              <w:t>t</w:t>
            </w:r>
          </w:p>
        </w:tc>
        <w:tc>
          <w:tcPr>
            <w:tcW w:w="1160" w:type="dxa"/>
            <w:vAlign w:val="bottom"/>
            <w:shd w:val="clear" w:color="auto" w:fill="CFF0FC"/>
          </w:tcPr>
          <w:p>
            <w:pPr>
              <w:jc w:val="center"/>
              <w:spacing w:after="0" w:line="162" w:lineRule="exact"/>
              <w:rPr>
                <w:sz w:val="20"/>
                <w:szCs w:val="20"/>
                <w:color w:val="auto"/>
              </w:rPr>
            </w:pPr>
            <w:r>
              <w:rPr>
                <w:rFonts w:ascii="Arial" w:cs="Arial" w:eastAsia="Arial" w:hAnsi="Arial"/>
                <w:sz w:val="14"/>
                <w:szCs w:val="14"/>
                <w:color w:val="auto"/>
              </w:rPr>
              <w:t>Settlemen</w:t>
            </w:r>
            <w:r>
              <w:rPr>
                <w:rFonts w:ascii="Arial" w:cs="Arial" w:eastAsia="Arial" w:hAnsi="Arial"/>
                <w:sz w:val="15"/>
                <w:szCs w:val="15"/>
                <w:color w:val="auto"/>
              </w:rPr>
              <w:t>t</w:t>
            </w:r>
          </w:p>
        </w:tc>
        <w:tc>
          <w:tcPr>
            <w:tcW w:w="820" w:type="dxa"/>
            <w:vAlign w:val="bottom"/>
            <w:shd w:val="clear" w:color="auto" w:fill="CFF0FC"/>
          </w:tcPr>
          <w:p>
            <w:pPr>
              <w:spacing w:after="0"/>
              <w:rPr>
                <w:sz w:val="14"/>
                <w:szCs w:val="14"/>
                <w:color w:val="auto"/>
              </w:rPr>
            </w:pPr>
          </w:p>
        </w:tc>
        <w:tc>
          <w:tcPr>
            <w:tcW w:w="3200" w:type="dxa"/>
            <w:vAlign w:val="bottom"/>
            <w:shd w:val="clear" w:color="auto" w:fill="CFF0FC"/>
          </w:tcPr>
          <w:p>
            <w:pPr>
              <w:ind w:left="80"/>
              <w:spacing w:after="0" w:line="162" w:lineRule="exact"/>
              <w:rPr>
                <w:sz w:val="20"/>
                <w:szCs w:val="20"/>
                <w:color w:val="auto"/>
              </w:rPr>
            </w:pPr>
            <w:r>
              <w:rPr>
                <w:rFonts w:ascii="Arial" w:cs="Arial" w:eastAsia="Arial" w:hAnsi="Arial"/>
                <w:sz w:val="15"/>
                <w:szCs w:val="15"/>
                <w:color w:val="auto"/>
              </w:rPr>
              <w:t>System Reliability Surcharge, Ad Valorem</w:t>
            </w:r>
          </w:p>
        </w:tc>
        <w:tc>
          <w:tcPr>
            <w:tcW w:w="0" w:type="dxa"/>
            <w:vAlign w:val="bottom"/>
          </w:tcPr>
          <w:p>
            <w:pPr>
              <w:spacing w:after="0"/>
              <w:rPr>
                <w:sz w:val="1"/>
                <w:szCs w:val="1"/>
                <w:color w:val="auto"/>
              </w:rPr>
            </w:pPr>
          </w:p>
        </w:tc>
      </w:tr>
      <w:tr>
        <w:trPr>
          <w:trHeight w:val="162"/>
        </w:trPr>
        <w:tc>
          <w:tcPr>
            <w:tcW w:w="15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3200" w:type="dxa"/>
            <w:vAlign w:val="bottom"/>
            <w:shd w:val="clear" w:color="auto" w:fill="CFF0FC"/>
          </w:tcPr>
          <w:p>
            <w:pPr>
              <w:ind w:left="80"/>
              <w:spacing w:after="0" w:line="162" w:lineRule="exact"/>
              <w:rPr>
                <w:sz w:val="20"/>
                <w:szCs w:val="20"/>
                <w:color w:val="auto"/>
              </w:rPr>
            </w:pPr>
            <w:r>
              <w:rPr>
                <w:rFonts w:ascii="Arial" w:cs="Arial" w:eastAsia="Arial" w:hAnsi="Arial"/>
                <w:sz w:val="15"/>
                <w:szCs w:val="15"/>
                <w:color w:val="auto"/>
              </w:rPr>
              <w:t>Tax Surcharge, Cost of Bad Debt Collected</w:t>
            </w:r>
          </w:p>
        </w:tc>
        <w:tc>
          <w:tcPr>
            <w:tcW w:w="0" w:type="dxa"/>
            <w:vAlign w:val="bottom"/>
          </w:tcPr>
          <w:p>
            <w:pPr>
              <w:spacing w:after="0"/>
              <w:rPr>
                <w:sz w:val="1"/>
                <w:szCs w:val="1"/>
                <w:color w:val="auto"/>
              </w:rPr>
            </w:pPr>
          </w:p>
        </w:tc>
      </w:tr>
      <w:tr>
        <w:trPr>
          <w:trHeight w:val="162"/>
        </w:trPr>
        <w:tc>
          <w:tcPr>
            <w:tcW w:w="15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3200" w:type="dxa"/>
            <w:vAlign w:val="bottom"/>
            <w:shd w:val="clear" w:color="auto" w:fill="CFF0FC"/>
          </w:tcPr>
          <w:p>
            <w:pPr>
              <w:ind w:left="80"/>
              <w:spacing w:after="0" w:line="162" w:lineRule="exact"/>
              <w:rPr>
                <w:sz w:val="20"/>
                <w:szCs w:val="20"/>
                <w:color w:val="auto"/>
              </w:rPr>
            </w:pPr>
            <w:r>
              <w:rPr>
                <w:rFonts w:ascii="Arial" w:cs="Arial" w:eastAsia="Arial" w:hAnsi="Arial"/>
                <w:sz w:val="15"/>
                <w:szCs w:val="15"/>
                <w:color w:val="auto"/>
              </w:rPr>
              <w:t>through GCA, Gas Supply Optimization</w:t>
            </w:r>
          </w:p>
        </w:tc>
        <w:tc>
          <w:tcPr>
            <w:tcW w:w="0" w:type="dxa"/>
            <w:vAlign w:val="bottom"/>
          </w:tcPr>
          <w:p>
            <w:pPr>
              <w:spacing w:after="0"/>
              <w:rPr>
                <w:sz w:val="1"/>
                <w:szCs w:val="1"/>
                <w:color w:val="auto"/>
              </w:rPr>
            </w:pPr>
          </w:p>
        </w:tc>
      </w:tr>
      <w:tr>
        <w:trPr>
          <w:trHeight w:val="179"/>
        </w:trPr>
        <w:tc>
          <w:tcPr>
            <w:tcW w:w="15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3200" w:type="dxa"/>
            <w:vAlign w:val="bottom"/>
            <w:shd w:val="clear" w:color="auto" w:fill="CFF0FC"/>
          </w:tcPr>
          <w:p>
            <w:pPr>
              <w:ind w:left="80"/>
              <w:spacing w:after="0"/>
              <w:rPr>
                <w:sz w:val="20"/>
                <w:szCs w:val="20"/>
                <w:color w:val="auto"/>
              </w:rPr>
            </w:pPr>
            <w:r>
              <w:rPr>
                <w:rFonts w:ascii="Arial" w:cs="Arial" w:eastAsia="Arial" w:hAnsi="Arial"/>
                <w:sz w:val="15"/>
                <w:szCs w:val="15"/>
                <w:color w:val="auto"/>
              </w:rPr>
              <w:t>revenue sharing</w:t>
            </w:r>
          </w:p>
        </w:tc>
        <w:tc>
          <w:tcPr>
            <w:tcW w:w="0" w:type="dxa"/>
            <w:vAlign w:val="bottom"/>
          </w:tcPr>
          <w:p>
            <w:pPr>
              <w:spacing w:after="0"/>
              <w:rPr>
                <w:sz w:val="1"/>
                <w:szCs w:val="1"/>
                <w:color w:val="auto"/>
              </w:rPr>
            </w:pPr>
          </w:p>
        </w:tc>
      </w:tr>
      <w:tr>
        <w:trPr>
          <w:trHeight w:val="145"/>
        </w:trPr>
        <w:tc>
          <w:tcPr>
            <w:tcW w:w="1500" w:type="dxa"/>
            <w:vAlign w:val="bottom"/>
          </w:tcPr>
          <w:p>
            <w:pPr>
              <w:ind w:left="20"/>
              <w:spacing w:after="0" w:line="145" w:lineRule="exact"/>
              <w:rPr>
                <w:sz w:val="20"/>
                <w:szCs w:val="20"/>
                <w:color w:val="auto"/>
              </w:rPr>
            </w:pPr>
            <w:r>
              <w:rPr>
                <w:rFonts w:ascii="Arial" w:cs="Arial" w:eastAsia="Arial" w:hAnsi="Arial"/>
                <w:sz w:val="12"/>
                <w:szCs w:val="12"/>
                <w:color w:val="auto"/>
              </w:rPr>
              <w:t xml:space="preserve">Nebraska Gas </w:t>
            </w:r>
            <w:r>
              <w:rPr>
                <w:rFonts w:ascii="Arial" w:cs="Arial" w:eastAsia="Arial" w:hAnsi="Arial"/>
                <w:sz w:val="16"/>
                <w:szCs w:val="16"/>
                <w:color w:val="auto"/>
                <w:vertAlign w:val="superscript"/>
              </w:rPr>
              <w:t>(d)</w:t>
            </w:r>
          </w:p>
        </w:tc>
        <w:tc>
          <w:tcPr>
            <w:tcW w:w="1060" w:type="dxa"/>
            <w:vAlign w:val="bottom"/>
          </w:tcPr>
          <w:p>
            <w:pPr>
              <w:jc w:val="center"/>
              <w:ind w:left="44"/>
              <w:spacing w:after="0" w:line="145" w:lineRule="exact"/>
              <w:rPr>
                <w:sz w:val="20"/>
                <w:szCs w:val="20"/>
                <w:color w:val="auto"/>
              </w:rPr>
            </w:pPr>
            <w:r>
              <w:rPr>
                <w:rFonts w:ascii="Arial" w:cs="Arial" w:eastAsia="Arial" w:hAnsi="Arial"/>
                <w:sz w:val="15"/>
                <w:szCs w:val="15"/>
                <w:color w:val="auto"/>
              </w:rPr>
              <w:t>NE</w:t>
            </w:r>
          </w:p>
        </w:tc>
        <w:tc>
          <w:tcPr>
            <w:tcW w:w="1240" w:type="dxa"/>
            <w:vAlign w:val="bottom"/>
          </w:tcPr>
          <w:p>
            <w:pPr>
              <w:jc w:val="center"/>
              <w:ind w:left="4"/>
              <w:spacing w:after="0" w:line="145" w:lineRule="exact"/>
              <w:rPr>
                <w:sz w:val="20"/>
                <w:szCs w:val="20"/>
                <w:color w:val="auto"/>
              </w:rPr>
            </w:pPr>
            <w:r>
              <w:rPr>
                <w:rFonts w:ascii="Arial" w:cs="Arial" w:eastAsia="Arial" w:hAnsi="Arial"/>
                <w:sz w:val="15"/>
                <w:szCs w:val="15"/>
                <w:color w:val="auto"/>
              </w:rPr>
              <w:t>9.50%</w:t>
            </w:r>
          </w:p>
        </w:tc>
        <w:tc>
          <w:tcPr>
            <w:tcW w:w="1220" w:type="dxa"/>
            <w:vAlign w:val="bottom"/>
          </w:tcPr>
          <w:p>
            <w:pPr>
              <w:jc w:val="center"/>
              <w:spacing w:after="0" w:line="145" w:lineRule="exact"/>
              <w:rPr>
                <w:sz w:val="20"/>
                <w:szCs w:val="20"/>
                <w:color w:val="auto"/>
              </w:rPr>
            </w:pPr>
            <w:r>
              <w:rPr>
                <w:rFonts w:ascii="Arial" w:cs="Arial" w:eastAsia="Arial" w:hAnsi="Arial"/>
                <w:sz w:val="15"/>
                <w:szCs w:val="15"/>
                <w:color w:val="auto"/>
                <w:w w:val="98"/>
              </w:rPr>
              <w:t>6.71%</w:t>
            </w:r>
          </w:p>
        </w:tc>
        <w:tc>
          <w:tcPr>
            <w:tcW w:w="1040" w:type="dxa"/>
            <w:vAlign w:val="bottom"/>
          </w:tcPr>
          <w:p>
            <w:pPr>
              <w:jc w:val="center"/>
              <w:spacing w:after="0" w:line="145" w:lineRule="exact"/>
              <w:rPr>
                <w:sz w:val="20"/>
                <w:szCs w:val="20"/>
                <w:color w:val="auto"/>
              </w:rPr>
            </w:pPr>
            <w:r>
              <w:rPr>
                <w:rFonts w:ascii="Arial" w:cs="Arial" w:eastAsia="Arial" w:hAnsi="Arial"/>
                <w:sz w:val="15"/>
                <w:szCs w:val="15"/>
                <w:color w:val="auto"/>
              </w:rPr>
              <w:t>50%/50%</w:t>
            </w:r>
          </w:p>
        </w:tc>
        <w:tc>
          <w:tcPr>
            <w:tcW w:w="1160" w:type="dxa"/>
            <w:vAlign w:val="bottom"/>
          </w:tcPr>
          <w:p>
            <w:pPr>
              <w:jc w:val="center"/>
              <w:spacing w:after="0" w:line="145" w:lineRule="exact"/>
              <w:rPr>
                <w:sz w:val="20"/>
                <w:szCs w:val="20"/>
                <w:color w:val="auto"/>
              </w:rPr>
            </w:pPr>
            <w:r>
              <w:rPr>
                <w:rFonts w:ascii="Arial" w:cs="Arial" w:eastAsia="Arial" w:hAnsi="Arial"/>
                <w:sz w:val="12"/>
                <w:szCs w:val="12"/>
                <w:color w:val="auto"/>
              </w:rPr>
              <w:t xml:space="preserve">$504.2 </w:t>
            </w:r>
            <w:r>
              <w:rPr>
                <w:rFonts w:ascii="Arial" w:cs="Arial" w:eastAsia="Arial" w:hAnsi="Arial"/>
                <w:sz w:val="16"/>
                <w:szCs w:val="16"/>
                <w:color w:val="auto"/>
                <w:vertAlign w:val="superscript"/>
              </w:rPr>
              <w:t>(e)</w:t>
            </w:r>
          </w:p>
        </w:tc>
        <w:tc>
          <w:tcPr>
            <w:tcW w:w="820" w:type="dxa"/>
            <w:vAlign w:val="bottom"/>
          </w:tcPr>
          <w:p>
            <w:pPr>
              <w:jc w:val="center"/>
              <w:spacing w:after="0" w:line="145" w:lineRule="exact"/>
              <w:rPr>
                <w:sz w:val="20"/>
                <w:szCs w:val="20"/>
                <w:color w:val="auto"/>
              </w:rPr>
            </w:pPr>
            <w:r>
              <w:rPr>
                <w:rFonts w:ascii="Arial" w:cs="Arial" w:eastAsia="Arial" w:hAnsi="Arial"/>
                <w:sz w:val="15"/>
                <w:szCs w:val="15"/>
                <w:color w:val="auto"/>
              </w:rPr>
              <w:t>3/2021</w:t>
            </w:r>
          </w:p>
        </w:tc>
        <w:tc>
          <w:tcPr>
            <w:tcW w:w="3200" w:type="dxa"/>
            <w:vAlign w:val="bottom"/>
          </w:tcPr>
          <w:p>
            <w:pPr>
              <w:ind w:left="80"/>
              <w:spacing w:after="0" w:line="145" w:lineRule="exact"/>
              <w:rPr>
                <w:sz w:val="20"/>
                <w:szCs w:val="20"/>
                <w:color w:val="auto"/>
              </w:rPr>
            </w:pPr>
            <w:r>
              <w:rPr>
                <w:rFonts w:ascii="Arial" w:cs="Arial" w:eastAsia="Arial" w:hAnsi="Arial"/>
                <w:sz w:val="15"/>
                <w:szCs w:val="15"/>
                <w:color w:val="auto"/>
              </w:rPr>
              <w:t>GCA, Cost of Bad Debt Collected through</w:t>
            </w: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0" w:type="dxa"/>
            <w:vAlign w:val="bottom"/>
          </w:tcPr>
          <w:p>
            <w:pPr>
              <w:ind w:left="80"/>
              <w:spacing w:after="0" w:line="162" w:lineRule="exact"/>
              <w:rPr>
                <w:sz w:val="20"/>
                <w:szCs w:val="20"/>
                <w:color w:val="auto"/>
              </w:rPr>
            </w:pPr>
            <w:r>
              <w:rPr>
                <w:rFonts w:ascii="Arial" w:cs="Arial" w:eastAsia="Arial" w:hAnsi="Arial"/>
                <w:sz w:val="15"/>
                <w:szCs w:val="15"/>
                <w:color w:val="auto"/>
              </w:rPr>
              <w:t>GCA, Choice Gas Program, SSIR, Bad Debt</w:t>
            </w: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0" w:type="dxa"/>
            <w:vAlign w:val="bottom"/>
          </w:tcPr>
          <w:p>
            <w:pPr>
              <w:ind w:left="80"/>
              <w:spacing w:after="0" w:line="162" w:lineRule="exact"/>
              <w:rPr>
                <w:sz w:val="20"/>
                <w:szCs w:val="20"/>
                <w:color w:val="auto"/>
              </w:rPr>
            </w:pPr>
            <w:r>
              <w:rPr>
                <w:rFonts w:ascii="Arial" w:cs="Arial" w:eastAsia="Arial" w:hAnsi="Arial"/>
                <w:sz w:val="15"/>
                <w:szCs w:val="15"/>
                <w:color w:val="auto"/>
              </w:rPr>
              <w:t>expense recovered through Choice Supplier</w:t>
            </w:r>
          </w:p>
        </w:tc>
        <w:tc>
          <w:tcPr>
            <w:tcW w:w="0" w:type="dxa"/>
            <w:vAlign w:val="bottom"/>
          </w:tcPr>
          <w:p>
            <w:pPr>
              <w:spacing w:after="0"/>
              <w:rPr>
                <w:sz w:val="1"/>
                <w:szCs w:val="1"/>
                <w:color w:val="auto"/>
              </w:rPr>
            </w:pPr>
          </w:p>
        </w:tc>
      </w:tr>
      <w:tr>
        <w:trPr>
          <w:trHeight w:val="162"/>
        </w:trPr>
        <w:tc>
          <w:tcPr>
            <w:tcW w:w="1500" w:type="dxa"/>
            <w:vAlign w:val="bottom"/>
            <w:vMerge w:val="restart"/>
          </w:tcPr>
          <w:p>
            <w:pPr>
              <w:ind w:left="20"/>
              <w:spacing w:after="0"/>
              <w:rPr>
                <w:sz w:val="20"/>
                <w:szCs w:val="20"/>
                <w:color w:val="auto"/>
              </w:rPr>
            </w:pPr>
            <w:r>
              <w:rPr>
                <w:rFonts w:ascii="Arial" w:cs="Arial" w:eastAsia="Arial" w:hAnsi="Arial"/>
                <w:sz w:val="15"/>
                <w:szCs w:val="15"/>
                <w:color w:val="auto"/>
              </w:rPr>
              <w:t xml:space="preserve">Wyoming Gas </w:t>
            </w:r>
            <w:r>
              <w:rPr>
                <w:rFonts w:ascii="Arial" w:cs="Arial" w:eastAsia="Arial" w:hAnsi="Arial"/>
                <w:sz w:val="20"/>
                <w:szCs w:val="20"/>
                <w:color w:val="auto"/>
                <w:vertAlign w:val="superscript"/>
              </w:rPr>
              <w:t>(a)(d)</w:t>
            </w: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0" w:type="dxa"/>
            <w:vAlign w:val="bottom"/>
          </w:tcPr>
          <w:p>
            <w:pPr>
              <w:ind w:left="80"/>
              <w:spacing w:after="0" w:line="162" w:lineRule="exact"/>
              <w:rPr>
                <w:sz w:val="20"/>
                <w:szCs w:val="20"/>
                <w:color w:val="auto"/>
              </w:rPr>
            </w:pPr>
            <w:r>
              <w:rPr>
                <w:rFonts w:ascii="Arial" w:cs="Arial" w:eastAsia="Arial" w:hAnsi="Arial"/>
                <w:sz w:val="15"/>
                <w:szCs w:val="15"/>
                <w:color w:val="auto"/>
              </w:rPr>
              <w:t>Fee, Line Locates Surcharge, HEAT Program</w:t>
            </w:r>
          </w:p>
        </w:tc>
        <w:tc>
          <w:tcPr>
            <w:tcW w:w="0" w:type="dxa"/>
            <w:vAlign w:val="bottom"/>
          </w:tcPr>
          <w:p>
            <w:pPr>
              <w:spacing w:after="0"/>
              <w:rPr>
                <w:sz w:val="1"/>
                <w:szCs w:val="1"/>
                <w:color w:val="auto"/>
              </w:rPr>
            </w:pPr>
          </w:p>
        </w:tc>
      </w:tr>
      <w:tr>
        <w:trPr>
          <w:trHeight w:val="176"/>
        </w:trPr>
        <w:tc>
          <w:tcPr>
            <w:tcW w:w="1500" w:type="dxa"/>
            <w:vAlign w:val="bottom"/>
            <w:vMerge w:val="continue"/>
          </w:tcPr>
          <w:p>
            <w:pPr>
              <w:spacing w:after="0"/>
              <w:rPr>
                <w:sz w:val="15"/>
                <w:szCs w:val="15"/>
                <w:color w:val="auto"/>
              </w:rPr>
            </w:pPr>
          </w:p>
        </w:tc>
        <w:tc>
          <w:tcPr>
            <w:tcW w:w="1060" w:type="dxa"/>
            <w:vAlign w:val="bottom"/>
          </w:tcPr>
          <w:p>
            <w:pPr>
              <w:jc w:val="center"/>
              <w:ind w:left="64"/>
              <w:spacing w:after="0"/>
              <w:rPr>
                <w:sz w:val="20"/>
                <w:szCs w:val="20"/>
                <w:color w:val="auto"/>
              </w:rPr>
            </w:pPr>
            <w:r>
              <w:rPr>
                <w:rFonts w:ascii="Arial" w:cs="Arial" w:eastAsia="Arial" w:hAnsi="Arial"/>
                <w:sz w:val="15"/>
                <w:szCs w:val="15"/>
                <w:color w:val="auto"/>
                <w:w w:val="99"/>
              </w:rPr>
              <w:t>WY</w:t>
            </w:r>
          </w:p>
        </w:tc>
        <w:tc>
          <w:tcPr>
            <w:tcW w:w="1240" w:type="dxa"/>
            <w:vAlign w:val="bottom"/>
          </w:tcPr>
          <w:p>
            <w:pPr>
              <w:jc w:val="center"/>
              <w:ind w:left="4"/>
              <w:spacing w:after="0"/>
              <w:rPr>
                <w:sz w:val="20"/>
                <w:szCs w:val="20"/>
                <w:color w:val="auto"/>
              </w:rPr>
            </w:pPr>
            <w:r>
              <w:rPr>
                <w:rFonts w:ascii="Arial" w:cs="Arial" w:eastAsia="Arial" w:hAnsi="Arial"/>
                <w:sz w:val="15"/>
                <w:szCs w:val="15"/>
                <w:color w:val="auto"/>
              </w:rPr>
              <w:t>9.85%</w:t>
            </w:r>
          </w:p>
        </w:tc>
        <w:tc>
          <w:tcPr>
            <w:tcW w:w="1220" w:type="dxa"/>
            <w:vAlign w:val="bottom"/>
          </w:tcPr>
          <w:p>
            <w:pPr>
              <w:jc w:val="center"/>
              <w:spacing w:after="0"/>
              <w:rPr>
                <w:sz w:val="20"/>
                <w:szCs w:val="20"/>
                <w:color w:val="auto"/>
              </w:rPr>
            </w:pPr>
            <w:r>
              <w:rPr>
                <w:rFonts w:ascii="Arial" w:cs="Arial" w:eastAsia="Arial" w:hAnsi="Arial"/>
                <w:sz w:val="15"/>
                <w:szCs w:val="15"/>
                <w:color w:val="auto"/>
                <w:w w:val="98"/>
              </w:rPr>
              <w:t>7.33%</w:t>
            </w:r>
          </w:p>
        </w:tc>
        <w:tc>
          <w:tcPr>
            <w:tcW w:w="1040" w:type="dxa"/>
            <w:vAlign w:val="bottom"/>
          </w:tcPr>
          <w:p>
            <w:pPr>
              <w:jc w:val="center"/>
              <w:spacing w:after="0"/>
              <w:rPr>
                <w:sz w:val="20"/>
                <w:szCs w:val="20"/>
                <w:color w:val="auto"/>
              </w:rPr>
            </w:pPr>
            <w:r>
              <w:rPr>
                <w:rFonts w:ascii="Arial" w:cs="Arial" w:eastAsia="Arial" w:hAnsi="Arial"/>
                <w:sz w:val="15"/>
                <w:szCs w:val="15"/>
                <w:color w:val="auto"/>
              </w:rPr>
              <w:t>49%/51%</w:t>
            </w:r>
          </w:p>
        </w:tc>
        <w:tc>
          <w:tcPr>
            <w:tcW w:w="1160" w:type="dxa"/>
            <w:vAlign w:val="bottom"/>
          </w:tcPr>
          <w:p>
            <w:pPr>
              <w:jc w:val="center"/>
              <w:spacing w:after="0"/>
              <w:rPr>
                <w:sz w:val="20"/>
                <w:szCs w:val="20"/>
                <w:color w:val="auto"/>
              </w:rPr>
            </w:pPr>
            <w:r>
              <w:rPr>
                <w:rFonts w:ascii="Arial" w:cs="Arial" w:eastAsia="Arial" w:hAnsi="Arial"/>
                <w:sz w:val="15"/>
                <w:szCs w:val="15"/>
                <w:color w:val="auto"/>
              </w:rPr>
              <w:t>$450.8</w:t>
            </w:r>
          </w:p>
        </w:tc>
        <w:tc>
          <w:tcPr>
            <w:tcW w:w="820" w:type="dxa"/>
            <w:vAlign w:val="bottom"/>
          </w:tcPr>
          <w:p>
            <w:pPr>
              <w:jc w:val="center"/>
              <w:spacing w:after="0"/>
              <w:rPr>
                <w:sz w:val="20"/>
                <w:szCs w:val="20"/>
                <w:color w:val="auto"/>
              </w:rPr>
            </w:pPr>
            <w:r>
              <w:rPr>
                <w:rFonts w:ascii="Arial" w:cs="Arial" w:eastAsia="Arial" w:hAnsi="Arial"/>
                <w:sz w:val="15"/>
                <w:szCs w:val="15"/>
                <w:color w:val="auto"/>
              </w:rPr>
              <w:t>2/2024</w:t>
            </w:r>
          </w:p>
        </w:tc>
        <w:tc>
          <w:tcPr>
            <w:tcW w:w="3200" w:type="dxa"/>
            <w:vAlign w:val="bottom"/>
          </w:tcPr>
          <w:p>
            <w:pPr>
              <w:ind w:left="80"/>
              <w:spacing w:after="0"/>
              <w:rPr>
                <w:sz w:val="20"/>
                <w:szCs w:val="20"/>
                <w:color w:val="auto"/>
              </w:rPr>
            </w:pPr>
            <w:r>
              <w:rPr>
                <w:rFonts w:ascii="Arial" w:cs="Arial" w:eastAsia="Arial" w:hAnsi="Arial"/>
                <w:sz w:val="15"/>
                <w:szCs w:val="15"/>
                <w:color w:val="auto"/>
              </w:rPr>
              <w:t>GCA, EECR, Rate Base Recovery 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3086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left="8120"/>
        <w:spacing w:after="0" w:line="225" w:lineRule="auto"/>
        <w:rPr>
          <w:sz w:val="20"/>
          <w:szCs w:val="20"/>
          <w:color w:val="auto"/>
        </w:rPr>
      </w:pPr>
      <w:r>
        <w:rPr>
          <w:rFonts w:ascii="Arial" w:cs="Arial" w:eastAsia="Arial" w:hAnsi="Arial"/>
          <w:sz w:val="15"/>
          <w:szCs w:val="15"/>
          <w:color w:val="auto"/>
        </w:rPr>
        <w:t>Acquisition Adjustment, Wyoming Integrity</w:t>
      </w:r>
    </w:p>
    <w:p>
      <w:pPr>
        <w:ind w:left="8120"/>
        <w:spacing w:after="0" w:line="226" w:lineRule="auto"/>
        <w:rPr>
          <w:sz w:val="20"/>
          <w:szCs w:val="20"/>
          <w:color w:val="auto"/>
        </w:rPr>
      </w:pPr>
      <w:r>
        <w:rPr>
          <w:rFonts w:ascii="Arial" w:cs="Arial" w:eastAsia="Arial" w:hAnsi="Arial"/>
          <w:sz w:val="15"/>
          <w:szCs w:val="15"/>
          <w:color w:val="auto"/>
        </w:rPr>
        <w:t>Rider, Choice Gas Program</w:t>
      </w:r>
    </w:p>
    <w:p>
      <w:pPr>
        <w:spacing w:after="0"/>
        <w:rPr>
          <w:sz w:val="20"/>
          <w:szCs w:val="20"/>
          <w:color w:val="auto"/>
        </w:rPr>
      </w:pPr>
      <w:r>
        <w:rPr>
          <w:rFonts w:ascii="Arial" w:cs="Arial" w:eastAsia="Arial" w:hAnsi="Arial"/>
          <w:sz w:val="11"/>
          <w:szCs w:val="11"/>
          <w:color w:val="auto"/>
        </w:rPr>
        <w:t>____________________</w:t>
      </w:r>
    </w:p>
    <w:p>
      <w:pPr>
        <w:spacing w:after="0" w:line="30"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 xml:space="preserve">For additional information regarding recent rate review updates, see </w:t>
      </w:r>
      <w:r>
        <w:rPr>
          <w:rFonts w:ascii="Arial" w:cs="Arial" w:eastAsia="Arial" w:hAnsi="Arial"/>
          <w:sz w:val="14"/>
          <w:szCs w:val="14"/>
          <w:u w:val="single" w:color="auto"/>
          <w:color w:val="0000FF"/>
        </w:rPr>
        <w:t>Note 2</w:t>
      </w:r>
      <w:r>
        <w:rPr>
          <w:rFonts w:ascii="Arial" w:cs="Arial" w:eastAsia="Arial" w:hAnsi="Arial"/>
          <w:sz w:val="14"/>
          <w:szCs w:val="14"/>
          <w:color w:val="auto"/>
        </w:rPr>
        <w:t xml:space="preserve"> of the Notes to Consolidated Financial Statements in this Annual Report on Form 10-K.</w:t>
      </w:r>
    </w:p>
    <w:p>
      <w:pPr>
        <w:spacing w:after="0" w:line="15" w:lineRule="exact"/>
        <w:rPr>
          <w:rFonts w:ascii="Arial" w:cs="Arial" w:eastAsia="Arial" w:hAnsi="Arial"/>
          <w:sz w:val="14"/>
          <w:szCs w:val="14"/>
          <w:color w:val="auto"/>
        </w:rPr>
      </w:pPr>
    </w:p>
    <w:p>
      <w:pPr>
        <w:ind w:left="520" w:hanging="512"/>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Arkansas Gas return on rate base is adjusted to remove certain liabilities from rate review capital structure for comparison with other subsidiaries.</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Arkansas Gas rate base is adjusted to include certain liabilities for comparison with other subsidiaries.</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Choice Gas Program mechanisms are applicable to only a portion of Nebraska Gas and Wyoming Gas customers.</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Excludes amounts to serve non-jurisdictional and agriculture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-421640</wp:posOffset>
            </wp:positionV>
            <wp:extent cx="26924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924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mechanisms we have in place for each of our Gas Utilities: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00" w:type="dxa"/>
            <w:vAlign w:val="bottom"/>
            <w:vMerge w:val="restart"/>
          </w:tcPr>
          <w:p>
            <w:pPr>
              <w:ind w:left="120"/>
              <w:spacing w:after="0"/>
              <w:rPr>
                <w:sz w:val="20"/>
                <w:szCs w:val="20"/>
                <w:color w:val="auto"/>
              </w:rPr>
            </w:pPr>
            <w:r>
              <w:rPr>
                <w:rFonts w:ascii="Arial" w:cs="Arial" w:eastAsia="Arial" w:hAnsi="Arial"/>
                <w:sz w:val="16"/>
                <w:szCs w:val="16"/>
                <w:color w:val="auto"/>
              </w:rPr>
              <w:t>Gas Utility Jurisdiction</w:t>
            </w:r>
          </w:p>
        </w:tc>
        <w:tc>
          <w:tcPr>
            <w:tcW w:w="15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2"/>
          </w:tcPr>
          <w:p>
            <w:pPr>
              <w:ind w:left="480"/>
              <w:spacing w:after="0"/>
              <w:rPr>
                <w:sz w:val="20"/>
                <w:szCs w:val="20"/>
                <w:color w:val="auto"/>
              </w:rPr>
            </w:pPr>
            <w:r>
              <w:rPr>
                <w:rFonts w:ascii="Arial" w:cs="Arial" w:eastAsia="Arial" w:hAnsi="Arial"/>
                <w:sz w:val="16"/>
                <w:szCs w:val="16"/>
                <w:color w:val="auto"/>
              </w:rPr>
              <w:t>Cost Recovery Mechanisms</w:t>
            </w:r>
          </w:p>
        </w:tc>
        <w:tc>
          <w:tcPr>
            <w:tcW w:w="15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500" w:type="dxa"/>
            <w:vAlign w:val="bottom"/>
            <w:vMerge w:val="continue"/>
          </w:tcPr>
          <w:p>
            <w:pPr>
              <w:spacing w:after="0"/>
              <w:rPr>
                <w:sz w:val="14"/>
                <w:szCs w:val="14"/>
                <w:color w:val="auto"/>
              </w:rPr>
            </w:pPr>
          </w:p>
        </w:tc>
        <w:tc>
          <w:tcPr>
            <w:tcW w:w="1560" w:type="dxa"/>
            <w:vAlign w:val="bottom"/>
          </w:tcPr>
          <w:p>
            <w:pPr>
              <w:spacing w:after="0"/>
              <w:rPr>
                <w:sz w:val="14"/>
                <w:szCs w:val="14"/>
                <w:color w:val="auto"/>
              </w:rPr>
            </w:pPr>
          </w:p>
        </w:tc>
        <w:tc>
          <w:tcPr>
            <w:tcW w:w="1320" w:type="dxa"/>
            <w:vAlign w:val="bottom"/>
          </w:tcPr>
          <w:p>
            <w:pPr>
              <w:jc w:val="center"/>
              <w:spacing w:after="0" w:line="168" w:lineRule="exact"/>
              <w:rPr>
                <w:sz w:val="20"/>
                <w:szCs w:val="20"/>
                <w:color w:val="auto"/>
              </w:rPr>
            </w:pPr>
            <w:r>
              <w:rPr>
                <w:rFonts w:ascii="Arial" w:cs="Arial" w:eastAsia="Arial" w:hAnsi="Arial"/>
                <w:sz w:val="16"/>
                <w:szCs w:val="16"/>
                <w:color w:val="auto"/>
              </w:rPr>
              <w:t>Integrity</w:t>
            </w:r>
          </w:p>
        </w:tc>
        <w:tc>
          <w:tcPr>
            <w:tcW w:w="1340" w:type="dxa"/>
            <w:vAlign w:val="bottom"/>
          </w:tcPr>
          <w:p>
            <w:pPr>
              <w:spacing w:after="0"/>
              <w:rPr>
                <w:sz w:val="14"/>
                <w:szCs w:val="14"/>
                <w:color w:val="auto"/>
              </w:rPr>
            </w:pPr>
          </w:p>
        </w:tc>
        <w:tc>
          <w:tcPr>
            <w:tcW w:w="1460" w:type="dxa"/>
            <w:vAlign w:val="bottom"/>
          </w:tcPr>
          <w:p>
            <w:pPr>
              <w:jc w:val="center"/>
              <w:ind w:right="59"/>
              <w:spacing w:after="0" w:line="168" w:lineRule="exact"/>
              <w:rPr>
                <w:sz w:val="20"/>
                <w:szCs w:val="20"/>
                <w:color w:val="auto"/>
              </w:rPr>
            </w:pPr>
            <w:r>
              <w:rPr>
                <w:rFonts w:ascii="Arial" w:cs="Arial" w:eastAsia="Arial" w:hAnsi="Arial"/>
                <w:sz w:val="16"/>
                <w:szCs w:val="16"/>
                <w:color w:val="auto"/>
                <w:w w:val="99"/>
              </w:rPr>
              <w:t>Weather</w:t>
            </w:r>
          </w:p>
        </w:tc>
        <w:tc>
          <w:tcPr>
            <w:tcW w:w="1520" w:type="dxa"/>
            <w:vAlign w:val="bottom"/>
            <w:vMerge w:val="restart"/>
          </w:tcPr>
          <w:p>
            <w:pPr>
              <w:jc w:val="center"/>
              <w:spacing w:after="0"/>
              <w:rPr>
                <w:sz w:val="20"/>
                <w:szCs w:val="20"/>
                <w:color w:val="auto"/>
              </w:rPr>
            </w:pPr>
            <w:r>
              <w:rPr>
                <w:rFonts w:ascii="Arial" w:cs="Arial" w:eastAsia="Arial" w:hAnsi="Arial"/>
                <w:sz w:val="16"/>
                <w:szCs w:val="16"/>
                <w:color w:val="auto"/>
                <w:w w:val="97"/>
              </w:rPr>
              <w:t xml:space="preserve">Gas Cost </w:t>
            </w:r>
            <w:r>
              <w:rPr>
                <w:rFonts w:ascii="Arial" w:cs="Arial" w:eastAsia="Arial" w:hAnsi="Arial"/>
                <w:sz w:val="21"/>
                <w:szCs w:val="21"/>
                <w:color w:val="auto"/>
                <w:w w:val="97"/>
                <w:vertAlign w:val="superscript"/>
              </w:rPr>
              <w:t>(a)</w:t>
            </w:r>
          </w:p>
        </w:tc>
        <w:tc>
          <w:tcPr>
            <w:tcW w:w="1540" w:type="dxa"/>
            <w:vAlign w:val="bottom"/>
          </w:tcPr>
          <w:p>
            <w:pPr>
              <w:jc w:val="center"/>
              <w:spacing w:after="0" w:line="168" w:lineRule="exact"/>
              <w:rPr>
                <w:sz w:val="20"/>
                <w:szCs w:val="20"/>
                <w:color w:val="auto"/>
              </w:rPr>
            </w:pPr>
            <w:r>
              <w:rPr>
                <w:rFonts w:ascii="Arial" w:cs="Arial" w:eastAsia="Arial" w:hAnsi="Arial"/>
                <w:sz w:val="16"/>
                <w:szCs w:val="16"/>
                <w:color w:val="auto"/>
                <w:w w:val="99"/>
              </w:rPr>
              <w:t>Revenue</w:t>
            </w:r>
          </w:p>
        </w:tc>
        <w:tc>
          <w:tcPr>
            <w:tcW w:w="0" w:type="dxa"/>
            <w:vAlign w:val="bottom"/>
          </w:tcPr>
          <w:p>
            <w:pPr>
              <w:spacing w:after="0"/>
              <w:rPr>
                <w:sz w:val="1"/>
                <w:szCs w:val="1"/>
                <w:color w:val="auto"/>
              </w:rPr>
            </w:pPr>
          </w:p>
        </w:tc>
      </w:tr>
      <w:tr>
        <w:trPr>
          <w:trHeight w:val="203"/>
        </w:trPr>
        <w:tc>
          <w:tcPr>
            <w:tcW w:w="25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EECR/DSM</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Additions</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Bad Debt</w:t>
            </w:r>
          </w:p>
        </w:tc>
        <w:tc>
          <w:tcPr>
            <w:tcW w:w="146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rPr>
              <w:t>Normal</w:t>
            </w:r>
          </w:p>
        </w:tc>
        <w:tc>
          <w:tcPr>
            <w:tcW w:w="1520" w:type="dxa"/>
            <w:vAlign w:val="bottom"/>
            <w:tcBorders>
              <w:bottom w:val="single" w:sz="8" w:color="auto"/>
            </w:tcBorders>
            <w:vMerge w:val="continue"/>
          </w:tcPr>
          <w:p>
            <w:pPr>
              <w:spacing w:after="0"/>
              <w:rPr>
                <w:sz w:val="17"/>
                <w:szCs w:val="17"/>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Decoupling</w:t>
            </w:r>
          </w:p>
        </w:tc>
        <w:tc>
          <w:tcPr>
            <w:tcW w:w="0" w:type="dxa"/>
            <w:vAlign w:val="bottom"/>
          </w:tcPr>
          <w:p>
            <w:pPr>
              <w:spacing w:after="0"/>
              <w:rPr>
                <w:sz w:val="1"/>
                <w:szCs w:val="1"/>
                <w:color w:val="auto"/>
              </w:rPr>
            </w:pPr>
          </w:p>
        </w:tc>
      </w:tr>
      <w:tr>
        <w:trPr>
          <w:trHeight w:val="183"/>
        </w:trPr>
        <w:tc>
          <w:tcPr>
            <w:tcW w:w="2500" w:type="dxa"/>
            <w:vAlign w:val="bottom"/>
            <w:shd w:val="clear" w:color="auto" w:fill="CFF0FC"/>
          </w:tcPr>
          <w:p>
            <w:pPr>
              <w:ind w:left="120"/>
              <w:spacing w:after="0" w:line="183" w:lineRule="exact"/>
              <w:rPr>
                <w:sz w:val="20"/>
                <w:szCs w:val="20"/>
                <w:color w:val="auto"/>
              </w:rPr>
            </w:pPr>
            <w:r>
              <w:rPr>
                <w:rFonts w:ascii="Arial" w:cs="Arial" w:eastAsia="Arial" w:hAnsi="Arial"/>
                <w:sz w:val="16"/>
                <w:szCs w:val="16"/>
                <w:color w:val="auto"/>
              </w:rPr>
              <w:t>Arkansas Gas</w:t>
            </w:r>
          </w:p>
        </w:tc>
        <w:tc>
          <w:tcPr>
            <w:tcW w:w="1560" w:type="dxa"/>
            <w:vAlign w:val="bottom"/>
            <w:shd w:val="clear" w:color="auto" w:fill="CFF0FC"/>
          </w:tcPr>
          <w:p>
            <w:pPr>
              <w:jc w:val="center"/>
              <w:spacing w:after="0" w:line="161" w:lineRule="exact"/>
              <w:rPr>
                <w:sz w:val="20"/>
                <w:szCs w:val="20"/>
                <w:color w:val="auto"/>
              </w:rPr>
            </w:pPr>
            <w:r>
              <w:rPr>
                <w:rFonts w:ascii="MS PGothic" w:cs="MS PGothic" w:eastAsia="MS PGothic" w:hAnsi="MS PGothic"/>
                <w:sz w:val="16"/>
                <w:szCs w:val="16"/>
                <w:color w:val="auto"/>
                <w:w w:val="99"/>
              </w:rPr>
              <w:t>☑</w:t>
            </w:r>
          </w:p>
        </w:tc>
        <w:tc>
          <w:tcPr>
            <w:tcW w:w="1320" w:type="dxa"/>
            <w:vAlign w:val="bottom"/>
            <w:shd w:val="clear" w:color="auto" w:fill="CFF0FC"/>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340" w:type="dxa"/>
            <w:vAlign w:val="bottom"/>
            <w:shd w:val="clear" w:color="auto" w:fill="CFF0FC"/>
          </w:tcPr>
          <w:p>
            <w:pPr>
              <w:spacing w:after="0"/>
              <w:rPr>
                <w:sz w:val="15"/>
                <w:szCs w:val="15"/>
                <w:color w:val="auto"/>
              </w:rPr>
            </w:pPr>
          </w:p>
        </w:tc>
        <w:tc>
          <w:tcPr>
            <w:tcW w:w="1460" w:type="dxa"/>
            <w:vAlign w:val="bottom"/>
            <w:shd w:val="clear" w:color="auto" w:fill="CFF0FC"/>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520" w:type="dxa"/>
            <w:vAlign w:val="bottom"/>
            <w:shd w:val="clear" w:color="auto" w:fill="CFF0FC"/>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540" w:type="dxa"/>
            <w:vAlign w:val="bottom"/>
            <w:shd w:val="clear" w:color="auto" w:fill="CFF0FC"/>
          </w:tcPr>
          <w:p>
            <w:pPr>
              <w:jc w:val="center"/>
              <w:spacing w:after="0" w:line="161" w:lineRule="exact"/>
              <w:rPr>
                <w:sz w:val="20"/>
                <w:szCs w:val="20"/>
                <w:color w:val="auto"/>
              </w:rPr>
            </w:pPr>
            <w:r>
              <w:rPr>
                <w:rFonts w:ascii="MS PGothic" w:cs="MS PGothic" w:eastAsia="MS PGothic" w:hAnsi="MS PGothic"/>
                <w:sz w:val="16"/>
                <w:szCs w:val="16"/>
                <w:color w:val="auto"/>
                <w:w w:val="99"/>
              </w:rPr>
              <w:t>☑</w:t>
            </w:r>
          </w:p>
        </w:tc>
        <w:tc>
          <w:tcPr>
            <w:tcW w:w="0" w:type="dxa"/>
            <w:vAlign w:val="bottom"/>
          </w:tcPr>
          <w:p>
            <w:pPr>
              <w:spacing w:after="0"/>
              <w:rPr>
                <w:sz w:val="1"/>
                <w:szCs w:val="1"/>
                <w:color w:val="auto"/>
              </w:rPr>
            </w:pPr>
          </w:p>
        </w:tc>
      </w:tr>
      <w:tr>
        <w:trPr>
          <w:trHeight w:val="189"/>
        </w:trPr>
        <w:tc>
          <w:tcPr>
            <w:tcW w:w="2500" w:type="dxa"/>
            <w:vAlign w:val="bottom"/>
          </w:tcPr>
          <w:p>
            <w:pPr>
              <w:ind w:left="120"/>
              <w:spacing w:after="0" w:line="189" w:lineRule="exact"/>
              <w:rPr>
                <w:sz w:val="20"/>
                <w:szCs w:val="20"/>
                <w:color w:val="auto"/>
              </w:rPr>
            </w:pPr>
            <w:r>
              <w:rPr>
                <w:rFonts w:ascii="Arial" w:cs="Arial" w:eastAsia="Arial" w:hAnsi="Arial"/>
                <w:sz w:val="16"/>
                <w:szCs w:val="16"/>
                <w:color w:val="auto"/>
              </w:rPr>
              <w:t xml:space="preserve">Colorado Gas </w:t>
            </w:r>
            <w:r>
              <w:rPr>
                <w:rFonts w:ascii="Arial" w:cs="Arial" w:eastAsia="Arial" w:hAnsi="Arial"/>
                <w:sz w:val="21"/>
                <w:szCs w:val="21"/>
                <w:color w:val="auto"/>
                <w:vertAlign w:val="superscript"/>
              </w:rPr>
              <w:t>(b)</w:t>
            </w:r>
          </w:p>
        </w:tc>
        <w:tc>
          <w:tcPr>
            <w:tcW w:w="156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99"/>
              </w:rPr>
              <w:t>☑</w:t>
            </w:r>
          </w:p>
        </w:tc>
        <w:tc>
          <w:tcPr>
            <w:tcW w:w="1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5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00" w:type="dxa"/>
            <w:vAlign w:val="bottom"/>
            <w:shd w:val="clear" w:color="auto" w:fill="CFF0FC"/>
          </w:tcPr>
          <w:p>
            <w:pPr>
              <w:ind w:left="120"/>
              <w:spacing w:after="0" w:line="189" w:lineRule="exact"/>
              <w:rPr>
                <w:sz w:val="20"/>
                <w:szCs w:val="20"/>
                <w:color w:val="auto"/>
              </w:rPr>
            </w:pPr>
            <w:r>
              <w:rPr>
                <w:rFonts w:ascii="Arial" w:cs="Arial" w:eastAsia="Arial" w:hAnsi="Arial"/>
                <w:sz w:val="16"/>
                <w:szCs w:val="16"/>
                <w:color w:val="auto"/>
              </w:rPr>
              <w:t xml:space="preserve">RMNG </w:t>
            </w:r>
            <w:r>
              <w:rPr>
                <w:rFonts w:ascii="Arial" w:cs="Arial" w:eastAsia="Arial" w:hAnsi="Arial"/>
                <w:sz w:val="21"/>
                <w:szCs w:val="21"/>
                <w:color w:val="auto"/>
                <w:vertAlign w:val="superscript"/>
              </w:rPr>
              <w:t>(c)</w:t>
            </w:r>
          </w:p>
        </w:tc>
        <w:tc>
          <w:tcPr>
            <w:tcW w:w="156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15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00" w:type="dxa"/>
            <w:vAlign w:val="bottom"/>
          </w:tcPr>
          <w:p>
            <w:pPr>
              <w:ind w:left="120"/>
              <w:spacing w:after="0"/>
              <w:rPr>
                <w:sz w:val="20"/>
                <w:szCs w:val="20"/>
                <w:color w:val="auto"/>
              </w:rPr>
            </w:pPr>
            <w:r>
              <w:rPr>
                <w:rFonts w:ascii="Arial" w:cs="Arial" w:eastAsia="Arial" w:hAnsi="Arial"/>
                <w:sz w:val="16"/>
                <w:szCs w:val="16"/>
                <w:color w:val="auto"/>
              </w:rPr>
              <w:t>Iowa Gas</w:t>
            </w:r>
          </w:p>
        </w:tc>
        <w:tc>
          <w:tcPr>
            <w:tcW w:w="156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99"/>
              </w:rPr>
              <w:t>☑</w:t>
            </w:r>
          </w:p>
        </w:tc>
        <w:tc>
          <w:tcPr>
            <w:tcW w:w="13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3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5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Kansas Gas</w:t>
            </w:r>
          </w:p>
        </w:tc>
        <w:tc>
          <w:tcPr>
            <w:tcW w:w="1560" w:type="dxa"/>
            <w:vAlign w:val="bottom"/>
            <w:shd w:val="clear" w:color="auto" w:fill="CFF0FC"/>
          </w:tcPr>
          <w:p>
            <w:pPr>
              <w:spacing w:after="0"/>
              <w:rPr>
                <w:sz w:val="16"/>
                <w:szCs w:val="16"/>
                <w:color w:val="auto"/>
              </w:rPr>
            </w:pPr>
          </w:p>
        </w:tc>
        <w:tc>
          <w:tcPr>
            <w:tcW w:w="1320" w:type="dxa"/>
            <w:vAlign w:val="bottom"/>
            <w:shd w:val="clear" w:color="auto" w:fill="CFF0FC"/>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340" w:type="dxa"/>
            <w:vAlign w:val="bottom"/>
            <w:shd w:val="clear" w:color="auto" w:fill="CFF0FC"/>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460" w:type="dxa"/>
            <w:vAlign w:val="bottom"/>
            <w:shd w:val="clear" w:color="auto" w:fill="CFF0FC"/>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520" w:type="dxa"/>
            <w:vAlign w:val="bottom"/>
            <w:shd w:val="clear" w:color="auto" w:fill="CFF0FC"/>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5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500" w:type="dxa"/>
            <w:vAlign w:val="bottom"/>
          </w:tcPr>
          <w:p>
            <w:pPr>
              <w:ind w:left="120"/>
              <w:spacing w:after="0" w:line="148" w:lineRule="exact"/>
              <w:rPr>
                <w:sz w:val="20"/>
                <w:szCs w:val="20"/>
                <w:color w:val="auto"/>
              </w:rPr>
            </w:pPr>
            <w:r>
              <w:rPr>
                <w:rFonts w:ascii="Arial" w:cs="Arial" w:eastAsia="Arial" w:hAnsi="Arial"/>
                <w:sz w:val="16"/>
                <w:szCs w:val="16"/>
                <w:color w:val="auto"/>
              </w:rPr>
              <w:t>Nebraska Gas</w:t>
            </w:r>
          </w:p>
        </w:tc>
        <w:tc>
          <w:tcPr>
            <w:tcW w:w="156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99"/>
              </w:rPr>
              <w:t>☑</w:t>
            </w:r>
          </w:p>
        </w:tc>
        <w:tc>
          <w:tcPr>
            <w:tcW w:w="1320" w:type="dxa"/>
            <w:vAlign w:val="bottom"/>
          </w:tcPr>
          <w:p>
            <w:pPr>
              <w:jc w:val="center"/>
              <w:spacing w:after="0" w:line="148" w:lineRule="exact"/>
              <w:rPr>
                <w:sz w:val="20"/>
                <w:szCs w:val="20"/>
                <w:color w:val="auto"/>
              </w:rPr>
            </w:pPr>
            <w:r>
              <w:rPr>
                <w:rFonts w:ascii="MS PGothic" w:cs="MS PGothic" w:eastAsia="MS PGothic" w:hAnsi="MS PGothic"/>
                <w:sz w:val="16"/>
                <w:szCs w:val="16"/>
                <w:color w:val="auto"/>
                <w:w w:val="87"/>
              </w:rPr>
              <w:t>☑</w:t>
            </w:r>
          </w:p>
        </w:tc>
        <w:tc>
          <w:tcPr>
            <w:tcW w:w="1340" w:type="dxa"/>
            <w:vAlign w:val="bottom"/>
          </w:tcPr>
          <w:p>
            <w:pPr>
              <w:jc w:val="center"/>
              <w:spacing w:after="0" w:line="148" w:lineRule="exact"/>
              <w:rPr>
                <w:sz w:val="20"/>
                <w:szCs w:val="20"/>
                <w:color w:val="auto"/>
              </w:rPr>
            </w:pPr>
            <w:r>
              <w:rPr>
                <w:rFonts w:ascii="MS PGothic" w:cs="MS PGothic" w:eastAsia="MS PGothic" w:hAnsi="MS PGothic"/>
                <w:sz w:val="16"/>
                <w:szCs w:val="16"/>
                <w:color w:val="auto"/>
                <w:w w:val="87"/>
              </w:rPr>
              <w:t>☑</w:t>
            </w:r>
          </w:p>
        </w:tc>
        <w:tc>
          <w:tcPr>
            <w:tcW w:w="1460" w:type="dxa"/>
            <w:vAlign w:val="bottom"/>
          </w:tcPr>
          <w:p>
            <w:pPr>
              <w:spacing w:after="0"/>
              <w:rPr>
                <w:sz w:val="12"/>
                <w:szCs w:val="12"/>
                <w:color w:val="auto"/>
              </w:rPr>
            </w:pPr>
          </w:p>
        </w:tc>
        <w:tc>
          <w:tcPr>
            <w:tcW w:w="1520" w:type="dxa"/>
            <w:vAlign w:val="bottom"/>
          </w:tcPr>
          <w:p>
            <w:pPr>
              <w:jc w:val="center"/>
              <w:spacing w:after="0" w:line="148" w:lineRule="exact"/>
              <w:rPr>
                <w:sz w:val="20"/>
                <w:szCs w:val="20"/>
                <w:color w:val="auto"/>
              </w:rPr>
            </w:pPr>
            <w:r>
              <w:rPr>
                <w:rFonts w:ascii="MS PGothic" w:cs="MS PGothic" w:eastAsia="MS PGothic" w:hAnsi="MS PGothic"/>
                <w:sz w:val="16"/>
                <w:szCs w:val="16"/>
                <w:color w:val="auto"/>
                <w:w w:val="87"/>
              </w:rPr>
              <w:t>☑</w:t>
            </w: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2500" w:type="dxa"/>
            <w:vAlign w:val="bottom"/>
          </w:tcPr>
          <w:p>
            <w:pPr>
              <w:ind w:left="120"/>
              <w:spacing w:after="0"/>
              <w:rPr>
                <w:sz w:val="20"/>
                <w:szCs w:val="20"/>
                <w:color w:val="auto"/>
              </w:rPr>
            </w:pPr>
            <w:r>
              <w:rPr>
                <w:rFonts w:ascii="Arial" w:cs="Arial" w:eastAsia="Arial" w:hAnsi="Arial"/>
                <w:sz w:val="16"/>
                <w:szCs w:val="16"/>
                <w:color w:val="auto"/>
              </w:rPr>
              <w:t>Wyoming Gas</w:t>
            </w:r>
          </w:p>
        </w:tc>
        <w:tc>
          <w:tcPr>
            <w:tcW w:w="1560" w:type="dxa"/>
            <w:vAlign w:val="bottom"/>
            <w:vMerge w:val="continue"/>
          </w:tcPr>
          <w:p>
            <w:pPr>
              <w:spacing w:after="0"/>
              <w:rPr>
                <w:sz w:val="19"/>
                <w:szCs w:val="19"/>
                <w:color w:val="auto"/>
              </w:rPr>
            </w:pPr>
          </w:p>
        </w:tc>
        <w:tc>
          <w:tcPr>
            <w:tcW w:w="13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3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5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200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____________________</w:t>
      </w:r>
    </w:p>
    <w:p>
      <w:pPr>
        <w:spacing w:after="0" w:line="16" w:lineRule="exact"/>
        <w:rPr>
          <w:sz w:val="20"/>
          <w:szCs w:val="20"/>
          <w:color w:val="auto"/>
        </w:rPr>
      </w:pPr>
    </w:p>
    <w:p>
      <w:pPr>
        <w:ind w:left="520" w:right="20" w:hanging="512"/>
        <w:spacing w:after="0" w:line="271" w:lineRule="auto"/>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All of our Gas Utilities, except where the Choice Gas Program is the only option, have GCAs that allow us to pass the prudently-incurred cost of gas and certain services through to the customer between rate reviews.</w:t>
      </w:r>
    </w:p>
    <w:p>
      <w:pPr>
        <w:ind w:left="520" w:right="140" w:hanging="512"/>
        <w:spacing w:after="0" w:line="271" w:lineRule="auto"/>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Colorado Gas's SSIR was approved by the CPUC for a three-year term, effective January 1, 2022 to December 31, 2024. The SSIR was not extended during the most recent rate review.</w:t>
      </w:r>
    </w:p>
    <w:p>
      <w:pPr>
        <w:ind w:left="520" w:hanging="512"/>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RMNG does not have retail customers and therefore, does not have typical cost recovery mechanisms.</w:t>
      </w: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Recent Tariff Filings</w:t>
      </w:r>
    </w:p>
    <w:p>
      <w:pPr>
        <w:spacing w:after="0" w:line="192" w:lineRule="exact"/>
        <w:rPr>
          <w:sz w:val="20"/>
          <w:szCs w:val="20"/>
          <w:color w:val="auto"/>
        </w:rPr>
      </w:pPr>
    </w:p>
    <w:p>
      <w:pPr>
        <w:jc w:val="center"/>
        <w:ind w:right="480"/>
        <w:spacing w:after="0" w:line="286" w:lineRule="auto"/>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2</w:t>
      </w:r>
      <w:r>
        <w:rPr>
          <w:rFonts w:ascii="Arial" w:cs="Arial" w:eastAsia="Arial" w:hAnsi="Arial"/>
          <w:sz w:val="16"/>
          <w:szCs w:val="16"/>
          <w:color w:val="auto"/>
        </w:rPr>
        <w:t xml:space="preserve"> of the Notes to Consolidated Financial Statements in this Annual Report on Form 10-K for information regarding current regulatory activity.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438150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-165735</wp:posOffset>
            </wp:positionV>
            <wp:extent cx="30289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02895"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FERC</w:t>
      </w:r>
    </w:p>
    <w:p>
      <w:pPr>
        <w:spacing w:after="0" w:line="194"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The Federal Power Act gives FERC exclusive rate-making jurisdiction over wholesale sales of electricity and the transmission of electricity in interstate commerce. Pursuant to the Federal Power Act, all public utilities subject to FERC’s jurisdiction must maintain tariffs and rate schedules on file with FERC that govern the rates, and terms, and conditions for the provision of FERC-jurisdictional wholesale power and transmission services. Public utilities are also subject to accounting, record-keeping, and reporting requirements administered by FERC. FERC also places certain limitations on transactions between public utilities and their affiliates. Our electric utility subsidiaries provide FERC-jurisdictional services subject to FERC’s oversight.</w:t>
      </w:r>
    </w:p>
    <w:p>
      <w:pPr>
        <w:spacing w:after="0" w:line="153"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Our Electric Utilities entities are authorized by FERC to make wholesale sales of electric capacity and energy at market-based rates under tariffs on file with FERC. As a condition of their market-based rate authority, Electric Quarterly Reports are filed with FERC. Our Electric Utilities own and operate FERC-jurisdictional interstate transmission facilities and provide open access transmission service under tariffs on file with FERC. Our Electric Utilities are subject to routine audit by FERC with respect to their compliance with FERC’s regulations.</w:t>
      </w:r>
    </w:p>
    <w:p>
      <w:pPr>
        <w:spacing w:after="0" w:line="151"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PUHCA 2005 provides FERC authority with respect to the books and records of a utility holding company. As a utility holding company whose assets consist primarily of investments in our subsidiaries, including subsidiaries that are public utilities and also a centralized service company subsidiary, BHSC, we are subject to FERC’s authority under PUHCA 2005.</w:t>
      </w:r>
    </w:p>
    <w:p>
      <w:pPr>
        <w:spacing w:after="0" w:line="144"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auto"/>
        </w:rPr>
        <w:t>PUHCA 2005 reiterated the definition and benefits of EWG status. Under PUHCA 2005, an EWG is an entity or generator engaged, directly or indirectly through one or more affiliates, exclusively in the business of owning, operating or both owning and operating all or part of one or more eligible facilities and selling electric energy at wholesale. Though EWGs are public utilities within the definition set forth in the Federal Power Act and are subject to FERC regulation of rates and charges, they are exempt from other FERC requirements. Through its subsidiaries, Black Hills Corporation is affiliated with two EWGs, Wygen I and Pueblo Airport Generation (facilities #4-5). Both of these EWGs have been granted market-based rate authority.</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NERC</w:t>
      </w:r>
    </w:p>
    <w:p>
      <w:pPr>
        <w:spacing w:after="0" w:line="194"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Energy Policy Act of 2005 included provisions to create an Electric Reliability Organization, which is required to promulgate mandatory reliability standards governing the operation of the bulk power system in the U.S. FERC certified NERC as the Electric Reliability Organization and also issued an initial order approving many reliability standards that went into effect in 2007. Entities that violate standards can be subject to fines and can also be assessed non-monetary penalties, depending upon the nature and severity of the violation.</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Gas Pipeline and Storage Integrity and Safety</w:t>
      </w:r>
    </w:p>
    <w:p>
      <w:pPr>
        <w:spacing w:after="0" w:line="194"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We are subject to regulation by PHMSA, which requires the following for certain gas distribution and transmission pipelines and underground storage facilities: inspection and maintenance plans; integrity management programs, including the determination of pipeline integrity risks and periodic assessments on certain pipeline segments; an operator qualification program, which includes certain trainings; a public awareness program that provides certain information; and a control room management plan. If we fail to comply with applicable statutes and the PHMSA Office of Pipeline Safety’s rules and related regulations and orders, we could be subject to significant penalties and fines.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Environmental Matters</w:t>
      </w:r>
    </w:p>
    <w:p>
      <w:pPr>
        <w:spacing w:after="0" w:line="194" w:lineRule="exact"/>
        <w:rPr>
          <w:sz w:val="20"/>
          <w:szCs w:val="20"/>
          <w:color w:val="auto"/>
        </w:rPr>
      </w:pPr>
    </w:p>
    <w:p>
      <w:pPr>
        <w:jc w:val="both"/>
        <w:ind w:right="40"/>
        <w:spacing w:after="0" w:line="266" w:lineRule="auto"/>
        <w:rPr>
          <w:sz w:val="20"/>
          <w:szCs w:val="20"/>
          <w:color w:val="auto"/>
        </w:rPr>
      </w:pPr>
      <w:r>
        <w:rPr>
          <w:rFonts w:ascii="Arial" w:cs="Arial" w:eastAsia="Arial" w:hAnsi="Arial"/>
          <w:sz w:val="16"/>
          <w:szCs w:val="16"/>
          <w:color w:val="auto"/>
        </w:rPr>
        <w:t xml:space="preserve">We have clean energy goals to reduce GHG emissions that are based on prudent and proven solutions while minimizing cost impacts to and ensuring safety of our customers. See more information in </w:t>
      </w:r>
      <w:r>
        <w:rPr>
          <w:rFonts w:ascii="Arial" w:cs="Arial" w:eastAsia="Arial" w:hAnsi="Arial"/>
          <w:sz w:val="16"/>
          <w:szCs w:val="16"/>
          <w:u w:val="single" w:color="auto"/>
          <w:color w:val="0000FF"/>
        </w:rPr>
        <w:t>Key Elements of our Business Strategy</w:t>
      </w:r>
      <w:r>
        <w:rPr>
          <w:rFonts w:ascii="Arial" w:cs="Arial" w:eastAsia="Arial" w:hAnsi="Arial"/>
          <w:sz w:val="16"/>
          <w:szCs w:val="16"/>
          <w:color w:val="auto"/>
        </w:rPr>
        <w:t xml:space="preserve"> within Management’s Discussion and Analysis of Financial Condition and Results of Operations in </w:t>
      </w:r>
      <w:r>
        <w:rPr>
          <w:rFonts w:ascii="Arial" w:cs="Arial" w:eastAsia="Arial" w:hAnsi="Arial"/>
          <w:sz w:val="16"/>
          <w:szCs w:val="16"/>
          <w:u w:val="single" w:color="auto"/>
          <w:color w:val="0000FF"/>
        </w:rPr>
        <w:t>Item 7</w:t>
      </w:r>
      <w:r>
        <w:rPr>
          <w:rFonts w:ascii="Arial" w:cs="Arial" w:eastAsia="Arial" w:hAnsi="Arial"/>
          <w:sz w:val="16"/>
          <w:szCs w:val="16"/>
          <w:color w:val="auto"/>
        </w:rPr>
        <w:t xml:space="preserve">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1948815</wp:posOffset>
            </wp:positionH>
            <wp:positionV relativeFrom="paragraph">
              <wp:posOffset>-156210</wp:posOffset>
            </wp:positionV>
            <wp:extent cx="178371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83715" cy="8890"/>
                    </a:xfrm>
                    <a:prstGeom prst="rect">
                      <a:avLst/>
                    </a:prstGeom>
                    <a:noFill/>
                  </pic:spPr>
                </pic:pic>
              </a:graphicData>
            </a:graphic>
          </wp:anchor>
        </w:drawing>
        <w:drawing>
          <wp:anchor simplePos="0" relativeHeight="251657728" behindDoc="1" locked="0" layoutInCell="0" allowOverlap="1">
            <wp:simplePos x="0" y="0"/>
            <wp:positionH relativeFrom="column">
              <wp:posOffset>1131570</wp:posOffset>
            </wp:positionH>
            <wp:positionV relativeFrom="paragraph">
              <wp:posOffset>-36195</wp:posOffset>
            </wp:positionV>
            <wp:extent cx="28575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5750" cy="8255"/>
                    </a:xfrm>
                    <a:prstGeom prst="rect">
                      <a:avLst/>
                    </a:prstGeom>
                    <a:noFill/>
                  </pic:spPr>
                </pic:pic>
              </a:graphicData>
            </a:graphic>
          </wp:anchor>
        </w:drawing>
      </w:r>
    </w:p>
    <w:p>
      <w:pPr>
        <w:spacing w:after="0" w:line="124"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We are subject to significant state and federal environmental regulations that encourage the use of clean energy technologies and regulate emissions of GHGs. We have undertaken initiatives to meet current requirements and to prepare for anticipated future regulations, reduce GHG emissions, and respond to state renewable and energy efficiency goals. Compliance with future environmental regulations could result in substantial cost.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In July of 2019, the EPA adopted the Affordable Clean Energy rule, which required states to develop plans by 2022 for GHG reductions from coal-fired power plants. On May 23, 2023, the EPA proposed to repeal the Affordable Clean Energy rule and at the same time issued a replacement rule to establish emissions limits for GHG emissions from existing coal-fired and oil/gas-fired electric power generating boilers. The EPA also proposed GHG emission limits for existing stationary combustion turbines. The proposed emissions limitations are based upon the application of carbon capture controls or the use of hydrogen fuel beginning in 2030. In April 2024, the EPA published final rules addressing control of CO</w:t>
      </w:r>
      <w:r>
        <w:rPr>
          <w:rFonts w:ascii="Arial" w:cs="Arial" w:eastAsia="Arial" w:hAnsi="Arial"/>
          <w:sz w:val="14"/>
          <w:szCs w:val="14"/>
          <w:color w:val="auto"/>
          <w:vertAlign w:val="subscript"/>
        </w:rPr>
        <w:t>2</w:t>
      </w:r>
      <w:r>
        <w:rPr>
          <w:rFonts w:ascii="Arial" w:cs="Arial" w:eastAsia="Arial" w:hAnsi="Arial"/>
          <w:sz w:val="16"/>
          <w:szCs w:val="16"/>
          <w:color w:val="auto"/>
        </w:rPr>
        <w:t xml:space="preserve"> emissions from the power sector. The rules regulate new natural gas generating units and provide emission guidelines for existing coal and certain natural gas generation. The rules create subcategories of coal units based on planned retirement date and subcategories of natural gas combustion turbines and combined cycle units based on utilization. The CO</w:t>
      </w:r>
      <w:r>
        <w:rPr>
          <w:rFonts w:ascii="Arial" w:cs="Arial" w:eastAsia="Arial" w:hAnsi="Arial"/>
          <w:sz w:val="14"/>
          <w:szCs w:val="14"/>
          <w:color w:val="auto"/>
          <w:vertAlign w:val="subscript"/>
        </w:rPr>
        <w:t>2</w:t>
      </w:r>
      <w:r>
        <w:rPr>
          <w:rFonts w:ascii="Arial" w:cs="Arial" w:eastAsia="Arial" w:hAnsi="Arial"/>
          <w:sz w:val="16"/>
          <w:szCs w:val="16"/>
          <w:color w:val="auto"/>
        </w:rPr>
        <w:t xml:space="preserve"> control requirements vary by subcategory. We are currently evaluating the impact of these rules through our integrated resource plans and believe that costs incurred as a result of the new rules will be recoverable through our regulatory mechanisms.</w:t>
      </w:r>
    </w:p>
    <w:p>
      <w:pPr>
        <w:spacing w:after="0" w:line="158"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 xml:space="preserve">Environmental risk changes constantly with the implementation of new or modified regulations, changing stakeholder interests and needs, and through the introduction of innovative work practices and technologies. We continually assess risk and develop mitigation strategies to manage and ensure compliance across the enterprise successfully and responsibly. For additional information on environmental matters, see </w:t>
      </w:r>
      <w:r>
        <w:rPr>
          <w:rFonts w:ascii="Arial" w:cs="Arial" w:eastAsia="Arial" w:hAnsi="Arial"/>
          <w:sz w:val="16"/>
          <w:szCs w:val="16"/>
          <w:u w:val="single" w:color="auto"/>
          <w:color w:val="0000FF"/>
        </w:rPr>
        <w:t>Item 1A</w:t>
      </w:r>
      <w:r>
        <w:rPr>
          <w:rFonts w:ascii="Arial" w:cs="Arial" w:eastAsia="Arial" w:hAnsi="Arial"/>
          <w:sz w:val="16"/>
          <w:szCs w:val="16"/>
          <w:color w:val="auto"/>
        </w:rPr>
        <w:t xml:space="preserve"> and </w:t>
      </w:r>
      <w:r>
        <w:rPr>
          <w:rFonts w:ascii="Arial" w:cs="Arial" w:eastAsia="Arial" w:hAnsi="Arial"/>
          <w:sz w:val="16"/>
          <w:szCs w:val="16"/>
          <w:u w:val="single" w:color="auto"/>
          <w:color w:val="0000FF"/>
        </w:rPr>
        <w:t>Note 3</w:t>
      </w:r>
      <w:r>
        <w:rPr>
          <w:rFonts w:ascii="Arial" w:cs="Arial" w:eastAsia="Arial" w:hAnsi="Arial"/>
          <w:sz w:val="16"/>
          <w:szCs w:val="16"/>
          <w:color w:val="auto"/>
        </w:rPr>
        <w:t xml:space="preserve">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4956810</wp:posOffset>
            </wp:positionH>
            <wp:positionV relativeFrom="paragraph">
              <wp:posOffset>-151765</wp:posOffset>
            </wp:positionV>
            <wp:extent cx="8864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86460" cy="8255"/>
                    </a:xfrm>
                    <a:prstGeom prst="rect">
                      <a:avLst/>
                    </a:prstGeom>
                    <a:noFill/>
                  </pic:spPr>
                </pic:pic>
              </a:graphicData>
            </a:graphic>
          </wp:anchor>
        </w:drawing>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Human Capital Resources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94"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We are committed to retaining, attracting and cultivating a talented, engaged, and thriving team. By making our people and culture a strategic priority, our employees are engaged and empowered to contribute to the success of our business.</w:t>
      </w:r>
    </w:p>
    <w:p>
      <w:pPr>
        <w:spacing w:after="0" w:line="129"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We are committed to building a workforce that is representative of the communities we serve. Our recruiting strategies support our efforts to attract qualified individuals with targeted efforts to reach underrepresented talent. Our internship program, together with our partnerships and participation in outreach programs with local schools and colleges, attract students to careers in the energy industry. We seek to attract, retain, and cultivate an engaged and thriving team driven to improve life with energy. We continuously evaluate our recruitment strategies to determine their effectiveness to attract and build a talented, diverse workforce with a sense of belonging. Workforce diversity trends, which include new hires, promotions, and turnover, are monitored at regular intervals throughout the year.</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80" w:type="dxa"/>
            <w:vAlign w:val="bottom"/>
            <w:tcBorders>
              <w:bottom w:val="single" w:sz="8" w:color="auto"/>
            </w:tcBorders>
          </w:tcPr>
          <w:p>
            <w:pPr>
              <w:ind w:left="2580"/>
              <w:spacing w:after="0"/>
              <w:rPr>
                <w:sz w:val="20"/>
                <w:szCs w:val="20"/>
                <w:color w:val="auto"/>
              </w:rPr>
            </w:pPr>
            <w:r>
              <w:rPr>
                <w:rFonts w:ascii="Arial" w:cs="Arial" w:eastAsia="Arial" w:hAnsi="Arial"/>
                <w:sz w:val="16"/>
                <w:szCs w:val="16"/>
                <w:b w:val="1"/>
                <w:bCs w:val="1"/>
                <w:color w:val="auto"/>
              </w:rPr>
              <w:t>Our Team</w:t>
            </w:r>
          </w:p>
        </w:tc>
        <w:tc>
          <w:tcPr>
            <w:tcW w:w="3500" w:type="dxa"/>
            <w:vAlign w:val="bottom"/>
            <w:tcBorders>
              <w:bottom w:val="single" w:sz="8" w:color="auto"/>
            </w:tcBorders>
          </w:tcPr>
          <w:p>
            <w:pPr>
              <w:ind w:left="1220"/>
              <w:spacing w:after="0"/>
              <w:rPr>
                <w:sz w:val="20"/>
                <w:szCs w:val="20"/>
                <w:color w:val="auto"/>
              </w:rPr>
            </w:pPr>
            <w:r>
              <w:rPr>
                <w:rFonts w:ascii="Arial" w:cs="Arial" w:eastAsia="Arial" w:hAnsi="Arial"/>
                <w:sz w:val="16"/>
                <w:szCs w:val="16"/>
                <w:b w:val="1"/>
                <w:bCs w:val="1"/>
                <w:color w:val="auto"/>
              </w:rPr>
              <w:t>As of December 31, 2024</w:t>
            </w:r>
          </w:p>
        </w:tc>
        <w:tc>
          <w:tcPr>
            <w:tcW w:w="266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color w:val="auto"/>
              </w:rPr>
              <w:t>As of December 31, 2023</w:t>
            </w:r>
          </w:p>
        </w:tc>
      </w:tr>
      <w:tr>
        <w:trPr>
          <w:trHeight w:val="183"/>
        </w:trPr>
        <w:tc>
          <w:tcPr>
            <w:tcW w:w="508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Total employees</w:t>
            </w:r>
          </w:p>
        </w:tc>
        <w:tc>
          <w:tcPr>
            <w:tcW w:w="3500" w:type="dxa"/>
            <w:vAlign w:val="bottom"/>
            <w:shd w:val="clear" w:color="auto" w:fill="CFF0FC"/>
          </w:tcPr>
          <w:p>
            <w:pPr>
              <w:jc w:val="center"/>
              <w:ind w:left="779"/>
              <w:spacing w:after="0" w:line="183" w:lineRule="exact"/>
              <w:rPr>
                <w:sz w:val="20"/>
                <w:szCs w:val="20"/>
                <w:color w:val="auto"/>
              </w:rPr>
            </w:pPr>
            <w:r>
              <w:rPr>
                <w:rFonts w:ascii="Arial" w:cs="Arial" w:eastAsia="Arial" w:hAnsi="Arial"/>
                <w:sz w:val="16"/>
                <w:szCs w:val="16"/>
                <w:color w:val="auto"/>
                <w:w w:val="99"/>
              </w:rPr>
              <w:t>2,841</w:t>
            </w:r>
          </w:p>
        </w:tc>
        <w:tc>
          <w:tcPr>
            <w:tcW w:w="2660" w:type="dxa"/>
            <w:vAlign w:val="bottom"/>
            <w:shd w:val="clear" w:color="auto" w:fill="CFF0FC"/>
          </w:tcPr>
          <w:p>
            <w:pPr>
              <w:jc w:val="center"/>
              <w:spacing w:after="0" w:line="183" w:lineRule="exact"/>
              <w:rPr>
                <w:sz w:val="20"/>
                <w:szCs w:val="20"/>
                <w:color w:val="auto"/>
              </w:rPr>
            </w:pPr>
            <w:r>
              <w:rPr>
                <w:rFonts w:ascii="Arial" w:cs="Arial" w:eastAsia="Arial" w:hAnsi="Arial"/>
                <w:sz w:val="16"/>
                <w:szCs w:val="16"/>
                <w:color w:val="auto"/>
              </w:rPr>
              <w:t>2,874</w:t>
            </w:r>
          </w:p>
        </w:tc>
      </w:tr>
      <w:tr>
        <w:trPr>
          <w:trHeight w:val="189"/>
        </w:trPr>
        <w:tc>
          <w:tcPr>
            <w:tcW w:w="5080" w:type="dxa"/>
            <w:vAlign w:val="bottom"/>
          </w:tcPr>
          <w:p>
            <w:pPr>
              <w:ind w:left="20"/>
              <w:spacing w:after="0" w:line="189" w:lineRule="exact"/>
              <w:rPr>
                <w:sz w:val="20"/>
                <w:szCs w:val="20"/>
                <w:color w:val="auto"/>
              </w:rPr>
            </w:pPr>
            <w:r>
              <w:rPr>
                <w:rFonts w:ascii="Arial" w:cs="Arial" w:eastAsia="Arial" w:hAnsi="Arial"/>
                <w:sz w:val="16"/>
                <w:szCs w:val="16"/>
                <w:color w:val="auto"/>
              </w:rPr>
              <w:t xml:space="preserve">Women in executive leadership positions </w:t>
            </w:r>
            <w:r>
              <w:rPr>
                <w:rFonts w:ascii="Arial" w:cs="Arial" w:eastAsia="Arial" w:hAnsi="Arial"/>
                <w:sz w:val="21"/>
                <w:szCs w:val="21"/>
                <w:color w:val="auto"/>
                <w:vertAlign w:val="superscript"/>
              </w:rPr>
              <w:t>(a)</w:t>
            </w:r>
          </w:p>
        </w:tc>
        <w:tc>
          <w:tcPr>
            <w:tcW w:w="3500" w:type="dxa"/>
            <w:vAlign w:val="bottom"/>
          </w:tcPr>
          <w:p>
            <w:pPr>
              <w:jc w:val="center"/>
              <w:ind w:left="779"/>
              <w:spacing w:after="0"/>
              <w:rPr>
                <w:sz w:val="20"/>
                <w:szCs w:val="20"/>
                <w:color w:val="auto"/>
              </w:rPr>
            </w:pPr>
            <w:r>
              <w:rPr>
                <w:rFonts w:ascii="Arial" w:cs="Arial" w:eastAsia="Arial" w:hAnsi="Arial"/>
                <w:sz w:val="16"/>
                <w:szCs w:val="16"/>
                <w:color w:val="auto"/>
                <w:w w:val="99"/>
              </w:rPr>
              <w:t>32%</w:t>
            </w:r>
          </w:p>
        </w:tc>
        <w:tc>
          <w:tcPr>
            <w:tcW w:w="2660" w:type="dxa"/>
            <w:vAlign w:val="bottom"/>
          </w:tcPr>
          <w:p>
            <w:pPr>
              <w:jc w:val="center"/>
              <w:spacing w:after="0"/>
              <w:rPr>
                <w:sz w:val="20"/>
                <w:szCs w:val="20"/>
                <w:color w:val="auto"/>
              </w:rPr>
            </w:pPr>
            <w:r>
              <w:rPr>
                <w:rFonts w:ascii="Arial" w:cs="Arial" w:eastAsia="Arial" w:hAnsi="Arial"/>
                <w:sz w:val="16"/>
                <w:szCs w:val="16"/>
                <w:color w:val="auto"/>
              </w:rPr>
              <w:t>29%</w:t>
            </w:r>
          </w:p>
        </w:tc>
      </w:tr>
      <w:tr>
        <w:trPr>
          <w:trHeight w:val="189"/>
        </w:trPr>
        <w:tc>
          <w:tcPr>
            <w:tcW w:w="5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Gender diversity (women as a % of total employees)</w:t>
            </w:r>
          </w:p>
        </w:tc>
        <w:tc>
          <w:tcPr>
            <w:tcW w:w="3500" w:type="dxa"/>
            <w:vAlign w:val="bottom"/>
            <w:shd w:val="clear" w:color="auto" w:fill="CFF0FC"/>
          </w:tcPr>
          <w:p>
            <w:pPr>
              <w:jc w:val="center"/>
              <w:ind w:left="779"/>
              <w:spacing w:after="0"/>
              <w:rPr>
                <w:sz w:val="20"/>
                <w:szCs w:val="20"/>
                <w:color w:val="auto"/>
              </w:rPr>
            </w:pPr>
            <w:r>
              <w:rPr>
                <w:rFonts w:ascii="Arial" w:cs="Arial" w:eastAsia="Arial" w:hAnsi="Arial"/>
                <w:sz w:val="16"/>
                <w:szCs w:val="16"/>
                <w:color w:val="auto"/>
                <w:w w:val="99"/>
              </w:rPr>
              <w:t>24%</w:t>
            </w:r>
          </w:p>
        </w:tc>
        <w:tc>
          <w:tcPr>
            <w:tcW w:w="26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24%</w:t>
            </w:r>
          </w:p>
        </w:tc>
      </w:tr>
      <w:tr>
        <w:trPr>
          <w:trHeight w:val="189"/>
        </w:trPr>
        <w:tc>
          <w:tcPr>
            <w:tcW w:w="5080" w:type="dxa"/>
            <w:vAlign w:val="bottom"/>
          </w:tcPr>
          <w:p>
            <w:pPr>
              <w:ind w:left="20"/>
              <w:spacing w:after="0"/>
              <w:rPr>
                <w:sz w:val="20"/>
                <w:szCs w:val="20"/>
                <w:color w:val="auto"/>
              </w:rPr>
            </w:pPr>
            <w:r>
              <w:rPr>
                <w:rFonts w:ascii="Arial" w:cs="Arial" w:eastAsia="Arial" w:hAnsi="Arial"/>
                <w:sz w:val="16"/>
                <w:szCs w:val="16"/>
                <w:color w:val="auto"/>
              </w:rPr>
              <w:t>Represented by a union</w:t>
            </w:r>
          </w:p>
        </w:tc>
        <w:tc>
          <w:tcPr>
            <w:tcW w:w="3500" w:type="dxa"/>
            <w:vAlign w:val="bottom"/>
          </w:tcPr>
          <w:p>
            <w:pPr>
              <w:jc w:val="center"/>
              <w:ind w:left="779"/>
              <w:spacing w:after="0"/>
              <w:rPr>
                <w:sz w:val="20"/>
                <w:szCs w:val="20"/>
                <w:color w:val="auto"/>
              </w:rPr>
            </w:pPr>
            <w:r>
              <w:rPr>
                <w:rFonts w:ascii="Arial" w:cs="Arial" w:eastAsia="Arial" w:hAnsi="Arial"/>
                <w:sz w:val="16"/>
                <w:szCs w:val="16"/>
                <w:color w:val="auto"/>
                <w:w w:val="99"/>
              </w:rPr>
              <w:t>25%</w:t>
            </w:r>
          </w:p>
        </w:tc>
        <w:tc>
          <w:tcPr>
            <w:tcW w:w="2660" w:type="dxa"/>
            <w:vAlign w:val="bottom"/>
          </w:tcPr>
          <w:p>
            <w:pPr>
              <w:jc w:val="center"/>
              <w:spacing w:after="0"/>
              <w:rPr>
                <w:sz w:val="20"/>
                <w:szCs w:val="20"/>
                <w:color w:val="auto"/>
              </w:rPr>
            </w:pPr>
            <w:r>
              <w:rPr>
                <w:rFonts w:ascii="Arial" w:cs="Arial" w:eastAsia="Arial" w:hAnsi="Arial"/>
                <w:sz w:val="16"/>
                <w:szCs w:val="16"/>
                <w:color w:val="auto"/>
              </w:rPr>
              <w:t>25%</w:t>
            </w:r>
          </w:p>
        </w:tc>
      </w:tr>
      <w:tr>
        <w:trPr>
          <w:trHeight w:val="189"/>
        </w:trPr>
        <w:tc>
          <w:tcPr>
            <w:tcW w:w="5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Military veterans</w:t>
            </w:r>
          </w:p>
        </w:tc>
        <w:tc>
          <w:tcPr>
            <w:tcW w:w="3500" w:type="dxa"/>
            <w:vAlign w:val="bottom"/>
            <w:shd w:val="clear" w:color="auto" w:fill="CFF0FC"/>
          </w:tcPr>
          <w:p>
            <w:pPr>
              <w:jc w:val="center"/>
              <w:ind w:left="779"/>
              <w:spacing w:after="0"/>
              <w:rPr>
                <w:sz w:val="20"/>
                <w:szCs w:val="20"/>
                <w:color w:val="auto"/>
              </w:rPr>
            </w:pPr>
            <w:r>
              <w:rPr>
                <w:rFonts w:ascii="Arial" w:cs="Arial" w:eastAsia="Arial" w:hAnsi="Arial"/>
                <w:sz w:val="16"/>
                <w:szCs w:val="16"/>
                <w:color w:val="auto"/>
              </w:rPr>
              <w:t>9%</w:t>
            </w:r>
          </w:p>
        </w:tc>
        <w:tc>
          <w:tcPr>
            <w:tcW w:w="26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10%</w:t>
            </w:r>
          </w:p>
        </w:tc>
      </w:tr>
      <w:tr>
        <w:trPr>
          <w:trHeight w:val="215"/>
        </w:trPr>
        <w:tc>
          <w:tcPr>
            <w:tcW w:w="5080" w:type="dxa"/>
            <w:vAlign w:val="bottom"/>
          </w:tcPr>
          <w:p>
            <w:pPr>
              <w:ind w:left="20"/>
              <w:spacing w:after="0"/>
              <w:rPr>
                <w:sz w:val="20"/>
                <w:szCs w:val="20"/>
                <w:color w:val="auto"/>
              </w:rPr>
            </w:pPr>
            <w:r>
              <w:rPr>
                <w:rFonts w:ascii="Arial" w:cs="Arial" w:eastAsia="Arial" w:hAnsi="Arial"/>
                <w:sz w:val="16"/>
                <w:szCs w:val="16"/>
                <w:color w:val="auto"/>
              </w:rPr>
              <w:t>Ethnic diversity (non-white employees as a % of total)</w:t>
            </w:r>
          </w:p>
        </w:tc>
        <w:tc>
          <w:tcPr>
            <w:tcW w:w="3500" w:type="dxa"/>
            <w:vAlign w:val="bottom"/>
          </w:tcPr>
          <w:p>
            <w:pPr>
              <w:jc w:val="center"/>
              <w:ind w:left="779"/>
              <w:spacing w:after="0"/>
              <w:rPr>
                <w:sz w:val="20"/>
                <w:szCs w:val="20"/>
                <w:color w:val="auto"/>
              </w:rPr>
            </w:pPr>
            <w:r>
              <w:rPr>
                <w:rFonts w:ascii="Arial" w:cs="Arial" w:eastAsia="Arial" w:hAnsi="Arial"/>
                <w:sz w:val="16"/>
                <w:szCs w:val="16"/>
                <w:color w:val="auto"/>
                <w:w w:val="99"/>
              </w:rPr>
              <w:t>15%</w:t>
            </w:r>
          </w:p>
        </w:tc>
        <w:tc>
          <w:tcPr>
            <w:tcW w:w="2660" w:type="dxa"/>
            <w:vAlign w:val="bottom"/>
          </w:tcPr>
          <w:p>
            <w:pPr>
              <w:jc w:val="center"/>
              <w:spacing w:after="0"/>
              <w:rPr>
                <w:sz w:val="20"/>
                <w:szCs w:val="20"/>
                <w:color w:val="auto"/>
              </w:rPr>
            </w:pPr>
            <w:r>
              <w:rPr>
                <w:rFonts w:ascii="Arial" w:cs="Arial" w:eastAsia="Arial" w:hAnsi="Arial"/>
                <w:sz w:val="16"/>
                <w:szCs w:val="16"/>
                <w:color w:val="auto"/>
              </w:rPr>
              <w:t>15%</w:t>
            </w:r>
          </w:p>
        </w:tc>
      </w:tr>
    </w:tbl>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40" w:type="dxa"/>
            <w:vAlign w:val="bottom"/>
          </w:tcPr>
          <w:p>
            <w:pPr>
              <w:spacing w:after="0"/>
              <w:rPr>
                <w:sz w:val="16"/>
                <w:szCs w:val="16"/>
                <w:color w:val="auto"/>
              </w:rPr>
            </w:pPr>
          </w:p>
        </w:tc>
        <w:tc>
          <w:tcPr>
            <w:tcW w:w="2620" w:type="dxa"/>
            <w:vAlign w:val="bottom"/>
          </w:tcPr>
          <w:p>
            <w:pPr>
              <w:ind w:left="20"/>
              <w:spacing w:after="0"/>
              <w:rPr>
                <w:sz w:val="20"/>
                <w:szCs w:val="20"/>
                <w:color w:val="auto"/>
              </w:rPr>
            </w:pPr>
            <w:r>
              <w:rPr>
                <w:rFonts w:ascii="Arial" w:cs="Arial" w:eastAsia="Arial" w:hAnsi="Arial"/>
                <w:sz w:val="16"/>
                <w:szCs w:val="16"/>
                <w:b w:val="1"/>
                <w:bCs w:val="1"/>
                <w:color w:val="auto"/>
              </w:rPr>
              <w:t>For the year ended December 31,</w:t>
            </w:r>
          </w:p>
        </w:tc>
        <w:tc>
          <w:tcPr>
            <w:tcW w:w="2680" w:type="dxa"/>
            <w:vAlign w:val="bottom"/>
          </w:tcPr>
          <w:p>
            <w:pPr>
              <w:ind w:left="60"/>
              <w:spacing w:after="0"/>
              <w:rPr>
                <w:sz w:val="20"/>
                <w:szCs w:val="20"/>
                <w:color w:val="auto"/>
              </w:rPr>
            </w:pPr>
            <w:r>
              <w:rPr>
                <w:rFonts w:ascii="Arial" w:cs="Arial" w:eastAsia="Arial" w:hAnsi="Arial"/>
                <w:sz w:val="16"/>
                <w:szCs w:val="16"/>
                <w:b w:val="1"/>
                <w:bCs w:val="1"/>
                <w:color w:val="auto"/>
              </w:rPr>
              <w:t>For the year ended December 31,</w:t>
            </w:r>
          </w:p>
        </w:tc>
      </w:tr>
      <w:tr>
        <w:trPr>
          <w:trHeight w:val="203"/>
        </w:trPr>
        <w:tc>
          <w:tcPr>
            <w:tcW w:w="5940" w:type="dxa"/>
            <w:vAlign w:val="bottom"/>
          </w:tcPr>
          <w:p>
            <w:pPr>
              <w:spacing w:after="0"/>
              <w:rPr>
                <w:sz w:val="17"/>
                <w:szCs w:val="17"/>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2024</w:t>
            </w: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2023</w:t>
            </w:r>
          </w:p>
        </w:tc>
      </w:tr>
      <w:tr>
        <w:trPr>
          <w:trHeight w:val="183"/>
        </w:trPr>
        <w:tc>
          <w:tcPr>
            <w:tcW w:w="594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Number of external hires</w:t>
            </w:r>
          </w:p>
        </w:tc>
        <w:tc>
          <w:tcPr>
            <w:tcW w:w="2620" w:type="dxa"/>
            <w:vAlign w:val="bottom"/>
            <w:shd w:val="clear" w:color="auto" w:fill="CFF0FC"/>
          </w:tcPr>
          <w:p>
            <w:pPr>
              <w:jc w:val="center"/>
              <w:spacing w:after="0" w:line="183" w:lineRule="exact"/>
              <w:rPr>
                <w:sz w:val="20"/>
                <w:szCs w:val="20"/>
                <w:color w:val="auto"/>
              </w:rPr>
            </w:pPr>
            <w:r>
              <w:rPr>
                <w:rFonts w:ascii="Arial" w:cs="Arial" w:eastAsia="Arial" w:hAnsi="Arial"/>
                <w:sz w:val="16"/>
                <w:szCs w:val="16"/>
                <w:color w:val="auto"/>
              </w:rPr>
              <w:t>303</w:t>
            </w:r>
          </w:p>
        </w:tc>
        <w:tc>
          <w:tcPr>
            <w:tcW w:w="2680" w:type="dxa"/>
            <w:vAlign w:val="bottom"/>
            <w:shd w:val="clear" w:color="auto" w:fill="CFF0FC"/>
          </w:tcPr>
          <w:p>
            <w:pPr>
              <w:jc w:val="center"/>
              <w:spacing w:after="0" w:line="183" w:lineRule="exact"/>
              <w:rPr>
                <w:sz w:val="20"/>
                <w:szCs w:val="20"/>
                <w:color w:val="auto"/>
              </w:rPr>
            </w:pPr>
            <w:r>
              <w:rPr>
                <w:rFonts w:ascii="Arial" w:cs="Arial" w:eastAsia="Arial" w:hAnsi="Arial"/>
                <w:sz w:val="16"/>
                <w:szCs w:val="16"/>
                <w:color w:val="auto"/>
                <w:w w:val="97"/>
              </w:rPr>
              <w:t>293</w:t>
            </w:r>
          </w:p>
        </w:tc>
      </w:tr>
      <w:tr>
        <w:trPr>
          <w:trHeight w:val="189"/>
        </w:trPr>
        <w:tc>
          <w:tcPr>
            <w:tcW w:w="5940" w:type="dxa"/>
            <w:vAlign w:val="bottom"/>
          </w:tcPr>
          <w:p>
            <w:pPr>
              <w:ind w:left="20"/>
              <w:spacing w:after="0"/>
              <w:rPr>
                <w:sz w:val="20"/>
                <w:szCs w:val="20"/>
                <w:color w:val="auto"/>
              </w:rPr>
            </w:pPr>
            <w:r>
              <w:rPr>
                <w:rFonts w:ascii="Arial" w:cs="Arial" w:eastAsia="Arial" w:hAnsi="Arial"/>
                <w:sz w:val="16"/>
                <w:szCs w:val="16"/>
                <w:color w:val="auto"/>
              </w:rPr>
              <w:t>External hires gender diversity (as a % of total external hires)</w:t>
            </w:r>
          </w:p>
        </w:tc>
        <w:tc>
          <w:tcPr>
            <w:tcW w:w="2620" w:type="dxa"/>
            <w:vAlign w:val="bottom"/>
          </w:tcPr>
          <w:p>
            <w:pPr>
              <w:jc w:val="center"/>
              <w:spacing w:after="0"/>
              <w:rPr>
                <w:sz w:val="20"/>
                <w:szCs w:val="20"/>
                <w:color w:val="auto"/>
              </w:rPr>
            </w:pPr>
            <w:r>
              <w:rPr>
                <w:rFonts w:ascii="Arial" w:cs="Arial" w:eastAsia="Arial" w:hAnsi="Arial"/>
                <w:sz w:val="16"/>
                <w:szCs w:val="16"/>
                <w:color w:val="auto"/>
                <w:w w:val="99"/>
              </w:rPr>
              <w:t>29%</w:t>
            </w:r>
          </w:p>
        </w:tc>
        <w:tc>
          <w:tcPr>
            <w:tcW w:w="2680" w:type="dxa"/>
            <w:vAlign w:val="bottom"/>
          </w:tcPr>
          <w:p>
            <w:pPr>
              <w:jc w:val="center"/>
              <w:spacing w:after="0"/>
              <w:rPr>
                <w:sz w:val="20"/>
                <w:szCs w:val="20"/>
                <w:color w:val="auto"/>
              </w:rPr>
            </w:pPr>
            <w:r>
              <w:rPr>
                <w:rFonts w:ascii="Arial" w:cs="Arial" w:eastAsia="Arial" w:hAnsi="Arial"/>
                <w:sz w:val="16"/>
                <w:szCs w:val="16"/>
                <w:color w:val="auto"/>
              </w:rPr>
              <w:t>27%</w:t>
            </w:r>
          </w:p>
        </w:tc>
      </w:tr>
      <w:tr>
        <w:trPr>
          <w:trHeight w:val="189"/>
        </w:trPr>
        <w:tc>
          <w:tcPr>
            <w:tcW w:w="5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External hires ethnic diversity (as a % of total external hires)</w:t>
            </w:r>
          </w:p>
        </w:tc>
        <w:tc>
          <w:tcPr>
            <w:tcW w:w="26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25%</w:t>
            </w:r>
          </w:p>
        </w:tc>
        <w:tc>
          <w:tcPr>
            <w:tcW w:w="26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24%</w:t>
            </w:r>
          </w:p>
        </w:tc>
      </w:tr>
      <w:tr>
        <w:trPr>
          <w:trHeight w:val="189"/>
        </w:trPr>
        <w:tc>
          <w:tcPr>
            <w:tcW w:w="5940" w:type="dxa"/>
            <w:vAlign w:val="bottom"/>
          </w:tcPr>
          <w:p>
            <w:pPr>
              <w:ind w:left="20"/>
              <w:spacing w:after="0" w:line="189" w:lineRule="exact"/>
              <w:rPr>
                <w:sz w:val="20"/>
                <w:szCs w:val="20"/>
                <w:color w:val="auto"/>
              </w:rPr>
            </w:pPr>
            <w:r>
              <w:rPr>
                <w:rFonts w:ascii="Arial" w:cs="Arial" w:eastAsia="Arial" w:hAnsi="Arial"/>
                <w:sz w:val="16"/>
                <w:szCs w:val="16"/>
                <w:color w:val="auto"/>
              </w:rPr>
              <w:t xml:space="preserve">Turnover rate </w:t>
            </w:r>
            <w:r>
              <w:rPr>
                <w:rFonts w:ascii="Arial" w:cs="Arial" w:eastAsia="Arial" w:hAnsi="Arial"/>
                <w:sz w:val="21"/>
                <w:szCs w:val="21"/>
                <w:color w:val="auto"/>
                <w:vertAlign w:val="superscript"/>
              </w:rPr>
              <w:t>(b)</w:t>
            </w:r>
          </w:p>
        </w:tc>
        <w:tc>
          <w:tcPr>
            <w:tcW w:w="2620" w:type="dxa"/>
            <w:vAlign w:val="bottom"/>
          </w:tcPr>
          <w:p>
            <w:pPr>
              <w:jc w:val="center"/>
              <w:spacing w:after="0"/>
              <w:rPr>
                <w:sz w:val="20"/>
                <w:szCs w:val="20"/>
                <w:color w:val="auto"/>
              </w:rPr>
            </w:pPr>
            <w:r>
              <w:rPr>
                <w:rFonts w:ascii="Arial" w:cs="Arial" w:eastAsia="Arial" w:hAnsi="Arial"/>
                <w:sz w:val="16"/>
                <w:szCs w:val="16"/>
                <w:color w:val="auto"/>
                <w:w w:val="99"/>
              </w:rPr>
              <w:t>11%</w:t>
            </w:r>
          </w:p>
        </w:tc>
        <w:tc>
          <w:tcPr>
            <w:tcW w:w="2680" w:type="dxa"/>
            <w:vAlign w:val="bottom"/>
          </w:tcPr>
          <w:p>
            <w:pPr>
              <w:jc w:val="center"/>
              <w:spacing w:after="0"/>
              <w:rPr>
                <w:sz w:val="20"/>
                <w:szCs w:val="20"/>
                <w:color w:val="auto"/>
              </w:rPr>
            </w:pPr>
            <w:r>
              <w:rPr>
                <w:rFonts w:ascii="Arial" w:cs="Arial" w:eastAsia="Arial" w:hAnsi="Arial"/>
                <w:sz w:val="16"/>
                <w:szCs w:val="16"/>
                <w:color w:val="auto"/>
              </w:rPr>
              <w:t>12%</w:t>
            </w:r>
          </w:p>
        </w:tc>
      </w:tr>
      <w:tr>
        <w:trPr>
          <w:trHeight w:val="189"/>
        </w:trPr>
        <w:tc>
          <w:tcPr>
            <w:tcW w:w="5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Retirement rate</w:t>
            </w:r>
          </w:p>
        </w:tc>
        <w:tc>
          <w:tcPr>
            <w:tcW w:w="26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3%</w:t>
            </w:r>
          </w:p>
        </w:tc>
        <w:tc>
          <w:tcPr>
            <w:tcW w:w="26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4"/>
              </w:rPr>
              <w:t>3%</w:t>
            </w:r>
          </w:p>
        </w:tc>
      </w:tr>
      <w:tr>
        <w:trPr>
          <w:trHeight w:val="142"/>
        </w:trPr>
        <w:tc>
          <w:tcPr>
            <w:tcW w:w="5940" w:type="dxa"/>
            <w:vAlign w:val="bottom"/>
          </w:tcPr>
          <w:p>
            <w:pPr>
              <w:spacing w:after="0"/>
              <w:rPr>
                <w:sz w:val="20"/>
                <w:szCs w:val="20"/>
                <w:color w:val="auto"/>
              </w:rPr>
            </w:pPr>
            <w:r>
              <w:rPr>
                <w:rFonts w:ascii="Arial" w:cs="Arial" w:eastAsia="Arial" w:hAnsi="Arial"/>
                <w:sz w:val="11"/>
                <w:szCs w:val="11"/>
                <w:color w:val="auto"/>
              </w:rPr>
              <w:t>____________________</w:t>
            </w:r>
          </w:p>
        </w:tc>
        <w:tc>
          <w:tcPr>
            <w:tcW w:w="2620" w:type="dxa"/>
            <w:vAlign w:val="bottom"/>
          </w:tcPr>
          <w:p>
            <w:pPr>
              <w:spacing w:after="0"/>
              <w:rPr>
                <w:sz w:val="12"/>
                <w:szCs w:val="12"/>
                <w:color w:val="auto"/>
              </w:rPr>
            </w:pPr>
          </w:p>
        </w:tc>
        <w:tc>
          <w:tcPr>
            <w:tcW w:w="2680" w:type="dxa"/>
            <w:vAlign w:val="bottom"/>
          </w:tcPr>
          <w:p>
            <w:pPr>
              <w:spacing w:after="0"/>
              <w:rPr>
                <w:sz w:val="12"/>
                <w:szCs w:val="12"/>
                <w:color w:val="auto"/>
              </w:rPr>
            </w:pPr>
          </w:p>
        </w:tc>
      </w:tr>
    </w:tbl>
    <w:p>
      <w:pPr>
        <w:spacing w:after="0" w:line="11"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Executive leadership positions are defined as positions with Vice President, Senior Vice President, or Chief in their title.</w:t>
      </w:r>
    </w:p>
    <w:p>
      <w:pPr>
        <w:spacing w:after="0" w:line="15" w:lineRule="exact"/>
        <w:rPr>
          <w:rFonts w:ascii="Arial" w:cs="Arial" w:eastAsia="Arial" w:hAnsi="Arial"/>
          <w:sz w:val="14"/>
          <w:szCs w:val="14"/>
          <w:color w:val="auto"/>
        </w:rPr>
      </w:pPr>
    </w:p>
    <w:p>
      <w:pPr>
        <w:ind w:left="520" w:hanging="512"/>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voluntary and involuntary separations but excludes internships.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20" w:type="dxa"/>
            <w:vAlign w:val="bottom"/>
          </w:tcPr>
          <w:p>
            <w:pPr>
              <w:spacing w:after="0"/>
              <w:rPr>
                <w:sz w:val="20"/>
                <w:szCs w:val="20"/>
                <w:color w:val="auto"/>
              </w:rPr>
            </w:pPr>
            <w:r>
              <w:rPr>
                <w:rFonts w:ascii="Arial" w:cs="Arial" w:eastAsia="Arial" w:hAnsi="Arial"/>
                <w:sz w:val="16"/>
                <w:szCs w:val="16"/>
                <w:i w:val="1"/>
                <w:iCs w:val="1"/>
                <w:color w:val="auto"/>
              </w:rPr>
              <w:t>Total Employees</w:t>
            </w:r>
          </w:p>
        </w:tc>
        <w:tc>
          <w:tcPr>
            <w:tcW w:w="3920" w:type="dxa"/>
            <w:vAlign w:val="bottom"/>
          </w:tcPr>
          <w:p>
            <w:pPr>
              <w:spacing w:after="0"/>
              <w:rPr>
                <w:sz w:val="18"/>
                <w:szCs w:val="18"/>
                <w:color w:val="auto"/>
              </w:rPr>
            </w:pPr>
          </w:p>
        </w:tc>
      </w:tr>
      <w:tr>
        <w:trPr>
          <w:trHeight w:val="352"/>
        </w:trPr>
        <w:tc>
          <w:tcPr>
            <w:tcW w:w="7320" w:type="dxa"/>
            <w:vAlign w:val="bottom"/>
          </w:tcPr>
          <w:p>
            <w:pPr>
              <w:spacing w:after="0"/>
              <w:rPr>
                <w:sz w:val="24"/>
                <w:szCs w:val="24"/>
                <w:color w:val="auto"/>
              </w:rPr>
            </w:pPr>
          </w:p>
        </w:tc>
        <w:tc>
          <w:tcPr>
            <w:tcW w:w="3920" w:type="dxa"/>
            <w:vAlign w:val="bottom"/>
          </w:tcPr>
          <w:p>
            <w:pPr>
              <w:jc w:val="right"/>
              <w:ind w:right="1079"/>
              <w:spacing w:after="0"/>
              <w:rPr>
                <w:sz w:val="20"/>
                <w:szCs w:val="20"/>
                <w:color w:val="auto"/>
              </w:rPr>
            </w:pPr>
            <w:r>
              <w:rPr>
                <w:rFonts w:ascii="Arial" w:cs="Arial" w:eastAsia="Arial" w:hAnsi="Arial"/>
                <w:sz w:val="16"/>
                <w:szCs w:val="16"/>
                <w:b w:val="1"/>
                <w:bCs w:val="1"/>
                <w:color w:val="auto"/>
              </w:rPr>
              <w:t>Number of Employees</w:t>
            </w:r>
          </w:p>
        </w:tc>
      </w:tr>
      <w:tr>
        <w:trPr>
          <w:trHeight w:val="203"/>
        </w:trPr>
        <w:tc>
          <w:tcPr>
            <w:tcW w:w="7320" w:type="dxa"/>
            <w:vAlign w:val="bottom"/>
          </w:tcPr>
          <w:p>
            <w:pPr>
              <w:spacing w:after="0"/>
              <w:rPr>
                <w:sz w:val="17"/>
                <w:szCs w:val="17"/>
                <w:color w:val="auto"/>
              </w:rPr>
            </w:pPr>
          </w:p>
        </w:tc>
        <w:tc>
          <w:tcPr>
            <w:tcW w:w="392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b w:val="1"/>
                <w:bCs w:val="1"/>
                <w:color w:val="auto"/>
              </w:rPr>
              <w:t>As of December 31, 2024</w:t>
            </w:r>
          </w:p>
        </w:tc>
      </w:tr>
      <w:tr>
        <w:trPr>
          <w:trHeight w:val="183"/>
        </w:trPr>
        <w:tc>
          <w:tcPr>
            <w:tcW w:w="73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Electric Utilities</w:t>
            </w:r>
          </w:p>
        </w:tc>
        <w:tc>
          <w:tcPr>
            <w:tcW w:w="392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423</w:t>
            </w:r>
          </w:p>
        </w:tc>
      </w:tr>
      <w:tr>
        <w:trPr>
          <w:trHeight w:val="189"/>
        </w:trPr>
        <w:tc>
          <w:tcPr>
            <w:tcW w:w="7320" w:type="dxa"/>
            <w:vAlign w:val="bottom"/>
          </w:tcPr>
          <w:p>
            <w:pPr>
              <w:ind w:left="20"/>
              <w:spacing w:after="0"/>
              <w:rPr>
                <w:sz w:val="20"/>
                <w:szCs w:val="20"/>
                <w:color w:val="auto"/>
              </w:rPr>
            </w:pPr>
            <w:r>
              <w:rPr>
                <w:rFonts w:ascii="Arial" w:cs="Arial" w:eastAsia="Arial" w:hAnsi="Arial"/>
                <w:sz w:val="16"/>
                <w:szCs w:val="16"/>
                <w:color w:val="auto"/>
              </w:rPr>
              <w:t>Gas Utilities</w:t>
            </w:r>
          </w:p>
        </w:tc>
        <w:tc>
          <w:tcPr>
            <w:tcW w:w="3920" w:type="dxa"/>
            <w:vAlign w:val="bottom"/>
          </w:tcPr>
          <w:p>
            <w:pPr>
              <w:jc w:val="right"/>
              <w:ind w:right="59"/>
              <w:spacing w:after="0"/>
              <w:rPr>
                <w:sz w:val="20"/>
                <w:szCs w:val="20"/>
                <w:color w:val="auto"/>
              </w:rPr>
            </w:pPr>
            <w:r>
              <w:rPr>
                <w:rFonts w:ascii="Arial" w:cs="Arial" w:eastAsia="Arial" w:hAnsi="Arial"/>
                <w:sz w:val="16"/>
                <w:szCs w:val="16"/>
                <w:color w:val="auto"/>
              </w:rPr>
              <w:t>1,175</w:t>
            </w:r>
          </w:p>
        </w:tc>
      </w:tr>
      <w:tr>
        <w:trPr>
          <w:trHeight w:val="189"/>
        </w:trPr>
        <w:tc>
          <w:tcPr>
            <w:tcW w:w="7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Corporate and Other</w:t>
            </w:r>
          </w:p>
        </w:tc>
        <w:tc>
          <w:tcPr>
            <w:tcW w:w="39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1,243</w:t>
            </w:r>
          </w:p>
        </w:tc>
      </w:tr>
      <w:tr>
        <w:trPr>
          <w:trHeight w:val="183"/>
        </w:trPr>
        <w:tc>
          <w:tcPr>
            <w:tcW w:w="7320" w:type="dxa"/>
            <w:vAlign w:val="bottom"/>
          </w:tcPr>
          <w:p>
            <w:pPr>
              <w:ind w:left="20"/>
              <w:spacing w:after="0" w:line="183" w:lineRule="exact"/>
              <w:rPr>
                <w:sz w:val="20"/>
                <w:szCs w:val="20"/>
                <w:color w:val="auto"/>
              </w:rPr>
            </w:pPr>
            <w:r>
              <w:rPr>
                <w:rFonts w:ascii="Arial" w:cs="Arial" w:eastAsia="Arial" w:hAnsi="Arial"/>
                <w:sz w:val="16"/>
                <w:szCs w:val="16"/>
                <w:color w:val="auto"/>
              </w:rPr>
              <w:t>Total</w:t>
            </w:r>
          </w:p>
        </w:tc>
        <w:tc>
          <w:tcPr>
            <w:tcW w:w="392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2,841</w:t>
            </w:r>
          </w:p>
        </w:tc>
      </w:tr>
      <w:tr>
        <w:trPr>
          <w:trHeight w:val="20"/>
        </w:trPr>
        <w:tc>
          <w:tcPr>
            <w:tcW w:w="7320" w:type="dxa"/>
            <w:vAlign w:val="bottom"/>
          </w:tcPr>
          <w:p>
            <w:pPr>
              <w:spacing w:after="0" w:line="20" w:lineRule="exact"/>
              <w:rPr>
                <w:sz w:val="1"/>
                <w:szCs w:val="1"/>
                <w:color w:val="auto"/>
              </w:rPr>
            </w:pPr>
          </w:p>
        </w:tc>
        <w:tc>
          <w:tcPr>
            <w:tcW w:w="39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At December 31, 2024, approximately 18% of our total employees and 20% of our Electric and Gas Utilities employees were eligible for retirement (age 55 with at least 5 years of service).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Collective Bargaining Agreements</w:t>
      </w:r>
    </w:p>
    <w:p>
      <w:pPr>
        <w:spacing w:after="0" w:line="192"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At December 31, 2024, certain employees of our Electric Utilities and Gas Utilities were covered by the collective bargaining agreements as shown in the table below. We have not experienced any labor stoppages in decades.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60" w:type="dxa"/>
            <w:vAlign w:val="bottom"/>
          </w:tcPr>
          <w:p>
            <w:pPr>
              <w:spacing w:after="0"/>
              <w:rPr>
                <w:sz w:val="16"/>
                <w:szCs w:val="16"/>
                <w:color w:val="auto"/>
              </w:rPr>
            </w:pPr>
          </w:p>
        </w:tc>
        <w:tc>
          <w:tcPr>
            <w:tcW w:w="1300" w:type="dxa"/>
            <w:vAlign w:val="bottom"/>
          </w:tcPr>
          <w:p>
            <w:pPr>
              <w:ind w:left="400"/>
              <w:spacing w:after="0"/>
              <w:rPr>
                <w:sz w:val="20"/>
                <w:szCs w:val="20"/>
                <w:color w:val="auto"/>
              </w:rPr>
            </w:pPr>
            <w:r>
              <w:rPr>
                <w:rFonts w:ascii="Arial" w:cs="Arial" w:eastAsia="Arial" w:hAnsi="Arial"/>
                <w:sz w:val="16"/>
                <w:szCs w:val="16"/>
                <w:b w:val="1"/>
                <w:bCs w:val="1"/>
                <w:color w:val="auto"/>
              </w:rPr>
              <w:t>Number of</w:t>
            </w:r>
          </w:p>
        </w:tc>
        <w:tc>
          <w:tcPr>
            <w:tcW w:w="4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3700" w:type="dxa"/>
            <w:vAlign w:val="bottom"/>
          </w:tcPr>
          <w:p>
            <w:pPr>
              <w:jc w:val="center"/>
              <w:ind w:left="119"/>
              <w:spacing w:after="0"/>
              <w:rPr>
                <w:sz w:val="20"/>
                <w:szCs w:val="20"/>
                <w:color w:val="auto"/>
              </w:rPr>
            </w:pPr>
            <w:r>
              <w:rPr>
                <w:rFonts w:ascii="Arial" w:cs="Arial" w:eastAsia="Arial" w:hAnsi="Arial"/>
                <w:sz w:val="16"/>
                <w:szCs w:val="16"/>
                <w:b w:val="1"/>
                <w:bCs w:val="1"/>
                <w:color w:val="auto"/>
              </w:rPr>
              <w:t>Expiration Date of Collective Bargaining</w:t>
            </w:r>
          </w:p>
        </w:tc>
        <w:tc>
          <w:tcPr>
            <w:tcW w:w="0" w:type="dxa"/>
            <w:vAlign w:val="bottom"/>
          </w:tcPr>
          <w:p>
            <w:pPr>
              <w:spacing w:after="0"/>
              <w:rPr>
                <w:sz w:val="1"/>
                <w:szCs w:val="1"/>
                <w:color w:val="auto"/>
              </w:rPr>
            </w:pPr>
          </w:p>
        </w:tc>
      </w:tr>
      <w:tr>
        <w:trPr>
          <w:trHeight w:val="203"/>
        </w:trPr>
        <w:tc>
          <w:tcPr>
            <w:tcW w:w="2560" w:type="dxa"/>
            <w:vAlign w:val="bottom"/>
            <w:tcBorders>
              <w:bottom w:val="single" w:sz="8" w:color="auto"/>
            </w:tcBorders>
          </w:tcPr>
          <w:p>
            <w:pPr>
              <w:ind w:left="1060"/>
              <w:spacing w:after="0"/>
              <w:rPr>
                <w:sz w:val="20"/>
                <w:szCs w:val="20"/>
                <w:color w:val="auto"/>
              </w:rPr>
            </w:pPr>
            <w:r>
              <w:rPr>
                <w:rFonts w:ascii="Arial" w:cs="Arial" w:eastAsia="Arial" w:hAnsi="Arial"/>
                <w:sz w:val="16"/>
                <w:szCs w:val="16"/>
                <w:b w:val="1"/>
                <w:bCs w:val="1"/>
                <w:color w:val="auto"/>
              </w:rPr>
              <w:t>Utility</w:t>
            </w:r>
          </w:p>
        </w:tc>
        <w:tc>
          <w:tcPr>
            <w:tcW w:w="1300" w:type="dxa"/>
            <w:vAlign w:val="bottom"/>
            <w:tcBorders>
              <w:bottom w:val="single" w:sz="8" w:color="auto"/>
            </w:tcBorders>
          </w:tcPr>
          <w:p>
            <w:pPr>
              <w:ind w:left="400"/>
              <w:spacing w:after="0"/>
              <w:rPr>
                <w:sz w:val="20"/>
                <w:szCs w:val="20"/>
                <w:color w:val="auto"/>
              </w:rPr>
            </w:pPr>
            <w:r>
              <w:rPr>
                <w:rFonts w:ascii="Arial" w:cs="Arial" w:eastAsia="Arial" w:hAnsi="Arial"/>
                <w:sz w:val="16"/>
                <w:szCs w:val="16"/>
                <w:b w:val="1"/>
                <w:bCs w:val="1"/>
                <w:color w:val="auto"/>
              </w:rPr>
              <w:t>Employees</w:t>
            </w:r>
          </w:p>
        </w:tc>
        <w:tc>
          <w:tcPr>
            <w:tcW w:w="46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tcPr>
          <w:p>
            <w:pPr>
              <w:jc w:val="center"/>
              <w:ind w:left="179"/>
              <w:spacing w:after="0"/>
              <w:rPr>
                <w:sz w:val="20"/>
                <w:szCs w:val="20"/>
                <w:color w:val="auto"/>
              </w:rPr>
            </w:pPr>
            <w:r>
              <w:rPr>
                <w:rFonts w:ascii="Arial" w:cs="Arial" w:eastAsia="Arial" w:hAnsi="Arial"/>
                <w:sz w:val="16"/>
                <w:szCs w:val="16"/>
                <w:b w:val="1"/>
                <w:bCs w:val="1"/>
                <w:color w:val="auto"/>
              </w:rPr>
              <w:t>Union Affiliation</w:t>
            </w:r>
          </w:p>
        </w:tc>
        <w:tc>
          <w:tcPr>
            <w:tcW w:w="3700" w:type="dxa"/>
            <w:vAlign w:val="bottom"/>
            <w:tcBorders>
              <w:bottom w:val="single" w:sz="8" w:color="auto"/>
            </w:tcBorders>
          </w:tcPr>
          <w:p>
            <w:pPr>
              <w:jc w:val="center"/>
              <w:ind w:left="159"/>
              <w:spacing w:after="0"/>
              <w:rPr>
                <w:sz w:val="20"/>
                <w:szCs w:val="20"/>
                <w:color w:val="auto"/>
              </w:rPr>
            </w:pPr>
            <w:r>
              <w:rPr>
                <w:rFonts w:ascii="Arial" w:cs="Arial" w:eastAsia="Arial" w:hAnsi="Arial"/>
                <w:sz w:val="16"/>
                <w:szCs w:val="16"/>
                <w:b w:val="1"/>
                <w:bCs w:val="1"/>
                <w:color w:val="auto"/>
              </w:rPr>
              <w:t>Agreement</w:t>
            </w:r>
          </w:p>
        </w:tc>
        <w:tc>
          <w:tcPr>
            <w:tcW w:w="0" w:type="dxa"/>
            <w:vAlign w:val="bottom"/>
          </w:tcPr>
          <w:p>
            <w:pPr>
              <w:spacing w:after="0"/>
              <w:rPr>
                <w:sz w:val="1"/>
                <w:szCs w:val="1"/>
                <w:color w:val="auto"/>
              </w:rPr>
            </w:pPr>
          </w:p>
        </w:tc>
      </w:tr>
      <w:tr>
        <w:trPr>
          <w:trHeight w:val="183"/>
        </w:trPr>
        <w:tc>
          <w:tcPr>
            <w:tcW w:w="25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Colorado Electric</w:t>
            </w:r>
          </w:p>
        </w:tc>
        <w:tc>
          <w:tcPr>
            <w:tcW w:w="1300" w:type="dxa"/>
            <w:vAlign w:val="bottom"/>
            <w:shd w:val="clear" w:color="auto" w:fill="CFF0FC"/>
          </w:tcPr>
          <w:p>
            <w:pPr>
              <w:spacing w:after="0"/>
              <w:rPr>
                <w:sz w:val="15"/>
                <w:szCs w:val="15"/>
                <w:color w:val="auto"/>
              </w:rPr>
            </w:pPr>
          </w:p>
        </w:tc>
        <w:tc>
          <w:tcPr>
            <w:tcW w:w="46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109</w:t>
            </w:r>
          </w:p>
        </w:tc>
        <w:tc>
          <w:tcPr>
            <w:tcW w:w="3220" w:type="dxa"/>
            <w:vAlign w:val="bottom"/>
            <w:shd w:val="clear" w:color="auto" w:fill="CFF0FC"/>
          </w:tcPr>
          <w:p>
            <w:pPr>
              <w:jc w:val="center"/>
              <w:ind w:left="179"/>
              <w:spacing w:after="0" w:line="183" w:lineRule="exact"/>
              <w:rPr>
                <w:sz w:val="20"/>
                <w:szCs w:val="20"/>
                <w:color w:val="auto"/>
              </w:rPr>
            </w:pPr>
            <w:r>
              <w:rPr>
                <w:rFonts w:ascii="Arial" w:cs="Arial" w:eastAsia="Arial" w:hAnsi="Arial"/>
                <w:sz w:val="16"/>
                <w:szCs w:val="16"/>
                <w:color w:val="auto"/>
              </w:rPr>
              <w:t>IBEW Local 667</w:t>
            </w:r>
          </w:p>
        </w:tc>
        <w:tc>
          <w:tcPr>
            <w:tcW w:w="3700" w:type="dxa"/>
            <w:vAlign w:val="bottom"/>
            <w:shd w:val="clear" w:color="auto" w:fill="CFF0FC"/>
          </w:tcPr>
          <w:p>
            <w:pPr>
              <w:jc w:val="center"/>
              <w:ind w:left="179"/>
              <w:spacing w:after="0" w:line="183" w:lineRule="exact"/>
              <w:rPr>
                <w:sz w:val="20"/>
                <w:szCs w:val="20"/>
                <w:color w:val="auto"/>
              </w:rPr>
            </w:pPr>
            <w:r>
              <w:rPr>
                <w:rFonts w:ascii="Arial" w:cs="Arial" w:eastAsia="Arial" w:hAnsi="Arial"/>
                <w:sz w:val="16"/>
                <w:szCs w:val="16"/>
                <w:color w:val="auto"/>
              </w:rPr>
              <w:t>April 15, 2027</w:t>
            </w:r>
          </w:p>
        </w:tc>
        <w:tc>
          <w:tcPr>
            <w:tcW w:w="0" w:type="dxa"/>
            <w:vAlign w:val="bottom"/>
          </w:tcPr>
          <w:p>
            <w:pPr>
              <w:spacing w:after="0"/>
              <w:rPr>
                <w:sz w:val="1"/>
                <w:szCs w:val="1"/>
                <w:color w:val="auto"/>
              </w:rPr>
            </w:pPr>
          </w:p>
        </w:tc>
      </w:tr>
      <w:tr>
        <w:trPr>
          <w:trHeight w:val="189"/>
        </w:trPr>
        <w:tc>
          <w:tcPr>
            <w:tcW w:w="2560" w:type="dxa"/>
            <w:vAlign w:val="bottom"/>
          </w:tcPr>
          <w:p>
            <w:pPr>
              <w:ind w:left="20"/>
              <w:spacing w:after="0"/>
              <w:rPr>
                <w:sz w:val="20"/>
                <w:szCs w:val="20"/>
                <w:color w:val="auto"/>
              </w:rPr>
            </w:pPr>
            <w:r>
              <w:rPr>
                <w:rFonts w:ascii="Arial" w:cs="Arial" w:eastAsia="Arial" w:hAnsi="Arial"/>
                <w:sz w:val="16"/>
                <w:szCs w:val="16"/>
                <w:color w:val="auto"/>
              </w:rPr>
              <w:t>South Dakota Electric</w:t>
            </w:r>
          </w:p>
        </w:tc>
        <w:tc>
          <w:tcPr>
            <w:tcW w:w="1300" w:type="dxa"/>
            <w:vAlign w:val="bottom"/>
          </w:tcPr>
          <w:p>
            <w:pPr>
              <w:spacing w:after="0"/>
              <w:rPr>
                <w:sz w:val="16"/>
                <w:szCs w:val="16"/>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118</w:t>
            </w:r>
          </w:p>
        </w:tc>
        <w:tc>
          <w:tcPr>
            <w:tcW w:w="3220" w:type="dxa"/>
            <w:vAlign w:val="bottom"/>
          </w:tcPr>
          <w:p>
            <w:pPr>
              <w:jc w:val="center"/>
              <w:ind w:left="179"/>
              <w:spacing w:after="0"/>
              <w:rPr>
                <w:sz w:val="20"/>
                <w:szCs w:val="20"/>
                <w:color w:val="auto"/>
              </w:rPr>
            </w:pPr>
            <w:r>
              <w:rPr>
                <w:rFonts w:ascii="Arial" w:cs="Arial" w:eastAsia="Arial" w:hAnsi="Arial"/>
                <w:sz w:val="16"/>
                <w:szCs w:val="16"/>
                <w:color w:val="auto"/>
              </w:rPr>
              <w:t>IBEW Local 1250</w:t>
            </w:r>
          </w:p>
        </w:tc>
        <w:tc>
          <w:tcPr>
            <w:tcW w:w="3700" w:type="dxa"/>
            <w:vAlign w:val="bottom"/>
          </w:tcPr>
          <w:p>
            <w:pPr>
              <w:jc w:val="center"/>
              <w:ind w:left="179"/>
              <w:spacing w:after="0"/>
              <w:rPr>
                <w:sz w:val="20"/>
                <w:szCs w:val="20"/>
                <w:color w:val="auto"/>
              </w:rPr>
            </w:pPr>
            <w:r>
              <w:rPr>
                <w:rFonts w:ascii="Arial" w:cs="Arial" w:eastAsia="Arial" w:hAnsi="Arial"/>
                <w:sz w:val="16"/>
                <w:szCs w:val="16"/>
                <w:color w:val="auto"/>
              </w:rPr>
              <w:t>March 31, 2027</w:t>
            </w:r>
          </w:p>
        </w:tc>
        <w:tc>
          <w:tcPr>
            <w:tcW w:w="0" w:type="dxa"/>
            <w:vAlign w:val="bottom"/>
          </w:tcPr>
          <w:p>
            <w:pPr>
              <w:spacing w:after="0"/>
              <w:rPr>
                <w:sz w:val="1"/>
                <w:szCs w:val="1"/>
                <w:color w:val="auto"/>
              </w:rPr>
            </w:pPr>
          </w:p>
        </w:tc>
      </w:tr>
      <w:tr>
        <w:trPr>
          <w:trHeight w:val="189"/>
        </w:trPr>
        <w:tc>
          <w:tcPr>
            <w:tcW w:w="2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South Dakota Electric</w:t>
            </w:r>
          </w:p>
        </w:tc>
        <w:tc>
          <w:tcPr>
            <w:tcW w:w="1300" w:type="dxa"/>
            <w:vAlign w:val="bottom"/>
            <w:shd w:val="clear" w:color="auto" w:fill="CFF0FC"/>
          </w:tcPr>
          <w:p>
            <w:pPr>
              <w:spacing w:after="0"/>
              <w:rPr>
                <w:sz w:val="16"/>
                <w:szCs w:val="16"/>
                <w:color w:val="auto"/>
              </w:rPr>
            </w:pPr>
          </w:p>
        </w:tc>
        <w:tc>
          <w:tcPr>
            <w:tcW w:w="4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w:t>
            </w:r>
          </w:p>
        </w:tc>
        <w:tc>
          <w:tcPr>
            <w:tcW w:w="3220" w:type="dxa"/>
            <w:vAlign w:val="bottom"/>
            <w:shd w:val="clear" w:color="auto" w:fill="CFF0FC"/>
          </w:tcPr>
          <w:p>
            <w:pPr>
              <w:jc w:val="center"/>
              <w:ind w:left="179"/>
              <w:spacing w:after="0"/>
              <w:rPr>
                <w:sz w:val="20"/>
                <w:szCs w:val="20"/>
                <w:color w:val="auto"/>
              </w:rPr>
            </w:pPr>
            <w:r>
              <w:rPr>
                <w:rFonts w:ascii="Arial" w:cs="Arial" w:eastAsia="Arial" w:hAnsi="Arial"/>
                <w:sz w:val="16"/>
                <w:szCs w:val="16"/>
                <w:color w:val="auto"/>
              </w:rPr>
              <w:t>IBEW Local 1250</w:t>
            </w:r>
          </w:p>
        </w:tc>
        <w:tc>
          <w:tcPr>
            <w:tcW w:w="3700" w:type="dxa"/>
            <w:vAlign w:val="bottom"/>
            <w:shd w:val="clear" w:color="auto" w:fill="CFF0FC"/>
          </w:tcPr>
          <w:p>
            <w:pPr>
              <w:jc w:val="center"/>
              <w:ind w:left="159"/>
              <w:spacing w:after="0"/>
              <w:rPr>
                <w:sz w:val="20"/>
                <w:szCs w:val="20"/>
                <w:color w:val="auto"/>
              </w:rPr>
            </w:pPr>
            <w:r>
              <w:rPr>
                <w:rFonts w:ascii="Arial" w:cs="Arial" w:eastAsia="Arial" w:hAnsi="Arial"/>
                <w:sz w:val="16"/>
                <w:szCs w:val="16"/>
                <w:color w:val="auto"/>
              </w:rPr>
              <w:t>September 29, 2028</w:t>
            </w:r>
          </w:p>
        </w:tc>
        <w:tc>
          <w:tcPr>
            <w:tcW w:w="0" w:type="dxa"/>
            <w:vAlign w:val="bottom"/>
          </w:tcPr>
          <w:p>
            <w:pPr>
              <w:spacing w:after="0"/>
              <w:rPr>
                <w:sz w:val="1"/>
                <w:szCs w:val="1"/>
                <w:color w:val="auto"/>
              </w:rPr>
            </w:pPr>
          </w:p>
        </w:tc>
      </w:tr>
      <w:tr>
        <w:trPr>
          <w:trHeight w:val="189"/>
        </w:trPr>
        <w:tc>
          <w:tcPr>
            <w:tcW w:w="2560" w:type="dxa"/>
            <w:vAlign w:val="bottom"/>
          </w:tcPr>
          <w:p>
            <w:pPr>
              <w:ind w:left="20"/>
              <w:spacing w:after="0"/>
              <w:rPr>
                <w:sz w:val="20"/>
                <w:szCs w:val="20"/>
                <w:color w:val="auto"/>
              </w:rPr>
            </w:pPr>
            <w:r>
              <w:rPr>
                <w:rFonts w:ascii="Arial" w:cs="Arial" w:eastAsia="Arial" w:hAnsi="Arial"/>
                <w:sz w:val="16"/>
                <w:szCs w:val="16"/>
                <w:color w:val="auto"/>
              </w:rPr>
              <w:t>Wyoming Electric</w:t>
            </w:r>
          </w:p>
        </w:tc>
        <w:tc>
          <w:tcPr>
            <w:tcW w:w="13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w:t>
            </w:r>
          </w:p>
        </w:tc>
        <w:tc>
          <w:tcPr>
            <w:tcW w:w="3220" w:type="dxa"/>
            <w:vAlign w:val="bottom"/>
          </w:tcPr>
          <w:p>
            <w:pPr>
              <w:jc w:val="center"/>
              <w:ind w:left="179"/>
              <w:spacing w:after="0"/>
              <w:rPr>
                <w:sz w:val="20"/>
                <w:szCs w:val="20"/>
                <w:color w:val="auto"/>
              </w:rPr>
            </w:pPr>
            <w:r>
              <w:rPr>
                <w:rFonts w:ascii="Arial" w:cs="Arial" w:eastAsia="Arial" w:hAnsi="Arial"/>
                <w:sz w:val="16"/>
                <w:szCs w:val="16"/>
                <w:color w:val="auto"/>
              </w:rPr>
              <w:t>IBEW Local 111</w:t>
            </w:r>
          </w:p>
        </w:tc>
        <w:tc>
          <w:tcPr>
            <w:tcW w:w="3700" w:type="dxa"/>
            <w:vAlign w:val="bottom"/>
          </w:tcPr>
          <w:p>
            <w:pPr>
              <w:jc w:val="center"/>
              <w:ind w:left="159"/>
              <w:spacing w:after="0"/>
              <w:rPr>
                <w:sz w:val="20"/>
                <w:szCs w:val="20"/>
                <w:color w:val="auto"/>
              </w:rPr>
            </w:pPr>
            <w:r>
              <w:rPr>
                <w:rFonts w:ascii="Arial" w:cs="Arial" w:eastAsia="Arial" w:hAnsi="Arial"/>
                <w:sz w:val="16"/>
                <w:szCs w:val="16"/>
                <w:color w:val="auto"/>
              </w:rPr>
              <w:t>June 30, 2029</w:t>
            </w:r>
          </w:p>
        </w:tc>
        <w:tc>
          <w:tcPr>
            <w:tcW w:w="0" w:type="dxa"/>
            <w:vAlign w:val="bottom"/>
          </w:tcPr>
          <w:p>
            <w:pPr>
              <w:spacing w:after="0"/>
              <w:rPr>
                <w:sz w:val="1"/>
                <w:szCs w:val="1"/>
                <w:color w:val="auto"/>
              </w:rPr>
            </w:pPr>
          </w:p>
        </w:tc>
      </w:tr>
      <w:tr>
        <w:trPr>
          <w:trHeight w:val="183"/>
        </w:trPr>
        <w:tc>
          <w:tcPr>
            <w:tcW w:w="256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Total Electric Utilities</w:t>
            </w:r>
          </w:p>
        </w:tc>
        <w:tc>
          <w:tcPr>
            <w:tcW w:w="1300" w:type="dxa"/>
            <w:vAlign w:val="bottom"/>
            <w:tcBorders>
              <w:bottom w:val="single" w:sz="8" w:color="auto"/>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b w:val="1"/>
                <w:bCs w:val="1"/>
                <w:color w:val="auto"/>
              </w:rPr>
              <w:t>261</w:t>
            </w:r>
          </w:p>
        </w:tc>
        <w:tc>
          <w:tcPr>
            <w:tcW w:w="3220" w:type="dxa"/>
            <w:vAlign w:val="bottom"/>
            <w:tcBorders>
              <w:bottom w:val="single" w:sz="8" w:color="CFF0FC"/>
            </w:tcBorders>
            <w:shd w:val="clear" w:color="auto" w:fill="CFF0FC"/>
          </w:tcPr>
          <w:p>
            <w:pPr>
              <w:spacing w:after="0"/>
              <w:rPr>
                <w:sz w:val="15"/>
                <w:szCs w:val="15"/>
                <w:color w:val="auto"/>
              </w:rPr>
            </w:pPr>
          </w:p>
        </w:tc>
        <w:tc>
          <w:tcPr>
            <w:tcW w:w="37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372"/>
        </w:trPr>
        <w:tc>
          <w:tcPr>
            <w:tcW w:w="2560" w:type="dxa"/>
            <w:vAlign w:val="bottom"/>
          </w:tcPr>
          <w:p>
            <w:pPr>
              <w:ind w:left="20"/>
              <w:spacing w:after="0"/>
              <w:rPr>
                <w:sz w:val="20"/>
                <w:szCs w:val="20"/>
                <w:color w:val="auto"/>
              </w:rPr>
            </w:pPr>
            <w:r>
              <w:rPr>
                <w:rFonts w:ascii="Arial" w:cs="Arial" w:eastAsia="Arial" w:hAnsi="Arial"/>
                <w:sz w:val="16"/>
                <w:szCs w:val="16"/>
                <w:color w:val="auto"/>
              </w:rPr>
              <w:t>Iowa Gas</w:t>
            </w:r>
          </w:p>
        </w:tc>
        <w:tc>
          <w:tcPr>
            <w:tcW w:w="1300" w:type="dxa"/>
            <w:vAlign w:val="bottom"/>
          </w:tcPr>
          <w:p>
            <w:pPr>
              <w:spacing w:after="0"/>
              <w:rPr>
                <w:sz w:val="24"/>
                <w:szCs w:val="24"/>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127</w:t>
            </w:r>
          </w:p>
        </w:tc>
        <w:tc>
          <w:tcPr>
            <w:tcW w:w="3220" w:type="dxa"/>
            <w:vAlign w:val="bottom"/>
          </w:tcPr>
          <w:p>
            <w:pPr>
              <w:jc w:val="center"/>
              <w:ind w:left="179"/>
              <w:spacing w:after="0"/>
              <w:rPr>
                <w:sz w:val="20"/>
                <w:szCs w:val="20"/>
                <w:color w:val="auto"/>
              </w:rPr>
            </w:pPr>
            <w:r>
              <w:rPr>
                <w:rFonts w:ascii="Arial" w:cs="Arial" w:eastAsia="Arial" w:hAnsi="Arial"/>
                <w:sz w:val="16"/>
                <w:szCs w:val="16"/>
                <w:color w:val="auto"/>
              </w:rPr>
              <w:t>IBEW Local 204</w:t>
            </w:r>
          </w:p>
        </w:tc>
        <w:tc>
          <w:tcPr>
            <w:tcW w:w="3700" w:type="dxa"/>
            <w:vAlign w:val="bottom"/>
          </w:tcPr>
          <w:p>
            <w:pPr>
              <w:jc w:val="center"/>
              <w:ind w:left="159"/>
              <w:spacing w:after="0"/>
              <w:rPr>
                <w:sz w:val="20"/>
                <w:szCs w:val="20"/>
                <w:color w:val="auto"/>
              </w:rPr>
            </w:pPr>
            <w:r>
              <w:rPr>
                <w:rFonts w:ascii="Arial" w:cs="Arial" w:eastAsia="Arial" w:hAnsi="Arial"/>
                <w:sz w:val="16"/>
                <w:szCs w:val="16"/>
                <w:color w:val="auto"/>
              </w:rPr>
              <w:t>January 31, 2026</w:t>
            </w:r>
          </w:p>
        </w:tc>
        <w:tc>
          <w:tcPr>
            <w:tcW w:w="0" w:type="dxa"/>
            <w:vAlign w:val="bottom"/>
          </w:tcPr>
          <w:p>
            <w:pPr>
              <w:spacing w:after="0"/>
              <w:rPr>
                <w:sz w:val="1"/>
                <w:szCs w:val="1"/>
                <w:color w:val="auto"/>
              </w:rPr>
            </w:pPr>
          </w:p>
        </w:tc>
      </w:tr>
      <w:tr>
        <w:trPr>
          <w:trHeight w:val="175"/>
        </w:trPr>
        <w:tc>
          <w:tcPr>
            <w:tcW w:w="2560" w:type="dxa"/>
            <w:vAlign w:val="bottom"/>
            <w:vMerge w:val="restart"/>
            <w:shd w:val="clear" w:color="auto" w:fill="CFF0FC"/>
          </w:tcPr>
          <w:p>
            <w:pPr>
              <w:ind w:left="20"/>
              <w:spacing w:after="0"/>
              <w:rPr>
                <w:sz w:val="20"/>
                <w:szCs w:val="20"/>
                <w:color w:val="auto"/>
              </w:rPr>
            </w:pPr>
            <w:r>
              <w:rPr>
                <w:rFonts w:ascii="Arial" w:cs="Arial" w:eastAsia="Arial" w:hAnsi="Arial"/>
                <w:sz w:val="16"/>
                <w:szCs w:val="16"/>
                <w:color w:val="auto"/>
              </w:rPr>
              <w:t>Kansas Gas</w:t>
            </w:r>
          </w:p>
        </w:tc>
        <w:tc>
          <w:tcPr>
            <w:tcW w:w="1300" w:type="dxa"/>
            <w:vAlign w:val="bottom"/>
            <w:shd w:val="clear" w:color="auto" w:fill="CFF0FC"/>
          </w:tcPr>
          <w:p>
            <w:pPr>
              <w:spacing w:after="0"/>
              <w:rPr>
                <w:sz w:val="15"/>
                <w:szCs w:val="15"/>
                <w:color w:val="auto"/>
              </w:rPr>
            </w:pPr>
          </w:p>
        </w:tc>
        <w:tc>
          <w:tcPr>
            <w:tcW w:w="46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15</w:t>
            </w:r>
          </w:p>
        </w:tc>
        <w:tc>
          <w:tcPr>
            <w:tcW w:w="3220" w:type="dxa"/>
            <w:vAlign w:val="bottom"/>
            <w:shd w:val="clear" w:color="auto" w:fill="CFF0FC"/>
          </w:tcPr>
          <w:p>
            <w:pPr>
              <w:jc w:val="center"/>
              <w:ind w:left="179"/>
              <w:spacing w:after="0" w:line="175" w:lineRule="exact"/>
              <w:rPr>
                <w:sz w:val="20"/>
                <w:szCs w:val="20"/>
                <w:color w:val="auto"/>
              </w:rPr>
            </w:pPr>
            <w:r>
              <w:rPr>
                <w:rFonts w:ascii="Arial" w:cs="Arial" w:eastAsia="Arial" w:hAnsi="Arial"/>
                <w:sz w:val="16"/>
                <w:szCs w:val="16"/>
                <w:color w:val="auto"/>
              </w:rPr>
              <w:t>Communications Workers of</w:t>
            </w:r>
          </w:p>
        </w:tc>
        <w:tc>
          <w:tcPr>
            <w:tcW w:w="3700" w:type="dxa"/>
            <w:vAlign w:val="bottom"/>
            <w:vMerge w:val="restart"/>
            <w:shd w:val="clear" w:color="auto" w:fill="CFF0FC"/>
          </w:tcPr>
          <w:p>
            <w:pPr>
              <w:jc w:val="center"/>
              <w:ind w:left="159"/>
              <w:spacing w:after="0"/>
              <w:rPr>
                <w:sz w:val="20"/>
                <w:szCs w:val="20"/>
                <w:color w:val="auto"/>
              </w:rPr>
            </w:pPr>
            <w:r>
              <w:rPr>
                <w:rFonts w:ascii="Arial" w:cs="Arial" w:eastAsia="Arial" w:hAnsi="Arial"/>
                <w:sz w:val="16"/>
                <w:szCs w:val="16"/>
                <w:color w:val="auto"/>
              </w:rPr>
              <w:t>December 31, 2029</w:t>
            </w:r>
          </w:p>
        </w:tc>
        <w:tc>
          <w:tcPr>
            <w:tcW w:w="0" w:type="dxa"/>
            <w:vAlign w:val="bottom"/>
          </w:tcPr>
          <w:p>
            <w:pPr>
              <w:spacing w:after="0"/>
              <w:rPr>
                <w:sz w:val="1"/>
                <w:szCs w:val="1"/>
                <w:color w:val="auto"/>
              </w:rPr>
            </w:pPr>
          </w:p>
        </w:tc>
      </w:tr>
      <w:tr>
        <w:trPr>
          <w:trHeight w:val="120"/>
        </w:trPr>
        <w:tc>
          <w:tcPr>
            <w:tcW w:w="2560" w:type="dxa"/>
            <w:vAlign w:val="bottom"/>
            <w:vMerge w:val="continue"/>
            <w:shd w:val="clear" w:color="auto" w:fill="CFF0FC"/>
          </w:tcPr>
          <w:p>
            <w:pPr>
              <w:spacing w:after="0"/>
              <w:rPr>
                <w:sz w:val="10"/>
                <w:szCs w:val="10"/>
                <w:color w:val="auto"/>
              </w:rPr>
            </w:pPr>
          </w:p>
        </w:tc>
        <w:tc>
          <w:tcPr>
            <w:tcW w:w="1300" w:type="dxa"/>
            <w:vAlign w:val="bottom"/>
            <w:shd w:val="clear" w:color="auto" w:fill="CFF0FC"/>
          </w:tcPr>
          <w:p>
            <w:pPr>
              <w:spacing w:after="0"/>
              <w:rPr>
                <w:sz w:val="10"/>
                <w:szCs w:val="10"/>
                <w:color w:val="auto"/>
              </w:rPr>
            </w:pPr>
          </w:p>
        </w:tc>
        <w:tc>
          <w:tcPr>
            <w:tcW w:w="460" w:type="dxa"/>
            <w:vAlign w:val="bottom"/>
            <w:vMerge w:val="continue"/>
            <w:shd w:val="clear" w:color="auto" w:fill="CFF0FC"/>
          </w:tcPr>
          <w:p>
            <w:pPr>
              <w:spacing w:after="0"/>
              <w:rPr>
                <w:sz w:val="10"/>
                <w:szCs w:val="10"/>
                <w:color w:val="auto"/>
              </w:rPr>
            </w:pPr>
          </w:p>
        </w:tc>
        <w:tc>
          <w:tcPr>
            <w:tcW w:w="3220" w:type="dxa"/>
            <w:vAlign w:val="bottom"/>
            <w:vMerge w:val="restart"/>
            <w:shd w:val="clear" w:color="auto" w:fill="CFF0FC"/>
          </w:tcPr>
          <w:p>
            <w:pPr>
              <w:jc w:val="center"/>
              <w:ind w:left="179"/>
              <w:spacing w:after="0"/>
              <w:rPr>
                <w:sz w:val="20"/>
                <w:szCs w:val="20"/>
                <w:color w:val="auto"/>
              </w:rPr>
            </w:pPr>
            <w:r>
              <w:rPr>
                <w:rFonts w:ascii="Arial" w:cs="Arial" w:eastAsia="Arial" w:hAnsi="Arial"/>
                <w:sz w:val="16"/>
                <w:szCs w:val="16"/>
                <w:color w:val="auto"/>
              </w:rPr>
              <w:t>America, AFL-CIO Local 6407</w:t>
            </w:r>
          </w:p>
        </w:tc>
        <w:tc>
          <w:tcPr>
            <w:tcW w:w="3700" w:type="dxa"/>
            <w:vAlign w:val="bottom"/>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2560" w:type="dxa"/>
            <w:vAlign w:val="bottom"/>
            <w:shd w:val="clear" w:color="auto" w:fill="CFF0FC"/>
          </w:tcPr>
          <w:p>
            <w:pPr>
              <w:spacing w:after="0"/>
              <w:rPr>
                <w:sz w:val="7"/>
                <w:szCs w:val="7"/>
                <w:color w:val="auto"/>
              </w:rPr>
            </w:pPr>
          </w:p>
        </w:tc>
        <w:tc>
          <w:tcPr>
            <w:tcW w:w="1300" w:type="dxa"/>
            <w:vAlign w:val="bottom"/>
            <w:shd w:val="clear" w:color="auto" w:fill="CFF0FC"/>
          </w:tcPr>
          <w:p>
            <w:pPr>
              <w:spacing w:after="0"/>
              <w:rPr>
                <w:sz w:val="7"/>
                <w:szCs w:val="7"/>
                <w:color w:val="auto"/>
              </w:rPr>
            </w:pPr>
          </w:p>
        </w:tc>
        <w:tc>
          <w:tcPr>
            <w:tcW w:w="460" w:type="dxa"/>
            <w:vAlign w:val="bottom"/>
            <w:shd w:val="clear" w:color="auto" w:fill="CFF0FC"/>
          </w:tcPr>
          <w:p>
            <w:pPr>
              <w:spacing w:after="0"/>
              <w:rPr>
                <w:sz w:val="7"/>
                <w:szCs w:val="7"/>
                <w:color w:val="auto"/>
              </w:rPr>
            </w:pPr>
          </w:p>
        </w:tc>
        <w:tc>
          <w:tcPr>
            <w:tcW w:w="3220" w:type="dxa"/>
            <w:vAlign w:val="bottom"/>
            <w:vMerge w:val="continue"/>
            <w:shd w:val="clear" w:color="auto" w:fill="CFF0FC"/>
          </w:tcPr>
          <w:p>
            <w:pPr>
              <w:spacing w:after="0"/>
              <w:rPr>
                <w:sz w:val="7"/>
                <w:szCs w:val="7"/>
                <w:color w:val="auto"/>
              </w:rPr>
            </w:pPr>
          </w:p>
        </w:tc>
        <w:tc>
          <w:tcPr>
            <w:tcW w:w="37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560" w:type="dxa"/>
            <w:vAlign w:val="bottom"/>
          </w:tcPr>
          <w:p>
            <w:pPr>
              <w:ind w:left="20"/>
              <w:spacing w:after="0"/>
              <w:rPr>
                <w:sz w:val="20"/>
                <w:szCs w:val="20"/>
                <w:color w:val="auto"/>
              </w:rPr>
            </w:pPr>
            <w:r>
              <w:rPr>
                <w:rFonts w:ascii="Arial" w:cs="Arial" w:eastAsia="Arial" w:hAnsi="Arial"/>
                <w:sz w:val="16"/>
                <w:szCs w:val="16"/>
                <w:color w:val="auto"/>
              </w:rPr>
              <w:t>Nebraska Gas</w:t>
            </w:r>
          </w:p>
        </w:tc>
        <w:tc>
          <w:tcPr>
            <w:tcW w:w="1300" w:type="dxa"/>
            <w:vAlign w:val="bottom"/>
          </w:tcPr>
          <w:p>
            <w:pPr>
              <w:spacing w:after="0"/>
              <w:rPr>
                <w:sz w:val="16"/>
                <w:szCs w:val="16"/>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92</w:t>
            </w:r>
          </w:p>
        </w:tc>
        <w:tc>
          <w:tcPr>
            <w:tcW w:w="3220" w:type="dxa"/>
            <w:vAlign w:val="bottom"/>
          </w:tcPr>
          <w:p>
            <w:pPr>
              <w:jc w:val="center"/>
              <w:ind w:left="179"/>
              <w:spacing w:after="0"/>
              <w:rPr>
                <w:sz w:val="20"/>
                <w:szCs w:val="20"/>
                <w:color w:val="auto"/>
              </w:rPr>
            </w:pPr>
            <w:r>
              <w:rPr>
                <w:rFonts w:ascii="Arial" w:cs="Arial" w:eastAsia="Arial" w:hAnsi="Arial"/>
                <w:sz w:val="16"/>
                <w:szCs w:val="16"/>
                <w:color w:val="auto"/>
              </w:rPr>
              <w:t>IBEW Local 244</w:t>
            </w:r>
          </w:p>
        </w:tc>
        <w:tc>
          <w:tcPr>
            <w:tcW w:w="3700" w:type="dxa"/>
            <w:vAlign w:val="bottom"/>
          </w:tcPr>
          <w:p>
            <w:pPr>
              <w:jc w:val="center"/>
              <w:ind w:left="179"/>
              <w:spacing w:after="0"/>
              <w:rPr>
                <w:sz w:val="20"/>
                <w:szCs w:val="20"/>
                <w:color w:val="auto"/>
              </w:rPr>
            </w:pPr>
            <w:r>
              <w:rPr>
                <w:rFonts w:ascii="Arial" w:cs="Arial" w:eastAsia="Arial" w:hAnsi="Arial"/>
                <w:sz w:val="16"/>
                <w:szCs w:val="16"/>
                <w:color w:val="auto"/>
              </w:rPr>
              <w:t>March 13, 2025</w:t>
            </w:r>
          </w:p>
        </w:tc>
        <w:tc>
          <w:tcPr>
            <w:tcW w:w="0" w:type="dxa"/>
            <w:vAlign w:val="bottom"/>
          </w:tcPr>
          <w:p>
            <w:pPr>
              <w:spacing w:after="0"/>
              <w:rPr>
                <w:sz w:val="1"/>
                <w:szCs w:val="1"/>
                <w:color w:val="auto"/>
              </w:rPr>
            </w:pPr>
          </w:p>
        </w:tc>
      </w:tr>
      <w:tr>
        <w:trPr>
          <w:trHeight w:val="189"/>
        </w:trPr>
        <w:tc>
          <w:tcPr>
            <w:tcW w:w="2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Nebraska Gas</w:t>
            </w:r>
          </w:p>
        </w:tc>
        <w:tc>
          <w:tcPr>
            <w:tcW w:w="1300" w:type="dxa"/>
            <w:vAlign w:val="bottom"/>
            <w:shd w:val="clear" w:color="auto" w:fill="CFF0FC"/>
          </w:tcPr>
          <w:p>
            <w:pPr>
              <w:spacing w:after="0"/>
              <w:rPr>
                <w:sz w:val="16"/>
                <w:szCs w:val="16"/>
                <w:color w:val="auto"/>
              </w:rPr>
            </w:pPr>
          </w:p>
        </w:tc>
        <w:tc>
          <w:tcPr>
            <w:tcW w:w="4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127</w:t>
            </w:r>
          </w:p>
        </w:tc>
        <w:tc>
          <w:tcPr>
            <w:tcW w:w="3220" w:type="dxa"/>
            <w:vAlign w:val="bottom"/>
            <w:shd w:val="clear" w:color="auto" w:fill="CFF0FC"/>
          </w:tcPr>
          <w:p>
            <w:pPr>
              <w:jc w:val="center"/>
              <w:ind w:left="159"/>
              <w:spacing w:after="0"/>
              <w:rPr>
                <w:sz w:val="20"/>
                <w:szCs w:val="20"/>
                <w:color w:val="auto"/>
              </w:rPr>
            </w:pPr>
            <w:r>
              <w:rPr>
                <w:rFonts w:ascii="Arial" w:cs="Arial" w:eastAsia="Arial" w:hAnsi="Arial"/>
                <w:sz w:val="16"/>
                <w:szCs w:val="16"/>
                <w:color w:val="auto"/>
              </w:rPr>
              <w:t>CWA Local 7476</w:t>
            </w:r>
          </w:p>
        </w:tc>
        <w:tc>
          <w:tcPr>
            <w:tcW w:w="3700" w:type="dxa"/>
            <w:vAlign w:val="bottom"/>
            <w:shd w:val="clear" w:color="auto" w:fill="CFF0FC"/>
          </w:tcPr>
          <w:p>
            <w:pPr>
              <w:jc w:val="center"/>
              <w:ind w:left="159"/>
              <w:spacing w:after="0"/>
              <w:rPr>
                <w:sz w:val="20"/>
                <w:szCs w:val="20"/>
                <w:color w:val="auto"/>
              </w:rPr>
            </w:pPr>
            <w:r>
              <w:rPr>
                <w:rFonts w:ascii="Arial" w:cs="Arial" w:eastAsia="Arial" w:hAnsi="Arial"/>
                <w:sz w:val="16"/>
                <w:szCs w:val="16"/>
                <w:color w:val="auto"/>
              </w:rPr>
              <w:t>October 30, 2026</w:t>
            </w:r>
          </w:p>
        </w:tc>
        <w:tc>
          <w:tcPr>
            <w:tcW w:w="0" w:type="dxa"/>
            <w:vAlign w:val="bottom"/>
          </w:tcPr>
          <w:p>
            <w:pPr>
              <w:spacing w:after="0"/>
              <w:rPr>
                <w:sz w:val="1"/>
                <w:szCs w:val="1"/>
                <w:color w:val="auto"/>
              </w:rPr>
            </w:pPr>
          </w:p>
        </w:tc>
      </w:tr>
      <w:tr>
        <w:trPr>
          <w:trHeight w:val="189"/>
        </w:trPr>
        <w:tc>
          <w:tcPr>
            <w:tcW w:w="2560" w:type="dxa"/>
            <w:vAlign w:val="bottom"/>
          </w:tcPr>
          <w:p>
            <w:pPr>
              <w:ind w:left="20"/>
              <w:spacing w:after="0"/>
              <w:rPr>
                <w:sz w:val="20"/>
                <w:szCs w:val="20"/>
                <w:color w:val="auto"/>
              </w:rPr>
            </w:pPr>
            <w:r>
              <w:rPr>
                <w:rFonts w:ascii="Arial" w:cs="Arial" w:eastAsia="Arial" w:hAnsi="Arial"/>
                <w:sz w:val="16"/>
                <w:szCs w:val="16"/>
                <w:color w:val="auto"/>
              </w:rPr>
              <w:t>Wyoming Gas</w:t>
            </w:r>
          </w:p>
        </w:tc>
        <w:tc>
          <w:tcPr>
            <w:tcW w:w="1300" w:type="dxa"/>
            <w:vAlign w:val="bottom"/>
          </w:tcPr>
          <w:p>
            <w:pPr>
              <w:spacing w:after="0"/>
              <w:rPr>
                <w:sz w:val="16"/>
                <w:szCs w:val="16"/>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3220" w:type="dxa"/>
            <w:vAlign w:val="bottom"/>
          </w:tcPr>
          <w:p>
            <w:pPr>
              <w:jc w:val="center"/>
              <w:ind w:left="179"/>
              <w:spacing w:after="0"/>
              <w:rPr>
                <w:sz w:val="20"/>
                <w:szCs w:val="20"/>
                <w:color w:val="auto"/>
              </w:rPr>
            </w:pPr>
            <w:r>
              <w:rPr>
                <w:rFonts w:ascii="Arial" w:cs="Arial" w:eastAsia="Arial" w:hAnsi="Arial"/>
                <w:sz w:val="16"/>
                <w:szCs w:val="16"/>
                <w:color w:val="auto"/>
              </w:rPr>
              <w:t>IBEW Local 111</w:t>
            </w:r>
          </w:p>
        </w:tc>
        <w:tc>
          <w:tcPr>
            <w:tcW w:w="3700" w:type="dxa"/>
            <w:vAlign w:val="bottom"/>
          </w:tcPr>
          <w:p>
            <w:pPr>
              <w:jc w:val="center"/>
              <w:ind w:left="159"/>
              <w:spacing w:after="0"/>
              <w:rPr>
                <w:sz w:val="20"/>
                <w:szCs w:val="20"/>
                <w:color w:val="auto"/>
              </w:rPr>
            </w:pPr>
            <w:r>
              <w:rPr>
                <w:rFonts w:ascii="Arial" w:cs="Arial" w:eastAsia="Arial" w:hAnsi="Arial"/>
                <w:sz w:val="16"/>
                <w:szCs w:val="16"/>
                <w:color w:val="auto"/>
              </w:rPr>
              <w:t>June 30, 2029</w:t>
            </w:r>
          </w:p>
        </w:tc>
        <w:tc>
          <w:tcPr>
            <w:tcW w:w="0" w:type="dxa"/>
            <w:vAlign w:val="bottom"/>
          </w:tcPr>
          <w:p>
            <w:pPr>
              <w:spacing w:after="0"/>
              <w:rPr>
                <w:sz w:val="1"/>
                <w:szCs w:val="1"/>
                <w:color w:val="auto"/>
              </w:rPr>
            </w:pPr>
          </w:p>
        </w:tc>
      </w:tr>
      <w:tr>
        <w:trPr>
          <w:trHeight w:val="189"/>
        </w:trPr>
        <w:tc>
          <w:tcPr>
            <w:tcW w:w="2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Wyoming Gas</w:t>
            </w:r>
          </w:p>
        </w:tc>
        <w:tc>
          <w:tcPr>
            <w:tcW w:w="1300" w:type="dxa"/>
            <w:vAlign w:val="bottom"/>
            <w:tcBorders>
              <w:bottom w:val="single" w:sz="8" w:color="auto"/>
            </w:tcBorders>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81</w:t>
            </w:r>
          </w:p>
        </w:tc>
        <w:tc>
          <w:tcPr>
            <w:tcW w:w="3220" w:type="dxa"/>
            <w:vAlign w:val="bottom"/>
            <w:tcBorders>
              <w:bottom w:val="single" w:sz="8" w:color="CFF0FC"/>
            </w:tcBorders>
            <w:shd w:val="clear" w:color="auto" w:fill="CFF0FC"/>
          </w:tcPr>
          <w:p>
            <w:pPr>
              <w:jc w:val="center"/>
              <w:ind w:left="159"/>
              <w:spacing w:after="0"/>
              <w:rPr>
                <w:sz w:val="20"/>
                <w:szCs w:val="20"/>
                <w:color w:val="auto"/>
              </w:rPr>
            </w:pPr>
            <w:r>
              <w:rPr>
                <w:rFonts w:ascii="Arial" w:cs="Arial" w:eastAsia="Arial" w:hAnsi="Arial"/>
                <w:sz w:val="16"/>
                <w:szCs w:val="16"/>
                <w:color w:val="auto"/>
              </w:rPr>
              <w:t>CWA Local 7476</w:t>
            </w:r>
          </w:p>
        </w:tc>
        <w:tc>
          <w:tcPr>
            <w:tcW w:w="3700" w:type="dxa"/>
            <w:vAlign w:val="bottom"/>
            <w:tcBorders>
              <w:bottom w:val="single" w:sz="8" w:color="CFF0FC"/>
            </w:tcBorders>
            <w:shd w:val="clear" w:color="auto" w:fill="CFF0FC"/>
          </w:tcPr>
          <w:p>
            <w:pPr>
              <w:jc w:val="center"/>
              <w:ind w:left="159"/>
              <w:spacing w:after="0"/>
              <w:rPr>
                <w:sz w:val="20"/>
                <w:szCs w:val="20"/>
                <w:color w:val="auto"/>
              </w:rPr>
            </w:pPr>
            <w:r>
              <w:rPr>
                <w:rFonts w:ascii="Arial" w:cs="Arial" w:eastAsia="Arial" w:hAnsi="Arial"/>
                <w:sz w:val="16"/>
                <w:szCs w:val="16"/>
                <w:color w:val="auto"/>
              </w:rPr>
              <w:t>October 30, 2026</w:t>
            </w:r>
          </w:p>
        </w:tc>
        <w:tc>
          <w:tcPr>
            <w:tcW w:w="0" w:type="dxa"/>
            <w:vAlign w:val="bottom"/>
          </w:tcPr>
          <w:p>
            <w:pPr>
              <w:spacing w:after="0"/>
              <w:rPr>
                <w:sz w:val="1"/>
                <w:szCs w:val="1"/>
                <w:color w:val="auto"/>
              </w:rPr>
            </w:pPr>
          </w:p>
        </w:tc>
      </w:tr>
      <w:tr>
        <w:trPr>
          <w:trHeight w:val="183"/>
        </w:trPr>
        <w:tc>
          <w:tcPr>
            <w:tcW w:w="256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Total Gas Utilities</w:t>
            </w:r>
          </w:p>
        </w:tc>
        <w:tc>
          <w:tcPr>
            <w:tcW w:w="13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455</w:t>
            </w:r>
          </w:p>
        </w:tc>
        <w:tc>
          <w:tcPr>
            <w:tcW w:w="32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560" w:type="dxa"/>
            <w:vAlign w:val="bottom"/>
            <w:tcBorders>
              <w:bottom w:val="single" w:sz="8" w:color="CFF0FC"/>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spacing w:after="0"/>
              <w:rPr>
                <w:sz w:val="15"/>
                <w:szCs w:val="15"/>
                <w:color w:val="auto"/>
              </w:rPr>
            </w:pPr>
          </w:p>
        </w:tc>
        <w:tc>
          <w:tcPr>
            <w:tcW w:w="3220" w:type="dxa"/>
            <w:vAlign w:val="bottom"/>
            <w:tcBorders>
              <w:bottom w:val="single" w:sz="8" w:color="CFF0FC"/>
            </w:tcBorders>
            <w:shd w:val="clear" w:color="auto" w:fill="CFF0FC"/>
          </w:tcPr>
          <w:p>
            <w:pPr>
              <w:spacing w:after="0"/>
              <w:rPr>
                <w:sz w:val="15"/>
                <w:szCs w:val="15"/>
                <w:color w:val="auto"/>
              </w:rPr>
            </w:pPr>
          </w:p>
        </w:tc>
        <w:tc>
          <w:tcPr>
            <w:tcW w:w="37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56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Total</w:t>
            </w:r>
          </w:p>
        </w:tc>
        <w:tc>
          <w:tcPr>
            <w:tcW w:w="13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716</w:t>
            </w:r>
          </w:p>
        </w:tc>
        <w:tc>
          <w:tcPr>
            <w:tcW w:w="32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60" w:type="dxa"/>
            <w:vAlign w:val="bottom"/>
            <w:vMerge w:val="restart"/>
          </w:tcPr>
          <w:p>
            <w:pPr>
              <w:spacing w:after="0"/>
              <w:rPr>
                <w:sz w:val="20"/>
                <w:szCs w:val="20"/>
                <w:color w:val="auto"/>
              </w:rPr>
            </w:pPr>
            <w:r>
              <w:rPr>
                <w:rFonts w:ascii="Arial" w:cs="Arial" w:eastAsia="Arial" w:hAnsi="Arial"/>
                <w:sz w:val="16"/>
                <w:szCs w:val="16"/>
                <w:b w:val="1"/>
                <w:bCs w:val="1"/>
                <w:color w:val="auto"/>
              </w:rPr>
              <w:t>Development and Retention</w:t>
            </w:r>
          </w:p>
        </w:tc>
        <w:tc>
          <w:tcPr>
            <w:tcW w:w="1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256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-1631950</wp:posOffset>
            </wp:positionV>
            <wp:extent cx="220281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202815"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-663575</wp:posOffset>
            </wp:positionV>
            <wp:extent cx="220281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202815"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-406400</wp:posOffset>
            </wp:positionV>
            <wp:extent cx="220281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135"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Developing and retaining talent is critical to our continued success. Our development and retention efforts include internal and external skills training, career development programs, and competitive compensation. Our compensation programs are designed to be strategically aligned, externally competitive, internally equitable, personally motivating, cost effective, and legally compliant. We monitor employee engagement through regular engagement surveys to gather valuable insights and feedback. Every leader is responsible for creating and implementing an action plan based on their team’s engagement survey results, while the company develops broader action plans to address organization-wide opportunities. Our career development programs include management onboarding, leadership development programs, mentoring programs, stretch opportunities, and more. Internal training opportunities include corporate-wide and specialized training opportunities for different job functions. Our Field Career Path Program (FCPP) promotes career growth for our frontline customer-facing employees through established standards of knowledge, skills, abilities, and performance.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 Safety and Wellness</w:t>
      </w:r>
    </w:p>
    <w:p>
      <w:pPr>
        <w:spacing w:after="0" w:line="194" w:lineRule="exact"/>
        <w:rPr>
          <w:sz w:val="20"/>
          <w:szCs w:val="20"/>
          <w:color w:val="auto"/>
        </w:rPr>
      </w:pPr>
    </w:p>
    <w:p>
      <w:pPr>
        <w:jc w:val="both"/>
        <w:ind w:right="440"/>
        <w:spacing w:after="0" w:line="266" w:lineRule="auto"/>
        <w:rPr>
          <w:sz w:val="20"/>
          <w:szCs w:val="20"/>
          <w:color w:val="auto"/>
        </w:rPr>
      </w:pPr>
      <w:r>
        <w:rPr>
          <w:rFonts w:ascii="Arial" w:cs="Arial" w:eastAsia="Arial" w:hAnsi="Arial"/>
          <w:sz w:val="16"/>
          <w:szCs w:val="16"/>
          <w:color w:val="auto"/>
        </w:rPr>
        <w:t>Safety is one of our company values, a top priority in all we do and deeply embedded in our culture. Meetings of three or more employees begin with a safety share, a practice which contributes to keeping safety top of mind. We focus our safety efforts on fostering a learning culture with proactive safety engagement with the goal of building capacity and reducing the potential for serious injuries and fatalities.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40" w:type="dxa"/>
            <w:vAlign w:val="bottom"/>
          </w:tcPr>
          <w:p>
            <w:pPr>
              <w:spacing w:after="0"/>
              <w:rPr>
                <w:sz w:val="16"/>
                <w:szCs w:val="16"/>
                <w:color w:val="auto"/>
              </w:rPr>
            </w:pPr>
          </w:p>
        </w:tc>
        <w:tc>
          <w:tcPr>
            <w:tcW w:w="3300" w:type="dxa"/>
            <w:vAlign w:val="bottom"/>
          </w:tcPr>
          <w:p>
            <w:pPr>
              <w:ind w:left="880"/>
              <w:spacing w:after="0"/>
              <w:rPr>
                <w:sz w:val="20"/>
                <w:szCs w:val="20"/>
                <w:color w:val="auto"/>
              </w:rPr>
            </w:pPr>
            <w:r>
              <w:rPr>
                <w:rFonts w:ascii="Arial" w:cs="Arial" w:eastAsia="Arial" w:hAnsi="Arial"/>
                <w:sz w:val="16"/>
                <w:szCs w:val="16"/>
                <w:b w:val="1"/>
                <w:bCs w:val="1"/>
                <w:color w:val="auto"/>
              </w:rPr>
              <w:t>For the year ended December</w:t>
            </w:r>
          </w:p>
        </w:tc>
      </w:tr>
      <w:tr>
        <w:trPr>
          <w:trHeight w:val="203"/>
        </w:trPr>
        <w:tc>
          <w:tcPr>
            <w:tcW w:w="794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tcPr>
          <w:p>
            <w:pPr>
              <w:jc w:val="center"/>
              <w:ind w:left="679"/>
              <w:spacing w:after="0"/>
              <w:rPr>
                <w:sz w:val="20"/>
                <w:szCs w:val="20"/>
                <w:color w:val="auto"/>
              </w:rPr>
            </w:pPr>
            <w:r>
              <w:rPr>
                <w:rFonts w:ascii="Arial" w:cs="Arial" w:eastAsia="Arial" w:hAnsi="Arial"/>
                <w:sz w:val="16"/>
                <w:szCs w:val="16"/>
                <w:b w:val="1"/>
                <w:bCs w:val="1"/>
                <w:color w:val="auto"/>
                <w:w w:val="99"/>
              </w:rPr>
              <w:t>31, 2024</w:t>
            </w:r>
          </w:p>
        </w:tc>
      </w:tr>
      <w:tr>
        <w:trPr>
          <w:trHeight w:val="183"/>
        </w:trPr>
        <w:tc>
          <w:tcPr>
            <w:tcW w:w="7940" w:type="dxa"/>
            <w:vAlign w:val="bottom"/>
            <w:shd w:val="clear" w:color="auto" w:fill="CFF0FC"/>
          </w:tcPr>
          <w:p>
            <w:pPr>
              <w:jc w:val="center"/>
              <w:ind w:left="679"/>
              <w:spacing w:after="0" w:line="183" w:lineRule="exact"/>
              <w:rPr>
                <w:sz w:val="20"/>
                <w:szCs w:val="20"/>
                <w:color w:val="auto"/>
              </w:rPr>
            </w:pPr>
            <w:r>
              <w:rPr>
                <w:rFonts w:ascii="Arial" w:cs="Arial" w:eastAsia="Arial" w:hAnsi="Arial"/>
                <w:sz w:val="16"/>
                <w:szCs w:val="16"/>
                <w:color w:val="auto"/>
              </w:rPr>
              <w:t>Days Away, Restricted, or Transferred (incidents per 200,000 hours worked)</w:t>
            </w:r>
          </w:p>
        </w:tc>
        <w:tc>
          <w:tcPr>
            <w:tcW w:w="3300" w:type="dxa"/>
            <w:vAlign w:val="bottom"/>
            <w:shd w:val="clear" w:color="auto" w:fill="CFF0FC"/>
          </w:tcPr>
          <w:p>
            <w:pPr>
              <w:jc w:val="center"/>
              <w:ind w:left="679"/>
              <w:spacing w:after="0" w:line="183" w:lineRule="exact"/>
              <w:rPr>
                <w:sz w:val="20"/>
                <w:szCs w:val="20"/>
                <w:color w:val="auto"/>
              </w:rPr>
            </w:pPr>
            <w:r>
              <w:rPr>
                <w:rFonts w:ascii="Arial" w:cs="Arial" w:eastAsia="Arial" w:hAnsi="Arial"/>
                <w:sz w:val="16"/>
                <w:szCs w:val="16"/>
                <w:color w:val="auto"/>
                <w:w w:val="98"/>
              </w:rPr>
              <w:t>1.0</w:t>
            </w:r>
          </w:p>
        </w:tc>
      </w:tr>
      <w:tr>
        <w:trPr>
          <w:trHeight w:val="189"/>
        </w:trPr>
        <w:tc>
          <w:tcPr>
            <w:tcW w:w="7940" w:type="dxa"/>
            <w:vAlign w:val="bottom"/>
          </w:tcPr>
          <w:p>
            <w:pPr>
              <w:jc w:val="center"/>
              <w:ind w:left="679"/>
              <w:spacing w:after="0"/>
              <w:rPr>
                <w:sz w:val="20"/>
                <w:szCs w:val="20"/>
                <w:color w:val="auto"/>
              </w:rPr>
            </w:pPr>
            <w:r>
              <w:rPr>
                <w:rFonts w:ascii="Arial" w:cs="Arial" w:eastAsia="Arial" w:hAnsi="Arial"/>
                <w:sz w:val="16"/>
                <w:szCs w:val="16"/>
                <w:color w:val="auto"/>
              </w:rPr>
              <w:t>Proactive Safety Activities per Employee</w:t>
            </w:r>
          </w:p>
        </w:tc>
        <w:tc>
          <w:tcPr>
            <w:tcW w:w="3300" w:type="dxa"/>
            <w:vAlign w:val="bottom"/>
          </w:tcPr>
          <w:p>
            <w:pPr>
              <w:jc w:val="center"/>
              <w:ind w:left="679"/>
              <w:spacing w:after="0"/>
              <w:rPr>
                <w:sz w:val="20"/>
                <w:szCs w:val="20"/>
                <w:color w:val="auto"/>
              </w:rPr>
            </w:pPr>
            <w:r>
              <w:rPr>
                <w:rFonts w:ascii="Arial" w:cs="Arial" w:eastAsia="Arial" w:hAnsi="Arial"/>
                <w:sz w:val="16"/>
                <w:szCs w:val="16"/>
                <w:color w:val="auto"/>
              </w:rPr>
              <w:t>6</w:t>
            </w:r>
          </w:p>
        </w:tc>
      </w:tr>
      <w:tr>
        <w:trPr>
          <w:trHeight w:val="189"/>
        </w:trPr>
        <w:tc>
          <w:tcPr>
            <w:tcW w:w="7940" w:type="dxa"/>
            <w:vAlign w:val="bottom"/>
            <w:shd w:val="clear" w:color="auto" w:fill="CFF0FC"/>
          </w:tcPr>
          <w:p>
            <w:pPr>
              <w:jc w:val="center"/>
              <w:ind w:left="699"/>
              <w:spacing w:after="0"/>
              <w:rPr>
                <w:sz w:val="20"/>
                <w:szCs w:val="20"/>
                <w:color w:val="auto"/>
              </w:rPr>
            </w:pPr>
            <w:r>
              <w:rPr>
                <w:rFonts w:ascii="Arial" w:cs="Arial" w:eastAsia="Arial" w:hAnsi="Arial"/>
                <w:sz w:val="16"/>
                <w:szCs w:val="16"/>
                <w:color w:val="auto"/>
              </w:rPr>
              <w:t>% of injuries reported within 1 day</w:t>
            </w:r>
          </w:p>
        </w:tc>
        <w:tc>
          <w:tcPr>
            <w:tcW w:w="3300" w:type="dxa"/>
            <w:vAlign w:val="bottom"/>
            <w:shd w:val="clear" w:color="auto" w:fill="CFF0FC"/>
          </w:tcPr>
          <w:p>
            <w:pPr>
              <w:jc w:val="center"/>
              <w:ind w:left="679"/>
              <w:spacing w:after="0"/>
              <w:rPr>
                <w:sz w:val="20"/>
                <w:szCs w:val="20"/>
                <w:color w:val="auto"/>
              </w:rPr>
            </w:pPr>
            <w:r>
              <w:rPr>
                <w:rFonts w:ascii="Arial" w:cs="Arial" w:eastAsia="Arial" w:hAnsi="Arial"/>
                <w:sz w:val="16"/>
                <w:szCs w:val="16"/>
                <w:color w:val="auto"/>
              </w:rPr>
              <w:t>91.5%</w:t>
            </w:r>
          </w:p>
        </w:tc>
      </w:tr>
      <w:tr>
        <w:trPr>
          <w:trHeight w:val="417"/>
        </w:trPr>
        <w:tc>
          <w:tcPr>
            <w:tcW w:w="7940" w:type="dxa"/>
            <w:vAlign w:val="bottom"/>
          </w:tcPr>
          <w:p>
            <w:pPr>
              <w:jc w:val="right"/>
              <w:ind w:right="2139"/>
              <w:spacing w:after="0"/>
              <w:rPr>
                <w:sz w:val="20"/>
                <w:szCs w:val="20"/>
                <w:color w:val="auto"/>
              </w:rPr>
            </w:pPr>
            <w:r>
              <w:rPr>
                <w:rFonts w:ascii="Arial" w:cs="Arial" w:eastAsia="Arial" w:hAnsi="Arial"/>
                <w:sz w:val="16"/>
                <w:szCs w:val="16"/>
                <w:color w:val="auto"/>
              </w:rPr>
              <w:t>22</w:t>
            </w:r>
          </w:p>
        </w:tc>
        <w:tc>
          <w:tcPr>
            <w:tcW w:w="3300" w:type="dxa"/>
            <w:vAlign w:val="bottom"/>
          </w:tcPr>
          <w:p>
            <w:pPr>
              <w:spacing w:after="0"/>
              <w:rPr>
                <w:sz w:val="24"/>
                <w:szCs w:val="24"/>
                <w:color w:val="auto"/>
              </w:rPr>
            </w:pPr>
          </w:p>
        </w:tc>
      </w:tr>
      <w:tr>
        <w:trPr>
          <w:trHeight w:val="751"/>
        </w:trPr>
        <w:tc>
          <w:tcPr>
            <w:tcW w:w="794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980" w:val="left"/>
        </w:tabs>
        <w:rPr>
          <w:sz w:val="20"/>
          <w:szCs w:val="20"/>
          <w:color w:val="auto"/>
        </w:rPr>
      </w:pPr>
      <w:r>
        <w:rPr>
          <w:rFonts w:ascii="Arial" w:cs="Arial" w:eastAsia="Arial" w:hAnsi="Arial"/>
          <w:sz w:val="16"/>
          <w:szCs w:val="16"/>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94" w:lineRule="exact"/>
        <w:rPr>
          <w:sz w:val="20"/>
          <w:szCs w:val="20"/>
          <w:color w:val="auto"/>
        </w:rPr>
      </w:pPr>
    </w:p>
    <w:p>
      <w:pPr>
        <w:jc w:val="both"/>
        <w:ind w:right="100"/>
        <w:spacing w:after="0" w:line="266" w:lineRule="auto"/>
        <w:rPr>
          <w:sz w:val="20"/>
          <w:szCs w:val="20"/>
          <w:color w:val="auto"/>
        </w:rPr>
      </w:pPr>
      <w:r>
        <w:rPr>
          <w:rFonts w:ascii="Arial" w:cs="Arial" w:eastAsia="Arial" w:hAnsi="Arial"/>
          <w:sz w:val="16"/>
          <w:szCs w:val="16"/>
          <w:color w:val="auto"/>
        </w:rPr>
        <w:t>The nature of our business subjects us to a number of uncertainties and risks. Risks that may adversely affect our business operations, financial condition, results of operations or cash flows are described below. These risk factors, along with other risk factors that we discuss in our periodic reports filed with the SEC should be considered for a better understanding of our Company.</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STRATEGIC RISK</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continued success is dependent on execution of our business plan and growth strategy, including our capital investment program.</w:t>
      </w:r>
    </w:p>
    <w:p>
      <w:pPr>
        <w:spacing w:after="0" w:line="194"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 xml:space="preserve">Our strategy is centered on four priorities: </w:t>
      </w:r>
      <w:r>
        <w:rPr>
          <w:rFonts w:ascii="Arial" w:cs="Arial" w:eastAsia="Arial" w:hAnsi="Arial"/>
          <w:sz w:val="16"/>
          <w:szCs w:val="16"/>
          <w:i w:val="1"/>
          <w:iCs w:val="1"/>
          <w:color w:val="auto"/>
        </w:rPr>
        <w:t>People &amp; Culture</w:t>
      </w:r>
      <w:r>
        <w:rPr>
          <w:rFonts w:ascii="Arial" w:cs="Arial" w:eastAsia="Arial" w:hAnsi="Arial"/>
          <w:sz w:val="16"/>
          <w:szCs w:val="16"/>
          <w:color w:val="auto"/>
        </w:rPr>
        <w:t xml:space="preserve"> —build a team that wins together</w:t>
      </w:r>
      <w:r>
        <w:rPr>
          <w:rFonts w:ascii="Arial" w:cs="Arial" w:eastAsia="Arial" w:hAnsi="Arial"/>
          <w:sz w:val="16"/>
          <w:szCs w:val="16"/>
          <w:i w:val="1"/>
          <w:iCs w:val="1"/>
          <w:color w:val="auto"/>
        </w:rPr>
        <w:t>, Operational Excellence—</w:t>
      </w:r>
      <w:r>
        <w:rPr>
          <w:rFonts w:ascii="Arial" w:cs="Arial" w:eastAsia="Arial" w:hAnsi="Arial"/>
          <w:sz w:val="16"/>
          <w:szCs w:val="16"/>
          <w:color w:val="auto"/>
        </w:rPr>
        <w:t xml:space="preserve">relentlessly deliver on our commitment to serve our customers, </w:t>
      </w:r>
      <w:r>
        <w:rPr>
          <w:rFonts w:ascii="Arial" w:cs="Arial" w:eastAsia="Arial" w:hAnsi="Arial"/>
          <w:sz w:val="16"/>
          <w:szCs w:val="16"/>
          <w:i w:val="1"/>
          <w:iCs w:val="1"/>
          <w:color w:val="auto"/>
        </w:rPr>
        <w:t>Transformation</w:t>
      </w:r>
      <w:r>
        <w:rPr>
          <w:rFonts w:ascii="Arial" w:cs="Arial" w:eastAsia="Arial" w:hAnsi="Arial"/>
          <w:sz w:val="16"/>
          <w:szCs w:val="16"/>
          <w:color w:val="auto"/>
        </w:rPr>
        <w:t xml:space="preserve">—be a simple and connected company and </w:t>
      </w:r>
      <w:r>
        <w:rPr>
          <w:rFonts w:ascii="Arial" w:cs="Arial" w:eastAsia="Arial" w:hAnsi="Arial"/>
          <w:sz w:val="16"/>
          <w:szCs w:val="16"/>
          <w:i w:val="1"/>
          <w:iCs w:val="1"/>
          <w:color w:val="auto"/>
        </w:rPr>
        <w:t>Growth—</w:t>
      </w:r>
      <w:r>
        <w:rPr>
          <w:rFonts w:ascii="Arial" w:cs="Arial" w:eastAsia="Arial" w:hAnsi="Arial"/>
          <w:sz w:val="16"/>
          <w:szCs w:val="16"/>
          <w:color w:val="auto"/>
        </w:rPr>
        <w:t>grow to be a dominant long-term energy provider. Our current plans and strategy may be negatively impacted by disruptive forces and innovations in the marketplace, workforce capabilities, changing political, business or regulatory conditions, and technology advancements.</w:t>
      </w:r>
    </w:p>
    <w:p>
      <w:pPr>
        <w:spacing w:after="0" w:line="151"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In addition, we have significant capital investment programs planned for the next five years that are key to our strategic business plan, such as: our Ready Wyoming transmission project; the acquisition of a renewable generating facility and energy storage facility as part of our Colorado Clean Energy Plan; the addition of 99 MWs of natural gas-fired generation in South Dakota; large-scale investments to upgrade existing utility infrastructure; support of customer and community growth needs; and compliance with safety requirements. The successful execution of our capital investment program depends on, or could be affected by, a variety of factors that include, but are not limited to: access to capital to fund projects, weather conditions, effective management of projects, availability of qualified construction personnel including contractors, changes in commodity prices, impacts of supply chain disruptions on availability and cost of materials, governmental approvals and permitting, regulatory cost recovery, and return on investment. Our capacity requirements and applicable reserve margins are a critical component to serving our customers. Delays in construction, increasing reserve margins, and growing demand put additional pressures on meeting resource adequacy requirements. An inability to successfully adapt to changing conditions and execute our strategic plan, including our capital investment program, could materially affect our financial operating results including earnings, cash flow, and liquidity.</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LEGISLATIVE, AND LEGAL RISKS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be subject to unfavorable or untimely federal and state regulatory outcomes.</w:t>
      </w:r>
    </w:p>
    <w:p>
      <w:pPr>
        <w:spacing w:after="0" w:line="194"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Our regulated Utilities are subject to cost-of-service/rate-of-return regulation and earnings oversight from federal and eight state utility commissions. This regulatory treatment does not provide any assurance as to achievement of desired earnings levels. Our customer rates are regulated based on an analysis of our costs and investments, as reviewed and approved in regulatory proceedings. While rate regulation is premised on the full recovery of prudently incurred costs and a reasonable rate of return on invested capital, there can be no assurance that our various regulatory authorities will judge all of our costs to have been prudently incurred or that the regulatory process in which rates are determined will result in full or timely recovery of our costs with a reasonable return on invested capital. In addition, adverse rate decisions, including rate moratoriums, rate refunds, limits on rate increases, lower allowed returns on investments or rate reductions, could be influenced by competitive, economic, political, legislative, public perception and regulatory pressures and adversely impact earnings, cash flow, and liquidity.</w:t>
      </w:r>
    </w:p>
    <w:p>
      <w:pPr>
        <w:spacing w:after="0" w:line="156"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Each of our Utilities are permitted to recover certain costs (such as increased fuel and purchased power costs, including costs from certain severe weather events, or integrity capital investments) outside of a base rate review in order to stabilize customer rates and reduce regulatory lag. If regulators decide to discontinue these tariff-based recovery mechanisms, it could negatively impact earnings, cash flow and liquidity.</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Municipal governments may seek to limit or deny our franchise privileges.</w:t>
      </w:r>
    </w:p>
    <w:p>
      <w:pPr>
        <w:spacing w:after="0" w:line="194"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Municipal governments within our utility service territories possess the power of condemnation and could establish a municipal utility within a portion of our current service territories by limiting or denying franchise privileges for our operations and exercising powers of condemnation over all or part of our utility assets within municipal boundaries. We regularly engage in negotiations on renewals of franchise agreements with our municipal governments. We have from time to time faced challenges or ballot initiatives on franchise renewals. Although condemnation is a process that is subject to constitutional protections requiring just and fair compensation, as with any judicial procedure, the outcome is uncertain. If a municipality sought to pursue this course of action, we cannot assure that we would secure adequate recovery of any litigation costs or our investment in assets subject to condemnation. We also cannot quantify the impact that such action would have on the remainder of our business operations.</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380"/>
        <w:spacing w:after="0" w:line="296" w:lineRule="auto"/>
        <w:rPr>
          <w:sz w:val="20"/>
          <w:szCs w:val="20"/>
          <w:color w:val="auto"/>
        </w:rPr>
      </w:pPr>
      <w:r>
        <w:rPr>
          <w:rFonts w:ascii="Arial" w:cs="Arial" w:eastAsia="Arial" w:hAnsi="Arial"/>
          <w:sz w:val="16"/>
          <w:szCs w:val="16"/>
          <w:b w:val="1"/>
          <w:bCs w:val="1"/>
          <w:color w:val="auto"/>
        </w:rPr>
        <w:t>Costs could significantly increase to achieve or maintain compliance with existing or future environmental laws, regulations or requirements including those associated with climate change.</w:t>
      </w:r>
    </w:p>
    <w:p>
      <w:pPr>
        <w:spacing w:after="0" w:line="113" w:lineRule="exact"/>
        <w:rPr>
          <w:sz w:val="20"/>
          <w:szCs w:val="20"/>
          <w:color w:val="auto"/>
        </w:rPr>
      </w:pPr>
    </w:p>
    <w:p>
      <w:pPr>
        <w:ind w:right="140"/>
        <w:spacing w:after="0" w:line="237" w:lineRule="auto"/>
        <w:rPr>
          <w:sz w:val="20"/>
          <w:szCs w:val="20"/>
          <w:color w:val="auto"/>
        </w:rPr>
      </w:pPr>
      <w:r>
        <w:rPr>
          <w:rFonts w:ascii="Arial" w:cs="Arial" w:eastAsia="Arial" w:hAnsi="Arial"/>
          <w:sz w:val="16"/>
          <w:szCs w:val="16"/>
          <w:color w:val="auto"/>
        </w:rPr>
        <w:t>Our business segments are subject to numerous environmental laws and regulations affecting many aspects of present and future operations, including air emissions (i.e., SO</w:t>
      </w:r>
      <w:r>
        <w:rPr>
          <w:rFonts w:ascii="Arial" w:cs="Arial" w:eastAsia="Arial" w:hAnsi="Arial"/>
          <w:sz w:val="21"/>
          <w:szCs w:val="21"/>
          <w:color w:val="auto"/>
          <w:vertAlign w:val="subscript"/>
        </w:rPr>
        <w:t>2</w:t>
      </w:r>
      <w:r>
        <w:rPr>
          <w:rFonts w:ascii="Arial" w:cs="Arial" w:eastAsia="Arial" w:hAnsi="Arial"/>
          <w:sz w:val="16"/>
          <w:szCs w:val="16"/>
          <w:color w:val="auto"/>
        </w:rPr>
        <w:t>, NO</w:t>
      </w:r>
      <w:r>
        <w:rPr>
          <w:rFonts w:ascii="Arial" w:cs="Arial" w:eastAsia="Arial" w:hAnsi="Arial"/>
          <w:sz w:val="21"/>
          <w:szCs w:val="21"/>
          <w:color w:val="auto"/>
          <w:vertAlign w:val="subscript"/>
        </w:rPr>
        <w:t>x</w:t>
      </w:r>
      <w:r>
        <w:rPr>
          <w:rFonts w:ascii="Arial" w:cs="Arial" w:eastAsia="Arial" w:hAnsi="Arial"/>
          <w:sz w:val="16"/>
          <w:szCs w:val="16"/>
          <w:color w:val="auto"/>
        </w:rPr>
        <w:t>, volatile organic compounds, particulate matter, and GHG), water quality, wastewater discharges, solid waste, and hazardous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waste.</w:t>
      </w:r>
    </w:p>
    <w:p>
      <w:pPr>
        <w:spacing w:after="0" w:line="178"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These laws and regulations may result in increased capital, operating, and other costs. These laws and regulations generally require the business segments to obtain and comply with a wide variety of environmental licenses, permits, inspections, and other government approvals. Compliance with environmental laws and regulations may require significant expenditures, including expenditures for cleanup costs and damages arising from contaminated properties. Failure or inability to comply with evolving environmental regulations may result in the imposition of fines, penalties, and injunctive measures affecting operating assets.</w:t>
      </w:r>
    </w:p>
    <w:p>
      <w:pPr>
        <w:spacing w:after="0" w:line="153" w:lineRule="exact"/>
        <w:rPr>
          <w:sz w:val="20"/>
          <w:szCs w:val="20"/>
          <w:color w:val="auto"/>
        </w:rPr>
      </w:pPr>
    </w:p>
    <w:p>
      <w:pPr>
        <w:jc w:val="both"/>
        <w:ind w:right="200"/>
        <w:spacing w:after="0" w:line="266" w:lineRule="auto"/>
        <w:rPr>
          <w:sz w:val="20"/>
          <w:szCs w:val="20"/>
          <w:color w:val="auto"/>
        </w:rPr>
      </w:pPr>
      <w:r>
        <w:rPr>
          <w:rFonts w:ascii="Arial" w:cs="Arial" w:eastAsia="Arial" w:hAnsi="Arial"/>
          <w:sz w:val="16"/>
          <w:szCs w:val="16"/>
          <w:color w:val="auto"/>
        </w:rPr>
        <w:t>Our business segments may not be successful in recovering increased capital and operating costs incurred to comply with new environmental regulations through existing regulatory rate structures and contracts with customers. More stringent environmental laws or regulations could result in additional capital investments and costs of operation for existing facilities or impede the development of new facilities.</w:t>
      </w:r>
    </w:p>
    <w:p>
      <w:pPr>
        <w:spacing w:after="0" w:line="144"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There is uncertainty regarding if and when new climate legislation, regulations or policies will be adopted to reduce or limit GHG and the impact any such regulations would have on us. New or more stringent regulations or other energy efficiency requirements could require us to incur significant additional costs relating to, among other things, the installation of additional emission control equipment, the acceleration of capital expenditures, the purchase of additional emissions allowances or offsets, the acquisition or development of additional energy supply from renewable resources, the closure or capacity reductions of coal-fired power generation facilities or conversion to alternative fuels, and potential decreased production from our combined cycle natural gas-fired generating units. Additional rules and regulations associated with fossil fuels and GHG emissions could result in the impairment or retirement of some of our existing or future transmission, distribution, generation and natural gas storage facilities or our coal mine. Further, these rules could create the need to purchase or build clean-energy fuel sources to fulfill obligations to our customers. These actions could also result in increased operating costs which could adversely impact customers and our financial operating results including earnings, cash flow and liquidity. We cannot definitively estimate the effect of GHG legislation or regulation on our earnings, cash flow and liquidity.</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Legislative and regulatory requirements may result in compliance penalties.</w:t>
      </w:r>
    </w:p>
    <w:p>
      <w:pPr>
        <w:spacing w:after="0" w:line="194"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Business activities in the energy sector are heavily regulated, primarily by agencies of the federal government. Many agencies employ mandatory civil penalty structures for regulatory violations. The FERC, NERC, PHMSA, CFTC, EPA, OSHA, SEC, TSA, and MSHA may impose significant civil and criminal penalties to enforce compliance requirements relative to our business, which could have a material adverse effect on our financial operating results including earnings, cash flow, and liquidity.</w:t>
      </w:r>
    </w:p>
    <w:p>
      <w:pPr>
        <w:spacing w:after="0" w:line="151" w:lineRule="exact"/>
        <w:rPr>
          <w:sz w:val="20"/>
          <w:szCs w:val="20"/>
          <w:color w:val="auto"/>
        </w:rPr>
      </w:pPr>
    </w:p>
    <w:p>
      <w:pPr>
        <w:ind w:right="600"/>
        <w:spacing w:after="0" w:line="296" w:lineRule="auto"/>
        <w:rPr>
          <w:sz w:val="20"/>
          <w:szCs w:val="20"/>
          <w:color w:val="auto"/>
        </w:rPr>
      </w:pPr>
      <w:r>
        <w:rPr>
          <w:rFonts w:ascii="Arial" w:cs="Arial" w:eastAsia="Arial" w:hAnsi="Arial"/>
          <w:sz w:val="16"/>
          <w:szCs w:val="16"/>
          <w:b w:val="1"/>
          <w:bCs w:val="1"/>
          <w:color w:val="auto"/>
        </w:rPr>
        <w:t>Changes in Federal income tax policy or our inability to use or generate tax credits may adversely affect our financial condition, results of operations, and cash flows, as well as our credit ratings.</w:t>
      </w:r>
    </w:p>
    <w:p>
      <w:pPr>
        <w:spacing w:after="0" w:line="113"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We are subject to taxation by the various taxing authorities at the federal, state and local levels where we operate. Sweeping legislation or regulation could be enacted by any of these governmental authorities which may affect our tax burden. Changes may include numerous provisions that affect businesses, including changes to corporate tax rates, business-related exclusions, transferability of tax credits, and deductions and credits. The outcome of regulatory proceedings regarding the extent to which a change in corporate tax rate will affect our utility customers and the time period over which that change will occur could significantly impact future earnings and cash flows. Separately, a challenge by a taxing authority, changes in taxing authorities’ administrative interpretations, decisions, policies, and positions, our ability to utilize tax benefits such as carryforwards or tax credits, or a deviation from other tax-related assumptions may cause actual financial results to deviate from previous estimates.</w:t>
      </w:r>
    </w:p>
    <w:p>
      <w:pPr>
        <w:spacing w:after="0" w:line="154"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We have reduced our consolidated federal and state income tax liabilities in prior years through tax credits, net operating losses, and charitable contribution deductions. A reduction in or disallowance of these tax benefits could adversely affect our earnings and cash flows. We have not fully used these allowed tax benefits in our previous tax filings and have carried them forward to use against future taxable income. Our inability to generate sufficient taxable income in the future to fully use these tax carryforwards before they expire, or to transfer future tax credits as discussed below, could significantly affect our tax obligations and financial results.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Our Electric Utilities and non-regulated power generation entities own and operate renewable energy generating facilities. These facilities produce PTCs and ITCs used to reduce our federal tax obligations. The amount of tax credits we earn depends on the date the qualifying generating facilities are placed in service and various operating and economic factors, including facility generation, transmission constraints, unfavorable trends in pricing for wind or solar energy, adverse weather conditions, the breakdown or failure of equipment, and the applicable tax credit rate. These factors could significantly reduce the PTCs and ITCs produced by our wind farms, resulting in increased federal income tax expense. The IRA of 2022 allows for the sale or transfer of renewable tax credits to other taxpayers. We have sold and plan to continue to sell tax credits if market conditions are favorable. Our inability to generate, transfer, or sell these credits could have a material impact on our financial condition, results of operations and cash flows.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RISKS</w:t>
      </w:r>
    </w:p>
    <w:p>
      <w:pPr>
        <w:spacing w:after="0" w:line="194" w:lineRule="exact"/>
        <w:rPr>
          <w:sz w:val="20"/>
          <w:szCs w:val="20"/>
          <w:color w:val="auto"/>
        </w:rPr>
      </w:pPr>
    </w:p>
    <w:p>
      <w:pPr>
        <w:ind w:right="380"/>
        <w:spacing w:after="0" w:line="296" w:lineRule="auto"/>
        <w:rPr>
          <w:sz w:val="20"/>
          <w:szCs w:val="20"/>
          <w:color w:val="auto"/>
        </w:rPr>
      </w:pPr>
      <w:r>
        <w:rPr>
          <w:rFonts w:ascii="Arial" w:cs="Arial" w:eastAsia="Arial" w:hAnsi="Arial"/>
          <w:sz w:val="16"/>
          <w:szCs w:val="16"/>
          <w:b w:val="1"/>
          <w:bCs w:val="1"/>
          <w:color w:val="auto"/>
        </w:rPr>
        <w:t>Failure to attract and retain an appropriately qualified and engaged workforce could have a negative impact on our operations and long-term business strategy.</w:t>
      </w:r>
    </w:p>
    <w:p>
      <w:pPr>
        <w:spacing w:after="0" w:line="113"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Recent trends, such as a competitive and tight labor market and declines in employee engagement may lead to higher costs and increased risk of negative outcomes for safety, compliance, customer service, and operations. If we are unable to successfully attract and retain an appropriately qualified workforce and maintain high levels of employee engagement, and maintain satisfactory collective bargaining agreements, safety, service reliability, customer satisfaction, and our results of operations could be adversely affected. As part of our strategic business plans, we will need to attract and retain personnel who are qualified and engaged to implement our strategy and may need to retrain or re-skill certain employees to support our long-term objectives.</w:t>
      </w:r>
    </w:p>
    <w:p>
      <w:pPr>
        <w:spacing w:after="0" w:line="153"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Our businesses have collective bargaining agreements with labor unions and approximately 25% of our employees are represented by unions. Failure to renew or renegotiate these contracts could lead to labor disruptions, including strikes or boycotts.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Liability from fires could have a negative impact on our operations or financial performance, and our protocols may not prevent such liability.</w:t>
      </w:r>
    </w:p>
    <w:p>
      <w:pPr>
        <w:spacing w:after="0" w:line="194"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Environmental factors including precipitation, temperature, humidity and wind speeds have the potential to increase the likelihood and impact of a wildfire event. We invest resources on initiatives designed to mitigate wildfire risks and also intend to implement a PSPS framework in 2025. The potential for a wildfire event exists even when effective mitigation procedures are followed. Despite our wildfire mitigation initiatives, a wildfire could be ignited, spread and cause damages, which would subject us to significant liability. Other potential risks associated with wildfires include the inability to secure sufficient insurance coverage, uninsured losses or losses in excess of current insurance coverage, increased costs of insurance, damage to our reputation, regulatory recovery risk, litigation risk, the potential for a credit downgrade or the inability to access capital markets on reasonable terms.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Supply chain challenges could negatively impact our operations.</w:t>
      </w:r>
    </w:p>
    <w:p>
      <w:pPr>
        <w:spacing w:after="0" w:line="194"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We rely on various suppliers in our supply chain for the materials necessary to execute on our capital investment program that is key to our strategic business plans and to respond to a significant unplanned event such as a natural disaster. Our largest customers also rely on our supply chain and delays in critical materials could impact their ability to operate and grow as planned. Our supply chain, material costs, and capital investment program may be negatively impacted by:</w:t>
      </w:r>
    </w:p>
    <w:p>
      <w:pPr>
        <w:spacing w:after="0" w:line="151" w:lineRule="exact"/>
        <w:rPr>
          <w:sz w:val="20"/>
          <w:szCs w:val="20"/>
          <w:color w:val="auto"/>
        </w:rPr>
      </w:pPr>
    </w:p>
    <w:p>
      <w:pPr>
        <w:ind w:left="1020" w:right="300" w:hanging="503"/>
        <w:spacing w:after="0" w:line="285" w:lineRule="auto"/>
        <w:tabs>
          <w:tab w:leader="none" w:pos="102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Unanticipated price increases due to recent macroeconomic factors, such as inflation, including wage inflation, imposition of new tariffs, or rising demand for raw materials associated with the Energy Transition; and</w:t>
      </w:r>
    </w:p>
    <w:p>
      <w:pPr>
        <w:spacing w:after="0" w:line="129" w:lineRule="exact"/>
        <w:rPr>
          <w:rFonts w:ascii="Times New Roman" w:cs="Times New Roman" w:eastAsia="Times New Roman" w:hAnsi="Times New Roman"/>
          <w:sz w:val="16"/>
          <w:szCs w:val="16"/>
          <w:color w:val="auto"/>
        </w:rPr>
      </w:pPr>
    </w:p>
    <w:p>
      <w:pPr>
        <w:ind w:left="1020" w:right="20" w:hanging="503"/>
        <w:spacing w:after="0" w:line="266" w:lineRule="auto"/>
        <w:tabs>
          <w:tab w:leader="none" w:pos="102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Supply restrictions beyond our control or the control of our suppliers such as disruption of the freight system (e.g. labor union strikes, disruptions of trade routes), new or increased tariffs or quotas, increased environmental threats from weather-related disasters, rising demand for raw materials associated with the Energy Transition, and/or geopolitical unrest.</w:t>
      </w:r>
    </w:p>
    <w:p>
      <w:pPr>
        <w:spacing w:after="0" w:line="143"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auto"/>
        </w:rPr>
        <w:t>An inability to successfully manage challenges in our supply chain network could materially affect our ability to execute our business plan and growth strategy and our financial operating results including earnings, cash flow, and liquidity.</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b w:val="1"/>
          <w:bCs w:val="1"/>
          <w:color w:val="auto"/>
        </w:rPr>
        <w:t>Cybersecurity incidents, terrorism, or other malicious acts targeting our key technology systems could disrupt our operations, lead to a loss or misuse of confidential and proprietary information, or cause reputational or other harm.</w:t>
      </w:r>
    </w:p>
    <w:p>
      <w:pPr>
        <w:spacing w:after="0" w:line="113"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To effectively operate our business, we rely upon a sophisticated electronic control system, information and operation technology systems and network infrastructure to generate, distribute and deliver energy, and collect and retain sensitive information including personal information about our customers and employees. Cybersecurity incidents, terrorism, or other malicious acts targeting electronic control systems could result in a full or partial disruption of our electric and/or natural gas operations. Attacks targeting other key technology systems, including our third-party vendors’ information systems, could further add to a full or partial disruption of our operations. The utility industry has been the target of several cyberattacks on operational systems and has seen an increased volume and sophistication of cybersecurity incidents from international activist organizations, other nation state actors and individuals. In addition, the advancement of AI has given rise to additional vulnerabilities and potential entry points for cyberattacks. Any disruption of our electric and/or natural gas operations could result in a loss of service to customers and associated revenues, as well as significant expense to repair damages and remedy security breaches. In addition, any theft, loss, and/or fraudulent use of customer, shareowner, employee, or proprietary data could subject us to significant litigation, liability, and costs, as well as adversely impact our reputation with customers and regulators, among others. We maintain cyber risk insurance to mitigate a portion, but not all, of these risks and losses.</w:t>
      </w:r>
    </w:p>
    <w:p>
      <w:pPr>
        <w:spacing w:after="0" w:line="160"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 xml:space="preserve">As discussed in </w:t>
      </w:r>
      <w:r>
        <w:rPr>
          <w:rFonts w:ascii="Arial" w:cs="Arial" w:eastAsia="Arial" w:hAnsi="Arial"/>
          <w:sz w:val="16"/>
          <w:szCs w:val="16"/>
          <w:u w:val="single" w:color="auto"/>
          <w:color w:val="0000FF"/>
        </w:rPr>
        <w:t>Item 1C</w:t>
      </w:r>
      <w:r>
        <w:rPr>
          <w:rFonts w:ascii="Arial" w:cs="Arial" w:eastAsia="Arial" w:hAnsi="Arial"/>
          <w:sz w:val="16"/>
          <w:szCs w:val="16"/>
          <w:color w:val="auto"/>
        </w:rPr>
        <w:t xml:space="preserve"> in this Annual Report on Form 10-K, we have instituted security measures and safeguards to protect our operational systems and information technology assets against cybersecurity threats, including certain safeguards required by NERC. Despite our implementation of security measures and safeguards, all of our technology systems may still be vulnerable to disability, failures, or unauthorized access.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748030</wp:posOffset>
            </wp:positionH>
            <wp:positionV relativeFrom="paragraph">
              <wp:posOffset>-276225</wp:posOffset>
            </wp:positionV>
            <wp:extent cx="36004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124"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In recent years, the TSA issued security directives that included several new cybersecurity requirements for critical pipeline owners and operators. Such directives or other requirements may require expenditure of significant additional resources to respond to cybersecurity incidents, to continue to modify or enhance protective measures, or to assess, investigate and remediate any critical infrastructure security vulnerabilities. Increased costs and the operational impacts of compliance and changes in cybersecurity requirements, including any failure to comply with government regulations or any failure in our cybersecurity protective measures may result in enforcement actions, all of which may have a material adverse effect on our business and our financial operating results including earnings, cash flow, and liquidity. In addition, there is no certainty that costs incurred related to securing against threats will be recovered through rates.</w:t>
      </w:r>
    </w:p>
    <w:p>
      <w:pPr>
        <w:spacing w:after="0" w:line="154" w:lineRule="exact"/>
        <w:rPr>
          <w:sz w:val="20"/>
          <w:szCs w:val="20"/>
          <w:color w:val="auto"/>
        </w:rPr>
      </w:pPr>
    </w:p>
    <w:p>
      <w:pPr>
        <w:ind w:right="560"/>
        <w:spacing w:after="0" w:line="296" w:lineRule="auto"/>
        <w:rPr>
          <w:sz w:val="20"/>
          <w:szCs w:val="20"/>
          <w:color w:val="auto"/>
        </w:rPr>
      </w:pPr>
      <w:r>
        <w:rPr>
          <w:rFonts w:ascii="Arial" w:cs="Arial" w:eastAsia="Arial" w:hAnsi="Arial"/>
          <w:sz w:val="16"/>
          <w:szCs w:val="16"/>
          <w:b w:val="1"/>
          <w:bCs w:val="1"/>
          <w:color w:val="auto"/>
        </w:rPr>
        <w:t>Our financial performance depends on the successful operation of electric generating facilities, electric and natural gas transmission and distribution systems, natural gas storage facilities and a coal mine.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risks associated with managing these operations include:</w:t>
      </w:r>
    </w:p>
    <w:p>
      <w:pPr>
        <w:spacing w:after="0" w:line="194" w:lineRule="exact"/>
        <w:rPr>
          <w:sz w:val="20"/>
          <w:szCs w:val="20"/>
          <w:color w:val="auto"/>
        </w:rPr>
      </w:pPr>
    </w:p>
    <w:p>
      <w:pPr>
        <w:ind w:left="1020" w:right="600" w:hanging="503"/>
        <w:spacing w:after="0" w:line="285" w:lineRule="auto"/>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Operating hazards. Operating hazards such as leaks, mechanical problems and accidents, including fires or explosions, could impact employee and public safety, reliability, and customer confidence.</w:t>
      </w:r>
    </w:p>
    <w:p>
      <w:pPr>
        <w:spacing w:after="0" w:line="129" w:lineRule="exact"/>
        <w:rPr>
          <w:rFonts w:ascii="Times New Roman" w:cs="Times New Roman" w:eastAsia="Times New Roman" w:hAnsi="Times New Roman"/>
          <w:sz w:val="16"/>
          <w:szCs w:val="16"/>
          <w:color w:val="auto"/>
        </w:rPr>
      </w:pPr>
    </w:p>
    <w:p>
      <w:pPr>
        <w:ind w:left="1020" w:right="140" w:hanging="503"/>
        <w:spacing w:after="0" w:line="259" w:lineRule="auto"/>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Inherent dangers. Electricity and natural gas can be dangerous to employees and the general public. Failures of or contact with power lines, natural gas pipelines, or service facilities and equipment may result in fires (discussed above), explosions, property damage, and personal injuries, including death. While we maintain liability and property insurance coverage, such policies are subject to certain limits and deductibles. The occurrence of any of these events may not be fully covered by our insurance.</w:t>
      </w:r>
    </w:p>
    <w:p>
      <w:pPr>
        <w:spacing w:after="0" w:line="150"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Weather, natural conditions, and disasters including impacts from climate change (discussed below).</w:t>
      </w:r>
    </w:p>
    <w:p>
      <w:pPr>
        <w:spacing w:after="0" w:line="206" w:lineRule="exact"/>
        <w:rPr>
          <w:rFonts w:ascii="Times New Roman" w:cs="Times New Roman" w:eastAsia="Times New Roman" w:hAnsi="Times New Roman"/>
          <w:sz w:val="16"/>
          <w:szCs w:val="16"/>
          <w:color w:val="auto"/>
        </w:rPr>
      </w:pPr>
    </w:p>
    <w:p>
      <w:pPr>
        <w:ind w:left="1020" w:right="80" w:hanging="503"/>
        <w:spacing w:after="0" w:line="285" w:lineRule="auto"/>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Acts of sabotage, terrorism, or other malicious physical attacks. Damage to our facilities due to deliberate acts could lead to outages or other adverse effects.</w:t>
      </w:r>
    </w:p>
    <w:p>
      <w:pPr>
        <w:spacing w:after="0" w:line="129" w:lineRule="exact"/>
        <w:rPr>
          <w:rFonts w:ascii="Times New Roman" w:cs="Times New Roman" w:eastAsia="Times New Roman" w:hAnsi="Times New Roman"/>
          <w:sz w:val="16"/>
          <w:szCs w:val="16"/>
          <w:color w:val="auto"/>
        </w:rPr>
      </w:pPr>
    </w:p>
    <w:p>
      <w:pPr>
        <w:ind w:left="1020" w:right="100" w:hanging="503"/>
        <w:spacing w:after="0" w:line="285" w:lineRule="auto"/>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Equipment and processes. Breakdown or failure of equipment or processes, unavailability, or increased cost of equipment, and performance below expected levels of output or efficiency.</w:t>
      </w:r>
    </w:p>
    <w:p>
      <w:pPr>
        <w:spacing w:after="0" w:line="129" w:lineRule="exact"/>
        <w:rPr>
          <w:rFonts w:ascii="Times New Roman" w:cs="Times New Roman" w:eastAsia="Times New Roman" w:hAnsi="Times New Roman"/>
          <w:sz w:val="16"/>
          <w:szCs w:val="16"/>
          <w:color w:val="auto"/>
        </w:rPr>
      </w:pPr>
    </w:p>
    <w:p>
      <w:pPr>
        <w:ind w:left="1020" w:hanging="503"/>
        <w:spacing w:after="0" w:line="266" w:lineRule="auto"/>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Disrupted transmission and distribution. We depend on transmission and distribution facilities, including those operated by unaffiliated parties, to deliver the electricity and natural gas that we sell to our retail and wholesale customers. If transmission is interrupted physically, mechanically or with cyber means, our ability to sell or deliver utility services and satisfy our contractual obligations may be hindered.</w:t>
      </w:r>
    </w:p>
    <w:p>
      <w:pPr>
        <w:spacing w:after="0" w:line="143" w:lineRule="exact"/>
        <w:rPr>
          <w:rFonts w:ascii="Times New Roman" w:cs="Times New Roman" w:eastAsia="Times New Roman" w:hAnsi="Times New Roman"/>
          <w:sz w:val="16"/>
          <w:szCs w:val="16"/>
          <w:color w:val="auto"/>
        </w:rPr>
      </w:pPr>
    </w:p>
    <w:p>
      <w:pPr>
        <w:ind w:left="1020" w:right="200" w:hanging="503"/>
        <w:spacing w:after="0" w:line="259" w:lineRule="auto"/>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Natural gas supply for generation and distribution. Our regulated Utilities and non-regulated entities purchase natural gas from a number of suppliers for our generating facilities and for distribution to our customers. Our operations could be negatively impacted by the lack of availability and cost of natural gas, and disruptions in the delivery of natural gas due to various factors, including but not limited to, transportation delays, labor relations, weather, sabotage, cyber-attacks, and environmental regulations.</w:t>
      </w:r>
    </w:p>
    <w:p>
      <w:pPr>
        <w:spacing w:after="0" w:line="17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020" w:right="20" w:hanging="503"/>
        <w:spacing w:after="0" w:line="285" w:lineRule="auto"/>
        <w:tabs>
          <w:tab w:leader="none" w:pos="102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Replacement power. We may incur increased cost of supplying or securing replacement power during scheduled and unscheduled outages of generation facilities.</w:t>
      </w:r>
    </w:p>
    <w:p>
      <w:pPr>
        <w:spacing w:after="0" w:line="129" w:lineRule="exact"/>
        <w:rPr>
          <w:rFonts w:ascii="Times New Roman" w:cs="Times New Roman" w:eastAsia="Times New Roman" w:hAnsi="Times New Roman"/>
          <w:sz w:val="16"/>
          <w:szCs w:val="16"/>
          <w:color w:val="auto"/>
        </w:rPr>
      </w:pPr>
    </w:p>
    <w:p>
      <w:pPr>
        <w:ind w:left="1020" w:right="80" w:hanging="503"/>
        <w:spacing w:after="0" w:line="285" w:lineRule="auto"/>
        <w:tabs>
          <w:tab w:leader="none" w:pos="102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Governmental permits. The inability to obtain required governmental permits and approvals along with the cost of complying with or satisfying conditions imposed upon such approvals could negatively impact our ability to operate.</w:t>
      </w:r>
    </w:p>
    <w:p>
      <w:pPr>
        <w:spacing w:after="0" w:line="129" w:lineRule="exact"/>
        <w:rPr>
          <w:rFonts w:ascii="Times New Roman" w:cs="Times New Roman" w:eastAsia="Times New Roman" w:hAnsi="Times New Roman"/>
          <w:sz w:val="16"/>
          <w:szCs w:val="16"/>
          <w:color w:val="auto"/>
        </w:rPr>
      </w:pPr>
    </w:p>
    <w:p>
      <w:pPr>
        <w:ind w:left="1020" w:right="360" w:hanging="503"/>
        <w:spacing w:after="0" w:line="285" w:lineRule="auto"/>
        <w:tabs>
          <w:tab w:leader="none" w:pos="102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Operational limitations. Operational limitations imposed by environmental and other regulatory requirements and contractual agreements, including those that restrict the timing of generation plant scheduled outages.</w:t>
      </w:r>
    </w:p>
    <w:p>
      <w:pPr>
        <w:spacing w:after="0" w:line="129" w:lineRule="exact"/>
        <w:rPr>
          <w:rFonts w:ascii="Times New Roman" w:cs="Times New Roman" w:eastAsia="Times New Roman" w:hAnsi="Times New Roman"/>
          <w:sz w:val="16"/>
          <w:szCs w:val="16"/>
          <w:color w:val="auto"/>
        </w:rPr>
      </w:pPr>
    </w:p>
    <w:p>
      <w:pPr>
        <w:ind w:left="1020" w:right="240" w:hanging="503"/>
        <w:spacing w:after="0" w:line="285" w:lineRule="auto"/>
        <w:tabs>
          <w:tab w:leader="none" w:pos="102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Increased costs. Increased capital and operating costs to comply with increasingly stringent laws and regulations, unexpected engineering, environmental and geological problems, and unanticipated cost overruns.</w:t>
      </w:r>
    </w:p>
    <w:p>
      <w:pPr>
        <w:spacing w:after="0" w:line="129"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Supply chain challenges (discussed above).</w:t>
      </w:r>
    </w:p>
    <w:p>
      <w:pPr>
        <w:spacing w:after="0" w:line="20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Workforce capabilities and labor relations (discussed above).</w:t>
      </w:r>
    </w:p>
    <w:p>
      <w:pPr>
        <w:spacing w:after="0" w:line="20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Public opposition. Opposition by members of public or special-interest groups could negatively impact our ability to operate our businesses.</w:t>
      </w:r>
    </w:p>
    <w:p>
      <w:pPr>
        <w:spacing w:after="0" w:line="207"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Any of these risks described above could damage our reputation and public confidence. These risks could also cause us to be unable to deliver energy and/or operate below expected capacity levels, which in turn could reduce revenues or cause us to incur higher operating and maintenance costs and penalties. While we maintain insurance, obtain warranties from vendors and obligate contractors to meet certain performance levels, the proceeds of such insurance and our rights under contracts, warranties or performance guarantees may not be timely or adequate to cover lost revenues, increased expenses, liability, or liquidated damage payments.</w:t>
      </w:r>
    </w:p>
    <w:p>
      <w:pPr>
        <w:spacing w:after="0" w:line="153" w:lineRule="exact"/>
        <w:rPr>
          <w:sz w:val="20"/>
          <w:szCs w:val="20"/>
          <w:color w:val="auto"/>
        </w:rPr>
      </w:pPr>
    </w:p>
    <w:p>
      <w:pPr>
        <w:ind w:right="480"/>
        <w:spacing w:after="0" w:line="296" w:lineRule="auto"/>
        <w:rPr>
          <w:sz w:val="20"/>
          <w:szCs w:val="20"/>
          <w:color w:val="auto"/>
        </w:rPr>
      </w:pPr>
      <w:r>
        <w:rPr>
          <w:rFonts w:ascii="Arial" w:cs="Arial" w:eastAsia="Arial" w:hAnsi="Arial"/>
          <w:sz w:val="16"/>
          <w:szCs w:val="16"/>
          <w:b w:val="1"/>
          <w:bCs w:val="1"/>
          <w:color w:val="auto"/>
        </w:rPr>
        <w:t>The nature of our business subjects us to climate-related risk, stemming from both physical risk and transition risk of climate change, over varying time horizons.</w:t>
      </w:r>
    </w:p>
    <w:p>
      <w:pPr>
        <w:spacing w:after="0" w:line="113"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Physical risks of climate change refer to risks to our facilities or operations that may result from changes in the physical climate, such as changes to temperature and weather patterns. Our utility businesses are seasonal businesses and weather conditions and patterns can have a material impact on our operating results. To the extent weather conditions are affected by climate change, fluctuations in commodity prices and customers’ energy usage could be magnified. Climate change may lead to increased intensity and frequency of storms, resulting in increased likelihood of wildfires, wind, and extreme temperature events. Severe weather events, such as snow and ice storms (e.g., Winter Storm Uri), wildfires, and strong winds could impact our operations, including our ability to provide energy safely, reliably, and profitably and our ability to complete construction, expansion, or refurbishment of facilities as planned. Climate change may intensify these events or increase the frequency of their occurrence. Over time, we may need to make additional investments to protect our facilities from physical risks of climate change.</w:t>
      </w:r>
    </w:p>
    <w:p>
      <w:pPr>
        <w:spacing w:after="0" w:line="156"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Transition risks of climate change include changes to the energy systems as a result of new technologies, changing customer demand, and/or expectations and voluntary GHG reduction goals, as well as local, state, or federal regulatory requirements (discussed above). Policies such as a carbon or methane tax could increase costs associated with fossil fuel usage, resulting in higher operating costs including costs of energy generation, construction, and transportation. Risks of the transition to a low-carbon economy could result in shrinking customer demand for fossil fuel-based energy sources. This could come from increased use of behind the meter technology, such as residential solar and storage. Risk of investor pressure over climate risk and/or ESG standards, activist campaigns against coal producers, employee preferences to work for companies with certain sustainability goals, and consumers preference for renewable energy could impact our reputation, ability to attract and retain an appropriately trained workforce, and overall access to capital and/or adequate insurance policies.</w:t>
      </w:r>
    </w:p>
    <w:p>
      <w:pPr>
        <w:spacing w:after="0" w:line="156" w:lineRule="exact"/>
        <w:rPr>
          <w:sz w:val="20"/>
          <w:szCs w:val="20"/>
          <w:color w:val="auto"/>
        </w:rPr>
      </w:pPr>
    </w:p>
    <w:p>
      <w:pPr>
        <w:ind w:right="540"/>
        <w:spacing w:after="0" w:line="296" w:lineRule="auto"/>
        <w:rPr>
          <w:sz w:val="20"/>
          <w:szCs w:val="20"/>
          <w:color w:val="auto"/>
        </w:rPr>
      </w:pPr>
      <w:r>
        <w:rPr>
          <w:rFonts w:ascii="Arial" w:cs="Arial" w:eastAsia="Arial" w:hAnsi="Arial"/>
          <w:sz w:val="16"/>
          <w:szCs w:val="16"/>
          <w:b w:val="1"/>
          <w:bCs w:val="1"/>
          <w:color w:val="auto"/>
        </w:rPr>
        <w:t>Our operations are subject to various conditions that can result in fluctuations in customer usage, including customer growth and general economic conditions in our service territories, weather conditions, and responses to price increases and technological improvements.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Demand for electricity and natural gas can vary greatly based upon:</w:t>
      </w:r>
    </w:p>
    <w:p>
      <w:pPr>
        <w:spacing w:after="0" w:line="194" w:lineRule="exact"/>
        <w:rPr>
          <w:sz w:val="20"/>
          <w:szCs w:val="20"/>
          <w:color w:val="auto"/>
        </w:rPr>
      </w:pPr>
    </w:p>
    <w:p>
      <w:pPr>
        <w:ind w:left="1020" w:hanging="503"/>
        <w:spacing w:after="0" w:line="254" w:lineRule="auto"/>
        <w:tabs>
          <w:tab w:leader="none" w:pos="102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Fluctuations in customer growth and general economic conditions in our service territories. </w:t>
      </w:r>
      <w:r>
        <w:rPr>
          <w:rFonts w:ascii="Arial" w:cs="Arial" w:eastAsia="Arial" w:hAnsi="Arial"/>
          <w:sz w:val="16"/>
          <w:szCs w:val="16"/>
          <w:color w:val="auto"/>
        </w:rPr>
        <w:t>Customer growth and energy use can be</w:t>
      </w:r>
      <w:r>
        <w:rPr>
          <w:rFonts w:ascii="Arial" w:cs="Arial" w:eastAsia="Arial" w:hAnsi="Arial"/>
          <w:sz w:val="16"/>
          <w:szCs w:val="16"/>
          <w:i w:val="1"/>
          <w:iCs w:val="1"/>
          <w:color w:val="auto"/>
        </w:rPr>
        <w:t xml:space="preserve"> </w:t>
      </w:r>
      <w:r>
        <w:rPr>
          <w:rFonts w:ascii="Arial" w:cs="Arial" w:eastAsia="Arial" w:hAnsi="Arial"/>
          <w:sz w:val="16"/>
          <w:szCs w:val="16"/>
          <w:color w:val="auto"/>
        </w:rPr>
        <w:t>negatively impacted by population declines as well as adverse economic factors in our service territories, including recession, inflation, workforce reductions, stagnant wage growth, changing levels of support from state and local government for economic development, business closings, and reductions in the level of business investment. These risks could directly influence the demand for electricity and natural gas as well as the need for additional power generation and generating facilities. We could also be exposed to greater risks of accounts receivable write-offs if customers are unable to pay their bills.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020" w:right="40" w:hanging="503"/>
        <w:spacing w:after="0" w:line="253" w:lineRule="auto"/>
        <w:tabs>
          <w:tab w:leader="none" w:pos="102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Weather conditions. </w:t>
      </w:r>
      <w:r>
        <w:rPr>
          <w:rFonts w:ascii="Arial" w:cs="Arial" w:eastAsia="Arial" w:hAnsi="Arial"/>
          <w:sz w:val="16"/>
          <w:szCs w:val="16"/>
          <w:color w:val="auto"/>
        </w:rPr>
        <w:t>Our Utilities are seasonal businesses and weather conditions and patterns can have a material impact on our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Demand for electricity is typically greater in the summer and winter months associated with cooling and heating, respectively. Demand for natural gas depends heavily upon winter-weather patterns throughout our service territory and a significant amount of natural gas revenues are recognized in the first and fourth quarters related to the heating season. Accordingly, our Utilities have historically generated lower revenues, income and cash flows when weather conditions are cooler than normal in the summer and warmer than normal in the winter. Demand for natural gas is also impacted by summer weather patterns that are cooler than normal and provide higher than normal precipitation; both of which can reduce natural gas demand for irrigation.</w:t>
      </w:r>
    </w:p>
    <w:p>
      <w:pPr>
        <w:spacing w:after="0" w:line="153" w:lineRule="exact"/>
        <w:rPr>
          <w:rFonts w:ascii="Times New Roman" w:cs="Times New Roman" w:eastAsia="Times New Roman" w:hAnsi="Times New Roman"/>
          <w:sz w:val="16"/>
          <w:szCs w:val="16"/>
          <w:color w:val="auto"/>
        </w:rPr>
      </w:pPr>
    </w:p>
    <w:p>
      <w:pPr>
        <w:ind w:left="1020" w:hanging="503"/>
        <w:spacing w:after="0" w:line="251" w:lineRule="auto"/>
        <w:tabs>
          <w:tab w:leader="none" w:pos="102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Our customers' focus on energy conservation which may be assisted by emerging technologies. </w:t>
      </w:r>
      <w:r>
        <w:rPr>
          <w:rFonts w:ascii="Arial" w:cs="Arial" w:eastAsia="Arial" w:hAnsi="Arial"/>
          <w:sz w:val="16"/>
          <w:szCs w:val="16"/>
          <w:color w:val="auto"/>
        </w:rPr>
        <w:t>Customer growth and usage may be</w:t>
      </w:r>
      <w:r>
        <w:rPr>
          <w:rFonts w:ascii="Arial" w:cs="Arial" w:eastAsia="Arial" w:hAnsi="Arial"/>
          <w:sz w:val="16"/>
          <w:szCs w:val="16"/>
          <w:i w:val="1"/>
          <w:iCs w:val="1"/>
          <w:color w:val="auto"/>
        </w:rPr>
        <w:t xml:space="preserve"> </w:t>
      </w:r>
      <w:r>
        <w:rPr>
          <w:rFonts w:ascii="Arial" w:cs="Arial" w:eastAsia="Arial" w:hAnsi="Arial"/>
          <w:sz w:val="16"/>
          <w:szCs w:val="16"/>
          <w:color w:val="auto"/>
        </w:rPr>
        <w:t>impacted by the voluntary reduction in consumption of electricity and natural gas by our customers in response to increases in prices and energy efficiency programs, electrification initiatives that could negatively impact the demand for natural gas, economic conditions (i.e., inflation, recession) impacting customers’ disposable income and the use of distributed generation resources or other emerging technologies. Continued technological improvements may make customer and third-party distributed generation and energy storage systems, including fuel cells, micro-turbines, wind turbines, solar cells, and batteries, more cost effective and feasible for our customers. If more customers utilize their own generation, demand for energy from us could decline. Such developments could affect the price and/or delivery of energy, require further improvements to our distribution systems to address changing load demands and could make portions of our electric system's power supply and transmission and/or distribution facilities obsolete prior to the end of their useful lives.</w:t>
      </w:r>
    </w:p>
    <w:p>
      <w:pPr>
        <w:spacing w:after="0" w:line="157" w:lineRule="exact"/>
        <w:rPr>
          <w:sz w:val="20"/>
          <w:szCs w:val="20"/>
          <w:color w:val="auto"/>
        </w:rPr>
      </w:pPr>
    </w:p>
    <w:p>
      <w:pPr>
        <w:ind w:right="480"/>
        <w:spacing w:after="0" w:line="286" w:lineRule="auto"/>
        <w:rPr>
          <w:sz w:val="20"/>
          <w:szCs w:val="20"/>
          <w:color w:val="auto"/>
        </w:rPr>
      </w:pPr>
      <w:r>
        <w:rPr>
          <w:rFonts w:ascii="Arial" w:cs="Arial" w:eastAsia="Arial" w:hAnsi="Arial"/>
          <w:sz w:val="16"/>
          <w:szCs w:val="16"/>
          <w:color w:val="auto"/>
        </w:rPr>
        <w:t>Each of these factors described above could materially affect demand for electricity and natural gas which would impact our financial operating results including earnings, cash flow and liquidity.</w:t>
      </w:r>
    </w:p>
    <w:p>
      <w:pPr>
        <w:spacing w:after="0" w:line="129" w:lineRule="exact"/>
        <w:rPr>
          <w:sz w:val="20"/>
          <w:szCs w:val="20"/>
          <w:color w:val="auto"/>
        </w:rPr>
      </w:pPr>
    </w:p>
    <w:p>
      <w:pPr>
        <w:ind w:right="500"/>
        <w:spacing w:after="0" w:line="296" w:lineRule="auto"/>
        <w:rPr>
          <w:sz w:val="20"/>
          <w:szCs w:val="20"/>
          <w:color w:val="auto"/>
        </w:rPr>
      </w:pPr>
      <w:r>
        <w:rPr>
          <w:rFonts w:ascii="Arial" w:cs="Arial" w:eastAsia="Arial" w:hAnsi="Arial"/>
          <w:sz w:val="16"/>
          <w:szCs w:val="16"/>
          <w:b w:val="1"/>
          <w:bCs w:val="1"/>
          <w:color w:val="auto"/>
        </w:rPr>
        <w:t>If macroeconomic or other conditions adversely affect operations or require us to make changes to our strategic business plan, we may be forced to record a non-cash goodwill impairment charge.</w:t>
      </w:r>
    </w:p>
    <w:p>
      <w:pPr>
        <w:spacing w:after="0" w:line="113"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We had approximately $1.3 billion of goodwill on our consolidated balance sheets as of December 31, 2024. If we make changes in our strategic business plan and growth strategy, or if macroeconomic or other conditions adversely affect operations in any of our businesses, we may be required to record a non-cash impairment charge. Goodwill is tested for impairment annually or whenever events or changes in circumstances indicate impairment may have occurred. If the testing performed indicates that impairment has occurred, we are required to record an impairment charge for the difference between the carrying value of the goodwill and the implied fair value of the goodwill in the period the determination is made. The testing of goodwill for impairment requires us to make significant estimates about our future performance and cash flows, as well as other assumptions. These estimates can be affected by numerous factors, including: future business operating performance, changes in macroeconomic conditions including recession, inflation, and interest rates, changes in our regulatory environment, industry-specific market conditions, changes in business operations, changes in competition, or changes in technologies. Any changes in key assumptions, or actual performance compared with key assumptions, about our business and its future prospects could affect the fair value of either or both of our operating segments, which may result in an impairment charge. See additional information in “</w:t>
      </w:r>
      <w:r>
        <w:rPr>
          <w:rFonts w:ascii="Arial" w:cs="Arial" w:eastAsia="Arial" w:hAnsi="Arial"/>
          <w:sz w:val="16"/>
          <w:szCs w:val="16"/>
          <w:u w:val="single" w:color="auto"/>
          <w:color w:val="0000FF"/>
        </w:rPr>
        <w:t>Critical Accounting</w:t>
      </w:r>
      <w:r>
        <w:rPr>
          <w:rFonts w:ascii="Arial" w:cs="Arial" w:eastAsia="Arial" w:hAnsi="Arial"/>
          <w:sz w:val="16"/>
          <w:szCs w:val="16"/>
          <w:color w:val="auto"/>
        </w:rPr>
        <w:t xml:space="preserve"> </w:t>
      </w:r>
      <w:r>
        <w:rPr>
          <w:rFonts w:ascii="Arial" w:cs="Arial" w:eastAsia="Arial" w:hAnsi="Arial"/>
          <w:sz w:val="16"/>
          <w:szCs w:val="16"/>
          <w:u w:val="single" w:color="auto"/>
          <w:color w:val="0000FF"/>
        </w:rPr>
        <w:t>Estimates</w:t>
      </w:r>
      <w:r>
        <w:rPr>
          <w:rFonts w:ascii="Arial" w:cs="Arial" w:eastAsia="Arial" w:hAnsi="Arial"/>
          <w:sz w:val="16"/>
          <w:szCs w:val="16"/>
          <w:color w:val="000000"/>
        </w:rPr>
        <w:t>” under</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Item 7</w:t>
      </w:r>
      <w:r>
        <w:rPr>
          <w:rFonts w:ascii="Arial" w:cs="Arial" w:eastAsia="Arial" w:hAnsi="Arial"/>
          <w:sz w:val="16"/>
          <w:szCs w:val="16"/>
          <w:color w:val="000000"/>
        </w:rPr>
        <w:t>, Management’s Discussion and Analysis of Financial Condition and Results of Operations and</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Note 1</w:t>
      </w:r>
      <w:r>
        <w:rPr>
          <w:rFonts w:ascii="Arial" w:cs="Arial" w:eastAsia="Arial" w:hAnsi="Arial"/>
          <w:sz w:val="16"/>
          <w:szCs w:val="16"/>
          <w:color w:val="0000FF"/>
        </w:rPr>
        <w:t xml:space="preserve"> </w:t>
      </w:r>
      <w:r>
        <w:rPr>
          <w:rFonts w:ascii="Arial" w:cs="Arial" w:eastAsia="Arial" w:hAnsi="Arial"/>
          <w:sz w:val="16"/>
          <w:szCs w:val="16"/>
          <w:color w:val="000000"/>
        </w:rPr>
        <w:t>of the Notes to Consolidated</w:t>
      </w:r>
      <w:r>
        <w:rPr>
          <w:rFonts w:ascii="Arial" w:cs="Arial" w:eastAsia="Arial" w:hAnsi="Arial"/>
          <w:sz w:val="16"/>
          <w:szCs w:val="16"/>
          <w:color w:val="0000FF"/>
        </w:rPr>
        <w:t xml:space="preserve"> </w:t>
      </w:r>
      <w:r>
        <w:rPr>
          <w:rFonts w:ascii="Arial" w:cs="Arial" w:eastAsia="Arial" w:hAnsi="Arial"/>
          <w:sz w:val="16"/>
          <w:szCs w:val="16"/>
          <w:color w:val="000000"/>
        </w:rPr>
        <w:t>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6220460</wp:posOffset>
            </wp:positionH>
            <wp:positionV relativeFrom="paragraph">
              <wp:posOffset>-267970</wp:posOffset>
            </wp:positionV>
            <wp:extent cx="88011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801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-147955</wp:posOffset>
            </wp:positionV>
            <wp:extent cx="45148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51485" cy="8890"/>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-147955</wp:posOffset>
            </wp:positionV>
            <wp:extent cx="28575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85750"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-147955</wp:posOffset>
            </wp:positionV>
            <wp:extent cx="30289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02895" cy="8890"/>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RISKS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sub-investment grade credit rating could impact our ability to access capital markets.</w:t>
      </w:r>
    </w:p>
    <w:p>
      <w:pPr>
        <w:spacing w:after="0" w:line="194"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Our senior unsecured debt rating is Baa2 (Stable outlook) by Moody’s and BBB+ (Stable outlook) by S&amp;P. Reduction of our investment grade credit ratings could impair our ability to refinance or repay our existing debt and complete new financings on reasonable terms. A credit rating downgrade, particularly to sub-investment grade, could also result in counterparties requiring us to post additional collateral under existing or new contracts. In addition, a ratings downgrade would increase our interest expense under some of our existing debt obligations, including borrowings under our credit facilities, potentially significantly increasing our cost of capital and other associated operating costs which may not be recoverable through existing regulatory rate structures and contracts with customers.</w:t>
      </w:r>
    </w:p>
    <w:p>
      <w:pPr>
        <w:spacing w:after="0" w:line="155"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b w:val="1"/>
          <w:bCs w:val="1"/>
          <w:color w:val="auto"/>
        </w:rPr>
        <w:t>We may be unable to obtain financing on reasonable terms needed to refinance debt, fund planned capital expenditures or otherwise execute our operating strategy.</w:t>
      </w:r>
    </w:p>
    <w:p>
      <w:pPr>
        <w:spacing w:after="0" w:line="113"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Our ability to execute our operating strategy is highly dependent upon our access to capital. Historically, we have addressed our liquidity needs (including funds required to make scheduled principal and interest payments, refinance debt, pay dividends and fund working capital and planned capital expenditures) with operating cash flow, borrowings under credit facilities, proceeds of debt and equity offerings, and proceeds from asset sales. Our ability to access capital markets and the costs and terms of available financing depend on many factors, including changes in our credit ratings, general macroeconomic conditions which may drive changes in interest rates and cause volatility in our stock price, changes in the federal or state regulatory environment affecting energy companies, and volatility in commodity prices.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280"/>
        <w:spacing w:after="0" w:line="259" w:lineRule="auto"/>
        <w:rPr>
          <w:sz w:val="20"/>
          <w:szCs w:val="20"/>
          <w:color w:val="auto"/>
        </w:rPr>
      </w:pPr>
      <w:r>
        <w:rPr>
          <w:rFonts w:ascii="Arial" w:cs="Arial" w:eastAsia="Arial" w:hAnsi="Arial"/>
          <w:sz w:val="16"/>
          <w:szCs w:val="16"/>
          <w:color w:val="auto"/>
        </w:rPr>
        <w:t>In addition, because we are a holding company and our utility assets are owned by our subsidiaries, if we are unable to adequately access the credit markets, we could be required to take additional measures designed to ensure that our utility subsidiaries are adequately capitalized to provide safe and reliable service. Possible additional measures would be evaluated in the context of then-prevailing market conditions, prudent financial management, and any applicable regulatory requirements.</w:t>
      </w:r>
    </w:p>
    <w:p>
      <w:pPr>
        <w:spacing w:after="0" w:line="151"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b w:val="1"/>
          <w:bCs w:val="1"/>
          <w:color w:val="auto"/>
        </w:rPr>
        <w:t>We may be unable to obtain insurance coverage, and the coverage we currently have may not apply or may be insufficient to cover a significant loss.</w:t>
      </w:r>
    </w:p>
    <w:p>
      <w:pPr>
        <w:spacing w:after="0" w:line="113"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In recent years, securing adequate insurance coverage has become more difficult and the cost of insurance has increased substantially. We believe that these trends are likely to continue. Our ability to obtain insurance, as well as the cost of such insurance, could be impacted by developments affecting the insurance industry and the financial condition of insurers. Additionally, insurance providers could deny coverage or decline to extend coverage under the same or similar terms that are presently available to us. A loss for which we are not adequately insured could materially affect our financial results. The coverage we currently have in place may not apply to a particular loss, or it may not be sufficient to cover all liabilities to which we may be subject, including liability and losses associated with wildfires, natural gas and storage field explosions, cyber-security breaches, environmental hazards, and natural disasters. Further, the proceeds of any such insurance may not be received in a timely manner.</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Costs associated with our healthcare plans and other benefits could increase significantly.</w:t>
      </w:r>
    </w:p>
    <w:p>
      <w:pPr>
        <w:spacing w:after="0" w:line="194"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costs of providing healthcare benefits to our employees and retirees have increased significantly in recent years. We believe that our employee benefit costs, including costs related to healthcare plans for our employees and former employees, will continue to rise. Significant regulatory developments have required, and likely will continue to require, changes to our current employee benefit plans and supporting administrative processes. Our electric and natural gas utility rates are regulated on a state-by-state basis by the relevant state regulatory authorities based on an analysis of our costs, as reviewed and approved in a regulatory proceeding. Within our utility rates, we have generally recovered the cost of providing employee benefits. As employee benefit costs continue to rise, however, there is no assurance that the utility commissions will allow recovery of these increased costs. Rising employee benefit costs, or inadequate recovery of such costs, may adversely affect our financial operating results including earnings, cash flow, and liquidity.</w:t>
      </w:r>
    </w:p>
    <w:p>
      <w:pPr>
        <w:spacing w:after="0" w:line="154"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b w:val="1"/>
          <w:bCs w:val="1"/>
          <w:color w:val="auto"/>
        </w:rPr>
        <w:t>We have a holding company corporate structure with multiple subsidiaries. Corporate dividends and debt payments are dependent upon cash distributions to the holding company from the subsidiaries.</w:t>
      </w:r>
    </w:p>
    <w:p>
      <w:pPr>
        <w:spacing w:after="0" w:line="113"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As a holding company, our investments in our subsidiaries are our primary assets. Our operating cash flow and ability to service our indebtedness depend on the operating cash flow of our subsidiaries and the payment of funds by them to us in the form of dividends or advances. Our subsidiaries are separate legal entities that have no obligation to make any funds available for that purpose, whether by dividends or otherwise. In addition, each subsidiary’s ability to pay dividends to us depends on any applicable contractual or regulatory restrictions that may include requirements to maintain minimum levels of cash, working capital, equity, or debt service funds.</w:t>
      </w:r>
    </w:p>
    <w:p>
      <w:pPr>
        <w:spacing w:after="0" w:line="153"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There is no assurance as to the amount, if any, of future dividends to the holding company because these subsidiaries depend on future earnings, capital requirements, and financial conditions to fund such dividends. See “</w:t>
      </w:r>
      <w:r>
        <w:rPr>
          <w:rFonts w:ascii="Arial" w:cs="Arial" w:eastAsia="Arial" w:hAnsi="Arial"/>
          <w:sz w:val="16"/>
          <w:szCs w:val="16"/>
          <w:u w:val="single" w:color="auto"/>
          <w:color w:val="0000FF"/>
        </w:rPr>
        <w:t>Liquidity and Capital Resources</w:t>
      </w:r>
      <w:r>
        <w:rPr>
          <w:rFonts w:ascii="Arial" w:cs="Arial" w:eastAsia="Arial" w:hAnsi="Arial"/>
          <w:sz w:val="16"/>
          <w:szCs w:val="16"/>
          <w:color w:val="auto"/>
        </w:rPr>
        <w:t xml:space="preserve">” within Management’s Discussion and Analysis of Financial Condition and Results of Operations in </w:t>
      </w:r>
      <w:r>
        <w:rPr>
          <w:rFonts w:ascii="Arial" w:cs="Arial" w:eastAsia="Arial" w:hAnsi="Arial"/>
          <w:sz w:val="16"/>
          <w:szCs w:val="16"/>
          <w:u w:val="single" w:color="auto"/>
          <w:color w:val="0000FF"/>
        </w:rPr>
        <w:t>Item 7</w:t>
      </w:r>
      <w:r>
        <w:rPr>
          <w:rFonts w:ascii="Arial" w:cs="Arial" w:eastAsia="Arial" w:hAnsi="Arial"/>
          <w:sz w:val="16"/>
          <w:szCs w:val="16"/>
          <w:color w:val="auto"/>
        </w:rPr>
        <w:t xml:space="preserve"> and </w:t>
      </w:r>
      <w:r>
        <w:rPr>
          <w:rFonts w:ascii="Arial" w:cs="Arial" w:eastAsia="Arial" w:hAnsi="Arial"/>
          <w:sz w:val="16"/>
          <w:szCs w:val="16"/>
          <w:u w:val="single" w:color="auto"/>
          <w:color w:val="0000FF"/>
        </w:rPr>
        <w:t>Note 8</w:t>
      </w:r>
      <w:r>
        <w:rPr>
          <w:rFonts w:ascii="Arial" w:cs="Arial" w:eastAsia="Arial" w:hAnsi="Arial"/>
          <w:sz w:val="16"/>
          <w:szCs w:val="16"/>
          <w:color w:val="auto"/>
        </w:rPr>
        <w:t xml:space="preserve"> of the Notes to Consolidated Financial Statements of this Annual Report on Form 10-K for further information regarding these restrictions and their impact on our liquidity.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3087370</wp:posOffset>
            </wp:positionH>
            <wp:positionV relativeFrom="paragraph">
              <wp:posOffset>-271780</wp:posOffset>
            </wp:positionV>
            <wp:extent cx="144653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446530" cy="8255"/>
                    </a:xfrm>
                    <a:prstGeom prst="rect">
                      <a:avLst/>
                    </a:prstGeom>
                    <a:noFill/>
                  </pic:spPr>
                </pic:pic>
              </a:graphicData>
            </a:graphic>
          </wp:anchor>
        </w:drawing>
        <w:drawing>
          <wp:anchor simplePos="0" relativeHeight="251657728" behindDoc="1" locked="0" layoutInCell="0" allowOverlap="1">
            <wp:simplePos x="0" y="0"/>
            <wp:positionH relativeFrom="column">
              <wp:posOffset>2235200</wp:posOffset>
            </wp:positionH>
            <wp:positionV relativeFrom="paragraph">
              <wp:posOffset>-151765</wp:posOffset>
            </wp:positionV>
            <wp:extent cx="28575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85750" cy="8890"/>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-151765</wp:posOffset>
            </wp:positionV>
            <wp:extent cx="30289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02895" cy="8890"/>
                    </a:xfrm>
                    <a:prstGeom prst="rect">
                      <a:avLst/>
                    </a:prstGeom>
                    <a:noFill/>
                  </pic:spPr>
                </pic:pic>
              </a:graphicData>
            </a:graphic>
          </wp:anchor>
        </w:drawing>
      </w:r>
    </w:p>
    <w:p>
      <w:pPr>
        <w:spacing w:after="0" w:line="131"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b w:val="1"/>
          <w:bCs w:val="1"/>
          <w:color w:val="auto"/>
        </w:rPr>
        <w:t>Market performance or changes in key valuation assumptions could require us to make significant unplanned contributions to our pension plan and other retiree benefit plans.</w:t>
      </w:r>
    </w:p>
    <w:p>
      <w:pPr>
        <w:spacing w:after="0" w:line="113"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 xml:space="preserve">Assumptions related to interest rates, expected return on investments, mortality, and other key actuarial assumptions have a significant impact on our funding requirements and the expense recognized related to our pension and other retiree benefit plans. An adverse change to key assumptions associated with our defined benefit retirement plans may require significant, unplanned contributions to the plans which could adversely affect our financial operating results including earnings, cash flow, and liquidity. See </w:t>
      </w:r>
      <w:r>
        <w:rPr>
          <w:rFonts w:ascii="Arial" w:cs="Arial" w:eastAsia="Arial" w:hAnsi="Arial"/>
          <w:sz w:val="16"/>
          <w:szCs w:val="16"/>
          <w:u w:val="single" w:color="auto"/>
          <w:color w:val="0000FF"/>
        </w:rPr>
        <w:t>Note 13</w:t>
      </w:r>
      <w:r>
        <w:rPr>
          <w:rFonts w:ascii="Arial" w:cs="Arial" w:eastAsia="Arial" w:hAnsi="Arial"/>
          <w:sz w:val="16"/>
          <w:szCs w:val="16"/>
          <w:color w:val="auto"/>
        </w:rPr>
        <w:t xml:space="preserve"> of the Notes to Consolidated Financial Statements of this Annual Report on Form 10-K for further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2520950</wp:posOffset>
            </wp:positionH>
            <wp:positionV relativeFrom="paragraph">
              <wp:posOffset>-150495</wp:posOffset>
            </wp:positionV>
            <wp:extent cx="36004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500"/>
        <w:spacing w:after="0" w:line="296" w:lineRule="auto"/>
        <w:rPr>
          <w:sz w:val="20"/>
          <w:szCs w:val="20"/>
          <w:color w:val="auto"/>
        </w:rPr>
      </w:pPr>
      <w:r>
        <w:rPr>
          <w:rFonts w:ascii="Arial" w:cs="Arial" w:eastAsia="Arial" w:hAnsi="Arial"/>
          <w:sz w:val="16"/>
          <w:szCs w:val="16"/>
          <w:b w:val="1"/>
          <w:bCs w:val="1"/>
          <w:color w:val="auto"/>
        </w:rPr>
        <w:t>Our use of derivative financial instruments as hedges against commodity prices and financial market risks could result in material financial losses.</w:t>
      </w:r>
    </w:p>
    <w:p>
      <w:pPr>
        <w:spacing w:after="0" w:line="113"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We use various financial and physical derivatives, including futures, forwards, options, and swaps to manage commodity price and interest rate risks. The timing of the recognition of gains or losses on these economic hedges in accordance with GAAP may not consistently match up with the gains or losses on the commodities being hedged. For Black Hills Energy Services under the Choice Gas Program, and in certain instances within our regulated Utilities where unrealized and realized gains and losses from derivative instruments are not approved for regulatory accounting treatment, fluctuating commodity prices may cause fluctuations in reported financial results due to mark-to-market accounting treatment.</w:t>
      </w:r>
    </w:p>
    <w:p>
      <w:pPr>
        <w:spacing w:after="0" w:line="153"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To the extent that we hedge our commodity price and interest rate exposures, we forgo the benefits we would otherwise experience if commodity prices or interest rates were to change in our favor. In addition, even though they are closely monitored by management, our hedging activities can result in losses. Such losses could occur under various circumstances, including if a counterparty does not perform its obligations under the hedge arrangement, the hedge is economically imperfect, commodity prices, or interest rates move unfavorably related to our physical or financial positions, or hedging policies and procedures are not followed.</w:t>
      </w:r>
    </w:p>
    <w:p>
      <w:pPr>
        <w:spacing w:after="0" w:line="153"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Additionally, our exchange-traded futures contracts are subject to futures margin posting requirements. To the extent we are unable to meet these requirements, this could have a significant impact on our business by reducing our ability to execute derivative transactions to reduce commodity price uncertainty and to protect cash flows. Requirements to post collateral may cause significant liquidity issues by reducing our ability to use cash for investment or other corporate purposes or may require us to increase our level of debt. Further, a requirement for our counterparties to post collateral could result in additional costs being passed on to us, thereby decreasing our profitability.</w:t>
      </w:r>
    </w:p>
    <w:p>
      <w:pPr>
        <w:spacing w:after="0" w:line="153" w:lineRule="exact"/>
        <w:rPr>
          <w:sz w:val="20"/>
          <w:szCs w:val="20"/>
          <w:color w:val="auto"/>
        </w:rPr>
      </w:pPr>
    </w:p>
    <w:p>
      <w:pPr>
        <w:spacing w:after="0"/>
        <w:tabs>
          <w:tab w:leader="none" w:pos="980" w:val="left"/>
        </w:tabs>
        <w:rPr>
          <w:sz w:val="20"/>
          <w:szCs w:val="20"/>
          <w:color w:val="auto"/>
        </w:rPr>
      </w:pPr>
      <w:r>
        <w:rPr>
          <w:rFonts w:ascii="Arial" w:cs="Arial" w:eastAsia="Arial" w:hAnsi="Arial"/>
          <w:sz w:val="16"/>
          <w:szCs w:val="16"/>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94" w:lineRule="exact"/>
        <w:rPr>
          <w:sz w:val="20"/>
          <w:szCs w:val="20"/>
          <w:color w:val="auto"/>
        </w:rPr>
      </w:pPr>
    </w:p>
    <w:p>
      <w:pPr>
        <w:spacing w:after="0"/>
        <w:tabs>
          <w:tab w:leader="none" w:pos="980" w:val="left"/>
        </w:tabs>
        <w:rPr>
          <w:sz w:val="20"/>
          <w:szCs w:val="20"/>
          <w:color w:val="auto"/>
        </w:rPr>
      </w:pPr>
      <w:r>
        <w:rPr>
          <w:rFonts w:ascii="Arial" w:cs="Arial" w:eastAsia="Arial" w:hAnsi="Arial"/>
          <w:sz w:val="16"/>
          <w:szCs w:val="16"/>
          <w:b w:val="1"/>
          <w:bCs w:val="1"/>
          <w:color w:val="auto"/>
        </w:rPr>
        <w:t>ITEM 1C.</w:t>
      </w:r>
      <w:r>
        <w:rPr>
          <w:sz w:val="20"/>
          <w:szCs w:val="20"/>
          <w:color w:val="auto"/>
        </w:rPr>
        <w:tab/>
      </w:r>
      <w:r>
        <w:rPr>
          <w:rFonts w:ascii="Arial" w:cs="Arial" w:eastAsia="Arial" w:hAnsi="Arial"/>
          <w:sz w:val="16"/>
          <w:szCs w:val="16"/>
          <w:b w:val="1"/>
          <w:bCs w:val="1"/>
          <w:color w:val="auto"/>
        </w:rPr>
        <w:t>CYBERSECURITY</w:t>
      </w:r>
    </w:p>
    <w:p>
      <w:pPr>
        <w:spacing w:after="0" w:line="194"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The utility industry has been the target of several cyberattacks on operational systems and has seen an increased volume and sophistication of cybersecurity incidents from international activist organizations, other nation state actors, and individuals. In addition, the advancement of AI has given rise to additional vulnerabilities and potential entry points for cyberattacks. We expect to continue to experience attempts to compromise our information technology and control systems, network infrastructure, and other assets. To date, we have not experienced a cybersecurity incident that has had a material impact on our business or results of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Risk Management and Strategy</w:t>
      </w:r>
    </w:p>
    <w:p>
      <w:pPr>
        <w:spacing w:after="0" w:line="192" w:lineRule="exact"/>
        <w:rPr>
          <w:sz w:val="20"/>
          <w:szCs w:val="20"/>
          <w:color w:val="auto"/>
        </w:rPr>
      </w:pPr>
    </w:p>
    <w:p>
      <w:pPr>
        <w:ind w:right="440"/>
        <w:spacing w:after="0" w:line="256" w:lineRule="auto"/>
        <w:rPr>
          <w:sz w:val="20"/>
          <w:szCs w:val="20"/>
          <w:color w:val="auto"/>
        </w:rPr>
      </w:pPr>
      <w:r>
        <w:rPr>
          <w:rFonts w:ascii="Arial" w:cs="Arial" w:eastAsia="Arial" w:hAnsi="Arial"/>
          <w:sz w:val="16"/>
          <w:szCs w:val="16"/>
          <w:color w:val="auto"/>
        </w:rPr>
        <w:t>Our enterprise risk management program, which includes cybersecurity risks that are identified through our cybersecurity risk management program, is designed to identify, report, and manage relevant material risks and opportunities.</w:t>
      </w:r>
    </w:p>
    <w:p>
      <w:pPr>
        <w:spacing w:after="0" w:line="1" w:lineRule="exact"/>
        <w:rPr>
          <w:sz w:val="20"/>
          <w:szCs w:val="20"/>
          <w:color w:val="auto"/>
        </w:rPr>
      </w:pPr>
    </w:p>
    <w:p>
      <w:pPr>
        <w:ind w:right="360"/>
        <w:spacing w:after="0" w:line="256" w:lineRule="auto"/>
        <w:rPr>
          <w:sz w:val="20"/>
          <w:szCs w:val="20"/>
          <w:color w:val="auto"/>
        </w:rPr>
      </w:pPr>
      <w:r>
        <w:rPr>
          <w:rFonts w:ascii="Arial" w:cs="Arial" w:eastAsia="Arial" w:hAnsi="Arial"/>
          <w:sz w:val="16"/>
          <w:szCs w:val="16"/>
          <w:color w:val="auto"/>
        </w:rPr>
        <w:t>Management of the identified risks is embedded into business processes and key decision making at every level of the Company. Our enterprise risk management team works closely with our CSO and IT risk management team to evaluate and address material cybersecurity risks in alignment with our business strategy and operational needs.</w:t>
      </w:r>
    </w:p>
    <w:p>
      <w:pPr>
        <w:spacing w:after="0" w:line="151"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We have a cybersecurity risk management program that is managed by a team of full-time cybersecurity professionals that utilizes a variety of tools and techniques to identify and assess material cybersecurity threats, their potential impact and opportunities for mitigation. The industry-standard security frameworks that we apply to our cyber environment include various security and risk assessments, such as internal threat assessments and internal control self-assessments. Because we are aware of the risks associated with third-party providers, we conduct third-party provider security assessments and benchmarking before engagement and maintain ongoing monitoring to ensure compliance with our cybersecurity standards. These assessments include evaluation of risk profiles through vendor questionnaires, review of System and Organization Controls attestation reports and monitoring on an ongoing basis by our IT risk management team. This approach is designed to mitigate risks related to data breaches or other security incidents originating from third-parties.</w:t>
      </w:r>
    </w:p>
    <w:p>
      <w:pPr>
        <w:spacing w:after="0" w:line="349"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We regularly engage with third-party assessors and auditors as part of our ongoing cybersecurity risk assessment process to leverage specialized knowledge and insights and to identify areas for continued focus, improvement, compliance, and effectiveness of mitigation. We also utilize government and industry-related security intelligence sources, and actively participate in industry peer groups and public-private partnerships to assist in the identification of potential threats. We conduct ongoing cybersecurity training and monthly email phishing drills for all employees.</w:t>
      </w:r>
    </w:p>
    <w:p>
      <w:pPr>
        <w:spacing w:after="0" w:line="151" w:lineRule="exact"/>
        <w:rPr>
          <w:sz w:val="20"/>
          <w:szCs w:val="20"/>
          <w:color w:val="auto"/>
        </w:rPr>
      </w:pPr>
    </w:p>
    <w:p>
      <w:pPr>
        <w:jc w:val="both"/>
        <w:ind w:right="600"/>
        <w:spacing w:after="0" w:line="253" w:lineRule="auto"/>
        <w:rPr>
          <w:sz w:val="20"/>
          <w:szCs w:val="20"/>
          <w:color w:val="auto"/>
        </w:rPr>
      </w:pPr>
      <w:r>
        <w:rPr>
          <w:rFonts w:ascii="Arial" w:cs="Arial" w:eastAsia="Arial" w:hAnsi="Arial"/>
          <w:sz w:val="16"/>
          <w:szCs w:val="16"/>
          <w:color w:val="auto"/>
        </w:rPr>
        <w:t>We also have a cybersecurity incident response plan and procedures to manage cybersecurity incidents. These procedures include steps to identify, classify, communicate, contain, eradicate, and recover from a cybersecurity incident. These procedures also include notification to a cross-functional management team to assess incident materiality and an escalation process to members of our senior management team and our Board of Directors.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Governance</w:t>
      </w:r>
    </w:p>
    <w:p>
      <w:pPr>
        <w:spacing w:after="0" w:line="192"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Our Board of Directors is responsible for the oversight of risks from cybersecurity threats. Our Chief Information Officer provides our Board of Directors quarterly reports that summarize material cybersecurity threats and the countermeasures taken to mitigate the associated risks. These reports address a variety of topics including updates on strategic cyber initiatives, industry trends, threat vulnerability assessments, and efforts to prevent, detect, and respond to internal and external critical threats. From time to time, our Board of Directors also engages third-party consultants to provide further education about cybersecurity risks.</w:t>
      </w:r>
    </w:p>
    <w:p>
      <w:pPr>
        <w:spacing w:after="0" w:line="153"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Our cybersecurity risk management program, which is discussed above, is led by our CSO, who has 34 years of experience in various roles involving managing information security of large-scale global security operations, including developing cybersecurity strategy and implementing effective information and cybersecurity programs. Our CSO maintains industry certifications, including an ISC2 Certified Information Systems Security Professional certification.</w:t>
      </w:r>
    </w:p>
    <w:p>
      <w:pPr>
        <w:spacing w:after="0" w:line="144"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Through oversight of the cybersecurity risk management program, our CSO is continually informed about the status of the program, including the effectiveness of the process and controls to monitor, prevent, detect, mitigate, and remediate cybersecurity incidents. The CSO is also made aware of the latest developments in cybersecurity, including potential threats and innovative risk management techniques. The CSO, in his capacity, regularly informs the Chief Information Officer and other members of our senior management team of all aspects related to cybersecurity risks and incidents.</w:t>
      </w:r>
    </w:p>
    <w:p>
      <w:pPr>
        <w:spacing w:after="0" w:line="151" w:lineRule="exact"/>
        <w:rPr>
          <w:sz w:val="20"/>
          <w:szCs w:val="20"/>
          <w:color w:val="auto"/>
        </w:rPr>
      </w:pPr>
    </w:p>
    <w:p>
      <w:pPr>
        <w:spacing w:after="0"/>
        <w:tabs>
          <w:tab w:leader="none" w:pos="88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Item 1</w:t>
      </w:r>
      <w:r>
        <w:rPr>
          <w:rFonts w:ascii="Arial" w:cs="Arial" w:eastAsia="Arial" w:hAnsi="Arial"/>
          <w:sz w:val="16"/>
          <w:szCs w:val="16"/>
          <w:color w:val="auto"/>
        </w:rPr>
        <w:t xml:space="preserve"> for a description of our principal business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-4445</wp:posOffset>
            </wp:positionV>
            <wp:extent cx="28575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85750" cy="8890"/>
                    </a:xfrm>
                    <a:prstGeom prst="rect">
                      <a:avLst/>
                    </a:prstGeom>
                    <a:noFill/>
                  </pic:spPr>
                </pic:pic>
              </a:graphicData>
            </a:graphic>
          </wp:anchor>
        </w:drawing>
      </w:r>
    </w:p>
    <w:p>
      <w:pPr>
        <w:spacing w:after="0" w:line="174" w:lineRule="exact"/>
        <w:rPr>
          <w:sz w:val="20"/>
          <w:szCs w:val="20"/>
          <w:color w:val="auto"/>
        </w:rPr>
      </w:pPr>
    </w:p>
    <w:p>
      <w:pPr>
        <w:jc w:val="both"/>
        <w:ind w:right="220"/>
        <w:spacing w:after="0" w:line="266" w:lineRule="auto"/>
        <w:rPr>
          <w:sz w:val="20"/>
          <w:szCs w:val="20"/>
          <w:color w:val="auto"/>
        </w:rPr>
      </w:pPr>
      <w:r>
        <w:rPr>
          <w:rFonts w:ascii="Arial" w:cs="Arial" w:eastAsia="Arial" w:hAnsi="Arial"/>
          <w:sz w:val="16"/>
          <w:szCs w:val="16"/>
          <w:color w:val="auto"/>
        </w:rPr>
        <w:t xml:space="preserve">In addition to the properties disclosed in the </w:t>
      </w:r>
      <w:r>
        <w:rPr>
          <w:rFonts w:ascii="Arial" w:cs="Arial" w:eastAsia="Arial" w:hAnsi="Arial"/>
          <w:sz w:val="16"/>
          <w:szCs w:val="16"/>
          <w:u w:val="single" w:color="auto"/>
          <w:color w:val="0000FF"/>
        </w:rPr>
        <w:t>Item 1</w:t>
      </w:r>
      <w:r>
        <w:rPr>
          <w:rFonts w:ascii="Arial" w:cs="Arial" w:eastAsia="Arial" w:hAnsi="Arial"/>
          <w:sz w:val="16"/>
          <w:szCs w:val="16"/>
          <w:color w:val="auto"/>
        </w:rPr>
        <w:t>, we own or lease several facilities throughout our service territories including a corporate headquarters building and various office, service center, storage, shop, and warehouse space. Substantially all of the tangible utility properties of South Dakota Electric and Wyoming Electric are subject to liens securing first mortgage bonds issued by South Dakota Electric and Wyoming Electric,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2018030</wp:posOffset>
            </wp:positionH>
            <wp:positionV relativeFrom="paragraph">
              <wp:posOffset>-276225</wp:posOffset>
            </wp:positionV>
            <wp:extent cx="28575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85750" cy="8255"/>
                    </a:xfrm>
                    <a:prstGeom prst="rect">
                      <a:avLst/>
                    </a:prstGeom>
                    <a:noFill/>
                  </pic:spPr>
                </pic:pic>
              </a:graphicData>
            </a:graphic>
          </wp:anchor>
        </w:drawing>
      </w:r>
    </w:p>
    <w:p>
      <w:pPr>
        <w:spacing w:after="0" w:line="124" w:lineRule="exact"/>
        <w:rPr>
          <w:sz w:val="20"/>
          <w:szCs w:val="20"/>
          <w:color w:val="auto"/>
        </w:rPr>
      </w:pPr>
    </w:p>
    <w:p>
      <w:pPr>
        <w:spacing w:after="0"/>
        <w:tabs>
          <w:tab w:leader="none" w:pos="880"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19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Information regarding our legal proceedings is incorporated herein by reference to the “Legal Proceedings” sub-caption within Item 8, </w:t>
      </w:r>
      <w:r>
        <w:rPr>
          <w:rFonts w:ascii="Arial" w:cs="Arial" w:eastAsia="Arial" w:hAnsi="Arial"/>
          <w:sz w:val="16"/>
          <w:szCs w:val="16"/>
          <w:u w:val="single" w:color="auto"/>
          <w:color w:val="0000FF"/>
        </w:rPr>
        <w:t>Note 3</w:t>
      </w:r>
      <w:r>
        <w:rPr>
          <w:rFonts w:ascii="Arial" w:cs="Arial" w:eastAsia="Arial" w:hAnsi="Arial"/>
          <w:sz w:val="16"/>
          <w:szCs w:val="16"/>
          <w:color w:val="auto"/>
        </w:rPr>
        <w:t>, “Commitments, Contingencies and Guarantees”,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6071870</wp:posOffset>
            </wp:positionH>
            <wp:positionV relativeFrom="paragraph">
              <wp:posOffset>-165735</wp:posOffset>
            </wp:positionV>
            <wp:extent cx="30289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02895" cy="8890"/>
                    </a:xfrm>
                    <a:prstGeom prst="rect">
                      <a:avLst/>
                    </a:prstGeom>
                    <a:noFill/>
                  </pic:spPr>
                </pic:pic>
              </a:graphicData>
            </a:graphic>
          </wp:anchor>
        </w:drawing>
      </w:r>
    </w:p>
    <w:p>
      <w:pPr>
        <w:spacing w:after="0" w:line="109" w:lineRule="exact"/>
        <w:rPr>
          <w:sz w:val="20"/>
          <w:szCs w:val="20"/>
          <w:color w:val="auto"/>
        </w:rPr>
      </w:pPr>
    </w:p>
    <w:p>
      <w:pPr>
        <w:spacing w:after="0"/>
        <w:tabs>
          <w:tab w:leader="none" w:pos="88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19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Information concerning mine safety violations or other regulatory matters required by Sections 1503(a) of the Dodd-Frank Wall Street Reform and Consumer Protection Act is included in </w:t>
      </w:r>
      <w:r>
        <w:rPr>
          <w:rFonts w:ascii="Arial" w:cs="Arial" w:eastAsia="Arial" w:hAnsi="Arial"/>
          <w:sz w:val="16"/>
          <w:szCs w:val="16"/>
          <w:u w:val="single" w:color="auto"/>
          <w:color w:val="0000FF"/>
        </w:rPr>
        <w:t>Exhibit 95</w:t>
      </w:r>
      <w:r>
        <w:rPr>
          <w:rFonts w:ascii="Arial" w:cs="Arial" w:eastAsia="Arial" w:hAnsi="Arial"/>
          <w:sz w:val="16"/>
          <w:szCs w:val="16"/>
          <w:color w:val="auto"/>
        </w:rPr>
        <w:t xml:space="preserv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1297305</wp:posOffset>
            </wp:positionH>
            <wp:positionV relativeFrom="paragraph">
              <wp:posOffset>-45720</wp:posOffset>
            </wp:positionV>
            <wp:extent cx="45148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51485" cy="8255"/>
                    </a:xfrm>
                    <a:prstGeom prst="rect">
                      <a:avLst/>
                    </a:prstGeom>
                    <a:noFill/>
                  </pic:spPr>
                </pic:pic>
              </a:graphicData>
            </a:graphic>
          </wp:anchor>
        </w:drawing>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INFORMATION ABOUT OUR EXECUTIVE OFFICERS</w:t>
      </w:r>
    </w:p>
    <w:p>
      <w:pPr>
        <w:spacing w:after="0" w:line="194"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b w:val="1"/>
          <w:bCs w:val="1"/>
          <w:color w:val="auto"/>
        </w:rPr>
        <w:t>Phillip A. Casey</w:t>
      </w:r>
      <w:r>
        <w:rPr>
          <w:rFonts w:ascii="Arial" w:cs="Arial" w:eastAsia="Arial" w:hAnsi="Arial"/>
          <w:sz w:val="16"/>
          <w:szCs w:val="16"/>
          <w:color w:val="auto"/>
        </w:rPr>
        <w:t>, age 62, joined the Company as Senior Vice President and Chief Legal Officer on November 13, 2024. Prior to joining the company, he led</w:t>
      </w:r>
      <w:r>
        <w:rPr>
          <w:rFonts w:ascii="Arial" w:cs="Arial" w:eastAsia="Arial" w:hAnsi="Arial"/>
          <w:sz w:val="16"/>
          <w:szCs w:val="16"/>
          <w:b w:val="1"/>
          <w:bCs w:val="1"/>
          <w:color w:val="auto"/>
        </w:rPr>
        <w:t xml:space="preserve"> </w:t>
      </w:r>
      <w:r>
        <w:rPr>
          <w:rFonts w:ascii="Arial" w:cs="Arial" w:eastAsia="Arial" w:hAnsi="Arial"/>
          <w:sz w:val="16"/>
          <w:szCs w:val="16"/>
          <w:color w:val="auto"/>
        </w:rPr>
        <w:t>the Indianapolis office of Calfee, Halter &amp; Griswold from 2019 to November 2024 and co-chaired the firm's energy and utilities practice. Mr. Casey also served as Vice President of Administration and General Counsel for Prairie State Generating Company from 2015 to 2018 and Vice President and Deputy General Counsel-Regulatory for NiSource from 2009 to 2015.</w:t>
      </w:r>
    </w:p>
    <w:p>
      <w:pPr>
        <w:spacing w:after="0" w:line="151"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b w:val="1"/>
          <w:bCs w:val="1"/>
          <w:color w:val="auto"/>
        </w:rPr>
        <w:t xml:space="preserve">Linden R. Evans, </w:t>
      </w:r>
      <w:r>
        <w:rPr>
          <w:rFonts w:ascii="Arial" w:cs="Arial" w:eastAsia="Arial" w:hAnsi="Arial"/>
          <w:sz w:val="16"/>
          <w:szCs w:val="16"/>
          <w:color w:val="auto"/>
        </w:rPr>
        <w:t>age 62, has been President and Chief Executive Officer since January 1, 2019, President and Chief Operating Officer from 2016 through</w:t>
      </w:r>
      <w:r>
        <w:rPr>
          <w:rFonts w:ascii="Arial" w:cs="Arial" w:eastAsia="Arial" w:hAnsi="Arial"/>
          <w:sz w:val="16"/>
          <w:szCs w:val="16"/>
          <w:b w:val="1"/>
          <w:bCs w:val="1"/>
          <w:color w:val="auto"/>
        </w:rPr>
        <w:t xml:space="preserve"> </w:t>
      </w:r>
      <w:r>
        <w:rPr>
          <w:rFonts w:ascii="Arial" w:cs="Arial" w:eastAsia="Arial" w:hAnsi="Arial"/>
          <w:sz w:val="16"/>
          <w:szCs w:val="16"/>
          <w:color w:val="auto"/>
        </w:rPr>
        <w:t>2018, and President and Chief Operating Officer - Utilities from 2004 through 2015. Mr. Evans served as the Vice President and General Manager of our former communication subsidiary in 2003 and 2004, and Associate Counsel from 2001 to 2003. Mr. Evans has 23 years of experience with the Company.</w:t>
      </w:r>
    </w:p>
    <w:p>
      <w:pPr>
        <w:spacing w:after="0" w:line="144"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b w:val="1"/>
          <w:bCs w:val="1"/>
          <w:color w:val="auto"/>
        </w:rPr>
        <w:t>Marne M. Jones</w:t>
      </w:r>
      <w:r>
        <w:rPr>
          <w:rFonts w:ascii="Arial" w:cs="Arial" w:eastAsia="Arial" w:hAnsi="Arial"/>
          <w:sz w:val="16"/>
          <w:szCs w:val="16"/>
          <w:color w:val="auto"/>
        </w:rPr>
        <w:t>, age 51, has been Senior Vice President Utilities since June 15, 2023. She served as VP Electric Utilities from 2021 to 2023, Vice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Regulatory and Finance from 2018 to 2021, and Vice President Regulatory from 2016 to 2018. Ms. Jones has a total of 23 years of experience with the Company and has advanced through roles of increasing responsibility in finance, accounting, corporate services, regulatory, and utility operations.</w:t>
      </w:r>
    </w:p>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6"/>
          <w:szCs w:val="16"/>
          <w:b w:val="1"/>
          <w:bCs w:val="1"/>
          <w:color w:val="auto"/>
        </w:rPr>
        <w:t>Erik D. Keller</w:t>
      </w:r>
      <w:r>
        <w:rPr>
          <w:rFonts w:ascii="Arial" w:cs="Arial" w:eastAsia="Arial" w:hAnsi="Arial"/>
          <w:sz w:val="16"/>
          <w:szCs w:val="16"/>
          <w:color w:val="auto"/>
        </w:rPr>
        <w:t>, age 61, has been Senior Vice President and Chief Information Officer since July 27, 2020. Prior to joining the company, he was an</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Technology consultant to Ontic Inc., a global provider of parts and services for legacy aerospace platforms, from January 2020 to July 2020, and Chief Information Officer for BBA Aviation, a global aviation support and aftermarket services provider, from 2012 to January 2020. As previously disclosed, Mr. Keller announced that he will resign from the Company, effective February 28, 2025.</w:t>
      </w:r>
    </w:p>
    <w:p>
      <w:pPr>
        <w:spacing w:after="0" w:line="151" w:lineRule="exact"/>
        <w:rPr>
          <w:sz w:val="20"/>
          <w:szCs w:val="20"/>
          <w:color w:val="auto"/>
        </w:rPr>
      </w:pPr>
    </w:p>
    <w:p>
      <w:pPr>
        <w:jc w:val="both"/>
        <w:ind w:right="300"/>
        <w:spacing w:after="0" w:line="266" w:lineRule="auto"/>
        <w:rPr>
          <w:sz w:val="20"/>
          <w:szCs w:val="20"/>
          <w:color w:val="auto"/>
        </w:rPr>
      </w:pPr>
      <w:r>
        <w:rPr>
          <w:rFonts w:ascii="Arial" w:cs="Arial" w:eastAsia="Arial" w:hAnsi="Arial"/>
          <w:sz w:val="16"/>
          <w:szCs w:val="16"/>
          <w:b w:val="1"/>
          <w:bCs w:val="1"/>
          <w:color w:val="auto"/>
        </w:rPr>
        <w:t>Kimberly F. Nooney</w:t>
      </w:r>
      <w:r>
        <w:rPr>
          <w:rFonts w:ascii="Arial" w:cs="Arial" w:eastAsia="Arial" w:hAnsi="Arial"/>
          <w:sz w:val="16"/>
          <w:szCs w:val="16"/>
          <w:color w:val="auto"/>
        </w:rPr>
        <w:t>, age 54, has been Senior Vice President and Chief Financial Officer since April 1, 2023. She served as Vice President – Treasurer</w:t>
      </w:r>
      <w:r>
        <w:rPr>
          <w:rFonts w:ascii="Arial" w:cs="Arial" w:eastAsia="Arial" w:hAnsi="Arial"/>
          <w:sz w:val="16"/>
          <w:szCs w:val="16"/>
          <w:b w:val="1"/>
          <w:bCs w:val="1"/>
          <w:color w:val="auto"/>
        </w:rPr>
        <w:t xml:space="preserve"> </w:t>
      </w:r>
      <w:r>
        <w:rPr>
          <w:rFonts w:ascii="Arial" w:cs="Arial" w:eastAsia="Arial" w:hAnsi="Arial"/>
          <w:sz w:val="16"/>
          <w:szCs w:val="16"/>
          <w:color w:val="auto"/>
        </w:rPr>
        <w:t>from 2015 to 2023, and also served as the Corporate Controller from 2018 to 2022. Ms. Nooney has a total of 28 years of experience with the Company across numerous roles within accounting, internal audit, corporate development, accounting systems, treasury, and financial planning and analysis.</w:t>
      </w:r>
    </w:p>
    <w:p>
      <w:pPr>
        <w:spacing w:after="0" w:line="144"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b w:val="1"/>
          <w:bCs w:val="1"/>
          <w:color w:val="auto"/>
        </w:rPr>
        <w:t>Sarah A. Wiltse</w:t>
      </w:r>
      <w:r>
        <w:rPr>
          <w:rFonts w:ascii="Arial" w:cs="Arial" w:eastAsia="Arial" w:hAnsi="Arial"/>
          <w:sz w:val="16"/>
          <w:szCs w:val="16"/>
          <w:color w:val="auto"/>
        </w:rPr>
        <w:t>, age 46, joined the Company as Senior Vice President and Chief Human Resources Officer on October 28, 2024. Prior to joining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she was Vice President of Human Resources for ACCO Brands, a publicly traded global consumer goods company, from 2021 to October 2024, Director and Vice President Human Resources for Compass Minerals from 2018 to 2021, and held various leadership roles at Union Pacific from 2004 to 2018.</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w:t>
      </w:r>
    </w:p>
    <w:p>
      <w:pPr>
        <w:spacing w:after="0" w:line="194" w:lineRule="exact"/>
        <w:rPr>
          <w:sz w:val="20"/>
          <w:szCs w:val="20"/>
          <w:color w:val="auto"/>
        </w:rPr>
      </w:pPr>
    </w:p>
    <w:p>
      <w:pPr>
        <w:ind w:left="840" w:right="620" w:hanging="972"/>
        <w:spacing w:after="0" w:line="296" w:lineRule="auto"/>
        <w:tabs>
          <w:tab w:leader="none" w:pos="820" w:val="left"/>
        </w:tabs>
        <w:rPr>
          <w:sz w:val="20"/>
          <w:szCs w:val="20"/>
          <w:color w:val="auto"/>
        </w:rPr>
      </w:pPr>
      <w:r>
        <w:rPr>
          <w:rFonts w:ascii="Arial" w:cs="Arial" w:eastAsia="Arial" w:hAnsi="Arial"/>
          <w:sz w:val="16"/>
          <w:szCs w:val="16"/>
          <w:b w:val="1"/>
          <w:bCs w:val="1"/>
          <w:color w:val="auto"/>
        </w:rPr>
        <w:t>ITEM 5.</w:t>
        <w:tab/>
        <w:t>MARKET FOR REGISTRANT’S COMMON EQUITY, RELATED STOCKHOLDER MATTERS AND ISSUER PURCHASES OF EQUITY SECURITIES</w:t>
      </w:r>
    </w:p>
    <w:p>
      <w:pPr>
        <w:spacing w:after="0" w:line="113"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Our common stock is traded on the New York Stock Exchange under the symbol BKH. As of January 31, 2025, we had 3,102 common shareholders of record and approximately 82,684 beneficial owners.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COMPARATIVE STOCK PERFORMANCE</w:t>
      </w:r>
    </w:p>
    <w:p>
      <w:pPr>
        <w:spacing w:after="0" w:line="194"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The following performance graph compares the cumulative total stockholder return from Black Hills Corporation common stock, as compared with the S&amp;P 500 Index, S&amp;P 500 Utilities index, and our Performance Peer Group for the past five years. The graph assumes an initial investment of $100 on December 31, 2019, and assumes all dividends were reinvested. The stockholder return shown below for the five-year historical period may not be indicative of future performance. The information in this "Comparative Stock Performance" section shall not be deemed to be "soliciting material" or to be "filed" with the Securities and Exchange Commission or subject to Regulation 14A or 14C, or to the liabilities of Section 18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106045</wp:posOffset>
            </wp:positionV>
            <wp:extent cx="5306060" cy="23145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30606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As of December 31,</w:t>
            </w:r>
          </w:p>
        </w:tc>
        <w:tc>
          <w:tcPr>
            <w:tcW w:w="8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83"/>
        </w:trPr>
        <w:tc>
          <w:tcPr>
            <w:tcW w:w="34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9"/>
              <w:spacing w:after="0" w:line="183" w:lineRule="exact"/>
              <w:rPr>
                <w:sz w:val="20"/>
                <w:szCs w:val="20"/>
                <w:color w:val="auto"/>
              </w:rPr>
            </w:pPr>
            <w:r>
              <w:rPr>
                <w:rFonts w:ascii="Arial" w:cs="Arial" w:eastAsia="Arial" w:hAnsi="Arial"/>
                <w:sz w:val="16"/>
                <w:szCs w:val="16"/>
                <w:b w:val="1"/>
                <w:bCs w:val="1"/>
                <w:color w:val="auto"/>
              </w:rPr>
              <w:t>2019</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39"/>
              <w:spacing w:after="0" w:line="183" w:lineRule="exact"/>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59"/>
              <w:spacing w:after="0" w:line="183" w:lineRule="exact"/>
              <w:rPr>
                <w:sz w:val="20"/>
                <w:szCs w:val="20"/>
                <w:color w:val="auto"/>
              </w:rPr>
            </w:pPr>
            <w:r>
              <w:rPr>
                <w:rFonts w:ascii="Arial" w:cs="Arial" w:eastAsia="Arial" w:hAnsi="Arial"/>
                <w:sz w:val="16"/>
                <w:szCs w:val="16"/>
                <w:b w:val="1"/>
                <w:bCs w:val="1"/>
                <w:color w:val="auto"/>
              </w:rPr>
              <w:t>2021</w:t>
            </w:r>
          </w:p>
        </w:tc>
        <w:tc>
          <w:tcPr>
            <w:tcW w:w="3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39"/>
              <w:spacing w:after="0" w:line="183" w:lineRule="exact"/>
              <w:rPr>
                <w:sz w:val="20"/>
                <w:szCs w:val="20"/>
                <w:color w:val="auto"/>
              </w:rPr>
            </w:pPr>
            <w:r>
              <w:rPr>
                <w:rFonts w:ascii="Arial" w:cs="Arial" w:eastAsia="Arial" w:hAnsi="Arial"/>
                <w:sz w:val="16"/>
                <w:szCs w:val="16"/>
                <w:b w:val="1"/>
                <w:bCs w:val="1"/>
                <w:color w:val="auto"/>
              </w:rPr>
              <w:t>2022</w:t>
            </w: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9"/>
              <w:spacing w:after="0" w:line="183" w:lineRule="exact"/>
              <w:rPr>
                <w:sz w:val="20"/>
                <w:szCs w:val="20"/>
                <w:color w:val="auto"/>
              </w:rPr>
            </w:pPr>
            <w:r>
              <w:rPr>
                <w:rFonts w:ascii="Arial" w:cs="Arial" w:eastAsia="Arial" w:hAnsi="Arial"/>
                <w:sz w:val="16"/>
                <w:szCs w:val="16"/>
                <w:b w:val="1"/>
                <w:bCs w:val="1"/>
                <w:color w:val="auto"/>
              </w:rPr>
              <w:t>2023</w:t>
            </w: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9"/>
              <w:spacing w:after="0" w:line="183" w:lineRule="exact"/>
              <w:rPr>
                <w:sz w:val="20"/>
                <w:szCs w:val="20"/>
                <w:color w:val="auto"/>
              </w:rPr>
            </w:pPr>
            <w:r>
              <w:rPr>
                <w:rFonts w:ascii="Arial" w:cs="Arial" w:eastAsia="Arial" w:hAnsi="Arial"/>
                <w:sz w:val="16"/>
                <w:szCs w:val="16"/>
                <w:b w:val="1"/>
                <w:bCs w:val="1"/>
                <w:color w:val="auto"/>
              </w:rPr>
              <w:t>2024</w:t>
            </w:r>
          </w:p>
        </w:tc>
      </w:tr>
      <w:tr>
        <w:trPr>
          <w:trHeight w:val="183"/>
        </w:trPr>
        <w:tc>
          <w:tcPr>
            <w:tcW w:w="340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Black Hills Corporation</w:t>
            </w:r>
          </w:p>
        </w:tc>
        <w:tc>
          <w:tcPr>
            <w:tcW w:w="300" w:type="dxa"/>
            <w:vAlign w:val="bottom"/>
            <w:shd w:val="clear" w:color="auto" w:fill="CFF0FC"/>
          </w:tcPr>
          <w:p>
            <w:pPr>
              <w:jc w:val="right"/>
              <w:ind w:right="119"/>
              <w:spacing w:after="0" w:line="183" w:lineRule="exact"/>
              <w:rPr>
                <w:sz w:val="20"/>
                <w:szCs w:val="20"/>
                <w:color w:val="auto"/>
              </w:rPr>
            </w:pPr>
            <w:r>
              <w:rPr>
                <w:rFonts w:ascii="Arial" w:cs="Arial" w:eastAsia="Arial" w:hAnsi="Arial"/>
                <w:sz w:val="16"/>
                <w:szCs w:val="16"/>
                <w:color w:val="auto"/>
                <w:w w:val="89"/>
              </w:rPr>
              <w:t>$</w:t>
            </w:r>
          </w:p>
        </w:tc>
        <w:tc>
          <w:tcPr>
            <w:tcW w:w="1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100.00</w:t>
            </w:r>
          </w:p>
        </w:tc>
        <w:tc>
          <w:tcPr>
            <w:tcW w:w="340" w:type="dxa"/>
            <w:vAlign w:val="bottom"/>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80.92</w:t>
            </w:r>
          </w:p>
        </w:tc>
        <w:tc>
          <w:tcPr>
            <w:tcW w:w="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96.19</w:t>
            </w:r>
          </w:p>
        </w:tc>
        <w:tc>
          <w:tcPr>
            <w:tcW w:w="380" w:type="dxa"/>
            <w:vAlign w:val="bottom"/>
            <w:shd w:val="clear" w:color="auto" w:fill="CFF0FC"/>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99.15</w:t>
            </w:r>
          </w:p>
        </w:tc>
        <w:tc>
          <w:tcPr>
            <w:tcW w:w="2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79.38</w:t>
            </w:r>
          </w:p>
        </w:tc>
        <w:tc>
          <w:tcPr>
            <w:tcW w:w="30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90.09</w:t>
            </w:r>
          </w:p>
        </w:tc>
      </w:tr>
      <w:tr>
        <w:trPr>
          <w:trHeight w:val="189"/>
        </w:trPr>
        <w:tc>
          <w:tcPr>
            <w:tcW w:w="3400" w:type="dxa"/>
            <w:vAlign w:val="bottom"/>
          </w:tcPr>
          <w:p>
            <w:pPr>
              <w:ind w:left="20"/>
              <w:spacing w:after="0"/>
              <w:rPr>
                <w:sz w:val="20"/>
                <w:szCs w:val="20"/>
                <w:color w:val="auto"/>
              </w:rPr>
            </w:pPr>
            <w:r>
              <w:rPr>
                <w:rFonts w:ascii="Arial" w:cs="Arial" w:eastAsia="Arial" w:hAnsi="Arial"/>
                <w:sz w:val="16"/>
                <w:szCs w:val="16"/>
                <w:color w:val="auto"/>
              </w:rPr>
              <w:t>S&amp;P 500</w:t>
            </w: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100.00</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118.40</w:t>
            </w: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152.39</w:t>
            </w:r>
          </w:p>
        </w:tc>
        <w:tc>
          <w:tcPr>
            <w:tcW w:w="3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124.79</w:t>
            </w:r>
          </w:p>
        </w:tc>
        <w:tc>
          <w:tcPr>
            <w:tcW w:w="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157.59</w:t>
            </w:r>
          </w:p>
        </w:tc>
        <w:tc>
          <w:tcPr>
            <w:tcW w:w="300" w:type="dxa"/>
            <w:vAlign w:val="bottom"/>
          </w:tcPr>
          <w:p>
            <w:pPr>
              <w:spacing w:after="0"/>
              <w:rPr>
                <w:sz w:val="16"/>
                <w:szCs w:val="16"/>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197.02</w:t>
            </w:r>
          </w:p>
        </w:tc>
      </w:tr>
      <w:tr>
        <w:trPr>
          <w:trHeight w:val="189"/>
        </w:trPr>
        <w:tc>
          <w:tcPr>
            <w:tcW w:w="3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S&amp;P 500 Utilities</w:t>
            </w:r>
          </w:p>
        </w:tc>
        <w:tc>
          <w:tcPr>
            <w:tcW w:w="3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100.00</w:t>
            </w:r>
          </w:p>
        </w:tc>
        <w:tc>
          <w:tcPr>
            <w:tcW w:w="34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100.48</w:t>
            </w:r>
          </w:p>
        </w:tc>
        <w:tc>
          <w:tcPr>
            <w:tcW w:w="22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118.24</w:t>
            </w:r>
          </w:p>
        </w:tc>
        <w:tc>
          <w:tcPr>
            <w:tcW w:w="38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120.09</w:t>
            </w:r>
          </w:p>
        </w:tc>
        <w:tc>
          <w:tcPr>
            <w:tcW w:w="28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111.59</w:t>
            </w:r>
          </w:p>
        </w:tc>
        <w:tc>
          <w:tcPr>
            <w:tcW w:w="30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137.73</w:t>
            </w:r>
          </w:p>
        </w:tc>
      </w:tr>
      <w:tr>
        <w:trPr>
          <w:trHeight w:val="186"/>
        </w:trPr>
        <w:tc>
          <w:tcPr>
            <w:tcW w:w="3400" w:type="dxa"/>
            <w:vAlign w:val="bottom"/>
          </w:tcPr>
          <w:p>
            <w:pPr>
              <w:ind w:left="20"/>
              <w:spacing w:after="0" w:line="186" w:lineRule="exact"/>
              <w:rPr>
                <w:sz w:val="20"/>
                <w:szCs w:val="20"/>
                <w:color w:val="auto"/>
              </w:rPr>
            </w:pPr>
            <w:r>
              <w:rPr>
                <w:rFonts w:ascii="Arial" w:cs="Arial" w:eastAsia="Arial" w:hAnsi="Arial"/>
                <w:sz w:val="16"/>
                <w:szCs w:val="16"/>
                <w:color w:val="auto"/>
              </w:rPr>
              <w:t xml:space="preserve">Performance Peer Group </w:t>
            </w:r>
            <w:r>
              <w:rPr>
                <w:rFonts w:ascii="Arial" w:cs="Arial" w:eastAsia="Arial" w:hAnsi="Arial"/>
                <w:sz w:val="21"/>
                <w:szCs w:val="21"/>
                <w:color w:val="auto"/>
                <w:vertAlign w:val="superscript"/>
              </w:rPr>
              <w:t>(a)</w:t>
            </w: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100.00</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98.84</w:t>
            </w: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115.76</w:t>
            </w:r>
          </w:p>
        </w:tc>
        <w:tc>
          <w:tcPr>
            <w:tcW w:w="3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117.09</w:t>
            </w:r>
          </w:p>
        </w:tc>
        <w:tc>
          <w:tcPr>
            <w:tcW w:w="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106.90</w:t>
            </w:r>
          </w:p>
        </w:tc>
        <w:tc>
          <w:tcPr>
            <w:tcW w:w="300" w:type="dxa"/>
            <w:vAlign w:val="bottom"/>
          </w:tcPr>
          <w:p>
            <w:pPr>
              <w:spacing w:after="0"/>
              <w:rPr>
                <w:sz w:val="16"/>
                <w:szCs w:val="16"/>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127.32</w:t>
            </w:r>
          </w:p>
        </w:tc>
      </w:tr>
    </w:tbl>
    <w:p>
      <w:pPr>
        <w:spacing w:after="0"/>
        <w:rPr>
          <w:sz w:val="20"/>
          <w:szCs w:val="20"/>
          <w:color w:val="auto"/>
        </w:rPr>
      </w:pPr>
      <w:r>
        <w:rPr>
          <w:rFonts w:ascii="Arial" w:cs="Arial" w:eastAsia="Arial" w:hAnsi="Arial"/>
          <w:sz w:val="11"/>
          <w:szCs w:val="11"/>
          <w:color w:val="auto"/>
        </w:rPr>
        <w:t>____________________</w:t>
      </w:r>
    </w:p>
    <w:p>
      <w:pPr>
        <w:spacing w:after="0" w:line="30" w:lineRule="exact"/>
        <w:rPr>
          <w:sz w:val="20"/>
          <w:szCs w:val="20"/>
          <w:color w:val="auto"/>
        </w:rPr>
      </w:pPr>
    </w:p>
    <w:p>
      <w:pPr>
        <w:ind w:left="520" w:hanging="512"/>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Performance Peer Group represents the Edison Electric Institute Index, which was used in our 2024 Proxy Statement filed with the SEC on March 15, 2024.</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w:t>
      </w:r>
    </w:p>
    <w:p>
      <w:pPr>
        <w:spacing w:after="0" w:line="194" w:lineRule="exact"/>
        <w:rPr>
          <w:sz w:val="20"/>
          <w:szCs w:val="20"/>
          <w:color w:val="auto"/>
        </w:rPr>
      </w:pPr>
    </w:p>
    <w:p>
      <w:pPr>
        <w:jc w:val="both"/>
        <w:ind w:right="40"/>
        <w:spacing w:after="0" w:line="266" w:lineRule="auto"/>
        <w:rPr>
          <w:sz w:val="20"/>
          <w:szCs w:val="20"/>
          <w:color w:val="auto"/>
        </w:rPr>
      </w:pPr>
      <w:r>
        <w:rPr>
          <w:rFonts w:ascii="Arial" w:cs="Arial" w:eastAsia="Arial" w:hAnsi="Arial"/>
          <w:sz w:val="16"/>
          <w:szCs w:val="16"/>
          <w:color w:val="auto"/>
        </w:rPr>
        <w:t>For information concerning dividends, our dividend policy and factors that may limit our ability to pay dividends, see “</w:t>
      </w:r>
      <w:r>
        <w:rPr>
          <w:rFonts w:ascii="Arial" w:cs="Arial" w:eastAsia="Arial" w:hAnsi="Arial"/>
          <w:sz w:val="16"/>
          <w:szCs w:val="16"/>
          <w:u w:val="single" w:color="auto"/>
          <w:color w:val="0000FF"/>
        </w:rPr>
        <w:t>Key Elements of our Business Strategy</w:t>
      </w:r>
      <w:r>
        <w:rPr>
          <w:rFonts w:ascii="Arial" w:cs="Arial" w:eastAsia="Arial" w:hAnsi="Arial"/>
          <w:sz w:val="16"/>
          <w:szCs w:val="16"/>
          <w:color w:val="auto"/>
        </w:rPr>
        <w:t>” and “</w:t>
      </w:r>
      <w:r>
        <w:rPr>
          <w:rFonts w:ascii="Arial" w:cs="Arial" w:eastAsia="Arial" w:hAnsi="Arial"/>
          <w:sz w:val="16"/>
          <w:szCs w:val="16"/>
          <w:u w:val="single" w:color="auto"/>
          <w:color w:val="0000FF"/>
        </w:rPr>
        <w:t>Liquidity and Capital Resources</w:t>
      </w:r>
      <w:r>
        <w:rPr>
          <w:rFonts w:ascii="Arial" w:cs="Arial" w:eastAsia="Arial" w:hAnsi="Arial"/>
          <w:sz w:val="16"/>
          <w:szCs w:val="16"/>
          <w:color w:val="auto"/>
        </w:rPr>
        <w:t xml:space="preserve">” under </w:t>
      </w:r>
      <w:r>
        <w:rPr>
          <w:rFonts w:ascii="Arial" w:cs="Arial" w:eastAsia="Arial" w:hAnsi="Arial"/>
          <w:sz w:val="16"/>
          <w:szCs w:val="16"/>
          <w:u w:val="single" w:color="auto"/>
          <w:color w:val="0000FF"/>
        </w:rPr>
        <w:t>Item 7</w:t>
      </w:r>
      <w:r>
        <w:rPr>
          <w:rFonts w:ascii="Arial" w:cs="Arial" w:eastAsia="Arial" w:hAnsi="Arial"/>
          <w:sz w:val="16"/>
          <w:szCs w:val="16"/>
          <w:color w:val="auto"/>
        </w:rPr>
        <w:t>, Management’s Discussion and Analysis of Financial Condition and Results of Operations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5299710</wp:posOffset>
            </wp:positionH>
            <wp:positionV relativeFrom="paragraph">
              <wp:posOffset>-276225</wp:posOffset>
            </wp:positionV>
            <wp:extent cx="178371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783715" cy="8255"/>
                    </a:xfrm>
                    <a:prstGeom prst="rect">
                      <a:avLst/>
                    </a:prstGeom>
                    <a:noFill/>
                  </pic:spPr>
                </pic:pic>
              </a:graphicData>
            </a:graphic>
          </wp:anchor>
        </w:drawing>
        <w:drawing>
          <wp:anchor simplePos="0" relativeHeight="251657728" behindDoc="1" locked="0" layoutInCell="0" allowOverlap="1">
            <wp:simplePos x="0" y="0"/>
            <wp:positionH relativeFrom="column">
              <wp:posOffset>239395</wp:posOffset>
            </wp:positionH>
            <wp:positionV relativeFrom="paragraph">
              <wp:posOffset>-156210</wp:posOffset>
            </wp:positionV>
            <wp:extent cx="208661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08661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UNREGISTERED SECURITIES ISSUED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There were no unregistered securities sold during 2024.</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SECURITIES AUTHORIZED FOR ISSUANCE UNDER EQUITY COMPENSATION PLANS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Item 12</w:t>
      </w:r>
      <w:r>
        <w:rPr>
          <w:rFonts w:ascii="Arial" w:cs="Arial" w:eastAsia="Arial" w:hAnsi="Arial"/>
          <w:sz w:val="16"/>
          <w:szCs w:val="16"/>
          <w:color w:val="auto"/>
        </w:rPr>
        <w:t xml:space="preserve"> in this Annual Report on Form 10-K for information regarding Securities Authorized for Issuance Under Equity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-4445</wp:posOffset>
            </wp:positionV>
            <wp:extent cx="3429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ISSUER PURCHASES OF EQUITY SECURITIES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contains monthly information about our acquisitions of equity securities for the three months ended December 31, 2024: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060" w:type="dxa"/>
            <w:vAlign w:val="bottom"/>
          </w:tcPr>
          <w:p>
            <w:pPr>
              <w:jc w:val="center"/>
              <w:ind w:right="39"/>
              <w:spacing w:after="0"/>
              <w:rPr>
                <w:sz w:val="20"/>
                <w:szCs w:val="20"/>
                <w:color w:val="auto"/>
              </w:rPr>
            </w:pPr>
            <w:r>
              <w:rPr>
                <w:rFonts w:ascii="Arial" w:cs="Arial" w:eastAsia="Arial" w:hAnsi="Arial"/>
                <w:sz w:val="16"/>
                <w:szCs w:val="16"/>
                <w:b w:val="1"/>
                <w:bCs w:val="1"/>
                <w:color w:val="auto"/>
              </w:rPr>
              <w:t>Maximum Number (or</w:t>
            </w:r>
          </w:p>
        </w:tc>
      </w:tr>
      <w:tr>
        <w:trPr>
          <w:trHeight w:val="189"/>
        </w:trPr>
        <w:tc>
          <w:tcPr>
            <w:tcW w:w="37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rPr>
              <w:t>Total Number of</w:t>
            </w:r>
          </w:p>
        </w:tc>
        <w:tc>
          <w:tcPr>
            <w:tcW w:w="2060" w:type="dxa"/>
            <w:vAlign w:val="bottom"/>
          </w:tcPr>
          <w:p>
            <w:pPr>
              <w:jc w:val="center"/>
              <w:ind w:right="39"/>
              <w:spacing w:after="0"/>
              <w:rPr>
                <w:sz w:val="20"/>
                <w:szCs w:val="20"/>
                <w:color w:val="auto"/>
              </w:rPr>
            </w:pPr>
            <w:r>
              <w:rPr>
                <w:rFonts w:ascii="Arial" w:cs="Arial" w:eastAsia="Arial" w:hAnsi="Arial"/>
                <w:sz w:val="16"/>
                <w:szCs w:val="16"/>
                <w:b w:val="1"/>
                <w:bCs w:val="1"/>
                <w:color w:val="auto"/>
              </w:rPr>
              <w:t>Approximate Dollar</w:t>
            </w:r>
          </w:p>
        </w:tc>
      </w:tr>
      <w:tr>
        <w:trPr>
          <w:trHeight w:val="189"/>
        </w:trPr>
        <w:tc>
          <w:tcPr>
            <w:tcW w:w="37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rPr>
              <w:t>Shares Purchased as</w:t>
            </w:r>
          </w:p>
        </w:tc>
        <w:tc>
          <w:tcPr>
            <w:tcW w:w="2060" w:type="dxa"/>
            <w:vAlign w:val="bottom"/>
          </w:tcPr>
          <w:p>
            <w:pPr>
              <w:jc w:val="center"/>
              <w:ind w:right="39"/>
              <w:spacing w:after="0"/>
              <w:rPr>
                <w:sz w:val="20"/>
                <w:szCs w:val="20"/>
                <w:color w:val="auto"/>
              </w:rPr>
            </w:pPr>
            <w:r>
              <w:rPr>
                <w:rFonts w:ascii="Arial" w:cs="Arial" w:eastAsia="Arial" w:hAnsi="Arial"/>
                <w:sz w:val="16"/>
                <w:szCs w:val="16"/>
                <w:b w:val="1"/>
                <w:bCs w:val="1"/>
                <w:color w:val="auto"/>
              </w:rPr>
              <w:t>Value) of Shares That</w:t>
            </w:r>
          </w:p>
        </w:tc>
      </w:tr>
      <w:tr>
        <w:trPr>
          <w:trHeight w:val="189"/>
        </w:trPr>
        <w:tc>
          <w:tcPr>
            <w:tcW w:w="37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960" w:type="dxa"/>
            <w:vAlign w:val="bottom"/>
          </w:tcPr>
          <w:p>
            <w:pPr>
              <w:jc w:val="center"/>
              <w:ind w:right="19"/>
              <w:spacing w:after="0"/>
              <w:rPr>
                <w:sz w:val="20"/>
                <w:szCs w:val="20"/>
                <w:color w:val="auto"/>
              </w:rPr>
            </w:pPr>
            <w:r>
              <w:rPr>
                <w:rFonts w:ascii="Arial" w:cs="Arial" w:eastAsia="Arial" w:hAnsi="Arial"/>
                <w:sz w:val="16"/>
                <w:szCs w:val="16"/>
                <w:b w:val="1"/>
                <w:bCs w:val="1"/>
                <w:color w:val="auto"/>
              </w:rPr>
              <w:t>Part of Publicly</w:t>
            </w:r>
          </w:p>
        </w:tc>
        <w:tc>
          <w:tcPr>
            <w:tcW w:w="2060" w:type="dxa"/>
            <w:vAlign w:val="bottom"/>
          </w:tcPr>
          <w:p>
            <w:pPr>
              <w:jc w:val="center"/>
              <w:ind w:right="39"/>
              <w:spacing w:after="0"/>
              <w:rPr>
                <w:sz w:val="20"/>
                <w:szCs w:val="20"/>
                <w:color w:val="auto"/>
              </w:rPr>
            </w:pPr>
            <w:r>
              <w:rPr>
                <w:rFonts w:ascii="Arial" w:cs="Arial" w:eastAsia="Arial" w:hAnsi="Arial"/>
                <w:sz w:val="16"/>
                <w:szCs w:val="16"/>
                <w:b w:val="1"/>
                <w:bCs w:val="1"/>
                <w:color w:val="auto"/>
              </w:rPr>
              <w:t>May Yet Be Purchased</w:t>
            </w:r>
          </w:p>
        </w:tc>
      </w:tr>
      <w:tr>
        <w:trPr>
          <w:trHeight w:val="163"/>
        </w:trPr>
        <w:tc>
          <w:tcPr>
            <w:tcW w:w="3720" w:type="dxa"/>
            <w:vAlign w:val="bottom"/>
          </w:tcPr>
          <w:p>
            <w:pPr>
              <w:spacing w:after="0"/>
              <w:rPr>
                <w:sz w:val="14"/>
                <w:szCs w:val="14"/>
                <w:color w:val="auto"/>
              </w:rPr>
            </w:pPr>
          </w:p>
        </w:tc>
        <w:tc>
          <w:tcPr>
            <w:tcW w:w="1760" w:type="dxa"/>
            <w:vAlign w:val="bottom"/>
          </w:tcPr>
          <w:p>
            <w:pPr>
              <w:jc w:val="right"/>
              <w:ind w:right="219"/>
              <w:spacing w:after="0" w:line="163" w:lineRule="exact"/>
              <w:rPr>
                <w:sz w:val="20"/>
                <w:szCs w:val="20"/>
                <w:color w:val="auto"/>
              </w:rPr>
            </w:pPr>
            <w:r>
              <w:rPr>
                <w:rFonts w:ascii="Arial" w:cs="Arial" w:eastAsia="Arial" w:hAnsi="Arial"/>
                <w:sz w:val="16"/>
                <w:szCs w:val="16"/>
                <w:b w:val="1"/>
                <w:bCs w:val="1"/>
                <w:color w:val="auto"/>
              </w:rPr>
              <w:t>Total Number of</w:t>
            </w:r>
          </w:p>
        </w:tc>
        <w:tc>
          <w:tcPr>
            <w:tcW w:w="220" w:type="dxa"/>
            <w:vAlign w:val="bottom"/>
          </w:tcPr>
          <w:p>
            <w:pPr>
              <w:spacing w:after="0"/>
              <w:rPr>
                <w:sz w:val="14"/>
                <w:szCs w:val="14"/>
                <w:color w:val="auto"/>
              </w:rPr>
            </w:pPr>
          </w:p>
        </w:tc>
        <w:tc>
          <w:tcPr>
            <w:tcW w:w="1520" w:type="dxa"/>
            <w:vAlign w:val="bottom"/>
          </w:tcPr>
          <w:p>
            <w:pPr>
              <w:jc w:val="right"/>
              <w:ind w:right="259"/>
              <w:spacing w:after="0" w:line="163" w:lineRule="exact"/>
              <w:rPr>
                <w:sz w:val="20"/>
                <w:szCs w:val="20"/>
                <w:color w:val="auto"/>
              </w:rPr>
            </w:pPr>
            <w:r>
              <w:rPr>
                <w:rFonts w:ascii="Arial" w:cs="Arial" w:eastAsia="Arial" w:hAnsi="Arial"/>
                <w:sz w:val="16"/>
                <w:szCs w:val="16"/>
                <w:b w:val="1"/>
                <w:bCs w:val="1"/>
                <w:color w:val="auto"/>
              </w:rPr>
              <w:t>Average Price</w:t>
            </w:r>
          </w:p>
        </w:tc>
        <w:tc>
          <w:tcPr>
            <w:tcW w:w="1960" w:type="dxa"/>
            <w:vAlign w:val="bottom"/>
          </w:tcPr>
          <w:p>
            <w:pPr>
              <w:jc w:val="center"/>
              <w:ind w:right="19"/>
              <w:spacing w:after="0" w:line="163" w:lineRule="exact"/>
              <w:rPr>
                <w:sz w:val="20"/>
                <w:szCs w:val="20"/>
                <w:color w:val="auto"/>
              </w:rPr>
            </w:pPr>
            <w:r>
              <w:rPr>
                <w:rFonts w:ascii="Arial" w:cs="Arial" w:eastAsia="Arial" w:hAnsi="Arial"/>
                <w:sz w:val="16"/>
                <w:szCs w:val="16"/>
                <w:b w:val="1"/>
                <w:bCs w:val="1"/>
                <w:color w:val="auto"/>
              </w:rPr>
              <w:t>Announced Plans or</w:t>
            </w:r>
          </w:p>
        </w:tc>
        <w:tc>
          <w:tcPr>
            <w:tcW w:w="2060" w:type="dxa"/>
            <w:vAlign w:val="bottom"/>
          </w:tcPr>
          <w:p>
            <w:pPr>
              <w:jc w:val="center"/>
              <w:ind w:right="59"/>
              <w:spacing w:after="0" w:line="163" w:lineRule="exact"/>
              <w:rPr>
                <w:sz w:val="20"/>
                <w:szCs w:val="20"/>
                <w:color w:val="auto"/>
              </w:rPr>
            </w:pPr>
            <w:r>
              <w:rPr>
                <w:rFonts w:ascii="Arial" w:cs="Arial" w:eastAsia="Arial" w:hAnsi="Arial"/>
                <w:sz w:val="16"/>
                <w:szCs w:val="16"/>
                <w:b w:val="1"/>
                <w:bCs w:val="1"/>
                <w:color w:val="auto"/>
              </w:rPr>
              <w:t>Under the Plans or</w:t>
            </w:r>
          </w:p>
        </w:tc>
      </w:tr>
      <w:tr>
        <w:trPr>
          <w:trHeight w:val="229"/>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Period</w:t>
            </w:r>
          </w:p>
        </w:tc>
        <w:tc>
          <w:tcPr>
            <w:tcW w:w="1760" w:type="dxa"/>
            <w:vAlign w:val="bottom"/>
            <w:tcBorders>
              <w:bottom w:val="single" w:sz="8" w:color="auto"/>
            </w:tcBorders>
          </w:tcPr>
          <w:p>
            <w:pPr>
              <w:jc w:val="right"/>
              <w:ind w:right="39"/>
              <w:spacing w:after="0" w:line="230" w:lineRule="exact"/>
              <w:rPr>
                <w:sz w:val="20"/>
                <w:szCs w:val="20"/>
                <w:color w:val="auto"/>
              </w:rPr>
            </w:pPr>
            <w:r>
              <w:rPr>
                <w:rFonts w:ascii="Arial" w:cs="Arial" w:eastAsia="Arial" w:hAnsi="Arial"/>
                <w:sz w:val="16"/>
                <w:szCs w:val="16"/>
                <w:b w:val="1"/>
                <w:bCs w:val="1"/>
                <w:color w:val="auto"/>
              </w:rPr>
              <w:t xml:space="preserve">Shares Purchased </w:t>
            </w:r>
            <w:r>
              <w:rPr>
                <w:rFonts w:ascii="Arial" w:cs="Arial" w:eastAsia="Arial" w:hAnsi="Arial"/>
                <w:sz w:val="21"/>
                <w:szCs w:val="21"/>
                <w:b w:val="1"/>
                <w:bCs w:val="1"/>
                <w:color w:val="auto"/>
                <w:vertAlign w:val="superscript"/>
              </w:rPr>
              <w:t>(a)</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Paid per Share</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Programs</w:t>
            </w:r>
          </w:p>
        </w:tc>
        <w:tc>
          <w:tcPr>
            <w:tcW w:w="206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Programs</w:t>
            </w:r>
          </w:p>
        </w:tc>
      </w:tr>
      <w:tr>
        <w:trPr>
          <w:trHeight w:val="183"/>
        </w:trPr>
        <w:tc>
          <w:tcPr>
            <w:tcW w:w="37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October 1, 2024 - October 31, 2024</w:t>
            </w:r>
          </w:p>
        </w:tc>
        <w:tc>
          <w:tcPr>
            <w:tcW w:w="17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52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60.93</w:t>
            </w:r>
          </w:p>
        </w:tc>
        <w:tc>
          <w:tcPr>
            <w:tcW w:w="1960" w:type="dxa"/>
            <w:vAlign w:val="bottom"/>
            <w:shd w:val="clear" w:color="auto" w:fill="CFF0FC"/>
          </w:tcPr>
          <w:p>
            <w:pPr>
              <w:ind w:left="1700"/>
              <w:spacing w:after="0" w:line="183" w:lineRule="exact"/>
              <w:rPr>
                <w:sz w:val="20"/>
                <w:szCs w:val="20"/>
                <w:color w:val="auto"/>
              </w:rPr>
            </w:pPr>
            <w:r>
              <w:rPr>
                <w:rFonts w:ascii="Arial" w:cs="Arial" w:eastAsia="Arial" w:hAnsi="Arial"/>
                <w:sz w:val="16"/>
                <w:szCs w:val="16"/>
                <w:color w:val="auto"/>
              </w:rPr>
              <w:t>—</w:t>
            </w:r>
          </w:p>
        </w:tc>
        <w:tc>
          <w:tcPr>
            <w:tcW w:w="2060" w:type="dxa"/>
            <w:vAlign w:val="bottom"/>
            <w:shd w:val="clear" w:color="auto" w:fill="CFF0FC"/>
          </w:tcPr>
          <w:p>
            <w:pPr>
              <w:ind w:left="1760"/>
              <w:spacing w:after="0" w:line="183" w:lineRule="exact"/>
              <w:rPr>
                <w:sz w:val="20"/>
                <w:szCs w:val="20"/>
                <w:color w:val="auto"/>
              </w:rPr>
            </w:pPr>
            <w:r>
              <w:rPr>
                <w:rFonts w:ascii="Arial" w:cs="Arial" w:eastAsia="Arial" w:hAnsi="Arial"/>
                <w:sz w:val="16"/>
                <w:szCs w:val="16"/>
                <w:color w:val="auto"/>
              </w:rPr>
              <w:t>—</w:t>
            </w:r>
          </w:p>
        </w:tc>
      </w:tr>
      <w:tr>
        <w:trPr>
          <w:trHeight w:val="189"/>
        </w:trPr>
        <w:tc>
          <w:tcPr>
            <w:tcW w:w="3720" w:type="dxa"/>
            <w:vAlign w:val="bottom"/>
          </w:tcPr>
          <w:p>
            <w:pPr>
              <w:ind w:left="20"/>
              <w:spacing w:after="0"/>
              <w:rPr>
                <w:sz w:val="20"/>
                <w:szCs w:val="20"/>
                <w:color w:val="auto"/>
              </w:rPr>
            </w:pPr>
            <w:r>
              <w:rPr>
                <w:rFonts w:ascii="Arial" w:cs="Arial" w:eastAsia="Arial" w:hAnsi="Arial"/>
                <w:sz w:val="16"/>
                <w:szCs w:val="16"/>
                <w:color w:val="auto"/>
              </w:rPr>
              <w:t>November 1, 2024 - November 30, 2024</w:t>
            </w:r>
          </w:p>
        </w:tc>
        <w:tc>
          <w:tcPr>
            <w:tcW w:w="176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57.92</w:t>
            </w:r>
          </w:p>
        </w:tc>
        <w:tc>
          <w:tcPr>
            <w:tcW w:w="1960" w:type="dxa"/>
            <w:vAlign w:val="bottom"/>
          </w:tcPr>
          <w:p>
            <w:pPr>
              <w:ind w:left="1700"/>
              <w:spacing w:after="0"/>
              <w:rPr>
                <w:sz w:val="20"/>
                <w:szCs w:val="20"/>
                <w:color w:val="auto"/>
              </w:rPr>
            </w:pPr>
            <w:r>
              <w:rPr>
                <w:rFonts w:ascii="Arial" w:cs="Arial" w:eastAsia="Arial" w:hAnsi="Arial"/>
                <w:sz w:val="16"/>
                <w:szCs w:val="16"/>
                <w:color w:val="auto"/>
              </w:rPr>
              <w:t>—</w:t>
            </w:r>
          </w:p>
        </w:tc>
        <w:tc>
          <w:tcPr>
            <w:tcW w:w="2060" w:type="dxa"/>
            <w:vAlign w:val="bottom"/>
          </w:tcPr>
          <w:p>
            <w:pPr>
              <w:ind w:left="1760"/>
              <w:spacing w:after="0"/>
              <w:rPr>
                <w:sz w:val="20"/>
                <w:szCs w:val="20"/>
                <w:color w:val="auto"/>
              </w:rPr>
            </w:pPr>
            <w:r>
              <w:rPr>
                <w:rFonts w:ascii="Arial" w:cs="Arial" w:eastAsia="Arial" w:hAnsi="Arial"/>
                <w:sz w:val="16"/>
                <w:szCs w:val="16"/>
                <w:color w:val="auto"/>
              </w:rPr>
              <w:t>—</w:t>
            </w:r>
          </w:p>
        </w:tc>
      </w:tr>
      <w:tr>
        <w:trPr>
          <w:trHeight w:val="189"/>
        </w:trPr>
        <w:tc>
          <w:tcPr>
            <w:tcW w:w="3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December 1, 2024 - December 31, 2024</w:t>
            </w: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3,238</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60.96</w:t>
            </w:r>
          </w:p>
        </w:tc>
        <w:tc>
          <w:tcPr>
            <w:tcW w:w="1960" w:type="dxa"/>
            <w:vAlign w:val="bottom"/>
            <w:tcBorders>
              <w:bottom w:val="single" w:sz="8" w:color="auto"/>
            </w:tcBorders>
            <w:shd w:val="clear" w:color="auto" w:fill="CFF0FC"/>
          </w:tcPr>
          <w:p>
            <w:pPr>
              <w:ind w:left="1700"/>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auto"/>
            </w:tcBorders>
            <w:shd w:val="clear" w:color="auto" w:fill="CFF0FC"/>
          </w:tcPr>
          <w:p>
            <w:pPr>
              <w:ind w:left="1760"/>
              <w:spacing w:after="0"/>
              <w:rPr>
                <w:sz w:val="20"/>
                <w:szCs w:val="20"/>
                <w:color w:val="auto"/>
              </w:rPr>
            </w:pPr>
            <w:r>
              <w:rPr>
                <w:rFonts w:ascii="Arial" w:cs="Arial" w:eastAsia="Arial" w:hAnsi="Arial"/>
                <w:sz w:val="16"/>
                <w:szCs w:val="16"/>
                <w:color w:val="auto"/>
              </w:rPr>
              <w:t>—</w:t>
            </w:r>
          </w:p>
        </w:tc>
      </w:tr>
      <w:tr>
        <w:trPr>
          <w:trHeight w:val="183"/>
        </w:trPr>
        <w:tc>
          <w:tcPr>
            <w:tcW w:w="3720" w:type="dxa"/>
            <w:vAlign w:val="bottom"/>
          </w:tcPr>
          <w:p>
            <w:pPr>
              <w:ind w:left="200"/>
              <w:spacing w:after="0" w:line="183" w:lineRule="exact"/>
              <w:rPr>
                <w:sz w:val="20"/>
                <w:szCs w:val="20"/>
                <w:color w:val="auto"/>
              </w:rPr>
            </w:pPr>
            <w:r>
              <w:rPr>
                <w:rFonts w:ascii="Arial" w:cs="Arial" w:eastAsia="Arial" w:hAnsi="Arial"/>
                <w:sz w:val="16"/>
                <w:szCs w:val="16"/>
                <w:color w:val="auto"/>
              </w:rPr>
              <w:t>Total</w:t>
            </w:r>
          </w:p>
        </w:tc>
        <w:tc>
          <w:tcPr>
            <w:tcW w:w="1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3,240</w:t>
            </w:r>
          </w:p>
        </w:tc>
        <w:tc>
          <w:tcPr>
            <w:tcW w:w="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60.96</w:t>
            </w:r>
          </w:p>
        </w:tc>
        <w:tc>
          <w:tcPr>
            <w:tcW w:w="1960" w:type="dxa"/>
            <w:vAlign w:val="bottom"/>
            <w:tcBorders>
              <w:bottom w:val="single" w:sz="8" w:color="auto"/>
            </w:tcBorders>
          </w:tcPr>
          <w:p>
            <w:pPr>
              <w:ind w:left="1700"/>
              <w:spacing w:after="0" w:line="183" w:lineRule="exact"/>
              <w:rPr>
                <w:sz w:val="20"/>
                <w:szCs w:val="20"/>
                <w:color w:val="auto"/>
              </w:rPr>
            </w:pPr>
            <w:r>
              <w:rPr>
                <w:rFonts w:ascii="Arial" w:cs="Arial" w:eastAsia="Arial" w:hAnsi="Arial"/>
                <w:sz w:val="16"/>
                <w:szCs w:val="16"/>
                <w:color w:val="auto"/>
              </w:rPr>
              <w:t>—</w:t>
            </w:r>
          </w:p>
        </w:tc>
        <w:tc>
          <w:tcPr>
            <w:tcW w:w="2060" w:type="dxa"/>
            <w:vAlign w:val="bottom"/>
            <w:tcBorders>
              <w:bottom w:val="single" w:sz="8" w:color="auto"/>
            </w:tcBorders>
          </w:tcPr>
          <w:p>
            <w:pPr>
              <w:ind w:left="1760"/>
              <w:spacing w:after="0" w:line="183" w:lineRule="exact"/>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8255</wp:posOffset>
            </wp:positionV>
            <wp:extent cx="477456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774565" cy="8255"/>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____________________</w:t>
      </w:r>
    </w:p>
    <w:p>
      <w:pPr>
        <w:spacing w:after="0" w:line="40" w:lineRule="exact"/>
        <w:rPr>
          <w:sz w:val="20"/>
          <w:szCs w:val="20"/>
          <w:color w:val="auto"/>
        </w:rPr>
      </w:pPr>
    </w:p>
    <w:p>
      <w:pPr>
        <w:ind w:left="520" w:right="360" w:hanging="512"/>
        <w:spacing w:after="0" w:line="285" w:lineRule="auto"/>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Shares were acquired under the share withholding provisions of the Amended and Restated 2015 Omnibus Incentive Plan for payment of taxes associated with the vesting of various equity compensation plans.</w:t>
      </w:r>
    </w:p>
    <w:p>
      <w:pPr>
        <w:spacing w:after="0" w:line="315"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6.</w:t>
        <w:tab/>
        <w:t>(RESERVED)</w:t>
      </w:r>
    </w:p>
    <w:p>
      <w:pPr>
        <w:spacing w:after="0" w:line="383" w:lineRule="exact"/>
        <w:rPr>
          <w:sz w:val="20"/>
          <w:szCs w:val="20"/>
          <w:color w:val="auto"/>
        </w:rPr>
      </w:pPr>
    </w:p>
    <w:p>
      <w:pPr>
        <w:ind w:left="840" w:right="2020" w:hanging="4845"/>
        <w:spacing w:after="0" w:line="493" w:lineRule="auto"/>
        <w:tabs>
          <w:tab w:leader="none" w:pos="820" w:val="left"/>
        </w:tabs>
        <w:rPr>
          <w:sz w:val="20"/>
          <w:szCs w:val="20"/>
          <w:color w:val="auto"/>
        </w:rPr>
      </w:pPr>
      <w:r>
        <w:rPr>
          <w:rFonts w:ascii="Arial" w:cs="Arial" w:eastAsia="Arial" w:hAnsi="Arial"/>
          <w:sz w:val="16"/>
          <w:szCs w:val="16"/>
          <w:b w:val="1"/>
          <w:bCs w:val="1"/>
          <w:color w:val="auto"/>
        </w:rPr>
        <w:t>ITEM 7.</w:t>
        <w:tab/>
        <w:t>MANAGEMENT’S DISCUSSION AND ANALYSIS OF FINANCIAL CONDITION AND RESULTS OF OPERATIONS Executive Summary</w:t>
      </w:r>
    </w:p>
    <w:p>
      <w:pPr>
        <w:ind w:right="40"/>
        <w:spacing w:after="0" w:line="256" w:lineRule="auto"/>
        <w:rPr>
          <w:sz w:val="20"/>
          <w:szCs w:val="20"/>
          <w:color w:val="auto"/>
        </w:rPr>
      </w:pPr>
      <w:r>
        <w:rPr>
          <w:rFonts w:ascii="Arial" w:cs="Arial" w:eastAsia="Arial" w:hAnsi="Arial"/>
          <w:sz w:val="16"/>
          <w:szCs w:val="16"/>
          <w:color w:val="auto"/>
        </w:rPr>
        <w:t xml:space="preserve">We are a customer-focused energy solutions provider with a mission of </w:t>
      </w:r>
      <w:r>
        <w:rPr>
          <w:rFonts w:ascii="Arial" w:cs="Arial" w:eastAsia="Arial" w:hAnsi="Arial"/>
          <w:sz w:val="16"/>
          <w:szCs w:val="16"/>
          <w:i w:val="1"/>
          <w:iCs w:val="1"/>
          <w:color w:val="auto"/>
        </w:rPr>
        <w:t>Improving Life with Energy</w:t>
      </w:r>
      <w:r>
        <w:rPr>
          <w:rFonts w:ascii="Arial" w:cs="Arial" w:eastAsia="Arial" w:hAnsi="Arial"/>
          <w:sz w:val="16"/>
          <w:szCs w:val="16"/>
          <w:color w:val="auto"/>
        </w:rPr>
        <w:t xml:space="preserve"> for 1.35 million customers and 800+ communities we serve. Our aspiration is to be the trusted energy partner across our growing eight-state footprint, including Arkansas, Colorado, Iowa, Kansas, Montana, Nebraska, South Dakota, and Wyoming. Our strategy is centered on four priorities: </w:t>
      </w:r>
      <w:r>
        <w:rPr>
          <w:rFonts w:ascii="Arial" w:cs="Arial" w:eastAsia="Arial" w:hAnsi="Arial"/>
          <w:sz w:val="16"/>
          <w:szCs w:val="16"/>
          <w:i w:val="1"/>
          <w:iCs w:val="1"/>
          <w:color w:val="auto"/>
        </w:rPr>
        <w:t>People &amp; Culture</w:t>
      </w:r>
      <w:r>
        <w:rPr>
          <w:rFonts w:ascii="Arial" w:cs="Arial" w:eastAsia="Arial" w:hAnsi="Arial"/>
          <w:sz w:val="16"/>
          <w:szCs w:val="16"/>
          <w:color w:val="auto"/>
        </w:rPr>
        <w:t xml:space="preserve">—build a team that wins together, </w:t>
      </w:r>
      <w:r>
        <w:rPr>
          <w:rFonts w:ascii="Arial" w:cs="Arial" w:eastAsia="Arial" w:hAnsi="Arial"/>
          <w:sz w:val="16"/>
          <w:szCs w:val="16"/>
          <w:i w:val="1"/>
          <w:iCs w:val="1"/>
          <w:color w:val="auto"/>
        </w:rPr>
        <w:t>Operational</w:t>
      </w:r>
      <w:r>
        <w:rPr>
          <w:rFonts w:ascii="Arial" w:cs="Arial" w:eastAsia="Arial" w:hAnsi="Arial"/>
          <w:sz w:val="16"/>
          <w:szCs w:val="16"/>
          <w:color w:val="auto"/>
        </w:rPr>
        <w:t xml:space="preserve"> </w:t>
      </w:r>
      <w:r>
        <w:rPr>
          <w:rFonts w:ascii="Arial" w:cs="Arial" w:eastAsia="Arial" w:hAnsi="Arial"/>
          <w:sz w:val="16"/>
          <w:szCs w:val="16"/>
          <w:i w:val="1"/>
          <w:iCs w:val="1"/>
          <w:color w:val="auto"/>
        </w:rPr>
        <w:t>Excellence—</w:t>
      </w:r>
      <w:r>
        <w:rPr>
          <w:rFonts w:ascii="Arial" w:cs="Arial" w:eastAsia="Arial" w:hAnsi="Arial"/>
          <w:sz w:val="16"/>
          <w:szCs w:val="16"/>
          <w:color w:val="auto"/>
        </w:rPr>
        <w:t>relentlessly deliver on our commitment to serve our customers,</w:t>
      </w:r>
      <w:r>
        <w:rPr>
          <w:rFonts w:ascii="Arial" w:cs="Arial" w:eastAsia="Arial" w:hAnsi="Arial"/>
          <w:sz w:val="16"/>
          <w:szCs w:val="16"/>
          <w:i w:val="1"/>
          <w:iCs w:val="1"/>
          <w:color w:val="auto"/>
        </w:rPr>
        <w:t xml:space="preserve"> Transformation</w:t>
      </w:r>
      <w:r>
        <w:rPr>
          <w:rFonts w:ascii="Arial" w:cs="Arial" w:eastAsia="Arial" w:hAnsi="Arial"/>
          <w:sz w:val="16"/>
          <w:szCs w:val="16"/>
          <w:color w:val="auto"/>
        </w:rPr>
        <w:t>—be a simple and connected company and</w:t>
      </w:r>
      <w:r>
        <w:rPr>
          <w:rFonts w:ascii="Arial" w:cs="Arial" w:eastAsia="Arial" w:hAnsi="Arial"/>
          <w:sz w:val="16"/>
          <w:szCs w:val="16"/>
          <w:i w:val="1"/>
          <w:iCs w:val="1"/>
          <w:color w:val="auto"/>
        </w:rPr>
        <w:t xml:space="preserve"> Growth—</w:t>
      </w:r>
      <w:r>
        <w:rPr>
          <w:rFonts w:ascii="Arial" w:cs="Arial" w:eastAsia="Arial" w:hAnsi="Arial"/>
          <w:sz w:val="16"/>
          <w:szCs w:val="16"/>
          <w:color w:val="auto"/>
        </w:rPr>
        <w:t>grow to be</w:t>
      </w:r>
      <w:r>
        <w:rPr>
          <w:rFonts w:ascii="Arial" w:cs="Arial" w:eastAsia="Arial" w:hAnsi="Arial"/>
          <w:sz w:val="16"/>
          <w:szCs w:val="16"/>
          <w:i w:val="1"/>
          <w:iCs w:val="1"/>
          <w:color w:val="auto"/>
        </w:rPr>
        <w:t xml:space="preserve"> </w:t>
      </w:r>
      <w:r>
        <w:rPr>
          <w:rFonts w:ascii="Arial" w:cs="Arial" w:eastAsia="Arial" w:hAnsi="Arial"/>
          <w:sz w:val="16"/>
          <w:szCs w:val="16"/>
          <w:color w:val="auto"/>
        </w:rPr>
        <w:t>a dominant long-term energy provider.</w:t>
      </w:r>
    </w:p>
    <w:p>
      <w:pPr>
        <w:spacing w:after="0" w:line="153"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We conduct our business operations through two operating segments: Electric Utilities and Gas Utilities. Certain unallocated corporate expenses that support our operating segments are presented as Corporate and Other. We conduct our utility operations under the name Black Hills Energy predominantly in rural areas of the Rocky Mountains and Midwestern states. We consider ourself a domestic electric and natural gas utility company.</w:t>
      </w:r>
    </w:p>
    <w:p>
      <w:pPr>
        <w:spacing w:after="0" w:line="144"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auto"/>
        </w:rPr>
        <w:t>We have provided energy and served customers for 141 years, since the 1883 gold rush days in Deadwood, South Dakota. Throughout our history, the common thread that unites the past to the present is our commitment to serve our customers and communities. By being responsive and service focused, we can help our customers and communities thrive while meeting rapidly changing customer expectations.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Key Elements of our Business Strategy</w:t>
      </w:r>
    </w:p>
    <w:p>
      <w:pPr>
        <w:spacing w:after="0" w:line="194" w:lineRule="exact"/>
        <w:rPr>
          <w:sz w:val="20"/>
          <w:szCs w:val="20"/>
          <w:color w:val="auto"/>
        </w:rPr>
      </w:pPr>
    </w:p>
    <w:p>
      <w:pPr>
        <w:ind w:right="260"/>
        <w:spacing w:after="0" w:line="259" w:lineRule="auto"/>
        <w:rPr>
          <w:sz w:val="20"/>
          <w:szCs w:val="20"/>
          <w:color w:val="auto"/>
        </w:rPr>
      </w:pPr>
      <w:r>
        <w:rPr>
          <w:rFonts w:ascii="Arial" w:cs="Arial" w:eastAsia="Arial" w:hAnsi="Arial"/>
          <w:sz w:val="16"/>
          <w:szCs w:val="16"/>
          <w:b w:val="1"/>
          <w:bCs w:val="1"/>
          <w:i w:val="1"/>
          <w:iCs w:val="1"/>
          <w:color w:val="auto"/>
        </w:rPr>
        <w:t xml:space="preserve">Explore opportunities as an energy solutions provider. </w:t>
      </w:r>
      <w:r>
        <w:rPr>
          <w:rFonts w:ascii="Arial" w:cs="Arial" w:eastAsia="Arial" w:hAnsi="Arial"/>
          <w:sz w:val="16"/>
          <w:szCs w:val="16"/>
          <w:color w:val="auto"/>
        </w:rPr>
        <w:t>A key strategic initiative is to grow our business through innovative energy solutions with new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customers and partnerships. We see value creation by recruiting new customers and expanding existing partnerships with data centers and blockchain customers; exploring energy markets; and expanding our transmission capabilities. A few recent examples of our initiatives to grow our business as an energy solutions provider include:</w:t>
      </w:r>
    </w:p>
    <w:p>
      <w:pPr>
        <w:spacing w:after="0" w:line="151" w:lineRule="exact"/>
        <w:rPr>
          <w:sz w:val="20"/>
          <w:szCs w:val="20"/>
          <w:color w:val="auto"/>
        </w:rPr>
      </w:pPr>
    </w:p>
    <w:p>
      <w:pPr>
        <w:ind w:left="1020" w:right="20" w:hanging="503"/>
        <w:spacing w:after="0" w:line="266" w:lineRule="auto"/>
        <w:tabs>
          <w:tab w:leader="none" w:pos="102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Announced Partnership with Meta. </w:t>
      </w:r>
      <w:r>
        <w:rPr>
          <w:rFonts w:ascii="Arial" w:cs="Arial" w:eastAsia="Arial" w:hAnsi="Arial"/>
          <w:sz w:val="16"/>
          <w:szCs w:val="16"/>
          <w:color w:val="auto"/>
        </w:rPr>
        <w:t>On July 11, 2024, Wyoming Electric announced it will partner with Meta to provide power for its newest AI</w:t>
      </w:r>
      <w:r>
        <w:rPr>
          <w:rFonts w:ascii="Arial" w:cs="Arial" w:eastAsia="Arial" w:hAnsi="Arial"/>
          <w:sz w:val="16"/>
          <w:szCs w:val="16"/>
          <w:i w:val="1"/>
          <w:iCs w:val="1"/>
          <w:color w:val="auto"/>
        </w:rPr>
        <w:t xml:space="preserve"> </w:t>
      </w:r>
      <w:r>
        <w:rPr>
          <w:rFonts w:ascii="Arial" w:cs="Arial" w:eastAsia="Arial" w:hAnsi="Arial"/>
          <w:sz w:val="16"/>
          <w:szCs w:val="16"/>
          <w:color w:val="auto"/>
        </w:rPr>
        <w:t>data center to be constructed in Cheyenne, Wyoming. Wyoming Electric plans to procure market energy under its LPCS Tariff with customized energy resources essential to Meta's operations and sustainability objectives.</w:t>
      </w:r>
    </w:p>
    <w:p>
      <w:pPr>
        <w:spacing w:after="0" w:line="143" w:lineRule="exact"/>
        <w:rPr>
          <w:rFonts w:ascii="Times New Roman" w:cs="Times New Roman" w:eastAsia="Times New Roman" w:hAnsi="Times New Roman"/>
          <w:sz w:val="16"/>
          <w:szCs w:val="16"/>
          <w:color w:val="auto"/>
        </w:rPr>
      </w:pPr>
    </w:p>
    <w:p>
      <w:pPr>
        <w:jc w:val="both"/>
        <w:ind w:left="1020" w:right="160" w:hanging="503"/>
        <w:spacing w:after="0" w:line="259" w:lineRule="auto"/>
        <w:tabs>
          <w:tab w:leader="none" w:pos="102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Innovatively served LPCS load: </w:t>
      </w:r>
      <w:r>
        <w:rPr>
          <w:rFonts w:ascii="Arial" w:cs="Arial" w:eastAsia="Arial" w:hAnsi="Arial"/>
          <w:sz w:val="16"/>
          <w:szCs w:val="16"/>
          <w:color w:val="auto"/>
        </w:rPr>
        <w:t>In 2022, Wyoming Electric entered into two new PPAs with third parties to purchase up to 106 MWs of wind</w:t>
      </w:r>
      <w:r>
        <w:rPr>
          <w:rFonts w:ascii="Arial" w:cs="Arial" w:eastAsia="Arial" w:hAnsi="Arial"/>
          <w:sz w:val="16"/>
          <w:szCs w:val="16"/>
          <w:i w:val="1"/>
          <w:iCs w:val="1"/>
          <w:color w:val="auto"/>
        </w:rPr>
        <w:t xml:space="preserve"> </w:t>
      </w:r>
      <w:r>
        <w:rPr>
          <w:rFonts w:ascii="Arial" w:cs="Arial" w:eastAsia="Arial" w:hAnsi="Arial"/>
          <w:sz w:val="16"/>
          <w:szCs w:val="16"/>
          <w:color w:val="auto"/>
        </w:rPr>
        <w:t>energy and up to 150 MWs of solar energy, upon construction of new renewable generation facilities (owned by third parties). The new wind generation facility was placed in service in December 2023 and the solar facility was placed in service in March 2024. The renewable energy from these PPAs is used to serve our expanding partnerships with LPCS customers.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020" w:hanging="503"/>
        <w:spacing w:after="0" w:line="256" w:lineRule="auto"/>
        <w:tabs>
          <w:tab w:leader="none" w:pos="102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Expanded BCIS Load: </w:t>
      </w:r>
      <w:r>
        <w:rPr>
          <w:rFonts w:ascii="Arial" w:cs="Arial" w:eastAsia="Arial" w:hAnsi="Arial"/>
          <w:sz w:val="16"/>
          <w:szCs w:val="16"/>
          <w:color w:val="auto"/>
        </w:rPr>
        <w:t>We have supported enabling legislation in Wyoming for the growing blockchain businesses while implementing our own</w:t>
      </w:r>
      <w:r>
        <w:rPr>
          <w:rFonts w:ascii="Arial" w:cs="Arial" w:eastAsia="Arial" w:hAnsi="Arial"/>
          <w:sz w:val="16"/>
          <w:szCs w:val="16"/>
          <w:i w:val="1"/>
          <w:iCs w:val="1"/>
          <w:color w:val="auto"/>
        </w:rPr>
        <w:t xml:space="preserve"> </w:t>
      </w:r>
      <w:r>
        <w:rPr>
          <w:rFonts w:ascii="Arial" w:cs="Arial" w:eastAsia="Arial" w:hAnsi="Arial"/>
          <w:sz w:val="16"/>
          <w:szCs w:val="16"/>
          <w:color w:val="auto"/>
        </w:rPr>
        <w:t>BCIS Tariff to serve these customers. We currently have agreements with two customers to provide up to 130 MWs in Cheyenne, Wyoming under this Tariff. Energy is sourced through the electric energy market and delivered through our Electric Utilities’ infrastructure. Under these agreements, the customers are responsible for costs of service, and the load is interruptible to prioritize the needs of Wyoming Electric’s existing retail customers.</w:t>
      </w:r>
    </w:p>
    <w:p>
      <w:pPr>
        <w:spacing w:after="0" w:line="152" w:lineRule="exact"/>
        <w:rPr>
          <w:sz w:val="20"/>
          <w:szCs w:val="20"/>
          <w:color w:val="auto"/>
        </w:rPr>
      </w:pPr>
    </w:p>
    <w:p>
      <w:pPr>
        <w:spacing w:after="0" w:line="259" w:lineRule="auto"/>
        <w:rPr>
          <w:sz w:val="20"/>
          <w:szCs w:val="20"/>
          <w:color w:val="auto"/>
        </w:rPr>
      </w:pPr>
      <w:r>
        <w:rPr>
          <w:rFonts w:ascii="Arial" w:cs="Arial" w:eastAsia="Arial" w:hAnsi="Arial"/>
          <w:sz w:val="16"/>
          <w:szCs w:val="16"/>
          <w:b w:val="1"/>
          <w:bCs w:val="1"/>
          <w:i w:val="1"/>
          <w:iCs w:val="1"/>
          <w:color w:val="auto"/>
        </w:rPr>
        <w:t xml:space="preserve">Modernize and operate utility infrastructure to provide customers with safe, reliable, cost-effective electric and natural gas service. </w:t>
      </w:r>
      <w:r>
        <w:rPr>
          <w:rFonts w:ascii="Arial" w:cs="Arial" w:eastAsia="Arial" w:hAnsi="Arial"/>
          <w:sz w:val="16"/>
          <w:szCs w:val="16"/>
          <w:color w:val="auto"/>
        </w:rPr>
        <w:t>Our utilities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 and operate large electric and natural gas infrastructure systems with a geographic footprint that spans nearly 1,600 miles. Our Electric Utilities own and operate 1,394 MWs of generation capacity and 9,196 miles of transmission and distribution lines and our Gas Utilities own and operate approximately 49,000 miles of natural gas transmission and distribution pipelines.</w:t>
      </w:r>
    </w:p>
    <w:p>
      <w:pPr>
        <w:spacing w:after="0" w:line="151"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A key strategic focus is to modernize and harden our utility infrastructure to meet customers’ and communities’ varied energy needs, ensure the continued delivery of safe, reliable and cost-effective energy and reduce GHG emissions intensity. In addition, we invest in the expansion, capacity, and integrity of our systems to meet customer growth.</w:t>
      </w:r>
    </w:p>
    <w:p>
      <w:pPr>
        <w:spacing w:after="0" w:line="144"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To meet our electric customers’ continued expectations of high levels of reliability, a key strength of the Company, our Electric Utilities utilize an integrity program to ensure the timely repair and replacement of aging infrastructure. Recent examples of our efforts within our integrity program include:</w:t>
      </w:r>
    </w:p>
    <w:p>
      <w:pPr>
        <w:spacing w:after="0" w:line="129" w:lineRule="exact"/>
        <w:rPr>
          <w:sz w:val="20"/>
          <w:szCs w:val="20"/>
          <w:color w:val="auto"/>
        </w:rPr>
      </w:pPr>
    </w:p>
    <w:p>
      <w:pPr>
        <w:ind w:left="1020" w:right="20" w:hanging="503"/>
        <w:spacing w:after="0" w:line="253" w:lineRule="auto"/>
        <w:tabs>
          <w:tab w:leader="none" w:pos="102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Continued Construction on Ready Wyoming Project: </w:t>
      </w:r>
      <w:r>
        <w:rPr>
          <w:rFonts w:ascii="Arial" w:cs="Arial" w:eastAsia="Arial" w:hAnsi="Arial"/>
          <w:sz w:val="16"/>
          <w:szCs w:val="16"/>
          <w:color w:val="auto"/>
        </w:rPr>
        <w:t>In November 2021, Wyoming Electric announced its Ready Wyoming electric</w:t>
      </w:r>
      <w:r>
        <w:rPr>
          <w:rFonts w:ascii="Arial" w:cs="Arial" w:eastAsia="Arial" w:hAnsi="Arial"/>
          <w:sz w:val="16"/>
          <w:szCs w:val="16"/>
          <w:i w:val="1"/>
          <w:iCs w:val="1"/>
          <w:color w:val="auto"/>
        </w:rPr>
        <w:t xml:space="preserve"> </w:t>
      </w:r>
      <w:r>
        <w:rPr>
          <w:rFonts w:ascii="Arial" w:cs="Arial" w:eastAsia="Arial" w:hAnsi="Arial"/>
          <w:sz w:val="16"/>
          <w:szCs w:val="16"/>
          <w:color w:val="auto"/>
        </w:rPr>
        <w:t>transmission expansion initiative. Construction of the 260-mile, multi-phase transmission expansion project commenced in late 2023 and the first phase was placed in service in December 2024. The project is expected to be completed in multiple segments through 2025 and will interconnect South Dakota Electric’s and Wyoming Electric’s transmission systems. The project will provide customers long-term price stability and greater flexibility as power markets develop in the Western States. This project is also expected to attract data center and blockchain customers, enable economic growth in Wyoming, expand access to renewable resources and facilitate additional renewable development across wind- and sun-rich resource areas.</w:t>
      </w:r>
    </w:p>
    <w:p>
      <w:pPr>
        <w:spacing w:after="0" w:line="153" w:lineRule="exact"/>
        <w:rPr>
          <w:rFonts w:ascii="Times New Roman" w:cs="Times New Roman" w:eastAsia="Times New Roman" w:hAnsi="Times New Roman"/>
          <w:sz w:val="16"/>
          <w:szCs w:val="16"/>
          <w:color w:val="auto"/>
        </w:rPr>
      </w:pPr>
    </w:p>
    <w:p>
      <w:pPr>
        <w:ind w:left="1020" w:right="120" w:hanging="503"/>
        <w:spacing w:after="0" w:line="253" w:lineRule="auto"/>
        <w:tabs>
          <w:tab w:leader="none" w:pos="102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Advanced South Dakota IRP: </w:t>
      </w:r>
      <w:r>
        <w:rPr>
          <w:rFonts w:ascii="Arial" w:cs="Arial" w:eastAsia="Arial" w:hAnsi="Arial"/>
          <w:sz w:val="16"/>
          <w:szCs w:val="16"/>
          <w:color w:val="auto"/>
        </w:rPr>
        <w:t>In June 2021, South Dakota Electric submitted an IRP to the SDPUC and WPSC. The IRP outlines a range of</w:t>
      </w:r>
      <w:r>
        <w:rPr>
          <w:rFonts w:ascii="Arial" w:cs="Arial" w:eastAsia="Arial" w:hAnsi="Arial"/>
          <w:sz w:val="16"/>
          <w:szCs w:val="16"/>
          <w:i w:val="1"/>
          <w:iCs w:val="1"/>
          <w:color w:val="auto"/>
        </w:rPr>
        <w:t xml:space="preserve"> </w:t>
      </w:r>
      <w:r>
        <w:rPr>
          <w:rFonts w:ascii="Arial" w:cs="Arial" w:eastAsia="Arial" w:hAnsi="Arial"/>
          <w:sz w:val="16"/>
          <w:szCs w:val="16"/>
          <w:color w:val="auto"/>
        </w:rPr>
        <w:t>options over a 20-year planning horizon to meet long-term forecasted energy needs while strengthening reliability and resiliency of the grid. The analysis focused on the least-cost resource needs to best meet customers’ future peak energy needs while maintaining system flexibility and achieving the Company’s generation emissions reduction goals. South Dakota Electric's resource plan in the near-term planning period through 2026 includes the conversion of Neil Simpson II to dual fuel (natural gas and coal) in 2025, and addition of 99 MWs of utility-owned, dispatchable natural gas generation by the second half of 2026. Regarding the addition of 99 MWs of generation, South Dakota Electric expects to request a CPCN from the WPSC in the first quarter of 2025.</w:t>
      </w:r>
    </w:p>
    <w:p>
      <w:pPr>
        <w:spacing w:after="0" w:line="153" w:lineRule="exact"/>
        <w:rPr>
          <w:rFonts w:ascii="Times New Roman" w:cs="Times New Roman" w:eastAsia="Times New Roman" w:hAnsi="Times New Roman"/>
          <w:sz w:val="16"/>
          <w:szCs w:val="16"/>
          <w:color w:val="auto"/>
        </w:rPr>
      </w:pPr>
    </w:p>
    <w:p>
      <w:pPr>
        <w:ind w:left="1020" w:right="40" w:hanging="503"/>
        <w:spacing w:after="0" w:line="259" w:lineRule="auto"/>
        <w:tabs>
          <w:tab w:leader="none" w:pos="102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Published Wildfire Mitigation Plan: </w:t>
      </w:r>
      <w:r>
        <w:rPr>
          <w:rFonts w:ascii="Arial" w:cs="Arial" w:eastAsia="Arial" w:hAnsi="Arial"/>
          <w:sz w:val="16"/>
          <w:szCs w:val="16"/>
          <w:color w:val="auto"/>
        </w:rPr>
        <w:t>In 2024, we published our first formal WMP, which is an overview of our three-layered approach to manage</w:t>
      </w:r>
      <w:r>
        <w:rPr>
          <w:rFonts w:ascii="Arial" w:cs="Arial" w:eastAsia="Arial" w:hAnsi="Arial"/>
          <w:sz w:val="16"/>
          <w:szCs w:val="16"/>
          <w:i w:val="1"/>
          <w:iCs w:val="1"/>
          <w:color w:val="auto"/>
        </w:rPr>
        <w:t xml:space="preserve"> </w:t>
      </w:r>
      <w:r>
        <w:rPr>
          <w:rFonts w:ascii="Arial" w:cs="Arial" w:eastAsia="Arial" w:hAnsi="Arial"/>
          <w:sz w:val="16"/>
          <w:szCs w:val="16"/>
          <w:color w:val="auto"/>
        </w:rPr>
        <w:t>wildfire risks driven by asset-based risk assessments that include asset programs, integrity programs and operational response. Additionally, we continue to engage stakeholders including community and local agencies regulators, legislative bodies and our industry peers to define, review and advance our wildfire management and mitigation plans, including our PSPS, which we expect to formalize by mid-2025.</w:t>
      </w:r>
    </w:p>
    <w:p>
      <w:pPr>
        <w:spacing w:after="0" w:line="150" w:lineRule="exact"/>
        <w:rPr>
          <w:sz w:val="20"/>
          <w:szCs w:val="20"/>
          <w:color w:val="auto"/>
        </w:rPr>
      </w:pPr>
    </w:p>
    <w:p>
      <w:pPr>
        <w:ind w:right="200"/>
        <w:spacing w:after="0" w:line="254" w:lineRule="auto"/>
        <w:rPr>
          <w:sz w:val="20"/>
          <w:szCs w:val="20"/>
          <w:color w:val="auto"/>
        </w:rPr>
      </w:pPr>
      <w:r>
        <w:rPr>
          <w:rFonts w:ascii="Arial" w:cs="Arial" w:eastAsia="Arial" w:hAnsi="Arial"/>
          <w:sz w:val="16"/>
          <w:szCs w:val="16"/>
          <w:color w:val="auto"/>
        </w:rPr>
        <w:t>Our Gas Utilities utilize a programmatic approach to system-wide pipeline replacement, particularly in high consequence areas. Under the programmatic approach, obsolete, at-risk and vintage materials are replaced in a proactive and systematic time frame. We have removed all cast- and wrought-iron from our natural gas transmission and distribution systems and continue to replace aging infrastructure through programs that prioritize safety and reliability for our customers. Our Gas Utilities are authorized to use system safety, integrity and replacement cost recovery mechanisms that provide for customer rate adjustments, between rate reviews, which allow timely recovery of costs incurred in repairing and replacing the gas delivery systems with a return on the investment.</w:t>
      </w:r>
    </w:p>
    <w:p>
      <w:pPr>
        <w:spacing w:after="0" w:line="155" w:lineRule="exact"/>
        <w:rPr>
          <w:sz w:val="20"/>
          <w:szCs w:val="20"/>
          <w:color w:val="auto"/>
        </w:rPr>
      </w:pPr>
    </w:p>
    <w:p>
      <w:pPr>
        <w:ind w:right="280"/>
        <w:spacing w:after="0" w:line="253" w:lineRule="auto"/>
        <w:rPr>
          <w:sz w:val="20"/>
          <w:szCs w:val="20"/>
          <w:color w:val="auto"/>
        </w:rPr>
      </w:pPr>
      <w:r>
        <w:rPr>
          <w:rFonts w:ascii="Arial" w:cs="Arial" w:eastAsia="Arial" w:hAnsi="Arial"/>
          <w:sz w:val="16"/>
          <w:szCs w:val="16"/>
          <w:color w:val="auto"/>
        </w:rPr>
        <w:t>As of December 31, 2024, we estimate our five-year capital investment to be approximately $4.7 billion, with most of that investment targeted toward upgrading existing utility infrastructure, supporting customer and community growth needs, and complying with safety requirements. Our actual 2024 and forecasted capital expenditures for the next five years from 2025 through 2029 are as follows: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Capital Expenditures by Segment</w:t>
            </w: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 xml:space="preserve">Actual </w:t>
            </w:r>
            <w:r>
              <w:rPr>
                <w:rFonts w:ascii="Arial" w:cs="Arial" w:eastAsia="Arial" w:hAnsi="Arial"/>
                <w:sz w:val="21"/>
                <w:szCs w:val="21"/>
                <w:b w:val="1"/>
                <w:bCs w:val="1"/>
                <w:color w:val="auto"/>
                <w:vertAlign w:val="superscript"/>
              </w:rPr>
              <w:t>(a)</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 xml:space="preserve">Forecasted </w:t>
            </w:r>
            <w:r>
              <w:rPr>
                <w:rFonts w:ascii="Arial" w:cs="Arial" w:eastAsia="Arial" w:hAnsi="Arial"/>
                <w:sz w:val="21"/>
                <w:szCs w:val="21"/>
                <w:b w:val="1"/>
                <w:bCs w:val="1"/>
                <w:color w:val="auto"/>
                <w:vertAlign w:val="superscript"/>
              </w:rPr>
              <w:t>(b)</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3"/>
        </w:trPr>
        <w:tc>
          <w:tcPr>
            <w:tcW w:w="40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2024</w:t>
            </w:r>
          </w:p>
        </w:tc>
        <w:tc>
          <w:tcPr>
            <w:tcW w:w="280" w:type="dxa"/>
            <w:vAlign w:val="bottom"/>
          </w:tcPr>
          <w:p>
            <w:pPr>
              <w:spacing w:after="0"/>
              <w:rPr>
                <w:sz w:val="15"/>
                <w:szCs w:val="15"/>
                <w:color w:val="auto"/>
              </w:rPr>
            </w:pPr>
          </w:p>
        </w:tc>
        <w:tc>
          <w:tcPr>
            <w:tcW w:w="92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2025</w:t>
            </w:r>
          </w:p>
        </w:tc>
        <w:tc>
          <w:tcPr>
            <w:tcW w:w="280" w:type="dxa"/>
            <w:vAlign w:val="bottom"/>
          </w:tcPr>
          <w:p>
            <w:pPr>
              <w:spacing w:after="0"/>
              <w:rPr>
                <w:sz w:val="15"/>
                <w:szCs w:val="15"/>
                <w:color w:val="auto"/>
              </w:rPr>
            </w:pPr>
          </w:p>
        </w:tc>
        <w:tc>
          <w:tcPr>
            <w:tcW w:w="92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2026</w:t>
            </w:r>
          </w:p>
        </w:tc>
        <w:tc>
          <w:tcPr>
            <w:tcW w:w="400" w:type="dxa"/>
            <w:vAlign w:val="bottom"/>
          </w:tcPr>
          <w:p>
            <w:pPr>
              <w:spacing w:after="0"/>
              <w:rPr>
                <w:sz w:val="15"/>
                <w:szCs w:val="15"/>
                <w:color w:val="auto"/>
              </w:rPr>
            </w:pPr>
          </w:p>
        </w:tc>
        <w:tc>
          <w:tcPr>
            <w:tcW w:w="80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2027</w:t>
            </w:r>
          </w:p>
        </w:tc>
        <w:tc>
          <w:tcPr>
            <w:tcW w:w="280" w:type="dxa"/>
            <w:vAlign w:val="bottom"/>
          </w:tcPr>
          <w:p>
            <w:pPr>
              <w:spacing w:after="0"/>
              <w:rPr>
                <w:sz w:val="15"/>
                <w:szCs w:val="15"/>
                <w:color w:val="auto"/>
              </w:rPr>
            </w:pPr>
          </w:p>
        </w:tc>
        <w:tc>
          <w:tcPr>
            <w:tcW w:w="92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2028</w:t>
            </w:r>
          </w:p>
        </w:tc>
        <w:tc>
          <w:tcPr>
            <w:tcW w:w="300" w:type="dxa"/>
            <w:vAlign w:val="bottom"/>
          </w:tcPr>
          <w:p>
            <w:pPr>
              <w:spacing w:after="0"/>
              <w:rPr>
                <w:sz w:val="15"/>
                <w:szCs w:val="15"/>
                <w:color w:val="auto"/>
              </w:rPr>
            </w:pPr>
          </w:p>
        </w:tc>
        <w:tc>
          <w:tcPr>
            <w:tcW w:w="96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2029</w:t>
            </w:r>
          </w:p>
        </w:tc>
        <w:tc>
          <w:tcPr>
            <w:tcW w:w="0" w:type="dxa"/>
            <w:vAlign w:val="bottom"/>
          </w:tcPr>
          <w:p>
            <w:pPr>
              <w:spacing w:after="0"/>
              <w:rPr>
                <w:sz w:val="1"/>
                <w:szCs w:val="1"/>
                <w:color w:val="auto"/>
              </w:rPr>
            </w:pPr>
          </w:p>
        </w:tc>
      </w:tr>
      <w:tr>
        <w:trPr>
          <w:trHeight w:val="158"/>
        </w:trPr>
        <w:tc>
          <w:tcPr>
            <w:tcW w:w="4000" w:type="dxa"/>
            <w:vAlign w:val="bottom"/>
            <w:gridSpan w:val="2"/>
          </w:tcPr>
          <w:p>
            <w:pPr>
              <w:ind w:left="20"/>
              <w:spacing w:after="0" w:line="158" w:lineRule="exact"/>
              <w:rPr>
                <w:sz w:val="20"/>
                <w:szCs w:val="20"/>
                <w:color w:val="auto"/>
              </w:rPr>
            </w:pPr>
            <w:r>
              <w:rPr>
                <w:rFonts w:ascii="Arial" w:cs="Arial" w:eastAsia="Arial" w:hAnsi="Arial"/>
                <w:sz w:val="14"/>
                <w:szCs w:val="14"/>
                <w:color w:val="auto"/>
              </w:rPr>
              <w:t>(minor differences may result due to rounding)</w:t>
            </w: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ind w:left="500"/>
              <w:spacing w:after="0" w:line="183" w:lineRule="exact"/>
              <w:rPr>
                <w:sz w:val="20"/>
                <w:szCs w:val="20"/>
                <w:color w:val="auto"/>
              </w:rPr>
            </w:pPr>
            <w:r>
              <w:rPr>
                <w:rFonts w:ascii="Arial" w:cs="Arial" w:eastAsia="Arial" w:hAnsi="Arial"/>
                <w:sz w:val="16"/>
                <w:szCs w:val="16"/>
                <w:color w:val="auto"/>
                <w:w w:val="98"/>
              </w:rPr>
              <w:t>(in millions)</w:t>
            </w:r>
          </w:p>
        </w:tc>
        <w:tc>
          <w:tcPr>
            <w:tcW w:w="8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00" w:type="dxa"/>
            <w:vAlign w:val="bottom"/>
            <w:gridSpan w:val="2"/>
            <w:shd w:val="clear" w:color="auto" w:fill="CFF0FC"/>
          </w:tcPr>
          <w:p>
            <w:pPr>
              <w:ind w:left="20"/>
              <w:spacing w:after="0" w:line="183" w:lineRule="exact"/>
              <w:rPr>
                <w:sz w:val="20"/>
                <w:szCs w:val="20"/>
                <w:color w:val="auto"/>
              </w:rPr>
            </w:pPr>
            <w:r>
              <w:rPr>
                <w:rFonts w:ascii="Arial" w:cs="Arial" w:eastAsia="Arial" w:hAnsi="Arial"/>
                <w:sz w:val="16"/>
                <w:szCs w:val="16"/>
                <w:color w:val="auto"/>
              </w:rPr>
              <w:t>Electric Utilities</w:t>
            </w:r>
          </w:p>
        </w:tc>
        <w:tc>
          <w:tcPr>
            <w:tcW w:w="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382</w:t>
            </w:r>
          </w:p>
        </w:tc>
        <w:tc>
          <w:tcPr>
            <w:tcW w:w="2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550</w:t>
            </w:r>
          </w:p>
        </w:tc>
        <w:tc>
          <w:tcPr>
            <w:tcW w:w="2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432</w:t>
            </w:r>
          </w:p>
        </w:tc>
        <w:tc>
          <w:tcPr>
            <w:tcW w:w="400" w:type="dxa"/>
            <w:vAlign w:val="bottom"/>
            <w:shd w:val="clear" w:color="auto" w:fill="CFF0FC"/>
          </w:tcPr>
          <w:p>
            <w:pPr>
              <w:ind w:left="60"/>
              <w:spacing w:after="0" w:line="183" w:lineRule="exact"/>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383</w:t>
            </w:r>
          </w:p>
        </w:tc>
        <w:tc>
          <w:tcPr>
            <w:tcW w:w="2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615</w:t>
            </w:r>
          </w:p>
        </w:tc>
        <w:tc>
          <w:tcPr>
            <w:tcW w:w="30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435</w:t>
            </w:r>
          </w:p>
        </w:tc>
        <w:tc>
          <w:tcPr>
            <w:tcW w:w="0" w:type="dxa"/>
            <w:vAlign w:val="bottom"/>
          </w:tcPr>
          <w:p>
            <w:pPr>
              <w:spacing w:after="0"/>
              <w:rPr>
                <w:sz w:val="1"/>
                <w:szCs w:val="1"/>
                <w:color w:val="auto"/>
              </w:rPr>
            </w:pPr>
          </w:p>
        </w:tc>
      </w:tr>
      <w:tr>
        <w:trPr>
          <w:trHeight w:val="189"/>
        </w:trPr>
        <w:tc>
          <w:tcPr>
            <w:tcW w:w="4000" w:type="dxa"/>
            <w:vAlign w:val="bottom"/>
            <w:gridSpan w:val="2"/>
          </w:tcPr>
          <w:p>
            <w:pPr>
              <w:ind w:left="20"/>
              <w:spacing w:after="0"/>
              <w:rPr>
                <w:sz w:val="20"/>
                <w:szCs w:val="20"/>
                <w:color w:val="auto"/>
              </w:rPr>
            </w:pPr>
            <w:r>
              <w:rPr>
                <w:rFonts w:ascii="Arial" w:cs="Arial" w:eastAsia="Arial" w:hAnsi="Arial"/>
                <w:sz w:val="16"/>
                <w:szCs w:val="16"/>
                <w:color w:val="auto"/>
              </w:rPr>
              <w:t>Gas Utilities</w:t>
            </w: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403</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431</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386</w:t>
            </w:r>
          </w:p>
        </w:tc>
        <w:tc>
          <w:tcPr>
            <w:tcW w:w="4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412</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447</w:t>
            </w:r>
          </w:p>
        </w:tc>
        <w:tc>
          <w:tcPr>
            <w:tcW w:w="30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447</w:t>
            </w:r>
          </w:p>
        </w:tc>
        <w:tc>
          <w:tcPr>
            <w:tcW w:w="0" w:type="dxa"/>
            <w:vAlign w:val="bottom"/>
          </w:tcPr>
          <w:p>
            <w:pPr>
              <w:spacing w:after="0"/>
              <w:rPr>
                <w:sz w:val="1"/>
                <w:szCs w:val="1"/>
                <w:color w:val="auto"/>
              </w:rPr>
            </w:pPr>
          </w:p>
        </w:tc>
      </w:tr>
      <w:tr>
        <w:trPr>
          <w:trHeight w:val="189"/>
        </w:trPr>
        <w:tc>
          <w:tcPr>
            <w:tcW w:w="40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Corporate and Other</w:t>
            </w:r>
          </w:p>
        </w:tc>
        <w:tc>
          <w:tcPr>
            <w:tcW w:w="16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28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28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w:t>
            </w:r>
          </w:p>
        </w:tc>
        <w:tc>
          <w:tcPr>
            <w:tcW w:w="40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28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30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83"/>
        </w:trPr>
        <w:tc>
          <w:tcPr>
            <w:tcW w:w="4000" w:type="dxa"/>
            <w:vAlign w:val="bottom"/>
            <w:gridSpan w:val="2"/>
          </w:tcPr>
          <w:p>
            <w:pPr>
              <w:ind w:left="200"/>
              <w:spacing w:after="0" w:line="183" w:lineRule="exact"/>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798</w:t>
            </w:r>
          </w:p>
        </w:tc>
        <w:tc>
          <w:tcPr>
            <w:tcW w:w="2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1,002</w:t>
            </w:r>
          </w:p>
        </w:tc>
        <w:tc>
          <w:tcPr>
            <w:tcW w:w="2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859</w:t>
            </w:r>
          </w:p>
        </w:tc>
        <w:tc>
          <w:tcPr>
            <w:tcW w:w="40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822</w:t>
            </w:r>
          </w:p>
        </w:tc>
        <w:tc>
          <w:tcPr>
            <w:tcW w:w="2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1,089</w:t>
            </w:r>
          </w:p>
        </w:tc>
        <w:tc>
          <w:tcPr>
            <w:tcW w:w="30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909</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000" w:type="dxa"/>
            <w:vAlign w:val="bottom"/>
            <w:tcBorders>
              <w:bottom w:val="single" w:sz="8" w:color="auto"/>
            </w:tcBorders>
          </w:tcPr>
          <w:p>
            <w:pPr>
              <w:spacing w:after="0"/>
              <w:rPr>
                <w:sz w:val="10"/>
                <w:szCs w:val="10"/>
                <w:color w:val="auto"/>
              </w:rPr>
            </w:pPr>
          </w:p>
        </w:tc>
        <w:tc>
          <w:tcPr>
            <w:tcW w:w="1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520" w:right="460" w:hanging="512"/>
        <w:spacing w:after="0" w:line="248" w:lineRule="auto"/>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Includes accruals for property, plant and equipment as disclosed as supplemental cash flow information in the </w:t>
      </w:r>
      <w:r>
        <w:rPr>
          <w:rFonts w:ascii="Arial" w:cs="Arial" w:eastAsia="Arial" w:hAnsi="Arial"/>
          <w:sz w:val="14"/>
          <w:szCs w:val="14"/>
          <w:u w:val="single" w:color="auto"/>
          <w:color w:val="0000FF"/>
        </w:rPr>
        <w:t>Consolidated Statements of Cash Flows</w:t>
      </w:r>
      <w:r>
        <w:rPr>
          <w:rFonts w:ascii="Arial" w:cs="Arial" w:eastAsia="Arial" w:hAnsi="Arial"/>
          <w:sz w:val="14"/>
          <w:szCs w:val="14"/>
          <w:color w:val="auto"/>
        </w:rPr>
        <w:t xml:space="preserve"> in the Consolidated Financial Statements in this Annual Report on Form 10-K. Capital expenditures are presented net of CIACs in the Consolidated Statements of Cash Flows.</w:t>
      </w:r>
    </w:p>
    <w:p>
      <w:pPr>
        <w:ind w:left="520" w:hanging="512"/>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Projects are being evaluated by our segments for timing, cost and other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4781550</wp:posOffset>
            </wp:positionH>
            <wp:positionV relativeFrom="paragraph">
              <wp:posOffset>-318770</wp:posOffset>
            </wp:positionV>
            <wp:extent cx="162496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624965" cy="8890"/>
                    </a:xfrm>
                    <a:prstGeom prst="rect">
                      <a:avLst/>
                    </a:prstGeom>
                    <a:noFill/>
                  </pic:spPr>
                </pic:pic>
              </a:graphicData>
            </a:graphic>
          </wp:anchor>
        </w:drawing>
      </w:r>
    </w:p>
    <w:p>
      <w:pPr>
        <w:spacing w:after="0" w:line="340"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b w:val="1"/>
          <w:bCs w:val="1"/>
          <w:i w:val="1"/>
          <w:iCs w:val="1"/>
          <w:color w:val="auto"/>
        </w:rPr>
        <w:t xml:space="preserve">Efficiently plan, construct and operate power generation facilities to serve our Electric Utilities. </w:t>
      </w:r>
      <w:r>
        <w:rPr>
          <w:rFonts w:ascii="Arial" w:cs="Arial" w:eastAsia="Arial" w:hAnsi="Arial"/>
          <w:sz w:val="16"/>
          <w:szCs w:val="16"/>
          <w:color w:val="auto"/>
        </w:rPr>
        <w:t>We best serve customers and communities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generation is vertically integrated into our Electric Utilities and we retain control of the fuel source. This business model remains a core strength and strategy today as we invest in and operate efficient power generation resources to supply cost-effective electricity to our customers. These generation assets can be rate-based or non-regulated assets within our Electric Utilities segment. However, we believe that generation assets that are rate-based provide the most effective long-term benefits to customers.</w:t>
      </w:r>
    </w:p>
    <w:p>
      <w:pPr>
        <w:spacing w:after="0" w:line="153"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Our power production strategy focuses on low-cost construction and efficient operation of our generating facilities. Our low power production costs result from a variety of factors including low fuel costs (operations located near energy hubs), efficiency in converting fuel into energy, and low per-unit operating and maintenance costs. In addition, we operate our plants with high levels of Availability as compared to industry benchmarks.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Rate-Based Generation: </w:t>
      </w:r>
      <w:r>
        <w:rPr>
          <w:rFonts w:ascii="Arial" w:cs="Arial" w:eastAsia="Arial" w:hAnsi="Arial"/>
          <w:sz w:val="16"/>
          <w:szCs w:val="16"/>
          <w:color w:val="auto"/>
        </w:rPr>
        <w:t>Rate-based generation assets offer several advantages for customers and shareholders, including:</w:t>
      </w:r>
    </w:p>
    <w:p>
      <w:pPr>
        <w:spacing w:after="0" w:line="194" w:lineRule="exact"/>
        <w:rPr>
          <w:sz w:val="20"/>
          <w:szCs w:val="20"/>
          <w:color w:val="auto"/>
        </w:rPr>
      </w:pPr>
    </w:p>
    <w:p>
      <w:pPr>
        <w:ind w:left="1020" w:right="160" w:hanging="503"/>
        <w:spacing w:after="0" w:line="266" w:lineRule="auto"/>
        <w:tabs>
          <w:tab w:leader="none" w:pos="102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When generating assets are included in the utility rate base and reviewed and approved by government authorities, customer rates are more stable and predictable, and typically less expensive in the long run; especially when compared to power otherwise purchased from the open market through wholesale contracts or PPAs that are periodically re-priced to reflect current and varying market conditions;</w:t>
      </w:r>
    </w:p>
    <w:p>
      <w:pPr>
        <w:spacing w:after="0" w:line="143"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Regulators participate in a planning process where long-term investments are designed to match long-term energy demand;</w:t>
      </w:r>
    </w:p>
    <w:p>
      <w:pPr>
        <w:spacing w:after="0" w:line="206" w:lineRule="exact"/>
        <w:rPr>
          <w:rFonts w:ascii="Times New Roman" w:cs="Times New Roman" w:eastAsia="Times New Roman" w:hAnsi="Times New Roman"/>
          <w:sz w:val="16"/>
          <w:szCs w:val="16"/>
          <w:color w:val="auto"/>
        </w:rPr>
      </w:pPr>
    </w:p>
    <w:p>
      <w:pPr>
        <w:ind w:left="1020" w:right="400" w:hanging="503"/>
        <w:spacing w:after="0" w:line="285" w:lineRule="auto"/>
        <w:tabs>
          <w:tab w:leader="none" w:pos="102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The lower-risk profile of rate-based generation assets contributes to stronger credit ratings which, in turn, can benefit both customers and investors by lowering the cost of capital;</w:t>
      </w:r>
    </w:p>
    <w:p>
      <w:pPr>
        <w:spacing w:after="0" w:line="129"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The value of controlling load to most effectively serve our customer demand; and</w:t>
      </w:r>
    </w:p>
    <w:p>
      <w:pPr>
        <w:spacing w:after="0" w:line="20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Investors are provided a long-term and stable return on their investment.</w:t>
      </w:r>
    </w:p>
    <w:p>
      <w:pPr>
        <w:spacing w:after="0" w:line="207"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i w:val="1"/>
          <w:iCs w:val="1"/>
          <w:color w:val="auto"/>
        </w:rPr>
        <w:t xml:space="preserve">Integrated Generation: </w:t>
      </w:r>
      <w:r>
        <w:rPr>
          <w:rFonts w:ascii="Arial" w:cs="Arial" w:eastAsia="Arial" w:hAnsi="Arial"/>
          <w:sz w:val="16"/>
          <w:szCs w:val="16"/>
          <w:color w:val="auto"/>
        </w:rPr>
        <w:t>Our Electric Utilities segment also includes a power generation business that owns non-regulated generating facilities that are</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contracted through long-term power purchase agreements with our electric utilities. Our power generation business has an experienced staff with significant expertise in planning, building and operating power plants. This team also provides shared services to our Electric Utilities’ generation facilities, resulting in efficient management of all of the Company’s generation assets. Our power generation business competitively bids for energy and capacity through requests for proposals by our Electric Utilities for energy resources necessary to serve customers. This business can bid competitively due to construction expertise, fuel supply advantages and by co-locating new plants at our existing Electric Utilities’ energy complexes, reducing infrastructure and operating costs. All power plants within this business are contracted to our Electric Utilities under long-term contracts, located at our utility-generating complexes and physically integrated into our Electric Utilities’ operations.</w:t>
      </w:r>
    </w:p>
    <w:p>
      <w:pPr>
        <w:spacing w:after="0" w:line="156"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i w:val="1"/>
          <w:iCs w:val="1"/>
          <w:color w:val="auto"/>
        </w:rPr>
        <w:t xml:space="preserve">Generation Fuel Supply: </w:t>
      </w:r>
      <w:r>
        <w:rPr>
          <w:rFonts w:ascii="Arial" w:cs="Arial" w:eastAsia="Arial" w:hAnsi="Arial"/>
          <w:sz w:val="16"/>
          <w:szCs w:val="16"/>
          <w:color w:val="auto"/>
        </w:rPr>
        <w:t>Our generating facilities are strategically located close to energy hubs that help reduce fuel supply costs. Our Colorado and</w:t>
      </w:r>
      <w:r>
        <w:rPr>
          <w:rFonts w:ascii="Arial" w:cs="Arial" w:eastAsia="Arial" w:hAnsi="Arial"/>
          <w:sz w:val="16"/>
          <w:szCs w:val="16"/>
          <w:i w:val="1"/>
          <w:iCs w:val="1"/>
          <w:color w:val="auto"/>
        </w:rPr>
        <w:t xml:space="preserve"> </w:t>
      </w:r>
      <w:r>
        <w:rPr>
          <w:rFonts w:ascii="Arial" w:cs="Arial" w:eastAsia="Arial" w:hAnsi="Arial"/>
          <w:sz w:val="16"/>
          <w:szCs w:val="16"/>
          <w:color w:val="auto"/>
        </w:rPr>
        <w:t>Wyoming gas-fired generating facilities are located close to major natural gas energy hubs that provide trading liquidity and transparent pricing. Due to their location in the resource rich areas of Colorado and Wyoming, natural gas supply to fuel our gas-fired generation can be sourced at competitive prices. Our coal-fired power plants, all located at the Gillette Energy Complex in northeastern Wyoming, are supplied by our adjacent WRDC coal mine. WRDC provides approximately 3.7 million tons of low-sulfur coal directly to these power plants via a conveyor belt system, minimizing transportation costs. The fuel can be delivered to our adjacent power plants at very cost competitive prices (i.e., $1.19 per MMBtu for year ended December 31, 2024) when compared to alternatives. Nearly all the mine’s production is sold to these on-site generation facilities under long-term supply contracts. Approximately one-half of our production is sold under cost-plus contracts with affiliates.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b w:val="1"/>
          <w:bCs w:val="1"/>
          <w:i w:val="1"/>
          <w:iCs w:val="1"/>
          <w:color w:val="auto"/>
        </w:rPr>
        <w:t xml:space="preserve">Reducing our carbon footprint by proactively integrating alternative and renewable energy into our utility energy supply while mitigating customer rate impacts. </w:t>
      </w:r>
      <w:r>
        <w:rPr>
          <w:rFonts w:ascii="Arial" w:cs="Arial" w:eastAsia="Arial" w:hAnsi="Arial"/>
          <w:sz w:val="16"/>
          <w:szCs w:val="16"/>
          <w:color w:val="auto"/>
        </w:rPr>
        <w:t>A critical component of our strategy involves sustainable operations and reducing emissions. We are committed to cleaner energy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a low carbon future, integrating the Energy Transition and more renewable energy into our overall strategy and decision making. We strongly believe that multiple energy sources, working together, will provide the solutions for a cleaner and resilient energy future.</w:t>
      </w:r>
    </w:p>
    <w:p>
      <w:pPr>
        <w:spacing w:after="0" w:line="152"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Many states have enacted, and others are considering, mandatory renewable energy standards, requiring utilities to meet certain thresholds of renewable energy generation. In addition, some states have either enacted or are considering legislation setting GHG emission reduction targets. Federal legislation for renewable energy standards and GHG emission reductions has been considered and may be implemented in the future. Mandates for the use of renewable energy or the reduction of GHG emissions will likely drive the need for significant investment in our Electric Utilities and Gas Utilities segments. These mandates will also likely increase prices for electricity and/or natural gas for our utility customers. As a regulated utility, we are responsible for providing safe, reliable and cost-effective sources of energy to our customers. Accordingly, we employ a customer-focused strategy for complying with standards and regulations that balances our customers’ rate concerns with environmental considerations and administrative and legislative mandates. We attempt to strike this balance by prudently and proactively incorporating renewable energy into our resource supply, while seeking to minimize the magnitude and frequency of rate increases for our utility customers.</w:t>
      </w:r>
    </w:p>
    <w:p>
      <w:pPr>
        <w:spacing w:after="0" w:line="158"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In November 2020, we announced clean energy goals to reduce GHG emissions intensity for our Electric Utilities by 40% by 2030 and 70% by 2040 and achieve GHG reductions of 50% by 2035 for our Gas Utilities. Our goals are compared to a 2005 baseline. Electric Utility goals include Scope 1 emissions from electric utility generating units and Scope 3 emissions from purchased power for sales. Our Gas Utilities goal initially included only Scope 1 emissions from distribution system main and service lines. In August 2022, we announced a new "Net Zero by 2035" target for our Gas Utilities, which doubled the previous target of a 50% reduction by 2035 and expanded the scope of the goal to all Scope 1 sources of methane emissions on our distribution system. Net Zero will be achieved through pipeline material and main replacements, advanced leak detection, third-party damage reduction, expanding the use of RNG and hydrogen, and utilizing carbon credit offsets.</w:t>
      </w:r>
    </w:p>
    <w:p>
      <w:pPr>
        <w:spacing w:after="0" w:line="154"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During the second quarter of 2024, we published our 2023 Corporate Sustainability Report, highlighting our environmental, social and governance impacts and our progress on major projects and climate goals. We reported a 27% reduction in GHG emissions from our natural gas distribution system since 2022 and are on track to achieve our goal of net zero emissions by 2035. Additionally, we have reduced our electric utility GHG emissions by nearly one-third since 2005 and are on track to achieve our goals to reduce electric emissions intensity by 40% by 2030 and 70% by 2040 compared to 2005.</w:t>
      </w:r>
    </w:p>
    <w:p>
      <w:pPr>
        <w:spacing w:after="0" w:line="151"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Our goals are based on prudent and proven solutions to reduce our emissions while minimizing cost impacts to our customers. This keeps our customers at the forefront of our decision-making, which is central to our values. More of our customers, particularly our larger customers, are demanding cleaner sources of energy to meet their sustainability goals. In addition, there is more interest from consumers, regulators and legislators to increase the use of renewable and other alternative energy sources. Recent efforts to support this interest include:</w:t>
      </w:r>
    </w:p>
    <w:p>
      <w:pPr>
        <w:spacing w:after="0" w:line="151"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Advanced Colorado Clean Energy Plan: </w:t>
      </w:r>
      <w:r>
        <w:rPr>
          <w:rFonts w:ascii="Arial" w:cs="Arial" w:eastAsia="Arial" w:hAnsi="Arial"/>
          <w:sz w:val="16"/>
          <w:szCs w:val="16"/>
          <w:color w:val="auto"/>
        </w:rPr>
        <w:t>Colorado Electric's Clean Energy Plan supports its voluntary election to reduce carbon emissions</w:t>
      </w:r>
    </w:p>
    <w:p>
      <w:pPr>
        <w:spacing w:after="0" w:line="20" w:lineRule="exact"/>
        <w:rPr>
          <w:rFonts w:ascii="Times New Roman" w:cs="Times New Roman" w:eastAsia="Times New Roman" w:hAnsi="Times New Roman"/>
          <w:sz w:val="16"/>
          <w:szCs w:val="16"/>
          <w:color w:val="auto"/>
        </w:rPr>
      </w:pPr>
    </w:p>
    <w:p>
      <w:pPr>
        <w:ind w:left="1020" w:right="140"/>
        <w:spacing w:after="0" w:line="252" w:lineRule="auto"/>
        <w:rPr>
          <w:rFonts w:ascii="Times New Roman" w:cs="Times New Roman" w:eastAsia="Times New Roman" w:hAnsi="Times New Roman"/>
          <w:sz w:val="16"/>
          <w:szCs w:val="16"/>
          <w:color w:val="auto"/>
        </w:rPr>
      </w:pPr>
      <w:r>
        <w:rPr>
          <w:rFonts w:ascii="Arial" w:cs="Arial" w:eastAsia="Arial" w:hAnsi="Arial"/>
          <w:sz w:val="16"/>
          <w:szCs w:val="16"/>
          <w:color w:val="auto"/>
        </w:rPr>
        <w:t>80% from 2005 levels by 2030. On April 17, 2024, Colorado Electric filed its 120-Day report with the CPUC, recommending the addition of renewable energy resources to advance its Clean Energy Plan. In December 2024, the CPUC approved a preferred portfolio of 100 MWs of utility-owned solar generation, 50 MWs of utility-owned battery storage and a 200 MWs solar PPA. Colorado Electric plans to file a CPCN for utility-owned resources by mid-2025. New resources are expected to be placed in service in 2027-2028.</w:t>
      </w:r>
    </w:p>
    <w:p>
      <w:pPr>
        <w:spacing w:after="0" w:line="156" w:lineRule="exact"/>
        <w:rPr>
          <w:rFonts w:ascii="Times New Roman" w:cs="Times New Roman" w:eastAsia="Times New Roman" w:hAnsi="Times New Roman"/>
          <w:sz w:val="16"/>
          <w:szCs w:val="16"/>
          <w:color w:val="auto"/>
        </w:rPr>
      </w:pPr>
    </w:p>
    <w:p>
      <w:pPr>
        <w:ind w:left="1020" w:right="80" w:hanging="503"/>
        <w:spacing w:after="0" w:line="256" w:lineRule="auto"/>
        <w:tabs>
          <w:tab w:leader="none" w:pos="102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Established Green Forward and Expanded RNG Interconnect Projects: </w:t>
      </w:r>
      <w:r>
        <w:rPr>
          <w:rFonts w:ascii="Arial" w:cs="Arial" w:eastAsia="Arial" w:hAnsi="Arial"/>
          <w:sz w:val="16"/>
          <w:szCs w:val="16"/>
          <w:color w:val="auto"/>
        </w:rPr>
        <w:t>In 2022 and 2023, we filed regulatory applications to launch Green</w:t>
      </w:r>
      <w:r>
        <w:rPr>
          <w:rFonts w:ascii="Arial" w:cs="Arial" w:eastAsia="Arial" w:hAnsi="Arial"/>
          <w:sz w:val="16"/>
          <w:szCs w:val="16"/>
          <w:i w:val="1"/>
          <w:iCs w:val="1"/>
          <w:color w:val="auto"/>
        </w:rPr>
        <w:t xml:space="preserve"> </w:t>
      </w:r>
      <w:r>
        <w:rPr>
          <w:rFonts w:ascii="Arial" w:cs="Arial" w:eastAsia="Arial" w:hAnsi="Arial"/>
          <w:sz w:val="16"/>
          <w:szCs w:val="16"/>
          <w:color w:val="auto"/>
        </w:rPr>
        <w:t>Forward, a voluntary RNG and carbon offset program, to eligible residential and small business natural gas customers to offset up to 100% or more of the emissions from their natural gas usage. Our teams continue to evaluate attractive RNG investment opportunities across our agriculture-rich service territories and explore value generation with our natural gas storage assets. We also continue to expand our RNG interconnections, with 10 projects actively injecting RNG into our natural gas system.</w:t>
      </w:r>
    </w:p>
    <w:p>
      <w:pPr>
        <w:spacing w:after="0" w:line="151" w:lineRule="exact"/>
        <w:rPr>
          <w:rFonts w:ascii="Times New Roman" w:cs="Times New Roman" w:eastAsia="Times New Roman" w:hAnsi="Times New Roman"/>
          <w:sz w:val="16"/>
          <w:szCs w:val="16"/>
          <w:color w:val="auto"/>
        </w:rPr>
      </w:pPr>
    </w:p>
    <w:p>
      <w:pPr>
        <w:ind w:left="1020" w:right="20" w:hanging="503"/>
        <w:spacing w:after="0" w:line="254" w:lineRule="auto"/>
        <w:tabs>
          <w:tab w:leader="none" w:pos="102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Acquired RNG Production Facility: </w:t>
      </w:r>
      <w:r>
        <w:rPr>
          <w:rFonts w:ascii="Arial" w:cs="Arial" w:eastAsia="Arial" w:hAnsi="Arial"/>
          <w:sz w:val="16"/>
          <w:szCs w:val="16"/>
          <w:color w:val="auto"/>
        </w:rPr>
        <w:t>In January 2024, Black Hills Energy Renewable Resources acquired a RNG production facility at a landfill</w:t>
      </w:r>
      <w:r>
        <w:rPr>
          <w:rFonts w:ascii="Arial" w:cs="Arial" w:eastAsia="Arial" w:hAnsi="Arial"/>
          <w:sz w:val="16"/>
          <w:szCs w:val="16"/>
          <w:i w:val="1"/>
          <w:iCs w:val="1"/>
          <w:color w:val="auto"/>
        </w:rPr>
        <w:t xml:space="preserve"> </w:t>
      </w:r>
      <w:r>
        <w:rPr>
          <w:rFonts w:ascii="Arial" w:cs="Arial" w:eastAsia="Arial" w:hAnsi="Arial"/>
          <w:sz w:val="16"/>
          <w:szCs w:val="16"/>
          <w:color w:val="auto"/>
        </w:rPr>
        <w:t>in Dubuque, Iowa. The facility currently injects RNG into the natural gas distribution system serving Dubuque, which is owned and operated by Iowa Gas. This acquisition represents our entry into the production of RNG as a nonregulated business while leveraging our expertise in owning and operating regulated natural gas pipeline systems, including RNG interconnections. The RNG produced from the landfill facility captures methane that would otherwise vent into the atmosphere. It is delivered under long-term contracts to a third party that purchases the RNG and its related environmental attributes, in conformity with the EPA's Renewable Fuel Standard Program.</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Inflation Reduction Act</w:t>
      </w:r>
    </w:p>
    <w:p>
      <w:pPr>
        <w:spacing w:after="0" w:line="192"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 xml:space="preserve">The IRA, enacted in August 2022, features spending and tax incentives on clean energy provisions. Most notably, the IRA includes provisions that extend and expand the production and investment tax credits for wind and solar; includes energy storage, EVs, RNG, and carbon capture and sequestration; and contains a tax credit transferability provision that allows us to transfer (e.g. sell) PTCs produced after December 31, 2022, to third parties. In June 2024, under this transferability provision, we entered into an agreement with a third party to sell $16.9 million of our 2023 generated PTCs. In January 2025, we entered into a similar agreement with a third party to sell $17.0 million of our 2024 generated PTCs. We expect to continue to explore the ability to efficiently monetize our tax credits through third party transferability agreements. See </w:t>
      </w:r>
      <w:r>
        <w:rPr>
          <w:rFonts w:ascii="Arial" w:cs="Arial" w:eastAsia="Arial" w:hAnsi="Arial"/>
          <w:sz w:val="16"/>
          <w:szCs w:val="16"/>
          <w:u w:val="single" w:color="auto"/>
          <w:color w:val="0000FF"/>
        </w:rPr>
        <w:t>Note 15</w:t>
      </w:r>
      <w:r>
        <w:rPr>
          <w:rFonts w:ascii="Arial" w:cs="Arial" w:eastAsia="Arial" w:hAnsi="Arial"/>
          <w:sz w:val="16"/>
          <w:szCs w:val="16"/>
          <w:color w:val="auto"/>
        </w:rPr>
        <w:t xml:space="preserve"> of the Notes to Consolidated Financial Statements in this Annual Report on Form 10-K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3441700</wp:posOffset>
            </wp:positionH>
            <wp:positionV relativeFrom="paragraph">
              <wp:posOffset>-149860</wp:posOffset>
            </wp:positionV>
            <wp:extent cx="36004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134" w:lineRule="exact"/>
        <w:rPr>
          <w:sz w:val="20"/>
          <w:szCs w:val="20"/>
          <w:color w:val="auto"/>
        </w:rPr>
      </w:pPr>
    </w:p>
    <w:p>
      <w:pPr>
        <w:spacing w:after="0" w:line="256" w:lineRule="auto"/>
        <w:rPr>
          <w:sz w:val="20"/>
          <w:szCs w:val="20"/>
          <w:color w:val="auto"/>
        </w:rPr>
      </w:pPr>
      <w:r>
        <w:rPr>
          <w:rFonts w:ascii="Arial" w:cs="Arial" w:eastAsia="Arial" w:hAnsi="Arial"/>
          <w:sz w:val="16"/>
          <w:szCs w:val="16"/>
          <w:b w:val="1"/>
          <w:bCs w:val="1"/>
          <w:i w:val="1"/>
          <w:iCs w:val="1"/>
          <w:color w:val="auto"/>
        </w:rPr>
        <w:t xml:space="preserve">Deliver a competitive total return to investors and maintain an investment grade credit rating. </w:t>
      </w:r>
      <w:r>
        <w:rPr>
          <w:rFonts w:ascii="Arial" w:cs="Arial" w:eastAsia="Arial" w:hAnsi="Arial"/>
          <w:sz w:val="16"/>
          <w:szCs w:val="16"/>
          <w:color w:val="auto"/>
        </w:rPr>
        <w:t>We are proud of our track record of annual dividend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increases for shareholders. 2024 represented our 54th consecutive year of increasing dividends. In January 2025, our Board of Directors declared a quarterly dividend of $0.676 per share, equivalent to an annual dividend of $2.704 per share. We anticipate growing our dividend in line with our targeted dividend payout ratio of 55% to 65% of net income. A dependable and increasing dividend is an important component of our strategy for delivering long-term value for our shareholders.</w:t>
      </w:r>
    </w:p>
    <w:p>
      <w:pPr>
        <w:spacing w:after="0" w:line="153" w:lineRule="exact"/>
        <w:rPr>
          <w:sz w:val="20"/>
          <w:szCs w:val="20"/>
          <w:color w:val="auto"/>
        </w:rPr>
      </w:pPr>
    </w:p>
    <w:p>
      <w:pPr>
        <w:jc w:val="both"/>
        <w:ind w:right="240"/>
        <w:spacing w:after="0" w:line="266" w:lineRule="auto"/>
        <w:rPr>
          <w:sz w:val="20"/>
          <w:szCs w:val="20"/>
          <w:color w:val="auto"/>
        </w:rPr>
      </w:pPr>
      <w:r>
        <w:rPr>
          <w:rFonts w:ascii="Arial" w:cs="Arial" w:eastAsia="Arial" w:hAnsi="Arial"/>
          <w:sz w:val="16"/>
          <w:szCs w:val="16"/>
          <w:color w:val="auto"/>
        </w:rPr>
        <w:t>We require access to the capital markets to fund our planned capital investments or acquire strategic assets that support prudent and earnings-accretive business growth. We have demonstrated our ability to cost-effectively access the debt and equity markets, while maintaining our investment-grade issuer credit rating.</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Recent Developments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Electric Utilities</w:t>
      </w:r>
    </w:p>
    <w:p>
      <w:pPr>
        <w:spacing w:after="0" w:line="194" w:lineRule="exact"/>
        <w:rPr>
          <w:sz w:val="20"/>
          <w:szCs w:val="20"/>
          <w:color w:val="auto"/>
        </w:rPr>
      </w:pPr>
    </w:p>
    <w:p>
      <w:pPr>
        <w:ind w:left="1020" w:right="80" w:hanging="503"/>
        <w:spacing w:after="0" w:line="285" w:lineRule="auto"/>
        <w:tabs>
          <w:tab w:leader="none" w:pos="102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2</w:t>
      </w:r>
      <w:r>
        <w:rPr>
          <w:rFonts w:ascii="Arial" w:cs="Arial" w:eastAsia="Arial" w:hAnsi="Arial"/>
          <w:sz w:val="16"/>
          <w:szCs w:val="16"/>
          <w:color w:val="auto"/>
        </w:rPr>
        <w:t xml:space="preserve"> of the Notes to Consolidated Financial Statements in this Annual Report on Form 10-K for recent rate review activity for Colorado Electric.</w:t>
      </w:r>
    </w:p>
    <w:p>
      <w:pPr>
        <w:spacing w:after="0" w:line="129" w:lineRule="exact"/>
        <w:rPr>
          <w:rFonts w:ascii="Times New Roman" w:cs="Times New Roman" w:eastAsia="Times New Roman" w:hAnsi="Times New Roman"/>
          <w:sz w:val="16"/>
          <w:szCs w:val="16"/>
          <w:color w:val="auto"/>
        </w:rPr>
      </w:pPr>
    </w:p>
    <w:p>
      <w:pPr>
        <w:ind w:left="1020" w:right="80" w:hanging="503"/>
        <w:spacing w:after="0" w:line="266" w:lineRule="auto"/>
        <w:tabs>
          <w:tab w:leader="none" w:pos="102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Key Elements of our Business Strategy</w:t>
      </w:r>
      <w:r>
        <w:rPr>
          <w:rFonts w:ascii="Arial" w:cs="Arial" w:eastAsia="Arial" w:hAnsi="Arial"/>
          <w:sz w:val="16"/>
          <w:szCs w:val="16"/>
          <w:color w:val="auto"/>
        </w:rPr>
        <w:t xml:space="preserve"> section above for discussion of recent developments related to our partnership with Meta, construction progress on our Ready Wyoming project, Colorado Electric's Clean Energy Plan, South Dakota Electric's IRP and the addition of 99 MWs of new generation, and publishing of our first formal WMP and plans to formalize our PSPS.</w:t>
      </w:r>
    </w:p>
    <w:p>
      <w:pPr>
        <w:spacing w:after="0" w:line="143" w:lineRule="exact"/>
        <w:rPr>
          <w:rFonts w:ascii="Times New Roman" w:cs="Times New Roman" w:eastAsia="Times New Roman" w:hAnsi="Times New Roman"/>
          <w:sz w:val="16"/>
          <w:szCs w:val="16"/>
          <w:color w:val="auto"/>
        </w:rPr>
      </w:pPr>
    </w:p>
    <w:p>
      <w:pPr>
        <w:ind w:left="1020" w:right="200" w:hanging="503"/>
        <w:spacing w:after="0" w:line="285" w:lineRule="auto"/>
        <w:tabs>
          <w:tab w:leader="none" w:pos="102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In 2024, Wygen I and Pueblo Airport Generation #4-5 experienced unplanned generation outages that had a $8.3 million negative impact to Operating income. We are currently assessing insurance recovery opportunities.</w:t>
      </w:r>
    </w:p>
    <w:p>
      <w:pPr>
        <w:spacing w:after="0" w:line="129" w:lineRule="exact"/>
        <w:rPr>
          <w:rFonts w:ascii="Times New Roman" w:cs="Times New Roman" w:eastAsia="Times New Roman" w:hAnsi="Times New Roman"/>
          <w:sz w:val="16"/>
          <w:szCs w:val="16"/>
          <w:color w:val="auto"/>
        </w:rPr>
      </w:pPr>
    </w:p>
    <w:p>
      <w:pPr>
        <w:ind w:left="1020" w:hanging="503"/>
        <w:spacing w:after="0" w:line="266" w:lineRule="auto"/>
        <w:tabs>
          <w:tab w:leader="none" w:pos="102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On January 20, 2025, Wyoming Electric set a new all-time and winter peak load of 318 MWs, surpassing the previous all-time and winter peak load of 314 MWs set on January 11, 2024. Prior to 2024, the previous winter peak was 301 megawatts in December 2023 and the all-time peak was 312 megawatts in July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-1476375</wp:posOffset>
            </wp:positionV>
            <wp:extent cx="30289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02895" cy="8255"/>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-1116330</wp:posOffset>
            </wp:positionV>
            <wp:extent cx="178371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783715" cy="8255"/>
                    </a:xfrm>
                    <a:prstGeom prst="rect">
                      <a:avLst/>
                    </a:prstGeom>
                    <a:noFill/>
                  </pic:spPr>
                </pic:pic>
              </a:graphicData>
            </a:graphic>
          </wp:anchor>
        </w:drawing>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Gas Utilities</w:t>
      </w:r>
    </w:p>
    <w:p>
      <w:pPr>
        <w:spacing w:after="0" w:line="194" w:lineRule="exact"/>
        <w:rPr>
          <w:sz w:val="20"/>
          <w:szCs w:val="20"/>
          <w:color w:val="auto"/>
        </w:rPr>
      </w:pPr>
    </w:p>
    <w:p>
      <w:pPr>
        <w:ind w:left="1020" w:right="80" w:hanging="503"/>
        <w:spacing w:after="0" w:line="285" w:lineRule="auto"/>
        <w:tabs>
          <w:tab w:leader="none" w:pos="102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2</w:t>
      </w:r>
      <w:r>
        <w:rPr>
          <w:rFonts w:ascii="Arial" w:cs="Arial" w:eastAsia="Arial" w:hAnsi="Arial"/>
          <w:sz w:val="16"/>
          <w:szCs w:val="16"/>
          <w:color w:val="auto"/>
        </w:rPr>
        <w:t xml:space="preserve"> of the Notes to Consolidated Financial Statements in this Annual Report on Form 10-K for recent rate review activity for Arkansas Gas, Colorado Gas, Iowa Gas, Kansas Gas and Wyoming Gas.</w:t>
      </w:r>
    </w:p>
    <w:p>
      <w:pPr>
        <w:spacing w:after="0" w:line="129" w:lineRule="exact"/>
        <w:rPr>
          <w:rFonts w:ascii="Times New Roman" w:cs="Times New Roman" w:eastAsia="Times New Roman" w:hAnsi="Times New Roman"/>
          <w:sz w:val="16"/>
          <w:szCs w:val="16"/>
          <w:color w:val="auto"/>
        </w:rPr>
      </w:pPr>
    </w:p>
    <w:p>
      <w:pPr>
        <w:ind w:left="1020" w:right="340" w:hanging="503"/>
        <w:spacing w:after="0" w:line="285" w:lineRule="auto"/>
        <w:tabs>
          <w:tab w:leader="none" w:pos="102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Key Elements of our Business Strategy</w:t>
      </w:r>
      <w:r>
        <w:rPr>
          <w:rFonts w:ascii="Arial" w:cs="Arial" w:eastAsia="Arial" w:hAnsi="Arial"/>
          <w:sz w:val="16"/>
          <w:szCs w:val="16"/>
          <w:color w:val="auto"/>
        </w:rPr>
        <w:t xml:space="preserve"> section above for discussion of recent developments related to BHERR's purchase of a RNG production facility in Iowa.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-525780</wp:posOffset>
            </wp:positionV>
            <wp:extent cx="30289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02895" cy="8255"/>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-165735</wp:posOffset>
            </wp:positionV>
            <wp:extent cx="178371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783715" cy="8255"/>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Corporate and Other</w:t>
      </w:r>
    </w:p>
    <w:p>
      <w:pPr>
        <w:spacing w:after="0" w:line="194" w:lineRule="exact"/>
        <w:rPr>
          <w:sz w:val="20"/>
          <w:szCs w:val="20"/>
          <w:color w:val="auto"/>
        </w:rPr>
      </w:pPr>
    </w:p>
    <w:p>
      <w:pPr>
        <w:ind w:left="1020" w:right="160" w:hanging="503"/>
        <w:spacing w:after="0" w:line="285" w:lineRule="auto"/>
        <w:tabs>
          <w:tab w:leader="none" w:pos="102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8</w:t>
      </w:r>
      <w:r>
        <w:rPr>
          <w:rFonts w:ascii="Arial" w:cs="Arial" w:eastAsia="Arial" w:hAnsi="Arial"/>
          <w:sz w:val="16"/>
          <w:szCs w:val="16"/>
          <w:color w:val="auto"/>
        </w:rPr>
        <w:t xml:space="preserve"> of the Notes to Consolidated Financial Statements in this Annual Report on Form 10-K for information regarding our recent ATM program activity and our May 16, 2024, debt offering.</w:t>
      </w:r>
    </w:p>
    <w:p>
      <w:pPr>
        <w:spacing w:after="0" w:line="129" w:lineRule="exact"/>
        <w:rPr>
          <w:rFonts w:ascii="Times New Roman" w:cs="Times New Roman" w:eastAsia="Times New Roman" w:hAnsi="Times New Roman"/>
          <w:sz w:val="16"/>
          <w:szCs w:val="16"/>
          <w:color w:val="auto"/>
        </w:rPr>
      </w:pPr>
    </w:p>
    <w:p>
      <w:pPr>
        <w:ind w:left="1020" w:right="500" w:hanging="503"/>
        <w:spacing w:after="0" w:line="285" w:lineRule="auto"/>
        <w:tabs>
          <w:tab w:leader="none" w:pos="102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On May 31, 2024, we amended and restated our corporate Revolving Credit Facility. See </w:t>
      </w:r>
      <w:r>
        <w:rPr>
          <w:rFonts w:ascii="Arial" w:cs="Arial" w:eastAsia="Arial" w:hAnsi="Arial"/>
          <w:sz w:val="16"/>
          <w:szCs w:val="16"/>
          <w:u w:val="single" w:color="auto"/>
          <w:color w:val="0000FF"/>
        </w:rPr>
        <w:t>Note 8</w:t>
      </w:r>
      <w:r>
        <w:rPr>
          <w:rFonts w:ascii="Arial" w:cs="Arial" w:eastAsia="Arial" w:hAnsi="Arial"/>
          <w:sz w:val="16"/>
          <w:szCs w:val="16"/>
          <w:color w:val="auto"/>
        </w:rPr>
        <w:t xml:space="preserve"> of the Notes to Consolidated Financial Statements in this Annual Report on Form 10-K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-525780</wp:posOffset>
            </wp:positionV>
            <wp:extent cx="30289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02895"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-165735</wp:posOffset>
            </wp:positionV>
            <wp:extent cx="30289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02895" cy="8890"/>
                    </a:xfrm>
                    <a:prstGeom prst="rect">
                      <a:avLst/>
                    </a:prstGeom>
                    <a:noFill/>
                  </pic:spPr>
                </pic:pic>
              </a:graphicData>
            </a:graphic>
          </wp:anchor>
        </w:drawing>
      </w: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Results of Operations</w:t>
      </w:r>
    </w:p>
    <w:p>
      <w:pPr>
        <w:spacing w:after="0" w:line="194"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Our discussion and analysis for the year ended December 31, 2024, compared to 2023, is included herein. For discussion and analysis for the year ended December 31, 2023, compared to 2022, please refer to Item 7 of Part II, “Management’s Discussion and Analysis of Financial Condition and Results of Operations” in our Annual Report on Form 10-K for the year ended December 31, 2023, which was filed with the SEC on February 14, 2024.</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All amounts are presented on a pre-tax basis unless otherwise indicated. Minor differences in amounts may result due to rounding.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420" w:type="dxa"/>
            <w:vAlign w:val="bottom"/>
            <w:gridSpan w:val="2"/>
          </w:tcPr>
          <w:p>
            <w:pPr>
              <w:spacing w:after="0"/>
              <w:rPr>
                <w:sz w:val="20"/>
                <w:szCs w:val="20"/>
                <w:color w:val="auto"/>
              </w:rPr>
            </w:pPr>
            <w:r>
              <w:rPr>
                <w:rFonts w:ascii="Arial" w:cs="Arial" w:eastAsia="Arial" w:hAnsi="Arial"/>
                <w:sz w:val="16"/>
                <w:szCs w:val="16"/>
                <w:b w:val="1"/>
                <w:bCs w:val="1"/>
                <w:color w:val="auto"/>
              </w:rPr>
              <w:t>Consolidated Summary and Overview</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44"/>
        </w:trPr>
        <w:tc>
          <w:tcPr>
            <w:tcW w:w="30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760" w:type="dxa"/>
            <w:vAlign w:val="bottom"/>
            <w:gridSpan w:val="4"/>
          </w:tcPr>
          <w:p>
            <w:pPr>
              <w:jc w:val="right"/>
              <w:spacing w:after="0"/>
              <w:rPr>
                <w:sz w:val="20"/>
                <w:szCs w:val="20"/>
                <w:color w:val="auto"/>
              </w:rPr>
            </w:pPr>
            <w:r>
              <w:rPr>
                <w:rFonts w:ascii="Arial" w:cs="Arial" w:eastAsia="Arial" w:hAnsi="Arial"/>
                <w:sz w:val="16"/>
                <w:szCs w:val="16"/>
                <w:b w:val="1"/>
                <w:bCs w:val="1"/>
                <w:color w:val="auto"/>
              </w:rPr>
              <w:t>For the Years Ended December 31,</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89"/>
        </w:trPr>
        <w:tc>
          <w:tcPr>
            <w:tcW w:w="30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ind w:right="179"/>
              <w:spacing w:after="0"/>
              <w:rPr>
                <w:sz w:val="20"/>
                <w:szCs w:val="20"/>
                <w:color w:val="auto"/>
              </w:rPr>
            </w:pPr>
            <w:r>
              <w:rPr>
                <w:rFonts w:ascii="Arial" w:cs="Arial" w:eastAsia="Arial" w:hAnsi="Arial"/>
                <w:sz w:val="16"/>
                <w:szCs w:val="16"/>
                <w:b w:val="1"/>
                <w:bCs w:val="1"/>
                <w:color w:val="auto"/>
              </w:rPr>
              <w:t>2024 vs 2023</w:t>
            </w: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179"/>
              <w:spacing w:after="0"/>
              <w:rPr>
                <w:sz w:val="20"/>
                <w:szCs w:val="20"/>
                <w:color w:val="auto"/>
              </w:rPr>
            </w:pPr>
            <w:r>
              <w:rPr>
                <w:rFonts w:ascii="Arial" w:cs="Arial" w:eastAsia="Arial" w:hAnsi="Arial"/>
                <w:sz w:val="16"/>
                <w:szCs w:val="16"/>
                <w:b w:val="1"/>
                <w:bCs w:val="1"/>
                <w:color w:val="auto"/>
              </w:rPr>
              <w:t>2023 vs 2022</w:t>
            </w:r>
          </w:p>
        </w:tc>
      </w:tr>
      <w:tr>
        <w:trPr>
          <w:trHeight w:val="203"/>
        </w:trPr>
        <w:tc>
          <w:tcPr>
            <w:tcW w:w="30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8"/>
              </w:rPr>
              <w:t>Variance</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Variance</w:t>
            </w:r>
          </w:p>
        </w:tc>
      </w:tr>
      <w:tr>
        <w:trPr>
          <w:trHeight w:val="183"/>
        </w:trPr>
        <w:tc>
          <w:tcPr>
            <w:tcW w:w="30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800" w:type="dxa"/>
            <w:vAlign w:val="bottom"/>
            <w:tcBorders>
              <w:bottom w:val="single" w:sz="8" w:color="auto"/>
            </w:tcBorders>
            <w:gridSpan w:val="5"/>
          </w:tcPr>
          <w:p>
            <w:pPr>
              <w:jc w:val="center"/>
              <w:ind w:right="299"/>
              <w:spacing w:after="0" w:line="183" w:lineRule="exact"/>
              <w:rPr>
                <w:sz w:val="20"/>
                <w:szCs w:val="20"/>
                <w:color w:val="auto"/>
              </w:rPr>
            </w:pPr>
            <w:r>
              <w:rPr>
                <w:rFonts w:ascii="Arial" w:cs="Arial" w:eastAsia="Arial" w:hAnsi="Arial"/>
                <w:sz w:val="16"/>
                <w:szCs w:val="16"/>
                <w:color w:val="auto"/>
              </w:rPr>
              <w:t>(in millions, except per share amounts)</w:t>
            </w: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r>
      <w:tr>
        <w:trPr>
          <w:trHeight w:val="183"/>
        </w:trPr>
        <w:tc>
          <w:tcPr>
            <w:tcW w:w="4420" w:type="dxa"/>
            <w:vAlign w:val="bottom"/>
            <w:gridSpan w:val="2"/>
            <w:shd w:val="clear" w:color="auto" w:fill="CFF0FC"/>
          </w:tcPr>
          <w:p>
            <w:pPr>
              <w:ind w:left="20"/>
              <w:spacing w:after="0" w:line="183" w:lineRule="exact"/>
              <w:rPr>
                <w:sz w:val="20"/>
                <w:szCs w:val="20"/>
                <w:color w:val="auto"/>
              </w:rPr>
            </w:pPr>
            <w:r>
              <w:rPr>
                <w:rFonts w:ascii="Arial" w:cs="Arial" w:eastAsia="Arial" w:hAnsi="Arial"/>
                <w:sz w:val="16"/>
                <w:szCs w:val="16"/>
                <w:color w:val="auto"/>
              </w:rPr>
              <w:t>Operating income (loss):</w:t>
            </w: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r>
      <w:tr>
        <w:trPr>
          <w:trHeight w:val="189"/>
        </w:trPr>
        <w:tc>
          <w:tcPr>
            <w:tcW w:w="4420" w:type="dxa"/>
            <w:vAlign w:val="bottom"/>
            <w:gridSpan w:val="2"/>
          </w:tcPr>
          <w:p>
            <w:pPr>
              <w:ind w:left="120"/>
              <w:spacing w:after="0"/>
              <w:rPr>
                <w:sz w:val="20"/>
                <w:szCs w:val="20"/>
                <w:color w:val="auto"/>
              </w:rPr>
            </w:pPr>
            <w:r>
              <w:rPr>
                <w:rFonts w:ascii="Arial" w:cs="Arial" w:eastAsia="Arial" w:hAnsi="Arial"/>
                <w:sz w:val="16"/>
                <w:szCs w:val="16"/>
                <w:color w:val="auto"/>
              </w:rPr>
              <w:t>Electric Utilities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233.0</w:t>
            </w:r>
          </w:p>
        </w:tc>
        <w:tc>
          <w:tcPr>
            <w:tcW w:w="3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248.8</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79"/>
              <w:spacing w:after="0"/>
              <w:rPr>
                <w:sz w:val="20"/>
                <w:szCs w:val="20"/>
                <w:color w:val="auto"/>
              </w:rPr>
            </w:pPr>
            <w:r>
              <w:rPr>
                <w:rFonts w:ascii="Arial" w:cs="Arial" w:eastAsia="Arial" w:hAnsi="Arial"/>
                <w:sz w:val="16"/>
                <w:szCs w:val="16"/>
                <w:color w:val="auto"/>
              </w:rPr>
              <w:t>(15.8 ) $</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214.3</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34.5</w:t>
            </w:r>
          </w:p>
        </w:tc>
      </w:tr>
      <w:tr>
        <w:trPr>
          <w:trHeight w:val="189"/>
        </w:trPr>
        <w:tc>
          <w:tcPr>
            <w:tcW w:w="442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Gas Utilities</w:t>
            </w:r>
          </w:p>
        </w:tc>
        <w:tc>
          <w:tcPr>
            <w:tcW w:w="28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271.3</w:t>
            </w: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228.8</w:t>
            </w:r>
          </w:p>
        </w:tc>
        <w:tc>
          <w:tcPr>
            <w:tcW w:w="12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42.5</w:t>
            </w:r>
          </w:p>
        </w:tc>
        <w:tc>
          <w:tcPr>
            <w:tcW w:w="28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244.2</w:t>
            </w:r>
          </w:p>
        </w:tc>
        <w:tc>
          <w:tcPr>
            <w:tcW w:w="12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(15.4 )</w:t>
            </w:r>
          </w:p>
        </w:tc>
      </w:tr>
      <w:tr>
        <w:trPr>
          <w:trHeight w:val="189"/>
        </w:trPr>
        <w:tc>
          <w:tcPr>
            <w:tcW w:w="4420" w:type="dxa"/>
            <w:vAlign w:val="bottom"/>
            <w:gridSpan w:val="2"/>
          </w:tcPr>
          <w:p>
            <w:pPr>
              <w:ind w:left="120"/>
              <w:spacing w:after="0" w:line="189" w:lineRule="exact"/>
              <w:rPr>
                <w:sz w:val="20"/>
                <w:szCs w:val="20"/>
                <w:color w:val="auto"/>
              </w:rPr>
            </w:pPr>
            <w:r>
              <w:rPr>
                <w:rFonts w:ascii="Arial" w:cs="Arial" w:eastAsia="Arial" w:hAnsi="Arial"/>
                <w:sz w:val="16"/>
                <w:szCs w:val="16"/>
                <w:color w:val="auto"/>
              </w:rPr>
              <w:t xml:space="preserve">Corporate and Other </w:t>
            </w:r>
            <w:r>
              <w:rPr>
                <w:rFonts w:ascii="Arial" w:cs="Arial" w:eastAsia="Arial" w:hAnsi="Arial"/>
                <w:sz w:val="21"/>
                <w:szCs w:val="21"/>
                <w:color w:val="auto"/>
                <w:vertAlign w:val="superscript"/>
              </w:rPr>
              <w:t>(a)</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(1.2 )</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(4.9 )</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(3.3 )</w:t>
            </w: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(1.6 )</w:t>
            </w:r>
          </w:p>
        </w:tc>
      </w:tr>
      <w:tr>
        <w:trPr>
          <w:trHeight w:val="183"/>
        </w:trPr>
        <w:tc>
          <w:tcPr>
            <w:tcW w:w="4420" w:type="dxa"/>
            <w:vAlign w:val="bottom"/>
            <w:tcBorders>
              <w:bottom w:val="single" w:sz="8" w:color="CFF0FC"/>
            </w:tcBorders>
            <w:gridSpan w:val="2"/>
            <w:shd w:val="clear" w:color="auto" w:fill="CFF0FC"/>
          </w:tcPr>
          <w:p>
            <w:pPr>
              <w:ind w:left="20"/>
              <w:spacing w:after="0" w:line="183" w:lineRule="exact"/>
              <w:rPr>
                <w:sz w:val="20"/>
                <w:szCs w:val="20"/>
                <w:color w:val="auto"/>
              </w:rPr>
            </w:pPr>
            <w:r>
              <w:rPr>
                <w:rFonts w:ascii="Arial" w:cs="Arial" w:eastAsia="Arial" w:hAnsi="Arial"/>
                <w:sz w:val="16"/>
                <w:szCs w:val="16"/>
                <w:color w:val="auto"/>
              </w:rPr>
              <w:t>Operating Income</w:t>
            </w:r>
          </w:p>
        </w:tc>
        <w:tc>
          <w:tcPr>
            <w:tcW w:w="28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503.1</w:t>
            </w:r>
          </w:p>
        </w:tc>
        <w:tc>
          <w:tcPr>
            <w:tcW w:w="32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472.7</w:t>
            </w:r>
          </w:p>
        </w:tc>
        <w:tc>
          <w:tcPr>
            <w:tcW w:w="120" w:type="dxa"/>
            <w:vAlign w:val="bottom"/>
            <w:tcBorders>
              <w:bottom w:val="single" w:sz="8" w:color="auto"/>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30.4</w:t>
            </w:r>
          </w:p>
        </w:tc>
        <w:tc>
          <w:tcPr>
            <w:tcW w:w="28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455.2</w:t>
            </w:r>
          </w:p>
        </w:tc>
        <w:tc>
          <w:tcPr>
            <w:tcW w:w="12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17.5</w:t>
            </w:r>
          </w:p>
        </w:tc>
      </w:tr>
      <w:tr>
        <w:trPr>
          <w:trHeight w:val="183"/>
        </w:trPr>
        <w:tc>
          <w:tcPr>
            <w:tcW w:w="30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9"/>
        </w:trPr>
        <w:tc>
          <w:tcPr>
            <w:tcW w:w="44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Interest expense, net</w:t>
            </w:r>
          </w:p>
        </w:tc>
        <w:tc>
          <w:tcPr>
            <w:tcW w:w="28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(181.7 )</w:t>
            </w: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(167.9 )</w:t>
            </w:r>
          </w:p>
        </w:tc>
        <w:tc>
          <w:tcPr>
            <w:tcW w:w="12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(13.8 )</w:t>
            </w:r>
          </w:p>
        </w:tc>
        <w:tc>
          <w:tcPr>
            <w:tcW w:w="28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(161.0 )</w:t>
            </w:r>
          </w:p>
        </w:tc>
        <w:tc>
          <w:tcPr>
            <w:tcW w:w="12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(6.9 )</w:t>
            </w:r>
          </w:p>
        </w:tc>
      </w:tr>
      <w:tr>
        <w:trPr>
          <w:trHeight w:val="189"/>
        </w:trPr>
        <w:tc>
          <w:tcPr>
            <w:tcW w:w="4420" w:type="dxa"/>
            <w:vAlign w:val="bottom"/>
            <w:gridSpan w:val="2"/>
          </w:tcPr>
          <w:p>
            <w:pPr>
              <w:ind w:left="20"/>
              <w:spacing w:after="0"/>
              <w:rPr>
                <w:sz w:val="20"/>
                <w:szCs w:val="20"/>
                <w:color w:val="auto"/>
              </w:rPr>
            </w:pPr>
            <w:r>
              <w:rPr>
                <w:rFonts w:ascii="Arial" w:cs="Arial" w:eastAsia="Arial" w:hAnsi="Arial"/>
                <w:sz w:val="16"/>
                <w:szCs w:val="16"/>
                <w:color w:val="auto"/>
              </w:rPr>
              <w:t>Other income (expense), net</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(1.4 )</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(3.2 )</w:t>
            </w:r>
          </w:p>
        </w:tc>
        <w:tc>
          <w:tcPr>
            <w:tcW w:w="120" w:type="dxa"/>
            <w:vAlign w:val="bottom"/>
          </w:tcPr>
          <w:p>
            <w:pPr>
              <w:spacing w:after="0"/>
              <w:rPr>
                <w:sz w:val="16"/>
                <w:szCs w:val="16"/>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280" w:type="dxa"/>
            <w:vAlign w:val="bottom"/>
          </w:tcPr>
          <w:p>
            <w:pPr>
              <w:spacing w:after="0"/>
              <w:rPr>
                <w:sz w:val="16"/>
                <w:szCs w:val="16"/>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(5.0 )</w:t>
            </w:r>
          </w:p>
        </w:tc>
      </w:tr>
      <w:tr>
        <w:trPr>
          <w:trHeight w:val="189"/>
        </w:trPr>
        <w:tc>
          <w:tcPr>
            <w:tcW w:w="44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Income tax (expense)</w:t>
            </w:r>
          </w:p>
        </w:tc>
        <w:tc>
          <w:tcPr>
            <w:tcW w:w="28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(36.3 )</w:t>
            </w:r>
          </w:p>
        </w:tc>
        <w:tc>
          <w:tcPr>
            <w:tcW w:w="32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(25.6 )</w:t>
            </w:r>
          </w:p>
        </w:tc>
        <w:tc>
          <w:tcPr>
            <w:tcW w:w="12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(10.7 )</w:t>
            </w:r>
          </w:p>
        </w:tc>
        <w:tc>
          <w:tcPr>
            <w:tcW w:w="28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(25.2 )</w:t>
            </w:r>
          </w:p>
        </w:tc>
        <w:tc>
          <w:tcPr>
            <w:tcW w:w="120" w:type="dxa"/>
            <w:vAlign w:val="bottom"/>
            <w:tcBorders>
              <w:bottom w:val="single" w:sz="8" w:color="auto"/>
            </w:tcBorders>
            <w:shd w:val="clear" w:color="auto" w:fill="CFF0FC"/>
          </w:tcPr>
          <w:p>
            <w:pPr>
              <w:spacing w:after="0"/>
              <w:rPr>
                <w:sz w:val="16"/>
                <w:szCs w:val="16"/>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(0.4 )</w:t>
            </w:r>
          </w:p>
        </w:tc>
      </w:tr>
      <w:tr>
        <w:trPr>
          <w:trHeight w:val="183"/>
        </w:trPr>
        <w:tc>
          <w:tcPr>
            <w:tcW w:w="4420" w:type="dxa"/>
            <w:vAlign w:val="bottom"/>
            <w:gridSpan w:val="2"/>
          </w:tcPr>
          <w:p>
            <w:pPr>
              <w:ind w:left="20"/>
              <w:spacing w:after="0" w:line="183" w:lineRule="exact"/>
              <w:rPr>
                <w:sz w:val="20"/>
                <w:szCs w:val="20"/>
                <w:color w:val="auto"/>
              </w:rPr>
            </w:pPr>
            <w:r>
              <w:rPr>
                <w:rFonts w:ascii="Arial" w:cs="Arial" w:eastAsia="Arial" w:hAnsi="Arial"/>
                <w:sz w:val="16"/>
                <w:szCs w:val="16"/>
                <w:color w:val="auto"/>
              </w:rPr>
              <w:t>Net income</w:t>
            </w:r>
          </w:p>
        </w:tc>
        <w:tc>
          <w:tcPr>
            <w:tcW w:w="280" w:type="dxa"/>
            <w:vAlign w:val="bottom"/>
          </w:tcPr>
          <w:p>
            <w:pPr>
              <w:spacing w:after="0"/>
              <w:rPr>
                <w:sz w:val="15"/>
                <w:szCs w:val="15"/>
                <w:color w:val="auto"/>
              </w:rPr>
            </w:pP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283.7</w:t>
            </w:r>
          </w:p>
        </w:tc>
        <w:tc>
          <w:tcPr>
            <w:tcW w:w="320" w:type="dxa"/>
            <w:vAlign w:val="bottom"/>
          </w:tcPr>
          <w:p>
            <w:pPr>
              <w:spacing w:after="0"/>
              <w:rPr>
                <w:sz w:val="15"/>
                <w:szCs w:val="15"/>
                <w:color w:val="auto"/>
              </w:rPr>
            </w:pPr>
          </w:p>
        </w:tc>
        <w:tc>
          <w:tcPr>
            <w:tcW w:w="1080" w:type="dxa"/>
            <w:vAlign w:val="bottom"/>
          </w:tcPr>
          <w:p>
            <w:pPr>
              <w:jc w:val="right"/>
              <w:ind w:right="39"/>
              <w:spacing w:after="0" w:line="183" w:lineRule="exact"/>
              <w:rPr>
                <w:sz w:val="20"/>
                <w:szCs w:val="20"/>
                <w:color w:val="auto"/>
              </w:rPr>
            </w:pPr>
            <w:r>
              <w:rPr>
                <w:rFonts w:ascii="Arial" w:cs="Arial" w:eastAsia="Arial" w:hAnsi="Arial"/>
                <w:sz w:val="16"/>
                <w:szCs w:val="16"/>
                <w:color w:val="auto"/>
              </w:rPr>
              <w:t>276.0</w:t>
            </w:r>
          </w:p>
        </w:tc>
        <w:tc>
          <w:tcPr>
            <w:tcW w:w="120" w:type="dxa"/>
            <w:vAlign w:val="bottom"/>
          </w:tcPr>
          <w:p>
            <w:pPr>
              <w:spacing w:after="0"/>
              <w:rPr>
                <w:sz w:val="15"/>
                <w:szCs w:val="15"/>
                <w:color w:val="auto"/>
              </w:rPr>
            </w:pPr>
          </w:p>
        </w:tc>
        <w:tc>
          <w:tcPr>
            <w:tcW w:w="1240" w:type="dxa"/>
            <w:vAlign w:val="bottom"/>
          </w:tcPr>
          <w:p>
            <w:pPr>
              <w:jc w:val="right"/>
              <w:ind w:right="39"/>
              <w:spacing w:after="0" w:line="183" w:lineRule="exact"/>
              <w:rPr>
                <w:sz w:val="20"/>
                <w:szCs w:val="20"/>
                <w:color w:val="auto"/>
              </w:rPr>
            </w:pPr>
            <w:r>
              <w:rPr>
                <w:rFonts w:ascii="Arial" w:cs="Arial" w:eastAsia="Arial" w:hAnsi="Arial"/>
                <w:sz w:val="16"/>
                <w:szCs w:val="16"/>
                <w:color w:val="auto"/>
              </w:rPr>
              <w:t>7.7</w:t>
            </w:r>
          </w:p>
        </w:tc>
        <w:tc>
          <w:tcPr>
            <w:tcW w:w="280" w:type="dxa"/>
            <w:vAlign w:val="bottom"/>
          </w:tcPr>
          <w:p>
            <w:pPr>
              <w:spacing w:after="0"/>
              <w:rPr>
                <w:sz w:val="15"/>
                <w:szCs w:val="15"/>
                <w:color w:val="auto"/>
              </w:rPr>
            </w:pPr>
          </w:p>
        </w:tc>
        <w:tc>
          <w:tcPr>
            <w:tcW w:w="1080" w:type="dxa"/>
            <w:vAlign w:val="bottom"/>
          </w:tcPr>
          <w:p>
            <w:pPr>
              <w:jc w:val="right"/>
              <w:ind w:right="39"/>
              <w:spacing w:after="0" w:line="183" w:lineRule="exact"/>
              <w:rPr>
                <w:sz w:val="20"/>
                <w:szCs w:val="20"/>
                <w:color w:val="auto"/>
              </w:rPr>
            </w:pPr>
            <w:r>
              <w:rPr>
                <w:rFonts w:ascii="Arial" w:cs="Arial" w:eastAsia="Arial" w:hAnsi="Arial"/>
                <w:sz w:val="16"/>
                <w:szCs w:val="16"/>
                <w:color w:val="auto"/>
              </w:rPr>
              <w:t>270.8</w:t>
            </w:r>
          </w:p>
        </w:tc>
        <w:tc>
          <w:tcPr>
            <w:tcW w:w="120" w:type="dxa"/>
            <w:vAlign w:val="bottom"/>
          </w:tcPr>
          <w:p>
            <w:pPr>
              <w:spacing w:after="0"/>
              <w:rPr>
                <w:sz w:val="15"/>
                <w:szCs w:val="15"/>
                <w:color w:val="auto"/>
              </w:rPr>
            </w:pPr>
          </w:p>
        </w:tc>
        <w:tc>
          <w:tcPr>
            <w:tcW w:w="1260" w:type="dxa"/>
            <w:vAlign w:val="bottom"/>
          </w:tcPr>
          <w:p>
            <w:pPr>
              <w:jc w:val="right"/>
              <w:ind w:right="59"/>
              <w:spacing w:after="0" w:line="183" w:lineRule="exact"/>
              <w:rPr>
                <w:sz w:val="20"/>
                <w:szCs w:val="20"/>
                <w:color w:val="auto"/>
              </w:rPr>
            </w:pPr>
            <w:r>
              <w:rPr>
                <w:rFonts w:ascii="Arial" w:cs="Arial" w:eastAsia="Arial" w:hAnsi="Arial"/>
                <w:sz w:val="16"/>
                <w:szCs w:val="16"/>
                <w:color w:val="auto"/>
              </w:rPr>
              <w:t>5.2</w:t>
            </w:r>
          </w:p>
        </w:tc>
      </w:tr>
      <w:tr>
        <w:trPr>
          <w:trHeight w:val="189"/>
        </w:trPr>
        <w:tc>
          <w:tcPr>
            <w:tcW w:w="44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Net income attributable to non-controlling interest</w:t>
            </w:r>
          </w:p>
        </w:tc>
        <w:tc>
          <w:tcPr>
            <w:tcW w:w="28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(10.6 )</w:t>
            </w:r>
          </w:p>
        </w:tc>
        <w:tc>
          <w:tcPr>
            <w:tcW w:w="32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(13.8 )</w:t>
            </w:r>
          </w:p>
        </w:tc>
        <w:tc>
          <w:tcPr>
            <w:tcW w:w="12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3.2</w:t>
            </w:r>
          </w:p>
        </w:tc>
        <w:tc>
          <w:tcPr>
            <w:tcW w:w="28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(12.4 )</w:t>
            </w:r>
          </w:p>
        </w:tc>
        <w:tc>
          <w:tcPr>
            <w:tcW w:w="120" w:type="dxa"/>
            <w:vAlign w:val="bottom"/>
            <w:tcBorders>
              <w:bottom w:val="single" w:sz="8" w:color="auto"/>
            </w:tcBorders>
            <w:shd w:val="clear" w:color="auto" w:fill="CFF0FC"/>
          </w:tcPr>
          <w:p>
            <w:pPr>
              <w:spacing w:after="0"/>
              <w:rPr>
                <w:sz w:val="16"/>
                <w:szCs w:val="16"/>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(1.4 )</w:t>
            </w:r>
          </w:p>
        </w:tc>
      </w:tr>
      <w:tr>
        <w:trPr>
          <w:trHeight w:val="183"/>
        </w:trPr>
        <w:tc>
          <w:tcPr>
            <w:tcW w:w="4420" w:type="dxa"/>
            <w:vAlign w:val="bottom"/>
            <w:gridSpan w:val="2"/>
          </w:tcPr>
          <w:p>
            <w:pPr>
              <w:ind w:left="20"/>
              <w:spacing w:after="0" w:line="183" w:lineRule="exact"/>
              <w:rPr>
                <w:sz w:val="20"/>
                <w:szCs w:val="20"/>
                <w:color w:val="auto"/>
              </w:rPr>
            </w:pPr>
            <w:r>
              <w:rPr>
                <w:rFonts w:ascii="Arial" w:cs="Arial" w:eastAsia="Arial" w:hAnsi="Arial"/>
                <w:sz w:val="16"/>
                <w:szCs w:val="16"/>
                <w:color w:val="auto"/>
              </w:rPr>
              <w:t>Net income available for common stock</w:t>
            </w:r>
          </w:p>
        </w:tc>
        <w:tc>
          <w:tcPr>
            <w:tcW w:w="28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273.1</w:t>
            </w:r>
          </w:p>
        </w:tc>
        <w:tc>
          <w:tcPr>
            <w:tcW w:w="32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262.2</w:t>
            </w:r>
          </w:p>
        </w:tc>
        <w:tc>
          <w:tcPr>
            <w:tcW w:w="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10.9</w:t>
            </w:r>
          </w:p>
        </w:tc>
        <w:tc>
          <w:tcPr>
            <w:tcW w:w="28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258.4</w:t>
            </w:r>
          </w:p>
        </w:tc>
        <w:tc>
          <w:tcPr>
            <w:tcW w:w="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3.8</w:t>
            </w:r>
          </w:p>
        </w:tc>
      </w:tr>
      <w:tr>
        <w:trPr>
          <w:trHeight w:val="20"/>
        </w:trPr>
        <w:tc>
          <w:tcPr>
            <w:tcW w:w="30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70"/>
        </w:trPr>
        <w:tc>
          <w:tcPr>
            <w:tcW w:w="300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r>
      <w:tr>
        <w:trPr>
          <w:trHeight w:val="189"/>
        </w:trPr>
        <w:tc>
          <w:tcPr>
            <w:tcW w:w="4420" w:type="dxa"/>
            <w:vAlign w:val="bottom"/>
            <w:gridSpan w:val="2"/>
          </w:tcPr>
          <w:p>
            <w:pPr>
              <w:ind w:left="20"/>
              <w:spacing w:after="0"/>
              <w:rPr>
                <w:sz w:val="20"/>
                <w:szCs w:val="20"/>
                <w:color w:val="auto"/>
              </w:rPr>
            </w:pPr>
            <w:r>
              <w:rPr>
                <w:rFonts w:ascii="Arial" w:cs="Arial" w:eastAsia="Arial" w:hAnsi="Arial"/>
                <w:sz w:val="16"/>
                <w:szCs w:val="16"/>
                <w:color w:val="auto"/>
              </w:rPr>
              <w:t>Weighted average common shares outstanding, Diluted</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69.9</w:t>
            </w:r>
          </w:p>
        </w:tc>
        <w:tc>
          <w:tcPr>
            <w:tcW w:w="320" w:type="dxa"/>
            <w:vAlign w:val="bottom"/>
          </w:tcPr>
          <w:p>
            <w:pPr>
              <w:spacing w:after="0"/>
              <w:rPr>
                <w:sz w:val="16"/>
                <w:szCs w:val="16"/>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67.1</w:t>
            </w:r>
          </w:p>
        </w:tc>
        <w:tc>
          <w:tcPr>
            <w:tcW w:w="120" w:type="dxa"/>
            <w:vAlign w:val="bottom"/>
          </w:tcPr>
          <w:p>
            <w:pPr>
              <w:spacing w:after="0"/>
              <w:rPr>
                <w:sz w:val="16"/>
                <w:szCs w:val="16"/>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280" w:type="dxa"/>
            <w:vAlign w:val="bottom"/>
          </w:tcPr>
          <w:p>
            <w:pPr>
              <w:spacing w:after="0"/>
              <w:rPr>
                <w:sz w:val="16"/>
                <w:szCs w:val="16"/>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65.0</w:t>
            </w:r>
          </w:p>
        </w:tc>
        <w:tc>
          <w:tcPr>
            <w:tcW w:w="120" w:type="dxa"/>
            <w:vAlign w:val="bottom"/>
          </w:tcPr>
          <w:p>
            <w:pPr>
              <w:spacing w:after="0"/>
              <w:rPr>
                <w:sz w:val="16"/>
                <w:szCs w:val="16"/>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2.1</w:t>
            </w:r>
          </w:p>
        </w:tc>
      </w:tr>
      <w:tr>
        <w:trPr>
          <w:trHeight w:val="229"/>
        </w:trPr>
        <w:tc>
          <w:tcPr>
            <w:tcW w:w="44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Total earnings per share of common stock, Diluted</w:t>
            </w: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3.91</w:t>
            </w:r>
          </w:p>
        </w:tc>
        <w:tc>
          <w:tcPr>
            <w:tcW w:w="32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3.91</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3.97</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(0.06 )</w:t>
            </w:r>
          </w:p>
        </w:tc>
      </w:tr>
      <w:tr>
        <w:trPr>
          <w:trHeight w:val="115"/>
        </w:trPr>
        <w:tc>
          <w:tcPr>
            <w:tcW w:w="3000" w:type="dxa"/>
            <w:vAlign w:val="bottom"/>
            <w:tcBorders>
              <w:bottom w:val="single" w:sz="8" w:color="auto"/>
            </w:tcBorders>
          </w:tcPr>
          <w:p>
            <w:pPr>
              <w:spacing w:after="0"/>
              <w:rPr>
                <w:sz w:val="10"/>
                <w:szCs w:val="10"/>
                <w:color w:val="auto"/>
              </w:rPr>
            </w:pPr>
          </w:p>
        </w:tc>
        <w:tc>
          <w:tcPr>
            <w:tcW w:w="1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r>
    </w:tbl>
    <w:p>
      <w:pPr>
        <w:spacing w:after="0" w:line="31" w:lineRule="exact"/>
        <w:rPr>
          <w:sz w:val="20"/>
          <w:szCs w:val="20"/>
          <w:color w:val="auto"/>
        </w:rPr>
      </w:pPr>
    </w:p>
    <w:p>
      <w:pPr>
        <w:ind w:left="520" w:hanging="512"/>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inter-segment eliminations.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2024 Compared to 2023</w:t>
      </w:r>
    </w:p>
    <w:p>
      <w:pPr>
        <w:spacing w:after="0" w:line="194" w:lineRule="exact"/>
        <w:rPr>
          <w:sz w:val="20"/>
          <w:szCs w:val="20"/>
          <w:color w:val="auto"/>
        </w:rPr>
      </w:pPr>
    </w:p>
    <w:p>
      <w:pPr>
        <w:ind w:left="1020" w:right="160" w:hanging="503"/>
        <w:spacing w:after="0" w:line="259" w:lineRule="auto"/>
        <w:tabs>
          <w:tab w:leader="none" w:pos="102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Electric Utilities’ operating income decreased $15.8 million primarily due to unfavorable impacts from unplanned generation outages in 2024, lower off-system excess energy sales, higher insurance expense, and one-time benefits in 2023 from a gain on the sale of Northern Iowa Windpower assets, a gain on sale of land to support data center growth, and a recovery from our business interruption insurance. These unfavorable variances were partially offset by new rates and rider recovery and retail customer growth and usage.</w:t>
      </w:r>
    </w:p>
    <w:p>
      <w:pPr>
        <w:spacing w:after="0" w:line="1" w:lineRule="exact"/>
        <w:rPr>
          <w:rFonts w:ascii="Times New Roman" w:cs="Times New Roman" w:eastAsia="Times New Roman" w:hAnsi="Times New Roman"/>
          <w:sz w:val="16"/>
          <w:szCs w:val="16"/>
          <w:color w:val="auto"/>
        </w:rPr>
      </w:pPr>
    </w:p>
    <w:p>
      <w:pPr>
        <w:ind w:left="1020" w:right="240" w:hanging="503"/>
        <w:spacing w:after="0" w:line="257" w:lineRule="auto"/>
        <w:tabs>
          <w:tab w:leader="none" w:pos="102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Gas Utilities’ operating income increased $42.5 million primarily due to new rates and rider recovery driven by the Colorado Gas, Iowa Gas, RMNG and Wyoming Gas rate reviews, retail customer growth and usage, favorable mark-to-market on commodity contracts, and lower employee-related expenses partially offset by $15.9 million of unfavorable weather and higher depreciation driven by capital expenditures;</w:t>
      </w:r>
    </w:p>
    <w:p>
      <w:pPr>
        <w:spacing w:after="0" w:line="2"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Corporate and other operating loss decreased $3.7 million due to lower unallocated operating expenses;</w:t>
      </w:r>
    </w:p>
    <w:p>
      <w:pPr>
        <w:spacing w:after="0" w:line="58" w:lineRule="exact"/>
        <w:rPr>
          <w:rFonts w:ascii="Times New Roman" w:cs="Times New Roman" w:eastAsia="Times New Roman" w:hAnsi="Times New Roman"/>
          <w:sz w:val="16"/>
          <w:szCs w:val="16"/>
          <w:color w:val="auto"/>
        </w:rPr>
      </w:pPr>
    </w:p>
    <w:p>
      <w:pPr>
        <w:ind w:left="1020" w:right="180" w:hanging="503"/>
        <w:spacing w:after="0" w:line="272" w:lineRule="auto"/>
        <w:tabs>
          <w:tab w:leader="none" w:pos="102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Net interest expense increased $13.8 million primarily due to higher interest rates partially offset by increased interest income and increased AFUDC debt driven by higher construction work-in-progress balances;</w:t>
      </w:r>
    </w:p>
    <w:p>
      <w:pPr>
        <w:ind w:left="1020" w:hanging="503"/>
        <w:spacing w:after="0"/>
        <w:tabs>
          <w:tab w:leader="none" w:pos="102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Other (expense), net decreased $1.8 million primarily due to higher AFUDC equity driven by higher construction work-in-progress balances;</w:t>
      </w:r>
    </w:p>
    <w:p>
      <w:pPr>
        <w:spacing w:after="0" w:line="44" w:lineRule="exact"/>
        <w:rPr>
          <w:rFonts w:ascii="Times New Roman" w:cs="Times New Roman" w:eastAsia="Times New Roman" w:hAnsi="Times New Roman"/>
          <w:sz w:val="16"/>
          <w:szCs w:val="16"/>
          <w:color w:val="auto"/>
        </w:rPr>
      </w:pPr>
    </w:p>
    <w:p>
      <w:pPr>
        <w:ind w:left="1020" w:right="220" w:hanging="503"/>
        <w:spacing w:after="0" w:line="272" w:lineRule="auto"/>
        <w:tabs>
          <w:tab w:leader="none" w:pos="102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Income tax (expense) increased $10.7 million driven by higher pre-tax income and a higher effective tax rate primarily due to an $8.2 million tax benefit in 2023 from a Nebraska income tax rate decrease; and</w:t>
      </w:r>
    </w:p>
    <w:p>
      <w:pPr>
        <w:ind w:left="1020" w:right="420" w:hanging="503"/>
        <w:spacing w:after="0" w:line="285" w:lineRule="auto"/>
        <w:tabs>
          <w:tab w:leader="none" w:pos="102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Net income attributable to non-controlling interest decreased $3.2 million due to lower net income from Black Hills Colorado IPP primarily driven by unplanned generation outages.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Operating Results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Non-GAAP Financial Measure</w:t>
      </w:r>
    </w:p>
    <w:p>
      <w:pPr>
        <w:spacing w:after="0" w:line="192"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The following discussion includes financial information prepared in accordance with GAAP and a “non-GAAP financial measure", Electric and Gas Utility margin. Generally, a non-GAAP financial measure is a numerical measure of a company’s financial performance, financial position or cash flows that excludes (or includes) amounts that are included in (or excluded from) the most directly comparable measure calculated and presented in accordance with GAAP. Electric and Gas Utility margin (revenue less cost of sales) is a non-GAAP financial measure due to the exclusion of operation and maintenance expenses, depreciation and amortization expenses, and taxes other than income taxes from the measure. Electric Utility margin is calculated as operating revenue less cost of fuel and purchased power. Gas Utility margin is calculated as operating revenue less cost of natural gas sold. Our Electric and Gas Utility margin is impacted by the fluctuations in power and natural gas purchases and other fuel supply costs. However, while these fluctuating costs impact Electric and Gas Utility margin as a percentage of revenue, they only impact total Electric and Gas Utility margin if the costs cannot be passed through to our customers. Our Electric and Gas Utility margin measure may not be comparable to other companies’ Electric and Gas Utility margin measures. Furthermore, this measure is not intended to replace operating income as determined in accordance with GAAP as an indicator of operating performance.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Electric Utilities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Operating results for the years ended December 31 for the Electric Utilities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center"/>
              <w:ind w:right="179"/>
              <w:spacing w:after="0"/>
              <w:rPr>
                <w:sz w:val="20"/>
                <w:szCs w:val="20"/>
                <w:color w:val="auto"/>
              </w:rPr>
            </w:pPr>
            <w:r>
              <w:rPr>
                <w:rFonts w:ascii="Arial" w:cs="Arial" w:eastAsia="Arial" w:hAnsi="Arial"/>
                <w:sz w:val="16"/>
                <w:szCs w:val="16"/>
                <w:b w:val="1"/>
                <w:bCs w:val="1"/>
                <w:color w:val="auto"/>
              </w:rPr>
              <w:t>2024 vs 2023</w:t>
            </w: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ind w:right="279"/>
              <w:spacing w:after="0"/>
              <w:rPr>
                <w:sz w:val="20"/>
                <w:szCs w:val="20"/>
                <w:color w:val="auto"/>
              </w:rPr>
            </w:pPr>
            <w:r>
              <w:rPr>
                <w:rFonts w:ascii="Arial" w:cs="Arial" w:eastAsia="Arial" w:hAnsi="Arial"/>
                <w:sz w:val="16"/>
                <w:szCs w:val="16"/>
                <w:b w:val="1"/>
                <w:bCs w:val="1"/>
                <w:color w:val="auto"/>
              </w:rPr>
              <w:t>2023 vs 2022</w:t>
            </w:r>
          </w:p>
        </w:tc>
        <w:tc>
          <w:tcPr>
            <w:tcW w:w="0" w:type="dxa"/>
            <w:vAlign w:val="bottom"/>
          </w:tcPr>
          <w:p>
            <w:pPr>
              <w:spacing w:after="0"/>
              <w:rPr>
                <w:sz w:val="1"/>
                <w:szCs w:val="1"/>
                <w:color w:val="auto"/>
              </w:rPr>
            </w:pPr>
          </w:p>
        </w:tc>
      </w:tr>
      <w:tr>
        <w:trPr>
          <w:trHeight w:val="203"/>
        </w:trPr>
        <w:tc>
          <w:tcPr>
            <w:tcW w:w="1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4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Variance</w:t>
            </w: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Variance</w:t>
            </w:r>
          </w:p>
        </w:tc>
        <w:tc>
          <w:tcPr>
            <w:tcW w:w="0" w:type="dxa"/>
            <w:vAlign w:val="bottom"/>
          </w:tcPr>
          <w:p>
            <w:pPr>
              <w:spacing w:after="0"/>
              <w:rPr>
                <w:sz w:val="1"/>
                <w:szCs w:val="1"/>
                <w:color w:val="auto"/>
              </w:rPr>
            </w:pPr>
          </w:p>
        </w:tc>
      </w:tr>
      <w:tr>
        <w:trPr>
          <w:trHeight w:val="183"/>
        </w:trPr>
        <w:tc>
          <w:tcPr>
            <w:tcW w:w="1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39"/>
              <w:spacing w:after="0" w:line="183" w:lineRule="exact"/>
              <w:rPr>
                <w:sz w:val="20"/>
                <w:szCs w:val="20"/>
                <w:color w:val="auto"/>
              </w:rPr>
            </w:pPr>
            <w:r>
              <w:rPr>
                <w:rFonts w:ascii="Arial" w:cs="Arial" w:eastAsia="Arial" w:hAnsi="Arial"/>
                <w:sz w:val="16"/>
                <w:szCs w:val="16"/>
                <w:color w:val="auto"/>
              </w:rPr>
              <w:t>(in millions)</w:t>
            </w:r>
          </w:p>
        </w:tc>
        <w:tc>
          <w:tcPr>
            <w:tcW w:w="3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540" w:type="dxa"/>
            <w:vAlign w:val="bottom"/>
            <w:gridSpan w:val="4"/>
            <w:shd w:val="clear" w:color="auto" w:fill="CFF0FC"/>
          </w:tcPr>
          <w:p>
            <w:pPr>
              <w:ind w:left="20"/>
              <w:spacing w:after="0" w:line="183" w:lineRule="exact"/>
              <w:rPr>
                <w:sz w:val="20"/>
                <w:szCs w:val="20"/>
                <w:color w:val="auto"/>
              </w:rPr>
            </w:pPr>
            <w:r>
              <w:rPr>
                <w:rFonts w:ascii="Arial" w:cs="Arial" w:eastAsia="Arial" w:hAnsi="Arial"/>
                <w:sz w:val="16"/>
                <w:szCs w:val="16"/>
                <w:color w:val="auto"/>
              </w:rPr>
              <w:t>Total revenue</w:t>
            </w:r>
          </w:p>
        </w:tc>
        <w:tc>
          <w:tcPr>
            <w:tcW w:w="320" w:type="dxa"/>
            <w:vAlign w:val="bottom"/>
            <w:shd w:val="clear" w:color="auto" w:fill="CFF0FC"/>
          </w:tcPr>
          <w:p>
            <w:pPr>
              <w:jc w:val="right"/>
              <w:ind w:right="139"/>
              <w:spacing w:after="0" w:line="183" w:lineRule="exact"/>
              <w:rPr>
                <w:sz w:val="20"/>
                <w:szCs w:val="20"/>
                <w:color w:val="auto"/>
              </w:rPr>
            </w:pPr>
            <w:r>
              <w:rPr>
                <w:rFonts w:ascii="Arial" w:cs="Arial" w:eastAsia="Arial" w:hAnsi="Arial"/>
                <w:sz w:val="16"/>
                <w:szCs w:val="16"/>
                <w:color w:val="auto"/>
                <w:w w:val="89"/>
              </w:rPr>
              <w:t>$</w:t>
            </w:r>
          </w:p>
        </w:tc>
        <w:tc>
          <w:tcPr>
            <w:tcW w:w="1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876.1</w:t>
            </w:r>
          </w:p>
        </w:tc>
        <w:tc>
          <w:tcPr>
            <w:tcW w:w="400" w:type="dxa"/>
            <w:vAlign w:val="bottom"/>
            <w:shd w:val="clear" w:color="auto" w:fill="CFF0FC"/>
          </w:tcPr>
          <w:p>
            <w:pPr>
              <w:jc w:val="right"/>
              <w:ind w:right="159"/>
              <w:spacing w:after="0" w:line="183" w:lineRule="exact"/>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865.0</w:t>
            </w:r>
          </w:p>
        </w:tc>
        <w:tc>
          <w:tcPr>
            <w:tcW w:w="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11.1</w:t>
            </w:r>
          </w:p>
        </w:tc>
        <w:tc>
          <w:tcPr>
            <w:tcW w:w="380" w:type="dxa"/>
            <w:vAlign w:val="bottom"/>
            <w:shd w:val="clear" w:color="auto" w:fill="CFF0FC"/>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900.2</w:t>
            </w:r>
          </w:p>
        </w:tc>
        <w:tc>
          <w:tcPr>
            <w:tcW w:w="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(35.2 )</w:t>
            </w:r>
          </w:p>
        </w:tc>
        <w:tc>
          <w:tcPr>
            <w:tcW w:w="0" w:type="dxa"/>
            <w:vAlign w:val="bottom"/>
          </w:tcPr>
          <w:p>
            <w:pPr>
              <w:spacing w:after="0"/>
              <w:rPr>
                <w:sz w:val="1"/>
                <w:szCs w:val="1"/>
                <w:color w:val="auto"/>
              </w:rPr>
            </w:pPr>
          </w:p>
        </w:tc>
      </w:tr>
      <w:tr>
        <w:trPr>
          <w:trHeight w:val="189"/>
        </w:trPr>
        <w:tc>
          <w:tcPr>
            <w:tcW w:w="3540" w:type="dxa"/>
            <w:vAlign w:val="bottom"/>
            <w:tcBorders>
              <w:bottom w:val="single" w:sz="8" w:color="CFF0FC"/>
            </w:tcBorders>
            <w:gridSpan w:val="4"/>
          </w:tcPr>
          <w:p>
            <w:pPr>
              <w:ind w:left="20"/>
              <w:spacing w:after="0"/>
              <w:rPr>
                <w:sz w:val="20"/>
                <w:szCs w:val="20"/>
                <w:color w:val="auto"/>
              </w:rPr>
            </w:pPr>
            <w:r>
              <w:rPr>
                <w:rFonts w:ascii="Arial" w:cs="Arial" w:eastAsia="Arial" w:hAnsi="Arial"/>
                <w:sz w:val="16"/>
                <w:szCs w:val="16"/>
                <w:color w:val="auto"/>
              </w:rPr>
              <w:t>Fuel and purchased power:</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206.4</w:t>
            </w:r>
          </w:p>
        </w:tc>
        <w:tc>
          <w:tcPr>
            <w:tcW w:w="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200.1</w:t>
            </w: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266.3</w:t>
            </w: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(66.2 )</w:t>
            </w:r>
          </w:p>
        </w:tc>
        <w:tc>
          <w:tcPr>
            <w:tcW w:w="0" w:type="dxa"/>
            <w:vAlign w:val="bottom"/>
          </w:tcPr>
          <w:p>
            <w:pPr>
              <w:spacing w:after="0"/>
              <w:rPr>
                <w:sz w:val="1"/>
                <w:szCs w:val="1"/>
                <w:color w:val="auto"/>
              </w:rPr>
            </w:pPr>
          </w:p>
        </w:tc>
      </w:tr>
      <w:tr>
        <w:trPr>
          <w:trHeight w:val="183"/>
        </w:trPr>
        <w:tc>
          <w:tcPr>
            <w:tcW w:w="3540" w:type="dxa"/>
            <w:vAlign w:val="bottom"/>
            <w:tcBorders>
              <w:bottom w:val="single" w:sz="8" w:color="CFF0FC"/>
            </w:tcBorders>
            <w:gridSpan w:val="4"/>
            <w:shd w:val="clear" w:color="auto" w:fill="CFF0FC"/>
          </w:tcPr>
          <w:p>
            <w:pPr>
              <w:ind w:left="20"/>
              <w:spacing w:after="0" w:line="183" w:lineRule="exact"/>
              <w:rPr>
                <w:sz w:val="20"/>
                <w:szCs w:val="20"/>
                <w:color w:val="auto"/>
              </w:rPr>
            </w:pPr>
            <w:r>
              <w:rPr>
                <w:rFonts w:ascii="Arial" w:cs="Arial" w:eastAsia="Arial" w:hAnsi="Arial"/>
                <w:sz w:val="16"/>
                <w:szCs w:val="16"/>
                <w:color w:val="auto"/>
              </w:rPr>
              <w:t>Electric Utility margin (non-GAAP)</w:t>
            </w:r>
          </w:p>
        </w:tc>
        <w:tc>
          <w:tcPr>
            <w:tcW w:w="32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669.7</w:t>
            </w:r>
          </w:p>
        </w:tc>
        <w:tc>
          <w:tcPr>
            <w:tcW w:w="40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664.9</w:t>
            </w:r>
          </w:p>
        </w:tc>
        <w:tc>
          <w:tcPr>
            <w:tcW w:w="22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4.8</w:t>
            </w:r>
          </w:p>
        </w:tc>
        <w:tc>
          <w:tcPr>
            <w:tcW w:w="38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633.9</w:t>
            </w:r>
          </w:p>
        </w:tc>
        <w:tc>
          <w:tcPr>
            <w:tcW w:w="22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31.0</w:t>
            </w:r>
          </w:p>
        </w:tc>
        <w:tc>
          <w:tcPr>
            <w:tcW w:w="0" w:type="dxa"/>
            <w:vAlign w:val="bottom"/>
          </w:tcPr>
          <w:p>
            <w:pPr>
              <w:spacing w:after="0"/>
              <w:rPr>
                <w:sz w:val="1"/>
                <w:szCs w:val="1"/>
                <w:color w:val="auto"/>
              </w:rPr>
            </w:pPr>
          </w:p>
        </w:tc>
      </w:tr>
      <w:tr>
        <w:trPr>
          <w:trHeight w:val="183"/>
        </w:trPr>
        <w:tc>
          <w:tcPr>
            <w:tcW w:w="1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40" w:type="dxa"/>
            <w:vAlign w:val="bottom"/>
            <w:gridSpan w:val="4"/>
            <w:shd w:val="clear" w:color="auto" w:fill="CFF0FC"/>
          </w:tcPr>
          <w:p>
            <w:pPr>
              <w:ind w:left="20"/>
              <w:spacing w:after="0"/>
              <w:rPr>
                <w:sz w:val="20"/>
                <w:szCs w:val="20"/>
                <w:color w:val="auto"/>
              </w:rPr>
            </w:pPr>
            <w:r>
              <w:rPr>
                <w:rFonts w:ascii="Arial" w:cs="Arial" w:eastAsia="Arial" w:hAnsi="Arial"/>
                <w:sz w:val="16"/>
                <w:szCs w:val="16"/>
                <w:color w:val="auto"/>
              </w:rPr>
              <w:t>Operations and maintenance</w:t>
            </w:r>
          </w:p>
        </w:tc>
        <w:tc>
          <w:tcPr>
            <w:tcW w:w="32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252.6</w:t>
            </w:r>
          </w:p>
        </w:tc>
        <w:tc>
          <w:tcPr>
            <w:tcW w:w="4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236.2</w:t>
            </w:r>
          </w:p>
        </w:tc>
        <w:tc>
          <w:tcPr>
            <w:tcW w:w="2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w:t>
            </w:r>
          </w:p>
        </w:tc>
        <w:tc>
          <w:tcPr>
            <w:tcW w:w="38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244.8</w:t>
            </w:r>
          </w:p>
        </w:tc>
        <w:tc>
          <w:tcPr>
            <w:tcW w:w="22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(8.6 )</w:t>
            </w:r>
          </w:p>
        </w:tc>
        <w:tc>
          <w:tcPr>
            <w:tcW w:w="0" w:type="dxa"/>
            <w:vAlign w:val="bottom"/>
          </w:tcPr>
          <w:p>
            <w:pPr>
              <w:spacing w:after="0"/>
              <w:rPr>
                <w:sz w:val="1"/>
                <w:szCs w:val="1"/>
                <w:color w:val="auto"/>
              </w:rPr>
            </w:pPr>
          </w:p>
        </w:tc>
      </w:tr>
      <w:tr>
        <w:trPr>
          <w:trHeight w:val="189"/>
        </w:trPr>
        <w:tc>
          <w:tcPr>
            <w:tcW w:w="3540" w:type="dxa"/>
            <w:vAlign w:val="bottom"/>
            <w:gridSpan w:val="4"/>
          </w:tcPr>
          <w:p>
            <w:pPr>
              <w:ind w:left="2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145.3</w:t>
            </w:r>
          </w:p>
        </w:tc>
        <w:tc>
          <w:tcPr>
            <w:tcW w:w="4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142.6</w:t>
            </w: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2.7</w:t>
            </w:r>
          </w:p>
        </w:tc>
        <w:tc>
          <w:tcPr>
            <w:tcW w:w="3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135.9</w:t>
            </w:r>
          </w:p>
        </w:tc>
        <w:tc>
          <w:tcPr>
            <w:tcW w:w="220" w:type="dxa"/>
            <w:vAlign w:val="bottom"/>
          </w:tcPr>
          <w:p>
            <w:pPr>
              <w:spacing w:after="0"/>
              <w:rPr>
                <w:sz w:val="16"/>
                <w:szCs w:val="16"/>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189"/>
        </w:trPr>
        <w:tc>
          <w:tcPr>
            <w:tcW w:w="3540" w:type="dxa"/>
            <w:vAlign w:val="bottom"/>
            <w:tcBorders>
              <w:bottom w:val="single" w:sz="8" w:color="CFF0FC"/>
            </w:tcBorders>
            <w:gridSpan w:val="4"/>
            <w:shd w:val="clear" w:color="auto" w:fill="CFF0FC"/>
          </w:tcPr>
          <w:p>
            <w:pPr>
              <w:ind w:left="20"/>
              <w:spacing w:after="0"/>
              <w:rPr>
                <w:sz w:val="20"/>
                <w:szCs w:val="20"/>
                <w:color w:val="auto"/>
              </w:rPr>
            </w:pPr>
            <w:r>
              <w:rPr>
                <w:rFonts w:ascii="Arial" w:cs="Arial" w:eastAsia="Arial" w:hAnsi="Arial"/>
                <w:sz w:val="16"/>
                <w:szCs w:val="16"/>
                <w:color w:val="auto"/>
              </w:rPr>
              <w:t>Taxes other than income taxes</w:t>
            </w:r>
          </w:p>
        </w:tc>
        <w:tc>
          <w:tcPr>
            <w:tcW w:w="32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38.8</w:t>
            </w:r>
          </w:p>
        </w:tc>
        <w:tc>
          <w:tcPr>
            <w:tcW w:w="40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37.3</w:t>
            </w:r>
          </w:p>
        </w:tc>
        <w:tc>
          <w:tcPr>
            <w:tcW w:w="22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38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38.9</w:t>
            </w:r>
          </w:p>
        </w:tc>
        <w:tc>
          <w:tcPr>
            <w:tcW w:w="220" w:type="dxa"/>
            <w:vAlign w:val="bottom"/>
            <w:tcBorders>
              <w:bottom w:val="single" w:sz="8" w:color="auto"/>
            </w:tcBorders>
            <w:shd w:val="clear" w:color="auto" w:fill="CFF0FC"/>
          </w:tcPr>
          <w:p>
            <w:pPr>
              <w:spacing w:after="0"/>
              <w:rPr>
                <w:sz w:val="16"/>
                <w:szCs w:val="16"/>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(1.6 )</w:t>
            </w:r>
          </w:p>
        </w:tc>
        <w:tc>
          <w:tcPr>
            <w:tcW w:w="0" w:type="dxa"/>
            <w:vAlign w:val="bottom"/>
          </w:tcPr>
          <w:p>
            <w:pPr>
              <w:spacing w:after="0"/>
              <w:rPr>
                <w:sz w:val="1"/>
                <w:szCs w:val="1"/>
                <w:color w:val="auto"/>
              </w:rPr>
            </w:pPr>
          </w:p>
        </w:tc>
      </w:tr>
      <w:tr>
        <w:trPr>
          <w:trHeight w:val="183"/>
        </w:trPr>
        <w:tc>
          <w:tcPr>
            <w:tcW w:w="1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436.7</w:t>
            </w:r>
          </w:p>
        </w:tc>
        <w:tc>
          <w:tcPr>
            <w:tcW w:w="4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416.1</w:t>
            </w: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20.6</w:t>
            </w:r>
          </w:p>
        </w:tc>
        <w:tc>
          <w:tcPr>
            <w:tcW w:w="3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419.6</w:t>
            </w: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(3.5 )</w:t>
            </w:r>
          </w:p>
        </w:tc>
        <w:tc>
          <w:tcPr>
            <w:tcW w:w="0" w:type="dxa"/>
            <w:vAlign w:val="bottom"/>
          </w:tcPr>
          <w:p>
            <w:pPr>
              <w:spacing w:after="0"/>
              <w:rPr>
                <w:sz w:val="1"/>
                <w:szCs w:val="1"/>
                <w:color w:val="auto"/>
              </w:rPr>
            </w:pPr>
          </w:p>
        </w:tc>
      </w:tr>
      <w:tr>
        <w:trPr>
          <w:trHeight w:val="183"/>
        </w:trPr>
        <w:tc>
          <w:tcPr>
            <w:tcW w:w="15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24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700" w:type="dxa"/>
            <w:vAlign w:val="bottom"/>
            <w:tcBorders>
              <w:bottom w:val="single" w:sz="8" w:color="auto"/>
            </w:tcBorders>
            <w:gridSpan w:val="2"/>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540" w:type="dxa"/>
            <w:vAlign w:val="bottom"/>
            <w:gridSpan w:val="4"/>
          </w:tcPr>
          <w:p>
            <w:pPr>
              <w:ind w:left="20"/>
              <w:spacing w:after="0" w:line="183" w:lineRule="exact"/>
              <w:rPr>
                <w:sz w:val="20"/>
                <w:szCs w:val="20"/>
                <w:color w:val="auto"/>
              </w:rPr>
            </w:pPr>
            <w:r>
              <w:rPr>
                <w:rFonts w:ascii="Arial" w:cs="Arial" w:eastAsia="Arial" w:hAnsi="Arial"/>
                <w:sz w:val="16"/>
                <w:szCs w:val="16"/>
                <w:color w:val="auto"/>
              </w:rPr>
              <w:t>Operating income</w:t>
            </w:r>
          </w:p>
        </w:tc>
        <w:tc>
          <w:tcPr>
            <w:tcW w:w="32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233.0</w:t>
            </w:r>
          </w:p>
        </w:tc>
        <w:tc>
          <w:tcPr>
            <w:tcW w:w="400" w:type="dxa"/>
            <w:vAlign w:val="bottom"/>
            <w:tcBorders>
              <w:bottom w:val="single" w:sz="8" w:color="auto"/>
            </w:tcBorders>
          </w:tcPr>
          <w:p>
            <w:pPr>
              <w:jc w:val="right"/>
              <w:ind w:right="159"/>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248.8</w:t>
            </w:r>
          </w:p>
        </w:tc>
        <w:tc>
          <w:tcPr>
            <w:tcW w:w="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gridSpan w:val="2"/>
          </w:tcPr>
          <w:p>
            <w:pPr>
              <w:jc w:val="right"/>
              <w:ind w:right="139"/>
              <w:spacing w:after="0" w:line="183" w:lineRule="exact"/>
              <w:rPr>
                <w:sz w:val="20"/>
                <w:szCs w:val="20"/>
                <w:color w:val="auto"/>
              </w:rPr>
            </w:pPr>
            <w:r>
              <w:rPr>
                <w:rFonts w:ascii="Arial" w:cs="Arial" w:eastAsia="Arial" w:hAnsi="Arial"/>
                <w:sz w:val="16"/>
                <w:szCs w:val="16"/>
                <w:color w:val="auto"/>
              </w:rPr>
              <w:t>(15.8 ) $</w:t>
            </w: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214.3</w:t>
            </w:r>
          </w:p>
        </w:tc>
        <w:tc>
          <w:tcPr>
            <w:tcW w:w="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34.5</w:t>
            </w:r>
          </w:p>
        </w:tc>
        <w:tc>
          <w:tcPr>
            <w:tcW w:w="0" w:type="dxa"/>
            <w:vAlign w:val="bottom"/>
          </w:tcPr>
          <w:p>
            <w:pPr>
              <w:spacing w:after="0"/>
              <w:rPr>
                <w:sz w:val="1"/>
                <w:szCs w:val="1"/>
                <w:color w:val="auto"/>
              </w:rPr>
            </w:pPr>
          </w:p>
        </w:tc>
      </w:tr>
      <w:tr>
        <w:trPr>
          <w:trHeight w:val="20"/>
        </w:trPr>
        <w:tc>
          <w:tcPr>
            <w:tcW w:w="1760" w:type="dxa"/>
            <w:vAlign w:val="bottom"/>
            <w:gridSpan w:val="2"/>
            <w:vMerge w:val="restart"/>
          </w:tcPr>
          <w:p>
            <w:pPr>
              <w:spacing w:after="0"/>
              <w:rPr>
                <w:sz w:val="20"/>
                <w:szCs w:val="20"/>
                <w:color w:val="auto"/>
              </w:rPr>
            </w:pPr>
            <w:r>
              <w:rPr>
                <w:rFonts w:ascii="Arial" w:cs="Arial" w:eastAsia="Arial" w:hAnsi="Arial"/>
                <w:sz w:val="16"/>
                <w:szCs w:val="16"/>
                <w:color w:val="auto"/>
              </w:rPr>
              <w:t>2024 Compared to 2023</w:t>
            </w:r>
          </w:p>
        </w:tc>
        <w:tc>
          <w:tcPr>
            <w:tcW w:w="1780" w:type="dxa"/>
            <w:vAlign w:val="bottom"/>
            <w:gridSpan w:val="2"/>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1760" w:type="dxa"/>
            <w:vAlign w:val="bottom"/>
            <w:tcBorders>
              <w:bottom w:val="single" w:sz="8" w:color="auto"/>
            </w:tcBorders>
            <w:gridSpan w:val="2"/>
            <w:vMerge w:val="continue"/>
          </w:tcPr>
          <w:p>
            <w:pPr>
              <w:spacing w:after="0"/>
              <w:rPr>
                <w:sz w:val="24"/>
                <w:szCs w:val="24"/>
                <w:color w:val="auto"/>
              </w:rPr>
            </w:pPr>
          </w:p>
        </w:tc>
        <w:tc>
          <w:tcPr>
            <w:tcW w:w="17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540" w:type="dxa"/>
            <w:vAlign w:val="bottom"/>
            <w:gridSpan w:val="4"/>
          </w:tcPr>
          <w:p>
            <w:pPr>
              <w:spacing w:after="0"/>
              <w:rPr>
                <w:sz w:val="20"/>
                <w:szCs w:val="20"/>
                <w:color w:val="auto"/>
              </w:rPr>
            </w:pPr>
            <w:r>
              <w:rPr>
                <w:rFonts w:ascii="Arial" w:cs="Arial" w:eastAsia="Arial" w:hAnsi="Arial"/>
                <w:sz w:val="16"/>
                <w:szCs w:val="16"/>
                <w:color w:val="auto"/>
              </w:rPr>
              <w:t>Electric Utility margin increased as a result of:</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5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(in millions)</w:t>
            </w:r>
          </w:p>
        </w:tc>
        <w:tc>
          <w:tcPr>
            <w:tcW w:w="0" w:type="dxa"/>
            <w:vAlign w:val="bottom"/>
          </w:tcPr>
          <w:p>
            <w:pPr>
              <w:spacing w:after="0"/>
              <w:rPr>
                <w:sz w:val="1"/>
                <w:szCs w:val="1"/>
                <w:color w:val="auto"/>
              </w:rPr>
            </w:pPr>
          </w:p>
        </w:tc>
      </w:tr>
      <w:tr>
        <w:trPr>
          <w:trHeight w:val="183"/>
        </w:trPr>
        <w:tc>
          <w:tcPr>
            <w:tcW w:w="3540" w:type="dxa"/>
            <w:vAlign w:val="bottom"/>
            <w:gridSpan w:val="4"/>
            <w:shd w:val="clear" w:color="auto" w:fill="CFF0FC"/>
          </w:tcPr>
          <w:p>
            <w:pPr>
              <w:ind w:left="20"/>
              <w:spacing w:after="0" w:line="183" w:lineRule="exact"/>
              <w:rPr>
                <w:sz w:val="20"/>
                <w:szCs w:val="20"/>
                <w:color w:val="auto"/>
              </w:rPr>
            </w:pPr>
            <w:r>
              <w:rPr>
                <w:rFonts w:ascii="Arial" w:cs="Arial" w:eastAsia="Arial" w:hAnsi="Arial"/>
                <w:sz w:val="16"/>
                <w:szCs w:val="16"/>
                <w:color w:val="auto"/>
              </w:rPr>
              <w:t>New rates and rider recovery</w:t>
            </w:r>
          </w:p>
        </w:tc>
        <w:tc>
          <w:tcPr>
            <w:tcW w:w="3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140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189"/>
        </w:trPr>
        <w:tc>
          <w:tcPr>
            <w:tcW w:w="3540" w:type="dxa"/>
            <w:vAlign w:val="bottom"/>
            <w:gridSpan w:val="4"/>
          </w:tcPr>
          <w:p>
            <w:pPr>
              <w:ind w:left="20"/>
              <w:spacing w:after="0"/>
              <w:rPr>
                <w:sz w:val="20"/>
                <w:szCs w:val="20"/>
                <w:color w:val="auto"/>
              </w:rPr>
            </w:pPr>
            <w:r>
              <w:rPr>
                <w:rFonts w:ascii="Arial" w:cs="Arial" w:eastAsia="Arial" w:hAnsi="Arial"/>
                <w:sz w:val="16"/>
                <w:szCs w:val="16"/>
                <w:color w:val="auto"/>
              </w:rPr>
              <w:t>Retail customer growth and usage</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89"/>
        </w:trPr>
        <w:tc>
          <w:tcPr>
            <w:tcW w:w="3540" w:type="dxa"/>
            <w:vAlign w:val="bottom"/>
            <w:gridSpan w:val="4"/>
            <w:shd w:val="clear" w:color="auto" w:fill="CFF0FC"/>
          </w:tcPr>
          <w:p>
            <w:pPr>
              <w:ind w:left="20"/>
              <w:spacing w:after="0"/>
              <w:rPr>
                <w:sz w:val="20"/>
                <w:szCs w:val="20"/>
                <w:color w:val="auto"/>
              </w:rPr>
            </w:pPr>
            <w:r>
              <w:rPr>
                <w:rFonts w:ascii="Arial" w:cs="Arial" w:eastAsia="Arial" w:hAnsi="Arial"/>
                <w:sz w:val="16"/>
                <w:szCs w:val="16"/>
                <w:color w:val="auto"/>
              </w:rPr>
              <w:t>Weather</w:t>
            </w:r>
          </w:p>
        </w:tc>
        <w:tc>
          <w:tcPr>
            <w:tcW w:w="32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89"/>
        </w:trPr>
        <w:tc>
          <w:tcPr>
            <w:tcW w:w="3540" w:type="dxa"/>
            <w:vAlign w:val="bottom"/>
            <w:gridSpan w:val="4"/>
          </w:tcPr>
          <w:p>
            <w:pPr>
              <w:ind w:left="20"/>
              <w:spacing w:after="0"/>
              <w:rPr>
                <w:sz w:val="20"/>
                <w:szCs w:val="20"/>
                <w:color w:val="auto"/>
              </w:rPr>
            </w:pPr>
            <w:r>
              <w:rPr>
                <w:rFonts w:ascii="Arial" w:cs="Arial" w:eastAsia="Arial" w:hAnsi="Arial"/>
                <w:sz w:val="16"/>
                <w:szCs w:val="16"/>
                <w:color w:val="auto"/>
              </w:rPr>
              <w:t>Off-system excess energy sales</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(7.8 )</w:t>
            </w:r>
          </w:p>
        </w:tc>
        <w:tc>
          <w:tcPr>
            <w:tcW w:w="0" w:type="dxa"/>
            <w:vAlign w:val="bottom"/>
          </w:tcPr>
          <w:p>
            <w:pPr>
              <w:spacing w:after="0"/>
              <w:rPr>
                <w:sz w:val="1"/>
                <w:szCs w:val="1"/>
                <w:color w:val="auto"/>
              </w:rPr>
            </w:pPr>
          </w:p>
        </w:tc>
      </w:tr>
      <w:tr>
        <w:trPr>
          <w:trHeight w:val="189"/>
        </w:trPr>
        <w:tc>
          <w:tcPr>
            <w:tcW w:w="5420" w:type="dxa"/>
            <w:vAlign w:val="bottom"/>
            <w:gridSpan w:val="7"/>
            <w:shd w:val="clear" w:color="auto" w:fill="CFF0FC"/>
          </w:tcPr>
          <w:p>
            <w:pPr>
              <w:ind w:left="20"/>
              <w:spacing w:after="0" w:line="189" w:lineRule="exact"/>
              <w:rPr>
                <w:sz w:val="20"/>
                <w:szCs w:val="20"/>
                <w:color w:val="auto"/>
              </w:rPr>
            </w:pPr>
            <w:r>
              <w:rPr>
                <w:rFonts w:ascii="Arial" w:cs="Arial" w:eastAsia="Arial" w:hAnsi="Arial"/>
                <w:sz w:val="16"/>
                <w:szCs w:val="16"/>
                <w:color w:val="auto"/>
              </w:rPr>
              <w:t xml:space="preserve">2023 Wygen I revenue recovery under business interruption insurance </w:t>
            </w:r>
            <w:r>
              <w:rPr>
                <w:rFonts w:ascii="Arial" w:cs="Arial" w:eastAsia="Arial" w:hAnsi="Arial"/>
                <w:sz w:val="21"/>
                <w:szCs w:val="21"/>
                <w:color w:val="auto"/>
                <w:vertAlign w:val="superscript"/>
              </w:rPr>
              <w:t>(a)</w:t>
            </w:r>
          </w:p>
        </w:tc>
        <w:tc>
          <w:tcPr>
            <w:tcW w:w="1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(5.0 )</w:t>
            </w:r>
          </w:p>
        </w:tc>
        <w:tc>
          <w:tcPr>
            <w:tcW w:w="0" w:type="dxa"/>
            <w:vAlign w:val="bottom"/>
          </w:tcPr>
          <w:p>
            <w:pPr>
              <w:spacing w:after="0"/>
              <w:rPr>
                <w:sz w:val="1"/>
                <w:szCs w:val="1"/>
                <w:color w:val="auto"/>
              </w:rPr>
            </w:pPr>
          </w:p>
        </w:tc>
      </w:tr>
      <w:tr>
        <w:trPr>
          <w:trHeight w:val="189"/>
        </w:trPr>
        <w:tc>
          <w:tcPr>
            <w:tcW w:w="3540" w:type="dxa"/>
            <w:vAlign w:val="bottom"/>
            <w:gridSpan w:val="4"/>
          </w:tcPr>
          <w:p>
            <w:pPr>
              <w:ind w:left="20"/>
              <w:spacing w:after="0"/>
              <w:rPr>
                <w:sz w:val="20"/>
                <w:szCs w:val="20"/>
                <w:color w:val="auto"/>
              </w:rPr>
            </w:pPr>
            <w:r>
              <w:rPr>
                <w:rFonts w:ascii="Arial" w:cs="Arial" w:eastAsia="Arial" w:hAnsi="Arial"/>
                <w:sz w:val="16"/>
                <w:szCs w:val="16"/>
                <w:color w:val="auto"/>
              </w:rPr>
              <w:t>Unplanned generation outages</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(4.0 )</w:t>
            </w:r>
          </w:p>
        </w:tc>
        <w:tc>
          <w:tcPr>
            <w:tcW w:w="0" w:type="dxa"/>
            <w:vAlign w:val="bottom"/>
          </w:tcPr>
          <w:p>
            <w:pPr>
              <w:spacing w:after="0"/>
              <w:rPr>
                <w:sz w:val="1"/>
                <w:szCs w:val="1"/>
                <w:color w:val="auto"/>
              </w:rPr>
            </w:pPr>
          </w:p>
        </w:tc>
      </w:tr>
      <w:tr>
        <w:trPr>
          <w:trHeight w:val="189"/>
        </w:trPr>
        <w:tc>
          <w:tcPr>
            <w:tcW w:w="3540" w:type="dxa"/>
            <w:vAlign w:val="bottom"/>
            <w:tcBorders>
              <w:bottom w:val="single" w:sz="8" w:color="CFF0FC"/>
            </w:tcBorders>
            <w:gridSpan w:val="4"/>
            <w:shd w:val="clear" w:color="auto" w:fill="CFF0FC"/>
          </w:tcPr>
          <w:p>
            <w:pPr>
              <w:ind w:left="2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CFF0FC"/>
            </w:tcBorders>
            <w:shd w:val="clear" w:color="auto" w:fill="CFF0FC"/>
          </w:tcPr>
          <w:p>
            <w:pPr>
              <w:spacing w:after="0"/>
              <w:rPr>
                <w:sz w:val="16"/>
                <w:szCs w:val="16"/>
                <w:color w:val="auto"/>
              </w:rPr>
            </w:pPr>
          </w:p>
        </w:tc>
        <w:tc>
          <w:tcPr>
            <w:tcW w:w="116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CFF0FC"/>
            </w:tcBorders>
            <w:shd w:val="clear" w:color="auto" w:fill="CFF0FC"/>
          </w:tcPr>
          <w:p>
            <w:pPr>
              <w:spacing w:after="0"/>
              <w:rPr>
                <w:sz w:val="16"/>
                <w:szCs w:val="16"/>
                <w:color w:val="auto"/>
              </w:rPr>
            </w:pPr>
          </w:p>
        </w:tc>
        <w:tc>
          <w:tcPr>
            <w:tcW w:w="114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32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CFF0FC"/>
            </w:tcBorders>
            <w:shd w:val="clear" w:color="auto" w:fill="CFF0FC"/>
          </w:tcPr>
          <w:p>
            <w:pPr>
              <w:spacing w:after="0"/>
              <w:rPr>
                <w:sz w:val="16"/>
                <w:szCs w:val="16"/>
                <w:color w:val="auto"/>
              </w:rPr>
            </w:pPr>
          </w:p>
        </w:tc>
        <w:tc>
          <w:tcPr>
            <w:tcW w:w="114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(0.7 )</w:t>
            </w:r>
          </w:p>
        </w:tc>
        <w:tc>
          <w:tcPr>
            <w:tcW w:w="0" w:type="dxa"/>
            <w:vAlign w:val="bottom"/>
          </w:tcPr>
          <w:p>
            <w:pPr>
              <w:spacing w:after="0"/>
              <w:rPr>
                <w:sz w:val="1"/>
                <w:szCs w:val="1"/>
                <w:color w:val="auto"/>
              </w:rPr>
            </w:pPr>
          </w:p>
        </w:tc>
      </w:tr>
      <w:tr>
        <w:trPr>
          <w:trHeight w:val="183"/>
        </w:trPr>
        <w:tc>
          <w:tcPr>
            <w:tcW w:w="1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5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520" w:right="240" w:hanging="512"/>
        <w:spacing w:after="0" w:line="285" w:lineRule="auto"/>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 2021, Wygen I experienced an unplanned outage which resulted in lost revenue. A claim for these losses was submitted under our business interruption insurance policy. In 2023, we recovered $5.0 million from our business interruption insurance which was recognized as Revenue.</w:t>
      </w:r>
    </w:p>
    <w:p>
      <w:pPr>
        <w:spacing w:after="0" w:line="126" w:lineRule="exact"/>
        <w:rPr>
          <w:sz w:val="20"/>
          <w:szCs w:val="20"/>
          <w:color w:val="auto"/>
        </w:rPr>
      </w:pPr>
    </w:p>
    <w:p>
      <w:pPr>
        <w:jc w:val="both"/>
        <w:ind w:right="260"/>
        <w:spacing w:after="0" w:line="266" w:lineRule="auto"/>
        <w:rPr>
          <w:sz w:val="20"/>
          <w:szCs w:val="20"/>
          <w:color w:val="auto"/>
        </w:rPr>
      </w:pPr>
      <w:r>
        <w:rPr>
          <w:rFonts w:ascii="Arial" w:cs="Arial" w:eastAsia="Arial" w:hAnsi="Arial"/>
          <w:sz w:val="16"/>
          <w:szCs w:val="16"/>
          <w:u w:val="single" w:color="auto"/>
          <w:color w:val="auto"/>
        </w:rPr>
        <w:t>Operations and maintenance expense</w:t>
      </w:r>
      <w:r>
        <w:rPr>
          <w:rFonts w:ascii="Arial" w:cs="Arial" w:eastAsia="Arial" w:hAnsi="Arial"/>
          <w:sz w:val="16"/>
          <w:szCs w:val="16"/>
          <w:color w:val="auto"/>
        </w:rPr>
        <w:t xml:space="preserve"> increased primarily due to $5.1 million of costs related to unplanned generation outages and $4.6 million of higher insurance expense partially offset by $3.5 million of lower employee-related expenses driven by lower headcount. In 2023, Electric Utilities benefited from one-time gains of $7.7 million on the sale of Northern Iowa Windpower assets and $3.9 million on sale of land.</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Depreciation and amortization</w:t>
      </w:r>
      <w:r>
        <w:rPr>
          <w:rFonts w:ascii="Arial" w:cs="Arial" w:eastAsia="Arial" w:hAnsi="Arial"/>
          <w:sz w:val="16"/>
          <w:szCs w:val="16"/>
          <w:color w:val="auto"/>
        </w:rPr>
        <w:t xml:space="preserve"> increased primarily due to higher asset base driven by capital expenditures.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Taxes other than income taxes</w:t>
      </w:r>
      <w:r>
        <w:rPr>
          <w:rFonts w:ascii="Arial" w:cs="Arial" w:eastAsia="Arial" w:hAnsi="Arial"/>
          <w:sz w:val="16"/>
          <w:szCs w:val="16"/>
          <w:color w:val="auto"/>
        </w:rPr>
        <w:t xml:space="preserve"> were comparable.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40" w:type="dxa"/>
            <w:vAlign w:val="bottom"/>
            <w:gridSpan w:val="2"/>
          </w:tcPr>
          <w:p>
            <w:pPr>
              <w:spacing w:after="0"/>
              <w:rPr>
                <w:sz w:val="20"/>
                <w:szCs w:val="20"/>
                <w:color w:val="auto"/>
              </w:rPr>
            </w:pPr>
            <w:r>
              <w:rPr>
                <w:rFonts w:ascii="Arial" w:cs="Arial" w:eastAsia="Arial" w:hAnsi="Arial"/>
                <w:sz w:val="16"/>
                <w:szCs w:val="16"/>
                <w:i w:val="1"/>
                <w:iCs w:val="1"/>
                <w:color w:val="auto"/>
              </w:rPr>
              <w:t>Operating Statistics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7"/>
        </w:trPr>
        <w:tc>
          <w:tcPr>
            <w:tcW w:w="3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Revenue</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Quantities Sold</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3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40" w:type="dxa"/>
            <w:vAlign w:val="bottom"/>
            <w:gridSpan w:val="5"/>
          </w:tcPr>
          <w:p>
            <w:pPr>
              <w:jc w:val="center"/>
              <w:ind w:right="279"/>
              <w:spacing w:after="0" w:line="168" w:lineRule="exact"/>
              <w:rPr>
                <w:sz w:val="20"/>
                <w:szCs w:val="20"/>
                <w:color w:val="auto"/>
              </w:rPr>
            </w:pPr>
            <w:r>
              <w:rPr>
                <w:rFonts w:ascii="Arial" w:cs="Arial" w:eastAsia="Arial" w:hAnsi="Arial"/>
                <w:sz w:val="16"/>
                <w:szCs w:val="16"/>
                <w:b w:val="1"/>
                <w:bCs w:val="1"/>
                <w:color w:val="auto"/>
              </w:rPr>
              <w:t>For the year ended December 31,</w:t>
            </w:r>
          </w:p>
        </w:tc>
        <w:tc>
          <w:tcPr>
            <w:tcW w:w="3640" w:type="dxa"/>
            <w:vAlign w:val="bottom"/>
            <w:gridSpan w:val="3"/>
          </w:tcPr>
          <w:p>
            <w:pPr>
              <w:jc w:val="center"/>
              <w:ind w:right="39"/>
              <w:spacing w:after="0" w:line="168" w:lineRule="exact"/>
              <w:rPr>
                <w:sz w:val="20"/>
                <w:szCs w:val="20"/>
                <w:color w:val="auto"/>
              </w:rPr>
            </w:pPr>
            <w:r>
              <w:rPr>
                <w:rFonts w:ascii="Arial" w:cs="Arial" w:eastAsia="Arial" w:hAnsi="Arial"/>
                <w:sz w:val="16"/>
                <w:szCs w:val="16"/>
                <w:b w:val="1"/>
                <w:bCs w:val="1"/>
                <w:color w:val="auto"/>
              </w:rPr>
              <w:t>For the year ended December 31,</w:t>
            </w:r>
          </w:p>
        </w:tc>
        <w:tc>
          <w:tcPr>
            <w:tcW w:w="0" w:type="dxa"/>
            <w:vAlign w:val="bottom"/>
          </w:tcPr>
          <w:p>
            <w:pPr>
              <w:spacing w:after="0"/>
              <w:rPr>
                <w:sz w:val="1"/>
                <w:szCs w:val="1"/>
                <w:color w:val="auto"/>
              </w:rPr>
            </w:pPr>
          </w:p>
        </w:tc>
      </w:tr>
      <w:tr>
        <w:trPr>
          <w:trHeight w:val="203"/>
        </w:trPr>
        <w:tc>
          <w:tcPr>
            <w:tcW w:w="40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By Customer Class</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2023</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11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2024</w:t>
            </w:r>
          </w:p>
        </w:tc>
        <w:tc>
          <w:tcPr>
            <w:tcW w:w="14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10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83"/>
        </w:trPr>
        <w:tc>
          <w:tcPr>
            <w:tcW w:w="4040" w:type="dxa"/>
            <w:vAlign w:val="bottom"/>
            <w:gridSpan w:val="2"/>
            <w:vMerge w:val="restart"/>
          </w:tcPr>
          <w:p>
            <w:pPr>
              <w:ind w:left="20"/>
              <w:spacing w:after="0"/>
              <w:rPr>
                <w:sz w:val="20"/>
                <w:szCs w:val="20"/>
                <w:color w:val="auto"/>
              </w:rPr>
            </w:pPr>
            <w:r>
              <w:rPr>
                <w:rFonts w:ascii="Arial" w:cs="Arial" w:eastAsia="Arial" w:hAnsi="Arial"/>
                <w:sz w:val="16"/>
                <w:szCs w:val="16"/>
                <w:color w:val="auto"/>
              </w:rPr>
              <w:t>Retail Revenue -</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spacing w:after="0" w:line="183" w:lineRule="exact"/>
              <w:rPr>
                <w:sz w:val="20"/>
                <w:szCs w:val="20"/>
                <w:color w:val="auto"/>
              </w:rPr>
            </w:pPr>
            <w:r>
              <w:rPr>
                <w:rFonts w:ascii="Arial" w:cs="Arial" w:eastAsia="Arial" w:hAnsi="Arial"/>
                <w:sz w:val="16"/>
                <w:szCs w:val="16"/>
                <w:color w:val="auto"/>
              </w:rPr>
              <w:t>(in millions)</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119"/>
              <w:spacing w:after="0" w:line="183" w:lineRule="exact"/>
              <w:rPr>
                <w:sz w:val="20"/>
                <w:szCs w:val="20"/>
                <w:color w:val="auto"/>
              </w:rPr>
            </w:pPr>
            <w:r>
              <w:rPr>
                <w:rFonts w:ascii="Arial" w:cs="Arial" w:eastAsia="Arial" w:hAnsi="Arial"/>
                <w:sz w:val="16"/>
                <w:szCs w:val="16"/>
                <w:color w:val="auto"/>
                <w:w w:val="99"/>
              </w:rPr>
              <w:t>(in GWh)</w:t>
            </w: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4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Residential</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234.8</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224.5</w:t>
            </w:r>
          </w:p>
        </w:tc>
        <w:tc>
          <w:tcPr>
            <w:tcW w:w="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246.2</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1,471.9</w:t>
            </w:r>
          </w:p>
        </w:tc>
        <w:tc>
          <w:tcPr>
            <w:tcW w:w="144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1,438.5</w:t>
            </w:r>
          </w:p>
        </w:tc>
        <w:tc>
          <w:tcPr>
            <w:tcW w:w="10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1,513.1</w:t>
            </w:r>
          </w:p>
        </w:tc>
        <w:tc>
          <w:tcPr>
            <w:tcW w:w="0" w:type="dxa"/>
            <w:vAlign w:val="bottom"/>
          </w:tcPr>
          <w:p>
            <w:pPr>
              <w:spacing w:after="0"/>
              <w:rPr>
                <w:sz w:val="1"/>
                <w:szCs w:val="1"/>
                <w:color w:val="auto"/>
              </w:rPr>
            </w:pPr>
          </w:p>
        </w:tc>
      </w:tr>
      <w:tr>
        <w:trPr>
          <w:trHeight w:val="189"/>
        </w:trPr>
        <w:tc>
          <w:tcPr>
            <w:tcW w:w="4040" w:type="dxa"/>
            <w:vAlign w:val="bottom"/>
            <w:gridSpan w:val="2"/>
          </w:tcPr>
          <w:p>
            <w:pPr>
              <w:ind w:left="120"/>
              <w:spacing w:after="0"/>
              <w:rPr>
                <w:sz w:val="20"/>
                <w:szCs w:val="20"/>
                <w:color w:val="auto"/>
              </w:rPr>
            </w:pPr>
            <w:r>
              <w:rPr>
                <w:rFonts w:ascii="Arial" w:cs="Arial" w:eastAsia="Arial" w:hAnsi="Arial"/>
                <w:sz w:val="16"/>
                <w:szCs w:val="16"/>
                <w:color w:val="auto"/>
              </w:rPr>
              <w:t>Commercial</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263.6</w:t>
            </w: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254.5</w:t>
            </w:r>
          </w:p>
        </w:tc>
        <w:tc>
          <w:tcPr>
            <w:tcW w:w="28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272.4</w:t>
            </w:r>
          </w:p>
        </w:tc>
        <w:tc>
          <w:tcPr>
            <w:tcW w:w="1140" w:type="dxa"/>
            <w:vAlign w:val="bottom"/>
          </w:tcPr>
          <w:p>
            <w:pPr>
              <w:jc w:val="right"/>
              <w:spacing w:after="0"/>
              <w:rPr>
                <w:sz w:val="20"/>
                <w:szCs w:val="20"/>
                <w:color w:val="auto"/>
              </w:rPr>
            </w:pPr>
            <w:r>
              <w:rPr>
                <w:rFonts w:ascii="Arial" w:cs="Arial" w:eastAsia="Arial" w:hAnsi="Arial"/>
                <w:sz w:val="16"/>
                <w:szCs w:val="16"/>
                <w:color w:val="auto"/>
              </w:rPr>
              <w:t>2,091.4</w:t>
            </w:r>
          </w:p>
        </w:tc>
        <w:tc>
          <w:tcPr>
            <w:tcW w:w="1440" w:type="dxa"/>
            <w:vAlign w:val="bottom"/>
          </w:tcPr>
          <w:p>
            <w:pPr>
              <w:jc w:val="right"/>
              <w:ind w:right="179"/>
              <w:spacing w:after="0"/>
              <w:rPr>
                <w:sz w:val="20"/>
                <w:szCs w:val="20"/>
                <w:color w:val="auto"/>
              </w:rPr>
            </w:pPr>
            <w:r>
              <w:rPr>
                <w:rFonts w:ascii="Arial" w:cs="Arial" w:eastAsia="Arial" w:hAnsi="Arial"/>
                <w:sz w:val="16"/>
                <w:szCs w:val="16"/>
                <w:color w:val="auto"/>
              </w:rPr>
              <w:t>2,074.4</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2,087.8</w:t>
            </w:r>
          </w:p>
        </w:tc>
        <w:tc>
          <w:tcPr>
            <w:tcW w:w="0" w:type="dxa"/>
            <w:vAlign w:val="bottom"/>
          </w:tcPr>
          <w:p>
            <w:pPr>
              <w:spacing w:after="0"/>
              <w:rPr>
                <w:sz w:val="1"/>
                <w:szCs w:val="1"/>
                <w:color w:val="auto"/>
              </w:rPr>
            </w:pPr>
          </w:p>
        </w:tc>
      </w:tr>
      <w:tr>
        <w:trPr>
          <w:trHeight w:val="189"/>
        </w:trPr>
        <w:tc>
          <w:tcPr>
            <w:tcW w:w="404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Industrial</w:t>
            </w: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168.9</w:t>
            </w:r>
          </w:p>
        </w:tc>
        <w:tc>
          <w:tcPr>
            <w:tcW w:w="2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157.3</w:t>
            </w: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163.9</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2,169.8</w:t>
            </w:r>
          </w:p>
        </w:tc>
        <w:tc>
          <w:tcPr>
            <w:tcW w:w="144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2,094.8</w:t>
            </w:r>
          </w:p>
        </w:tc>
        <w:tc>
          <w:tcPr>
            <w:tcW w:w="10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1,912.5</w:t>
            </w:r>
          </w:p>
        </w:tc>
        <w:tc>
          <w:tcPr>
            <w:tcW w:w="0" w:type="dxa"/>
            <w:vAlign w:val="bottom"/>
          </w:tcPr>
          <w:p>
            <w:pPr>
              <w:spacing w:after="0"/>
              <w:rPr>
                <w:sz w:val="1"/>
                <w:szCs w:val="1"/>
                <w:color w:val="auto"/>
              </w:rPr>
            </w:pPr>
          </w:p>
        </w:tc>
      </w:tr>
      <w:tr>
        <w:trPr>
          <w:trHeight w:val="189"/>
        </w:trPr>
        <w:tc>
          <w:tcPr>
            <w:tcW w:w="4040" w:type="dxa"/>
            <w:vAlign w:val="bottom"/>
            <w:gridSpan w:val="2"/>
          </w:tcPr>
          <w:p>
            <w:pPr>
              <w:ind w:left="120"/>
              <w:spacing w:after="0"/>
              <w:rPr>
                <w:sz w:val="20"/>
                <w:szCs w:val="20"/>
                <w:color w:val="auto"/>
              </w:rPr>
            </w:pPr>
            <w:r>
              <w:rPr>
                <w:rFonts w:ascii="Arial" w:cs="Arial" w:eastAsia="Arial" w:hAnsi="Arial"/>
                <w:sz w:val="16"/>
                <w:szCs w:val="16"/>
                <w:color w:val="auto"/>
              </w:rPr>
              <w:t>Municipal</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17.0</w:t>
            </w: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17.5</w:t>
            </w:r>
          </w:p>
        </w:tc>
        <w:tc>
          <w:tcPr>
            <w:tcW w:w="28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20.5</w:t>
            </w:r>
          </w:p>
        </w:tc>
        <w:tc>
          <w:tcPr>
            <w:tcW w:w="1140" w:type="dxa"/>
            <w:vAlign w:val="bottom"/>
          </w:tcPr>
          <w:p>
            <w:pPr>
              <w:jc w:val="right"/>
              <w:spacing w:after="0"/>
              <w:rPr>
                <w:sz w:val="20"/>
                <w:szCs w:val="20"/>
                <w:color w:val="auto"/>
              </w:rPr>
            </w:pPr>
            <w:r>
              <w:rPr>
                <w:rFonts w:ascii="Arial" w:cs="Arial" w:eastAsia="Arial" w:hAnsi="Arial"/>
                <w:sz w:val="16"/>
                <w:szCs w:val="16"/>
                <w:color w:val="auto"/>
              </w:rPr>
              <w:t>147.1</w:t>
            </w:r>
          </w:p>
        </w:tc>
        <w:tc>
          <w:tcPr>
            <w:tcW w:w="1440" w:type="dxa"/>
            <w:vAlign w:val="bottom"/>
          </w:tcPr>
          <w:p>
            <w:pPr>
              <w:jc w:val="right"/>
              <w:ind w:right="179"/>
              <w:spacing w:after="0"/>
              <w:rPr>
                <w:sz w:val="20"/>
                <w:szCs w:val="20"/>
                <w:color w:val="auto"/>
              </w:rPr>
            </w:pPr>
            <w:r>
              <w:rPr>
                <w:rFonts w:ascii="Arial" w:cs="Arial" w:eastAsia="Arial" w:hAnsi="Arial"/>
                <w:sz w:val="16"/>
                <w:szCs w:val="16"/>
                <w:color w:val="auto"/>
              </w:rPr>
              <w:t>150.9</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159.3</w:t>
            </w:r>
          </w:p>
        </w:tc>
        <w:tc>
          <w:tcPr>
            <w:tcW w:w="0" w:type="dxa"/>
            <w:vAlign w:val="bottom"/>
          </w:tcPr>
          <w:p>
            <w:pPr>
              <w:spacing w:after="0"/>
              <w:rPr>
                <w:sz w:val="1"/>
                <w:szCs w:val="1"/>
                <w:color w:val="auto"/>
              </w:rPr>
            </w:pPr>
          </w:p>
        </w:tc>
      </w:tr>
      <w:tr>
        <w:trPr>
          <w:trHeight w:val="189"/>
        </w:trPr>
        <w:tc>
          <w:tcPr>
            <w:tcW w:w="404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6"/>
                <w:szCs w:val="16"/>
                <w:color w:val="auto"/>
              </w:rPr>
              <w:t>Other Retail</w:t>
            </w:r>
          </w:p>
        </w:tc>
        <w:tc>
          <w:tcPr>
            <w:tcW w:w="22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14.3</w:t>
            </w:r>
          </w:p>
        </w:tc>
        <w:tc>
          <w:tcPr>
            <w:tcW w:w="20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12.3</w:t>
            </w:r>
          </w:p>
        </w:tc>
        <w:tc>
          <w:tcPr>
            <w:tcW w:w="28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6.2</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040" w:type="dxa"/>
            <w:vAlign w:val="bottom"/>
            <w:gridSpan w:val="2"/>
          </w:tcPr>
          <w:p>
            <w:pPr>
              <w:ind w:left="200"/>
              <w:spacing w:after="0" w:line="183" w:lineRule="exact"/>
              <w:rPr>
                <w:sz w:val="20"/>
                <w:szCs w:val="20"/>
                <w:color w:val="auto"/>
              </w:rPr>
            </w:pPr>
            <w:r>
              <w:rPr>
                <w:rFonts w:ascii="Arial" w:cs="Arial" w:eastAsia="Arial" w:hAnsi="Arial"/>
                <w:sz w:val="16"/>
                <w:szCs w:val="16"/>
                <w:color w:val="auto"/>
              </w:rPr>
              <w:t>Subtotal Retail Revenue - Electric</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698.6</w:t>
            </w: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666.1</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709.2</w:t>
            </w: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5,880.2</w:t>
            </w:r>
          </w:p>
        </w:tc>
        <w:tc>
          <w:tcPr>
            <w:tcW w:w="1440" w:type="dxa"/>
            <w:vAlign w:val="bottom"/>
            <w:tcBorders>
              <w:bottom w:val="single" w:sz="8" w:color="auto"/>
            </w:tcBorders>
          </w:tcPr>
          <w:p>
            <w:pPr>
              <w:jc w:val="right"/>
              <w:ind w:right="179"/>
              <w:spacing w:after="0" w:line="183" w:lineRule="exact"/>
              <w:rPr>
                <w:sz w:val="20"/>
                <w:szCs w:val="20"/>
                <w:color w:val="auto"/>
              </w:rPr>
            </w:pPr>
            <w:r>
              <w:rPr>
                <w:rFonts w:ascii="Arial" w:cs="Arial" w:eastAsia="Arial" w:hAnsi="Arial"/>
                <w:sz w:val="16"/>
                <w:szCs w:val="16"/>
                <w:color w:val="auto"/>
              </w:rPr>
              <w:t>5,758.6</w:t>
            </w:r>
          </w:p>
        </w:tc>
        <w:tc>
          <w:tcPr>
            <w:tcW w:w="106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5,672.7</w:t>
            </w:r>
          </w:p>
        </w:tc>
        <w:tc>
          <w:tcPr>
            <w:tcW w:w="0" w:type="dxa"/>
            <w:vAlign w:val="bottom"/>
          </w:tcPr>
          <w:p>
            <w:pPr>
              <w:spacing w:after="0"/>
              <w:rPr>
                <w:sz w:val="1"/>
                <w:szCs w:val="1"/>
                <w:color w:val="auto"/>
              </w:rPr>
            </w:pPr>
          </w:p>
        </w:tc>
      </w:tr>
      <w:tr>
        <w:trPr>
          <w:trHeight w:val="183"/>
        </w:trPr>
        <w:tc>
          <w:tcPr>
            <w:tcW w:w="4040" w:type="dxa"/>
            <w:vAlign w:val="bottom"/>
            <w:gridSpan w:val="2"/>
            <w:shd w:val="clear" w:color="auto" w:fill="CFF0FC"/>
          </w:tcPr>
          <w:p>
            <w:pPr>
              <w:ind w:left="20"/>
              <w:spacing w:after="0" w:line="183" w:lineRule="exact"/>
              <w:rPr>
                <w:sz w:val="20"/>
                <w:szCs w:val="20"/>
                <w:color w:val="auto"/>
              </w:rPr>
            </w:pPr>
            <w:r>
              <w:rPr>
                <w:rFonts w:ascii="Arial" w:cs="Arial" w:eastAsia="Arial" w:hAnsi="Arial"/>
                <w:sz w:val="16"/>
                <w:szCs w:val="16"/>
                <w:color w:val="auto"/>
              </w:rPr>
              <w:t>Wholesale</w:t>
            </w: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26.8</w:t>
            </w: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34.2</w:t>
            </w: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44.8</w:t>
            </w:r>
          </w:p>
        </w:tc>
        <w:tc>
          <w:tcPr>
            <w:tcW w:w="11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589.4</w:t>
            </w:r>
          </w:p>
        </w:tc>
        <w:tc>
          <w:tcPr>
            <w:tcW w:w="1440" w:type="dxa"/>
            <w:vAlign w:val="bottom"/>
            <w:shd w:val="clear" w:color="auto" w:fill="CFF0FC"/>
          </w:tcPr>
          <w:p>
            <w:pPr>
              <w:jc w:val="right"/>
              <w:ind w:right="179"/>
              <w:spacing w:after="0" w:line="183" w:lineRule="exact"/>
              <w:rPr>
                <w:sz w:val="20"/>
                <w:szCs w:val="20"/>
                <w:color w:val="auto"/>
              </w:rPr>
            </w:pPr>
            <w:r>
              <w:rPr>
                <w:rFonts w:ascii="Arial" w:cs="Arial" w:eastAsia="Arial" w:hAnsi="Arial"/>
                <w:sz w:val="16"/>
                <w:szCs w:val="16"/>
                <w:color w:val="auto"/>
              </w:rPr>
              <w:t>699.7</w:t>
            </w:r>
          </w:p>
        </w:tc>
        <w:tc>
          <w:tcPr>
            <w:tcW w:w="106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947.0</w:t>
            </w:r>
          </w:p>
        </w:tc>
        <w:tc>
          <w:tcPr>
            <w:tcW w:w="0" w:type="dxa"/>
            <w:vAlign w:val="bottom"/>
          </w:tcPr>
          <w:p>
            <w:pPr>
              <w:spacing w:after="0"/>
              <w:rPr>
                <w:sz w:val="1"/>
                <w:szCs w:val="1"/>
                <w:color w:val="auto"/>
              </w:rPr>
            </w:pPr>
          </w:p>
        </w:tc>
      </w:tr>
      <w:tr>
        <w:trPr>
          <w:trHeight w:val="189"/>
        </w:trPr>
        <w:tc>
          <w:tcPr>
            <w:tcW w:w="4040" w:type="dxa"/>
            <w:vAlign w:val="bottom"/>
            <w:gridSpan w:val="2"/>
          </w:tcPr>
          <w:p>
            <w:pPr>
              <w:ind w:left="20"/>
              <w:spacing w:after="0"/>
              <w:rPr>
                <w:sz w:val="20"/>
                <w:szCs w:val="20"/>
                <w:color w:val="auto"/>
              </w:rPr>
            </w:pPr>
            <w:r>
              <w:rPr>
                <w:rFonts w:ascii="Arial" w:cs="Arial" w:eastAsia="Arial" w:hAnsi="Arial"/>
                <w:sz w:val="16"/>
                <w:szCs w:val="16"/>
                <w:color w:val="auto"/>
              </w:rPr>
              <w:t>Market - off-system sales</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34.8</w:t>
            </w: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50.9</w:t>
            </w:r>
          </w:p>
        </w:tc>
        <w:tc>
          <w:tcPr>
            <w:tcW w:w="28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48.6</w:t>
            </w:r>
          </w:p>
        </w:tc>
        <w:tc>
          <w:tcPr>
            <w:tcW w:w="1140" w:type="dxa"/>
            <w:vAlign w:val="bottom"/>
          </w:tcPr>
          <w:p>
            <w:pPr>
              <w:jc w:val="right"/>
              <w:spacing w:after="0"/>
              <w:rPr>
                <w:sz w:val="20"/>
                <w:szCs w:val="20"/>
                <w:color w:val="auto"/>
              </w:rPr>
            </w:pPr>
            <w:r>
              <w:rPr>
                <w:rFonts w:ascii="Arial" w:cs="Arial" w:eastAsia="Arial" w:hAnsi="Arial"/>
                <w:sz w:val="16"/>
                <w:szCs w:val="16"/>
                <w:color w:val="auto"/>
              </w:rPr>
              <w:t>765.6</w:t>
            </w:r>
          </w:p>
        </w:tc>
        <w:tc>
          <w:tcPr>
            <w:tcW w:w="1440" w:type="dxa"/>
            <w:vAlign w:val="bottom"/>
          </w:tcPr>
          <w:p>
            <w:pPr>
              <w:jc w:val="right"/>
              <w:ind w:right="179"/>
              <w:spacing w:after="0"/>
              <w:rPr>
                <w:sz w:val="20"/>
                <w:szCs w:val="20"/>
                <w:color w:val="auto"/>
              </w:rPr>
            </w:pPr>
            <w:r>
              <w:rPr>
                <w:rFonts w:ascii="Arial" w:cs="Arial" w:eastAsia="Arial" w:hAnsi="Arial"/>
                <w:sz w:val="16"/>
                <w:szCs w:val="16"/>
                <w:color w:val="auto"/>
              </w:rPr>
              <w:t>737.9</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643.2</w:t>
            </w:r>
          </w:p>
        </w:tc>
        <w:tc>
          <w:tcPr>
            <w:tcW w:w="0" w:type="dxa"/>
            <w:vAlign w:val="bottom"/>
          </w:tcPr>
          <w:p>
            <w:pPr>
              <w:spacing w:after="0"/>
              <w:rPr>
                <w:sz w:val="1"/>
                <w:szCs w:val="1"/>
                <w:color w:val="auto"/>
              </w:rPr>
            </w:pPr>
          </w:p>
        </w:tc>
      </w:tr>
      <w:tr>
        <w:trPr>
          <w:trHeight w:val="189"/>
        </w:trPr>
        <w:tc>
          <w:tcPr>
            <w:tcW w:w="40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Transmission</w:t>
            </w: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52.2</w:t>
            </w:r>
          </w:p>
        </w:tc>
        <w:tc>
          <w:tcPr>
            <w:tcW w:w="2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47.1</w:t>
            </w: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40.5</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40" w:type="dxa"/>
            <w:vAlign w:val="bottom"/>
            <w:gridSpan w:val="2"/>
          </w:tcPr>
          <w:p>
            <w:pPr>
              <w:ind w:left="20"/>
              <w:spacing w:after="0" w:line="189"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(a)</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63.7</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66.7</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57.1</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4040" w:type="dxa"/>
            <w:vAlign w:val="bottom"/>
            <w:tcBorders>
              <w:bottom w:val="single" w:sz="8" w:color="CFF0FC"/>
            </w:tcBorders>
            <w:gridSpan w:val="2"/>
            <w:shd w:val="clear" w:color="auto" w:fill="CFF0FC"/>
          </w:tcPr>
          <w:p>
            <w:pPr>
              <w:ind w:left="120"/>
              <w:spacing w:after="0" w:line="183" w:lineRule="exact"/>
              <w:rPr>
                <w:sz w:val="20"/>
                <w:szCs w:val="20"/>
                <w:color w:val="auto"/>
              </w:rPr>
            </w:pPr>
            <w:r>
              <w:rPr>
                <w:rFonts w:ascii="Arial" w:cs="Arial" w:eastAsia="Arial" w:hAnsi="Arial"/>
                <w:sz w:val="16"/>
                <w:szCs w:val="16"/>
                <w:color w:val="auto"/>
              </w:rPr>
              <w:t>Total Revenue and Quantities Sold</w:t>
            </w:r>
          </w:p>
        </w:tc>
        <w:tc>
          <w:tcPr>
            <w:tcW w:w="22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876.1</w:t>
            </w:r>
          </w:p>
        </w:tc>
        <w:tc>
          <w:tcPr>
            <w:tcW w:w="2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865.0</w:t>
            </w:r>
          </w:p>
        </w:tc>
        <w:tc>
          <w:tcPr>
            <w:tcW w:w="28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900.2</w:t>
            </w:r>
          </w:p>
        </w:tc>
        <w:tc>
          <w:tcPr>
            <w:tcW w:w="11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7,235.2</w:t>
            </w:r>
          </w:p>
        </w:tc>
        <w:tc>
          <w:tcPr>
            <w:tcW w:w="1440" w:type="dxa"/>
            <w:vAlign w:val="bottom"/>
            <w:tcBorders>
              <w:bottom w:val="single" w:sz="8" w:color="auto"/>
            </w:tcBorders>
            <w:shd w:val="clear" w:color="auto" w:fill="CFF0FC"/>
          </w:tcPr>
          <w:p>
            <w:pPr>
              <w:jc w:val="right"/>
              <w:ind w:right="179"/>
              <w:spacing w:after="0" w:line="183" w:lineRule="exact"/>
              <w:rPr>
                <w:sz w:val="20"/>
                <w:szCs w:val="20"/>
                <w:color w:val="auto"/>
              </w:rPr>
            </w:pPr>
            <w:r>
              <w:rPr>
                <w:rFonts w:ascii="Arial" w:cs="Arial" w:eastAsia="Arial" w:hAnsi="Arial"/>
                <w:sz w:val="16"/>
                <w:szCs w:val="16"/>
                <w:color w:val="auto"/>
              </w:rPr>
              <w:t>7,196.2</w:t>
            </w:r>
          </w:p>
        </w:tc>
        <w:tc>
          <w:tcPr>
            <w:tcW w:w="106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7,262.9</w:t>
            </w:r>
          </w:p>
        </w:tc>
        <w:tc>
          <w:tcPr>
            <w:tcW w:w="0" w:type="dxa"/>
            <w:vAlign w:val="bottom"/>
          </w:tcPr>
          <w:p>
            <w:pPr>
              <w:spacing w:after="0"/>
              <w:rPr>
                <w:sz w:val="1"/>
                <w:szCs w:val="1"/>
                <w:color w:val="auto"/>
              </w:rPr>
            </w:pPr>
          </w:p>
        </w:tc>
      </w:tr>
      <w:tr>
        <w:trPr>
          <w:trHeight w:val="169"/>
        </w:trPr>
        <w:tc>
          <w:tcPr>
            <w:tcW w:w="4040" w:type="dxa"/>
            <w:vAlign w:val="bottom"/>
            <w:gridSpan w:val="2"/>
          </w:tcPr>
          <w:p>
            <w:pPr>
              <w:ind w:left="20"/>
              <w:spacing w:after="0" w:line="170" w:lineRule="exact"/>
              <w:rPr>
                <w:sz w:val="20"/>
                <w:szCs w:val="20"/>
                <w:color w:val="auto"/>
              </w:rPr>
            </w:pPr>
            <w:r>
              <w:rPr>
                <w:rFonts w:ascii="Arial" w:cs="Arial" w:eastAsia="Arial" w:hAnsi="Arial"/>
                <w:sz w:val="15"/>
                <w:szCs w:val="15"/>
                <w:color w:val="auto"/>
              </w:rPr>
              <w:t xml:space="preserve">Other Uses, Losses or Generation, net </w:t>
            </w:r>
            <w:r>
              <w:rPr>
                <w:rFonts w:ascii="Arial" w:cs="Arial" w:eastAsia="Arial" w:hAnsi="Arial"/>
                <w:sz w:val="19"/>
                <w:szCs w:val="19"/>
                <w:color w:val="auto"/>
                <w:vertAlign w:val="superscript"/>
              </w:rPr>
              <w:t>(b)</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390.3</w:t>
            </w:r>
          </w:p>
        </w:tc>
        <w:tc>
          <w:tcPr>
            <w:tcW w:w="1440" w:type="dxa"/>
            <w:vAlign w:val="bottom"/>
            <w:tcBorders>
              <w:bottom w:val="single" w:sz="8" w:color="auto"/>
            </w:tcBorders>
          </w:tcPr>
          <w:p>
            <w:pPr>
              <w:jc w:val="right"/>
              <w:ind w:right="179"/>
              <w:spacing w:after="0" w:line="170" w:lineRule="exact"/>
              <w:rPr>
                <w:sz w:val="20"/>
                <w:szCs w:val="20"/>
                <w:color w:val="auto"/>
              </w:rPr>
            </w:pPr>
            <w:r>
              <w:rPr>
                <w:rFonts w:ascii="Arial" w:cs="Arial" w:eastAsia="Arial" w:hAnsi="Arial"/>
                <w:sz w:val="16"/>
                <w:szCs w:val="16"/>
                <w:color w:val="auto"/>
              </w:rPr>
              <w:t>463.5</w:t>
            </w:r>
          </w:p>
        </w:tc>
        <w:tc>
          <w:tcPr>
            <w:tcW w:w="1060" w:type="dxa"/>
            <w:vAlign w:val="bottom"/>
            <w:tcBorders>
              <w:bottom w:val="single" w:sz="8" w:color="auto"/>
            </w:tcBorders>
          </w:tcPr>
          <w:p>
            <w:pPr>
              <w:jc w:val="right"/>
              <w:ind w:right="59"/>
              <w:spacing w:after="0" w:line="170" w:lineRule="exact"/>
              <w:rPr>
                <w:sz w:val="20"/>
                <w:szCs w:val="20"/>
                <w:color w:val="auto"/>
              </w:rPr>
            </w:pPr>
            <w:r>
              <w:rPr>
                <w:rFonts w:ascii="Arial" w:cs="Arial" w:eastAsia="Arial" w:hAnsi="Arial"/>
                <w:sz w:val="16"/>
                <w:szCs w:val="16"/>
                <w:color w:val="auto"/>
              </w:rPr>
              <w:t>450.0</w:t>
            </w:r>
          </w:p>
        </w:tc>
        <w:tc>
          <w:tcPr>
            <w:tcW w:w="0" w:type="dxa"/>
            <w:vAlign w:val="bottom"/>
          </w:tcPr>
          <w:p>
            <w:pPr>
              <w:spacing w:after="0"/>
              <w:rPr>
                <w:sz w:val="1"/>
                <w:szCs w:val="1"/>
                <w:color w:val="auto"/>
              </w:rPr>
            </w:pPr>
          </w:p>
        </w:tc>
      </w:tr>
      <w:tr>
        <w:trPr>
          <w:trHeight w:val="223"/>
        </w:trPr>
        <w:tc>
          <w:tcPr>
            <w:tcW w:w="4040" w:type="dxa"/>
            <w:vAlign w:val="bottom"/>
            <w:tcBorders>
              <w:bottom w:val="single" w:sz="8" w:color="CFF0FC"/>
            </w:tcBorders>
            <w:gridSpan w:val="2"/>
            <w:shd w:val="clear" w:color="auto" w:fill="CFF0FC"/>
          </w:tcPr>
          <w:p>
            <w:pPr>
              <w:ind w:left="200"/>
              <w:spacing w:after="0" w:line="183" w:lineRule="exact"/>
              <w:rPr>
                <w:sz w:val="20"/>
                <w:szCs w:val="20"/>
                <w:color w:val="auto"/>
              </w:rPr>
            </w:pPr>
            <w:r>
              <w:rPr>
                <w:rFonts w:ascii="Arial" w:cs="Arial" w:eastAsia="Arial" w:hAnsi="Arial"/>
                <w:sz w:val="16"/>
                <w:szCs w:val="16"/>
                <w:color w:val="auto"/>
              </w:rPr>
              <w:t>Total Energy</w:t>
            </w:r>
          </w:p>
        </w:tc>
        <w:tc>
          <w:tcPr>
            <w:tcW w:w="2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7,625.5</w:t>
            </w:r>
          </w:p>
        </w:tc>
        <w:tc>
          <w:tcPr>
            <w:tcW w:w="1440" w:type="dxa"/>
            <w:vAlign w:val="bottom"/>
            <w:tcBorders>
              <w:bottom w:val="single" w:sz="8" w:color="auto"/>
            </w:tcBorders>
            <w:shd w:val="clear" w:color="auto" w:fill="CFF0FC"/>
          </w:tcPr>
          <w:p>
            <w:pPr>
              <w:jc w:val="right"/>
              <w:ind w:right="179"/>
              <w:spacing w:after="0" w:line="183" w:lineRule="exact"/>
              <w:rPr>
                <w:sz w:val="20"/>
                <w:szCs w:val="20"/>
                <w:color w:val="auto"/>
              </w:rPr>
            </w:pPr>
            <w:r>
              <w:rPr>
                <w:rFonts w:ascii="Arial" w:cs="Arial" w:eastAsia="Arial" w:hAnsi="Arial"/>
                <w:sz w:val="16"/>
                <w:szCs w:val="16"/>
                <w:color w:val="auto"/>
              </w:rPr>
              <w:t>7,659.7</w:t>
            </w:r>
          </w:p>
        </w:tc>
        <w:tc>
          <w:tcPr>
            <w:tcW w:w="106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7,712.9</w:t>
            </w:r>
          </w:p>
        </w:tc>
        <w:tc>
          <w:tcPr>
            <w:tcW w:w="0" w:type="dxa"/>
            <w:vAlign w:val="bottom"/>
          </w:tcPr>
          <w:p>
            <w:pPr>
              <w:spacing w:after="0"/>
              <w:rPr>
                <w:sz w:val="1"/>
                <w:szCs w:val="1"/>
                <w:color w:val="auto"/>
              </w:rPr>
            </w:pPr>
          </w:p>
        </w:tc>
      </w:tr>
      <w:tr>
        <w:trPr>
          <w:trHeight w:val="116"/>
        </w:trPr>
        <w:tc>
          <w:tcPr>
            <w:tcW w:w="3000" w:type="dxa"/>
            <w:vAlign w:val="bottom"/>
            <w:tcBorders>
              <w:bottom w:val="single" w:sz="8" w:color="auto"/>
            </w:tcBorders>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520" w:right="440" w:hanging="512"/>
        <w:spacing w:after="0" w:line="251" w:lineRule="auto"/>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Primarily related to Integrated Generation, inter-segment rent, and non-regulated services to our retail customers under the Service Guard Comfort Plan and Tech Services.</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company uses and line losses.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w w:val="98"/>
              </w:rPr>
              <w:t>Revenue</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Quantities Sold</w:t>
            </w:r>
          </w:p>
        </w:tc>
        <w:tc>
          <w:tcPr>
            <w:tcW w:w="1100" w:type="dxa"/>
            <w:vAlign w:val="bottom"/>
            <w:tcBorders>
              <w:bottom w:val="single" w:sz="8" w:color="auto"/>
            </w:tcBorders>
          </w:tcPr>
          <w:p>
            <w:pPr>
              <w:spacing w:after="0"/>
              <w:rPr>
                <w:sz w:val="17"/>
                <w:szCs w:val="17"/>
                <w:color w:val="auto"/>
              </w:rPr>
            </w:pPr>
          </w:p>
        </w:tc>
      </w:tr>
      <w:tr>
        <w:trPr>
          <w:trHeight w:val="168"/>
        </w:trPr>
        <w:tc>
          <w:tcPr>
            <w:tcW w:w="3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560" w:type="dxa"/>
            <w:vAlign w:val="bottom"/>
            <w:gridSpan w:val="5"/>
          </w:tcPr>
          <w:p>
            <w:pPr>
              <w:jc w:val="center"/>
              <w:ind w:right="419"/>
              <w:spacing w:after="0" w:line="168" w:lineRule="exact"/>
              <w:rPr>
                <w:sz w:val="20"/>
                <w:szCs w:val="20"/>
                <w:color w:val="auto"/>
              </w:rPr>
            </w:pPr>
            <w:r>
              <w:rPr>
                <w:rFonts w:ascii="Arial" w:cs="Arial" w:eastAsia="Arial" w:hAnsi="Arial"/>
                <w:sz w:val="16"/>
                <w:szCs w:val="16"/>
                <w:b w:val="1"/>
                <w:bCs w:val="1"/>
                <w:color w:val="auto"/>
              </w:rPr>
              <w:t>For the year ended December 31,</w:t>
            </w:r>
          </w:p>
        </w:tc>
        <w:tc>
          <w:tcPr>
            <w:tcW w:w="3620" w:type="dxa"/>
            <w:vAlign w:val="bottom"/>
            <w:gridSpan w:val="3"/>
          </w:tcPr>
          <w:p>
            <w:pPr>
              <w:jc w:val="center"/>
              <w:ind w:right="159"/>
              <w:spacing w:after="0" w:line="168" w:lineRule="exact"/>
              <w:rPr>
                <w:sz w:val="20"/>
                <w:szCs w:val="20"/>
                <w:color w:val="auto"/>
              </w:rPr>
            </w:pPr>
            <w:r>
              <w:rPr>
                <w:rFonts w:ascii="Arial" w:cs="Arial" w:eastAsia="Arial" w:hAnsi="Arial"/>
                <w:sz w:val="16"/>
                <w:szCs w:val="16"/>
                <w:b w:val="1"/>
                <w:bCs w:val="1"/>
                <w:color w:val="auto"/>
              </w:rPr>
              <w:t>For the year ended December 31,</w:t>
            </w:r>
          </w:p>
        </w:tc>
      </w:tr>
      <w:tr>
        <w:trPr>
          <w:trHeight w:val="203"/>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By Business Unit</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2024</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10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14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2023</w:t>
            </w: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r>
      <w:tr>
        <w:trPr>
          <w:trHeight w:val="183"/>
        </w:trPr>
        <w:tc>
          <w:tcPr>
            <w:tcW w:w="38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79"/>
              <w:spacing w:after="0" w:line="183" w:lineRule="exact"/>
              <w:rPr>
                <w:sz w:val="20"/>
                <w:szCs w:val="20"/>
                <w:color w:val="auto"/>
              </w:rPr>
            </w:pPr>
            <w:r>
              <w:rPr>
                <w:rFonts w:ascii="Arial" w:cs="Arial" w:eastAsia="Arial" w:hAnsi="Arial"/>
                <w:sz w:val="16"/>
                <w:szCs w:val="16"/>
                <w:color w:val="auto"/>
              </w:rPr>
              <w:t>(in millions)</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99"/>
              <w:spacing w:after="0" w:line="183" w:lineRule="exact"/>
              <w:rPr>
                <w:sz w:val="20"/>
                <w:szCs w:val="20"/>
                <w:color w:val="auto"/>
              </w:rPr>
            </w:pPr>
            <w:r>
              <w:rPr>
                <w:rFonts w:ascii="Arial" w:cs="Arial" w:eastAsia="Arial" w:hAnsi="Arial"/>
                <w:sz w:val="16"/>
                <w:szCs w:val="16"/>
                <w:color w:val="auto"/>
              </w:rPr>
              <w:t>(in GWh)</w:t>
            </w:r>
          </w:p>
        </w:tc>
        <w:tc>
          <w:tcPr>
            <w:tcW w:w="1100" w:type="dxa"/>
            <w:vAlign w:val="bottom"/>
            <w:tcBorders>
              <w:bottom w:val="single" w:sz="8" w:color="auto"/>
            </w:tcBorders>
          </w:tcPr>
          <w:p>
            <w:pPr>
              <w:spacing w:after="0"/>
              <w:rPr>
                <w:sz w:val="15"/>
                <w:szCs w:val="15"/>
                <w:color w:val="auto"/>
              </w:rPr>
            </w:pPr>
          </w:p>
        </w:tc>
      </w:tr>
      <w:tr>
        <w:trPr>
          <w:trHeight w:val="183"/>
        </w:trPr>
        <w:tc>
          <w:tcPr>
            <w:tcW w:w="380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Colorado Electric</w:t>
            </w:r>
          </w:p>
        </w:tc>
        <w:tc>
          <w:tcPr>
            <w:tcW w:w="26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276.9</w:t>
            </w:r>
          </w:p>
        </w:tc>
        <w:tc>
          <w:tcPr>
            <w:tcW w:w="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285.7</w:t>
            </w:r>
          </w:p>
        </w:tc>
        <w:tc>
          <w:tcPr>
            <w:tcW w:w="2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179"/>
              <w:spacing w:after="0" w:line="183" w:lineRule="exact"/>
              <w:rPr>
                <w:sz w:val="20"/>
                <w:szCs w:val="20"/>
                <w:color w:val="auto"/>
              </w:rPr>
            </w:pPr>
            <w:r>
              <w:rPr>
                <w:rFonts w:ascii="Arial" w:cs="Arial" w:eastAsia="Arial" w:hAnsi="Arial"/>
                <w:sz w:val="16"/>
                <w:szCs w:val="16"/>
                <w:color w:val="auto"/>
              </w:rPr>
              <w:t>321.1</w:t>
            </w: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2,392.7</w:t>
            </w:r>
          </w:p>
        </w:tc>
        <w:tc>
          <w:tcPr>
            <w:tcW w:w="1480" w:type="dxa"/>
            <w:vAlign w:val="bottom"/>
            <w:shd w:val="clear" w:color="auto" w:fill="CFF0FC"/>
          </w:tcPr>
          <w:p>
            <w:pPr>
              <w:jc w:val="right"/>
              <w:ind w:right="239"/>
              <w:spacing w:after="0" w:line="183" w:lineRule="exact"/>
              <w:rPr>
                <w:sz w:val="20"/>
                <w:szCs w:val="20"/>
                <w:color w:val="auto"/>
              </w:rPr>
            </w:pPr>
            <w:r>
              <w:rPr>
                <w:rFonts w:ascii="Arial" w:cs="Arial" w:eastAsia="Arial" w:hAnsi="Arial"/>
                <w:sz w:val="16"/>
                <w:szCs w:val="16"/>
                <w:color w:val="auto"/>
              </w:rPr>
              <w:t>2,397.2</w:t>
            </w:r>
          </w:p>
        </w:tc>
        <w:tc>
          <w:tcPr>
            <w:tcW w:w="110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2,440.0</w:t>
            </w:r>
          </w:p>
        </w:tc>
      </w:tr>
      <w:tr>
        <w:trPr>
          <w:trHeight w:val="189"/>
        </w:trPr>
        <w:tc>
          <w:tcPr>
            <w:tcW w:w="3800" w:type="dxa"/>
            <w:vAlign w:val="bottom"/>
          </w:tcPr>
          <w:p>
            <w:pPr>
              <w:ind w:left="20"/>
              <w:spacing w:after="0"/>
              <w:rPr>
                <w:sz w:val="20"/>
                <w:szCs w:val="20"/>
                <w:color w:val="auto"/>
              </w:rPr>
            </w:pPr>
            <w:r>
              <w:rPr>
                <w:rFonts w:ascii="Arial" w:cs="Arial" w:eastAsia="Arial" w:hAnsi="Arial"/>
                <w:sz w:val="16"/>
                <w:szCs w:val="16"/>
                <w:color w:val="auto"/>
              </w:rPr>
              <w:t>South Dakota Electric</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322.0</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321.1</w:t>
            </w:r>
          </w:p>
        </w:tc>
        <w:tc>
          <w:tcPr>
            <w:tcW w:w="280" w:type="dxa"/>
            <w:vAlign w:val="bottom"/>
          </w:tcPr>
          <w:p>
            <w:pPr>
              <w:spacing w:after="0"/>
              <w:rPr>
                <w:sz w:val="16"/>
                <w:szCs w:val="16"/>
                <w:color w:val="auto"/>
              </w:rPr>
            </w:pP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335.2</w:t>
            </w:r>
          </w:p>
        </w:tc>
        <w:tc>
          <w:tcPr>
            <w:tcW w:w="1040" w:type="dxa"/>
            <w:vAlign w:val="bottom"/>
          </w:tcPr>
          <w:p>
            <w:pPr>
              <w:jc w:val="right"/>
              <w:spacing w:after="0"/>
              <w:rPr>
                <w:sz w:val="20"/>
                <w:szCs w:val="20"/>
                <w:color w:val="auto"/>
              </w:rPr>
            </w:pPr>
            <w:r>
              <w:rPr>
                <w:rFonts w:ascii="Arial" w:cs="Arial" w:eastAsia="Arial" w:hAnsi="Arial"/>
                <w:sz w:val="16"/>
                <w:szCs w:val="16"/>
                <w:color w:val="auto"/>
              </w:rPr>
              <w:t>2,556.5</w:t>
            </w:r>
          </w:p>
        </w:tc>
        <w:tc>
          <w:tcPr>
            <w:tcW w:w="1480" w:type="dxa"/>
            <w:vAlign w:val="bottom"/>
          </w:tcPr>
          <w:p>
            <w:pPr>
              <w:jc w:val="right"/>
              <w:ind w:right="239"/>
              <w:spacing w:after="0"/>
              <w:rPr>
                <w:sz w:val="20"/>
                <w:szCs w:val="20"/>
                <w:color w:val="auto"/>
              </w:rPr>
            </w:pPr>
            <w:r>
              <w:rPr>
                <w:rFonts w:ascii="Arial" w:cs="Arial" w:eastAsia="Arial" w:hAnsi="Arial"/>
                <w:sz w:val="16"/>
                <w:szCs w:val="16"/>
                <w:color w:val="auto"/>
              </w:rPr>
              <w:t>2,554.3</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2,626.2</w:t>
            </w:r>
          </w:p>
        </w:tc>
      </w:tr>
      <w:tr>
        <w:trPr>
          <w:trHeight w:val="189"/>
        </w:trPr>
        <w:tc>
          <w:tcPr>
            <w:tcW w:w="3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Wyoming Electric</w:t>
            </w: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234.3</w:t>
            </w:r>
          </w:p>
        </w:tc>
        <w:tc>
          <w:tcPr>
            <w:tcW w:w="16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212.2</w:t>
            </w:r>
          </w:p>
        </w:tc>
        <w:tc>
          <w:tcPr>
            <w:tcW w:w="28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197.7</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2,190.1</w:t>
            </w:r>
          </w:p>
        </w:tc>
        <w:tc>
          <w:tcPr>
            <w:tcW w:w="148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2,124.1</w:t>
            </w:r>
          </w:p>
        </w:tc>
        <w:tc>
          <w:tcPr>
            <w:tcW w:w="11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1,903.7</w:t>
            </w:r>
          </w:p>
        </w:tc>
      </w:tr>
      <w:tr>
        <w:trPr>
          <w:trHeight w:val="189"/>
        </w:trPr>
        <w:tc>
          <w:tcPr>
            <w:tcW w:w="3800" w:type="dxa"/>
            <w:vAlign w:val="bottom"/>
          </w:tcPr>
          <w:p>
            <w:pPr>
              <w:ind w:left="20"/>
              <w:spacing w:after="0"/>
              <w:rPr>
                <w:sz w:val="20"/>
                <w:szCs w:val="20"/>
                <w:color w:val="auto"/>
              </w:rPr>
            </w:pPr>
            <w:r>
              <w:rPr>
                <w:rFonts w:ascii="Arial" w:cs="Arial" w:eastAsia="Arial" w:hAnsi="Arial"/>
                <w:sz w:val="16"/>
                <w:szCs w:val="16"/>
                <w:color w:val="auto"/>
              </w:rPr>
              <w:t>Integrated Generation</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46.2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95.9</w:t>
            </w:r>
          </w:p>
        </w:tc>
        <w:tc>
          <w:tcPr>
            <w:tcW w:w="14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120.6</w:t>
            </w: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293.0</w:t>
            </w:r>
          </w:p>
        </w:tc>
      </w:tr>
      <w:tr>
        <w:trPr>
          <w:trHeight w:val="223"/>
        </w:trPr>
        <w:tc>
          <w:tcPr>
            <w:tcW w:w="3800" w:type="dxa"/>
            <w:vAlign w:val="bottom"/>
            <w:tcBorders>
              <w:bottom w:val="single" w:sz="8" w:color="CFF0FC"/>
            </w:tcBorders>
            <w:shd w:val="clear" w:color="auto" w:fill="CFF0FC"/>
          </w:tcPr>
          <w:p>
            <w:pPr>
              <w:ind w:left="200"/>
              <w:spacing w:after="0" w:line="183" w:lineRule="exact"/>
              <w:rPr>
                <w:sz w:val="20"/>
                <w:szCs w:val="20"/>
                <w:color w:val="auto"/>
              </w:rPr>
            </w:pPr>
            <w:r>
              <w:rPr>
                <w:rFonts w:ascii="Arial" w:cs="Arial" w:eastAsia="Arial" w:hAnsi="Arial"/>
                <w:sz w:val="16"/>
                <w:szCs w:val="16"/>
                <w:color w:val="auto"/>
              </w:rPr>
              <w:t>Total Revenue and Quantities Sold</w:t>
            </w:r>
          </w:p>
        </w:tc>
        <w:tc>
          <w:tcPr>
            <w:tcW w:w="260" w:type="dxa"/>
            <w:vAlign w:val="bottom"/>
            <w:tcBorders>
              <w:bottom w:val="single" w:sz="8" w:color="auto"/>
            </w:tcBorders>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876.1</w:t>
            </w:r>
          </w:p>
        </w:tc>
        <w:tc>
          <w:tcPr>
            <w:tcW w:w="1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865.0</w:t>
            </w:r>
          </w:p>
        </w:tc>
        <w:tc>
          <w:tcPr>
            <w:tcW w:w="28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FF0FC"/>
          </w:tcPr>
          <w:p>
            <w:pPr>
              <w:jc w:val="right"/>
              <w:ind w:right="179"/>
              <w:spacing w:after="0" w:line="183" w:lineRule="exact"/>
              <w:rPr>
                <w:sz w:val="20"/>
                <w:szCs w:val="20"/>
                <w:color w:val="auto"/>
              </w:rPr>
            </w:pPr>
            <w:r>
              <w:rPr>
                <w:rFonts w:ascii="Arial" w:cs="Arial" w:eastAsia="Arial" w:hAnsi="Arial"/>
                <w:sz w:val="16"/>
                <w:szCs w:val="16"/>
                <w:color w:val="auto"/>
              </w:rPr>
              <w:t>900.2</w:t>
            </w:r>
          </w:p>
        </w:tc>
        <w:tc>
          <w:tcPr>
            <w:tcW w:w="10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7,235.2</w:t>
            </w:r>
          </w:p>
        </w:tc>
        <w:tc>
          <w:tcPr>
            <w:tcW w:w="1480" w:type="dxa"/>
            <w:vAlign w:val="bottom"/>
            <w:tcBorders>
              <w:bottom w:val="single" w:sz="8" w:color="auto"/>
            </w:tcBorders>
            <w:shd w:val="clear" w:color="auto" w:fill="CFF0FC"/>
          </w:tcPr>
          <w:p>
            <w:pPr>
              <w:jc w:val="right"/>
              <w:ind w:right="239"/>
              <w:spacing w:after="0" w:line="183" w:lineRule="exact"/>
              <w:rPr>
                <w:sz w:val="20"/>
                <w:szCs w:val="20"/>
                <w:color w:val="auto"/>
              </w:rPr>
            </w:pPr>
            <w:r>
              <w:rPr>
                <w:rFonts w:ascii="Arial" w:cs="Arial" w:eastAsia="Arial" w:hAnsi="Arial"/>
                <w:sz w:val="16"/>
                <w:szCs w:val="16"/>
                <w:color w:val="auto"/>
              </w:rPr>
              <w:t>7,196.2</w:t>
            </w:r>
          </w:p>
        </w:tc>
        <w:tc>
          <w:tcPr>
            <w:tcW w:w="110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7,262.9</w:t>
            </w: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0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3640" w:type="dxa"/>
            <w:vAlign w:val="bottom"/>
            <w:gridSpan w:val="2"/>
          </w:tcPr>
          <w:p>
            <w:pPr>
              <w:jc w:val="center"/>
              <w:ind w:left="899"/>
              <w:spacing w:after="0"/>
              <w:rPr>
                <w:sz w:val="20"/>
                <w:szCs w:val="20"/>
                <w:color w:val="auto"/>
              </w:rPr>
            </w:pPr>
            <w:r>
              <w:rPr>
                <w:rFonts w:ascii="Arial" w:cs="Arial" w:eastAsia="Arial" w:hAnsi="Arial"/>
                <w:sz w:val="16"/>
                <w:szCs w:val="16"/>
                <w:b w:val="1"/>
                <w:bCs w:val="1"/>
                <w:color w:val="auto"/>
              </w:rPr>
              <w:t>For the year ended December 31,</w:t>
            </w:r>
          </w:p>
        </w:tc>
        <w:tc>
          <w:tcPr>
            <w:tcW w:w="1100" w:type="dxa"/>
            <w:vAlign w:val="bottom"/>
          </w:tcPr>
          <w:p>
            <w:pPr>
              <w:spacing w:after="0"/>
              <w:rPr>
                <w:sz w:val="16"/>
                <w:szCs w:val="16"/>
                <w:color w:val="auto"/>
              </w:rPr>
            </w:pPr>
          </w:p>
        </w:tc>
      </w:tr>
      <w:tr>
        <w:trPr>
          <w:trHeight w:val="203"/>
        </w:trPr>
        <w:tc>
          <w:tcPr>
            <w:tcW w:w="65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Quantities Generated and Purchased by Fuel Type</w:t>
            </w:r>
          </w:p>
        </w:tc>
        <w:tc>
          <w:tcPr>
            <w:tcW w:w="172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2024</w:t>
            </w:r>
          </w:p>
        </w:tc>
        <w:tc>
          <w:tcPr>
            <w:tcW w:w="1920" w:type="dxa"/>
            <w:vAlign w:val="bottom"/>
            <w:tcBorders>
              <w:bottom w:val="single" w:sz="8" w:color="auto"/>
            </w:tcBorders>
          </w:tcPr>
          <w:p>
            <w:pPr>
              <w:jc w:val="center"/>
              <w:ind w:right="679"/>
              <w:spacing w:after="0"/>
              <w:rPr>
                <w:sz w:val="20"/>
                <w:szCs w:val="20"/>
                <w:color w:val="auto"/>
              </w:rPr>
            </w:pPr>
            <w:r>
              <w:rPr>
                <w:rFonts w:ascii="Arial" w:cs="Arial" w:eastAsia="Arial" w:hAnsi="Arial"/>
                <w:sz w:val="16"/>
                <w:szCs w:val="16"/>
                <w:b w:val="1"/>
                <w:bCs w:val="1"/>
                <w:color w:val="auto"/>
              </w:rPr>
              <w:t>2023</w:t>
            </w:r>
          </w:p>
        </w:tc>
        <w:tc>
          <w:tcPr>
            <w:tcW w:w="11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2022</w:t>
            </w:r>
          </w:p>
        </w:tc>
      </w:tr>
      <w:tr>
        <w:trPr>
          <w:trHeight w:val="183"/>
        </w:trPr>
        <w:tc>
          <w:tcPr>
            <w:tcW w:w="300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jc w:val="center"/>
              <w:ind w:right="659"/>
              <w:spacing w:after="0" w:line="183" w:lineRule="exact"/>
              <w:rPr>
                <w:sz w:val="20"/>
                <w:szCs w:val="20"/>
                <w:color w:val="auto"/>
              </w:rPr>
            </w:pPr>
            <w:r>
              <w:rPr>
                <w:rFonts w:ascii="Arial" w:cs="Arial" w:eastAsia="Arial" w:hAnsi="Arial"/>
                <w:sz w:val="16"/>
                <w:szCs w:val="16"/>
                <w:color w:val="auto"/>
              </w:rPr>
              <w:t>(in GWh)</w:t>
            </w:r>
          </w:p>
        </w:tc>
        <w:tc>
          <w:tcPr>
            <w:tcW w:w="1100" w:type="dxa"/>
            <w:vAlign w:val="bottom"/>
            <w:tcBorders>
              <w:bottom w:val="single" w:sz="8" w:color="auto"/>
            </w:tcBorders>
          </w:tcPr>
          <w:p>
            <w:pPr>
              <w:spacing w:after="0"/>
              <w:rPr>
                <w:sz w:val="15"/>
                <w:szCs w:val="15"/>
                <w:color w:val="auto"/>
              </w:rPr>
            </w:pPr>
          </w:p>
        </w:tc>
      </w:tr>
      <w:tr>
        <w:trPr>
          <w:trHeight w:val="183"/>
        </w:trPr>
        <w:tc>
          <w:tcPr>
            <w:tcW w:w="6500" w:type="dxa"/>
            <w:vAlign w:val="bottom"/>
            <w:gridSpan w:val="2"/>
            <w:shd w:val="clear" w:color="auto" w:fill="CFF0FC"/>
          </w:tcPr>
          <w:p>
            <w:pPr>
              <w:ind w:left="20"/>
              <w:spacing w:after="0" w:line="183" w:lineRule="exact"/>
              <w:rPr>
                <w:sz w:val="20"/>
                <w:szCs w:val="20"/>
                <w:color w:val="auto"/>
              </w:rPr>
            </w:pPr>
            <w:r>
              <w:rPr>
                <w:rFonts w:ascii="Arial" w:cs="Arial" w:eastAsia="Arial" w:hAnsi="Arial"/>
                <w:sz w:val="16"/>
                <w:szCs w:val="16"/>
                <w:color w:val="auto"/>
              </w:rPr>
              <w:t>Generated:</w:t>
            </w:r>
          </w:p>
        </w:tc>
        <w:tc>
          <w:tcPr>
            <w:tcW w:w="1720" w:type="dxa"/>
            <w:vAlign w:val="bottom"/>
            <w:shd w:val="clear" w:color="auto" w:fill="CFF0FC"/>
          </w:tcPr>
          <w:p>
            <w:pPr>
              <w:spacing w:after="0"/>
              <w:rPr>
                <w:sz w:val="15"/>
                <w:szCs w:val="15"/>
                <w:color w:val="auto"/>
              </w:rPr>
            </w:pPr>
          </w:p>
        </w:tc>
        <w:tc>
          <w:tcPr>
            <w:tcW w:w="19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r>
      <w:tr>
        <w:trPr>
          <w:trHeight w:val="189"/>
        </w:trPr>
        <w:tc>
          <w:tcPr>
            <w:tcW w:w="6500" w:type="dxa"/>
            <w:vAlign w:val="bottom"/>
            <w:gridSpan w:val="2"/>
          </w:tcPr>
          <w:p>
            <w:pPr>
              <w:ind w:left="120"/>
              <w:spacing w:after="0"/>
              <w:rPr>
                <w:sz w:val="20"/>
                <w:szCs w:val="20"/>
                <w:color w:val="auto"/>
              </w:rPr>
            </w:pPr>
            <w:r>
              <w:rPr>
                <w:rFonts w:ascii="Arial" w:cs="Arial" w:eastAsia="Arial" w:hAnsi="Arial"/>
                <w:sz w:val="16"/>
                <w:szCs w:val="16"/>
                <w:color w:val="auto"/>
              </w:rPr>
              <w:t>Coal</w:t>
            </w:r>
          </w:p>
        </w:tc>
        <w:tc>
          <w:tcPr>
            <w:tcW w:w="1720" w:type="dxa"/>
            <w:vAlign w:val="bottom"/>
          </w:tcPr>
          <w:p>
            <w:pPr>
              <w:jc w:val="right"/>
              <w:ind w:right="199"/>
              <w:spacing w:after="0"/>
              <w:rPr>
                <w:sz w:val="20"/>
                <w:szCs w:val="20"/>
                <w:color w:val="auto"/>
              </w:rPr>
            </w:pPr>
            <w:r>
              <w:rPr>
                <w:rFonts w:ascii="Arial" w:cs="Arial" w:eastAsia="Arial" w:hAnsi="Arial"/>
                <w:sz w:val="16"/>
                <w:szCs w:val="16"/>
                <w:color w:val="auto"/>
              </w:rPr>
              <w:t>2,478.3</w:t>
            </w:r>
          </w:p>
        </w:tc>
        <w:tc>
          <w:tcPr>
            <w:tcW w:w="1920" w:type="dxa"/>
            <w:vAlign w:val="bottom"/>
          </w:tcPr>
          <w:p>
            <w:pPr>
              <w:jc w:val="right"/>
              <w:ind w:right="559"/>
              <w:spacing w:after="0"/>
              <w:rPr>
                <w:sz w:val="20"/>
                <w:szCs w:val="20"/>
                <w:color w:val="auto"/>
              </w:rPr>
            </w:pPr>
            <w:r>
              <w:rPr>
                <w:rFonts w:ascii="Arial" w:cs="Arial" w:eastAsia="Arial" w:hAnsi="Arial"/>
                <w:sz w:val="16"/>
                <w:szCs w:val="16"/>
                <w:color w:val="auto"/>
              </w:rPr>
              <w:t>2,683.4</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2,708.8</w:t>
            </w:r>
          </w:p>
        </w:tc>
      </w:tr>
      <w:tr>
        <w:trPr>
          <w:trHeight w:val="189"/>
        </w:trPr>
        <w:tc>
          <w:tcPr>
            <w:tcW w:w="65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Natural Gas</w:t>
            </w:r>
          </w:p>
        </w:tc>
        <w:tc>
          <w:tcPr>
            <w:tcW w:w="172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2,239.1</w:t>
            </w:r>
          </w:p>
        </w:tc>
        <w:tc>
          <w:tcPr>
            <w:tcW w:w="1920" w:type="dxa"/>
            <w:vAlign w:val="bottom"/>
            <w:shd w:val="clear" w:color="auto" w:fill="CFF0FC"/>
          </w:tcPr>
          <w:p>
            <w:pPr>
              <w:jc w:val="right"/>
              <w:ind w:right="559"/>
              <w:spacing w:after="0"/>
              <w:rPr>
                <w:sz w:val="20"/>
                <w:szCs w:val="20"/>
                <w:color w:val="auto"/>
              </w:rPr>
            </w:pPr>
            <w:r>
              <w:rPr>
                <w:rFonts w:ascii="Arial" w:cs="Arial" w:eastAsia="Arial" w:hAnsi="Arial"/>
                <w:sz w:val="16"/>
                <w:szCs w:val="16"/>
                <w:color w:val="auto"/>
              </w:rPr>
              <w:t>2,021.4</w:t>
            </w:r>
          </w:p>
        </w:tc>
        <w:tc>
          <w:tcPr>
            <w:tcW w:w="11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1,454.2</w:t>
            </w:r>
          </w:p>
        </w:tc>
      </w:tr>
      <w:tr>
        <w:trPr>
          <w:trHeight w:val="189"/>
        </w:trPr>
        <w:tc>
          <w:tcPr>
            <w:tcW w:w="6500" w:type="dxa"/>
            <w:vAlign w:val="bottom"/>
            <w:gridSpan w:val="2"/>
          </w:tcPr>
          <w:p>
            <w:pPr>
              <w:ind w:left="120"/>
              <w:spacing w:after="0"/>
              <w:rPr>
                <w:sz w:val="20"/>
                <w:szCs w:val="20"/>
                <w:color w:val="auto"/>
              </w:rPr>
            </w:pPr>
            <w:r>
              <w:rPr>
                <w:rFonts w:ascii="Arial" w:cs="Arial" w:eastAsia="Arial" w:hAnsi="Arial"/>
                <w:sz w:val="16"/>
                <w:szCs w:val="16"/>
                <w:color w:val="auto"/>
              </w:rPr>
              <w:t>Wind</w:t>
            </w:r>
          </w:p>
        </w:tc>
        <w:tc>
          <w:tcPr>
            <w:tcW w:w="17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660.2</w:t>
            </w:r>
          </w:p>
        </w:tc>
        <w:tc>
          <w:tcPr>
            <w:tcW w:w="19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678.5</w:t>
            </w: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875.8</w:t>
            </w:r>
          </w:p>
        </w:tc>
      </w:tr>
      <w:tr>
        <w:trPr>
          <w:trHeight w:val="183"/>
        </w:trPr>
        <w:tc>
          <w:tcPr>
            <w:tcW w:w="6500" w:type="dxa"/>
            <w:vAlign w:val="bottom"/>
            <w:tcBorders>
              <w:bottom w:val="single" w:sz="8" w:color="CFF0FC"/>
            </w:tcBorders>
            <w:gridSpan w:val="2"/>
            <w:shd w:val="clear" w:color="auto" w:fill="CFF0FC"/>
          </w:tcPr>
          <w:p>
            <w:pPr>
              <w:ind w:left="300"/>
              <w:spacing w:after="0" w:line="183" w:lineRule="exact"/>
              <w:rPr>
                <w:sz w:val="20"/>
                <w:szCs w:val="20"/>
                <w:color w:val="auto"/>
              </w:rPr>
            </w:pPr>
            <w:r>
              <w:rPr>
                <w:rFonts w:ascii="Arial" w:cs="Arial" w:eastAsia="Arial" w:hAnsi="Arial"/>
                <w:sz w:val="16"/>
                <w:szCs w:val="16"/>
                <w:color w:val="auto"/>
              </w:rPr>
              <w:t>Total Generated</w:t>
            </w:r>
          </w:p>
        </w:tc>
        <w:tc>
          <w:tcPr>
            <w:tcW w:w="1720" w:type="dxa"/>
            <w:vAlign w:val="bottom"/>
            <w:tcBorders>
              <w:bottom w:val="single" w:sz="8" w:color="auto"/>
            </w:tcBorders>
            <w:shd w:val="clear" w:color="auto" w:fill="CFF0FC"/>
          </w:tcPr>
          <w:p>
            <w:pPr>
              <w:jc w:val="right"/>
              <w:ind w:right="199"/>
              <w:spacing w:after="0" w:line="183" w:lineRule="exact"/>
              <w:rPr>
                <w:sz w:val="20"/>
                <w:szCs w:val="20"/>
                <w:color w:val="auto"/>
              </w:rPr>
            </w:pPr>
            <w:r>
              <w:rPr>
                <w:rFonts w:ascii="Arial" w:cs="Arial" w:eastAsia="Arial" w:hAnsi="Arial"/>
                <w:sz w:val="16"/>
                <w:szCs w:val="16"/>
                <w:color w:val="auto"/>
              </w:rPr>
              <w:t>5,377.6</w:t>
            </w:r>
          </w:p>
        </w:tc>
        <w:tc>
          <w:tcPr>
            <w:tcW w:w="1920" w:type="dxa"/>
            <w:vAlign w:val="bottom"/>
            <w:tcBorders>
              <w:bottom w:val="single" w:sz="8" w:color="auto"/>
            </w:tcBorders>
            <w:shd w:val="clear" w:color="auto" w:fill="CFF0FC"/>
          </w:tcPr>
          <w:p>
            <w:pPr>
              <w:jc w:val="right"/>
              <w:ind w:right="559"/>
              <w:spacing w:after="0" w:line="183" w:lineRule="exact"/>
              <w:rPr>
                <w:sz w:val="20"/>
                <w:szCs w:val="20"/>
                <w:color w:val="auto"/>
              </w:rPr>
            </w:pPr>
            <w:r>
              <w:rPr>
                <w:rFonts w:ascii="Arial" w:cs="Arial" w:eastAsia="Arial" w:hAnsi="Arial"/>
                <w:sz w:val="16"/>
                <w:szCs w:val="16"/>
                <w:color w:val="auto"/>
              </w:rPr>
              <w:t>5,383.3</w:t>
            </w:r>
          </w:p>
        </w:tc>
        <w:tc>
          <w:tcPr>
            <w:tcW w:w="110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5,038.8</w:t>
            </w:r>
          </w:p>
        </w:tc>
      </w:tr>
      <w:tr>
        <w:trPr>
          <w:trHeight w:val="183"/>
        </w:trPr>
        <w:tc>
          <w:tcPr>
            <w:tcW w:w="6500" w:type="dxa"/>
            <w:vAlign w:val="bottom"/>
            <w:gridSpan w:val="2"/>
          </w:tcPr>
          <w:p>
            <w:pPr>
              <w:ind w:left="20"/>
              <w:spacing w:after="0" w:line="183" w:lineRule="exact"/>
              <w:rPr>
                <w:sz w:val="20"/>
                <w:szCs w:val="20"/>
                <w:color w:val="auto"/>
              </w:rPr>
            </w:pPr>
            <w:r>
              <w:rPr>
                <w:rFonts w:ascii="Arial" w:cs="Arial" w:eastAsia="Arial" w:hAnsi="Arial"/>
                <w:sz w:val="16"/>
                <w:szCs w:val="16"/>
                <w:color w:val="auto"/>
              </w:rPr>
              <w:t>Purchased:</w:t>
            </w:r>
          </w:p>
        </w:tc>
        <w:tc>
          <w:tcPr>
            <w:tcW w:w="17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9"/>
        </w:trPr>
        <w:tc>
          <w:tcPr>
            <w:tcW w:w="6500" w:type="dxa"/>
            <w:vAlign w:val="bottom"/>
            <w:gridSpan w:val="2"/>
            <w:shd w:val="clear" w:color="auto" w:fill="CFF0FC"/>
          </w:tcPr>
          <w:p>
            <w:pPr>
              <w:ind w:left="120"/>
              <w:spacing w:after="0" w:line="189" w:lineRule="exact"/>
              <w:rPr>
                <w:sz w:val="20"/>
                <w:szCs w:val="20"/>
                <w:color w:val="auto"/>
              </w:rPr>
            </w:pPr>
            <w:r>
              <w:rPr>
                <w:rFonts w:ascii="Arial" w:cs="Arial" w:eastAsia="Arial" w:hAnsi="Arial"/>
                <w:sz w:val="16"/>
                <w:szCs w:val="16"/>
                <w:color w:val="auto"/>
              </w:rPr>
              <w:t xml:space="preserve">Coal, Natural Gas, Diesel Oil and Other Market Purchases </w:t>
            </w:r>
            <w:r>
              <w:rPr>
                <w:rFonts w:ascii="Arial" w:cs="Arial" w:eastAsia="Arial" w:hAnsi="Arial"/>
                <w:sz w:val="21"/>
                <w:szCs w:val="21"/>
                <w:color w:val="auto"/>
                <w:vertAlign w:val="superscript"/>
              </w:rPr>
              <w:t>(a)</w:t>
            </w:r>
          </w:p>
        </w:tc>
        <w:tc>
          <w:tcPr>
            <w:tcW w:w="172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1,117.8</w:t>
            </w:r>
          </w:p>
        </w:tc>
        <w:tc>
          <w:tcPr>
            <w:tcW w:w="1920" w:type="dxa"/>
            <w:vAlign w:val="bottom"/>
            <w:shd w:val="clear" w:color="auto" w:fill="CFF0FC"/>
          </w:tcPr>
          <w:p>
            <w:pPr>
              <w:jc w:val="right"/>
              <w:ind w:right="559"/>
              <w:spacing w:after="0"/>
              <w:rPr>
                <w:sz w:val="20"/>
                <w:szCs w:val="20"/>
                <w:color w:val="auto"/>
              </w:rPr>
            </w:pPr>
            <w:r>
              <w:rPr>
                <w:rFonts w:ascii="Arial" w:cs="Arial" w:eastAsia="Arial" w:hAnsi="Arial"/>
                <w:sz w:val="16"/>
                <w:szCs w:val="16"/>
                <w:color w:val="auto"/>
              </w:rPr>
              <w:t>1,842.9</w:t>
            </w:r>
          </w:p>
        </w:tc>
        <w:tc>
          <w:tcPr>
            <w:tcW w:w="11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2,280.8</w:t>
            </w:r>
          </w:p>
        </w:tc>
      </w:tr>
      <w:tr>
        <w:trPr>
          <w:trHeight w:val="189"/>
        </w:trPr>
        <w:tc>
          <w:tcPr>
            <w:tcW w:w="6500" w:type="dxa"/>
            <w:vAlign w:val="bottom"/>
            <w:gridSpan w:val="2"/>
          </w:tcPr>
          <w:p>
            <w:pPr>
              <w:ind w:left="120"/>
              <w:spacing w:after="0" w:line="189" w:lineRule="exact"/>
              <w:rPr>
                <w:sz w:val="20"/>
                <w:szCs w:val="20"/>
                <w:color w:val="auto"/>
              </w:rPr>
            </w:pPr>
            <w:r>
              <w:rPr>
                <w:rFonts w:ascii="Arial" w:cs="Arial" w:eastAsia="Arial" w:hAnsi="Arial"/>
                <w:sz w:val="16"/>
                <w:szCs w:val="16"/>
                <w:color w:val="auto"/>
              </w:rPr>
              <w:t xml:space="preserve">Wind and Solar </w:t>
            </w:r>
            <w:r>
              <w:rPr>
                <w:rFonts w:ascii="Arial" w:cs="Arial" w:eastAsia="Arial" w:hAnsi="Arial"/>
                <w:sz w:val="21"/>
                <w:szCs w:val="21"/>
                <w:color w:val="auto"/>
                <w:vertAlign w:val="superscript"/>
              </w:rPr>
              <w:t>(a)</w:t>
            </w:r>
          </w:p>
        </w:tc>
        <w:tc>
          <w:tcPr>
            <w:tcW w:w="17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1,130.1</w:t>
            </w:r>
          </w:p>
        </w:tc>
        <w:tc>
          <w:tcPr>
            <w:tcW w:w="19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433.5</w:t>
            </w: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393.3</w:t>
            </w:r>
          </w:p>
        </w:tc>
      </w:tr>
      <w:tr>
        <w:trPr>
          <w:trHeight w:val="183"/>
        </w:trPr>
        <w:tc>
          <w:tcPr>
            <w:tcW w:w="6500" w:type="dxa"/>
            <w:vAlign w:val="bottom"/>
            <w:tcBorders>
              <w:bottom w:val="single" w:sz="8" w:color="CFF0FC"/>
            </w:tcBorders>
            <w:gridSpan w:val="2"/>
            <w:shd w:val="clear" w:color="auto" w:fill="CFF0FC"/>
          </w:tcPr>
          <w:p>
            <w:pPr>
              <w:ind w:left="300"/>
              <w:spacing w:after="0" w:line="183" w:lineRule="exact"/>
              <w:rPr>
                <w:sz w:val="20"/>
                <w:szCs w:val="20"/>
                <w:color w:val="auto"/>
              </w:rPr>
            </w:pPr>
            <w:r>
              <w:rPr>
                <w:rFonts w:ascii="Arial" w:cs="Arial" w:eastAsia="Arial" w:hAnsi="Arial"/>
                <w:sz w:val="16"/>
                <w:szCs w:val="16"/>
                <w:color w:val="auto"/>
              </w:rPr>
              <w:t>Total Purchased</w:t>
            </w:r>
          </w:p>
        </w:tc>
        <w:tc>
          <w:tcPr>
            <w:tcW w:w="1720" w:type="dxa"/>
            <w:vAlign w:val="bottom"/>
            <w:tcBorders>
              <w:bottom w:val="single" w:sz="8" w:color="auto"/>
            </w:tcBorders>
            <w:shd w:val="clear" w:color="auto" w:fill="CFF0FC"/>
          </w:tcPr>
          <w:p>
            <w:pPr>
              <w:jc w:val="right"/>
              <w:ind w:right="199"/>
              <w:spacing w:after="0" w:line="183" w:lineRule="exact"/>
              <w:rPr>
                <w:sz w:val="20"/>
                <w:szCs w:val="20"/>
                <w:color w:val="auto"/>
              </w:rPr>
            </w:pPr>
            <w:r>
              <w:rPr>
                <w:rFonts w:ascii="Arial" w:cs="Arial" w:eastAsia="Arial" w:hAnsi="Arial"/>
                <w:sz w:val="16"/>
                <w:szCs w:val="16"/>
                <w:color w:val="auto"/>
              </w:rPr>
              <w:t>2,247.9</w:t>
            </w:r>
          </w:p>
        </w:tc>
        <w:tc>
          <w:tcPr>
            <w:tcW w:w="1920" w:type="dxa"/>
            <w:vAlign w:val="bottom"/>
            <w:tcBorders>
              <w:bottom w:val="single" w:sz="8" w:color="auto"/>
            </w:tcBorders>
            <w:shd w:val="clear" w:color="auto" w:fill="CFF0FC"/>
          </w:tcPr>
          <w:p>
            <w:pPr>
              <w:jc w:val="right"/>
              <w:ind w:right="559"/>
              <w:spacing w:after="0" w:line="183" w:lineRule="exact"/>
              <w:rPr>
                <w:sz w:val="20"/>
                <w:szCs w:val="20"/>
                <w:color w:val="auto"/>
              </w:rPr>
            </w:pPr>
            <w:r>
              <w:rPr>
                <w:rFonts w:ascii="Arial" w:cs="Arial" w:eastAsia="Arial" w:hAnsi="Arial"/>
                <w:sz w:val="16"/>
                <w:szCs w:val="16"/>
                <w:color w:val="auto"/>
              </w:rPr>
              <w:t>2,276.4</w:t>
            </w:r>
          </w:p>
        </w:tc>
        <w:tc>
          <w:tcPr>
            <w:tcW w:w="110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2,674.1</w:t>
            </w:r>
          </w:p>
        </w:tc>
      </w:tr>
      <w:tr>
        <w:trPr>
          <w:trHeight w:val="183"/>
        </w:trPr>
        <w:tc>
          <w:tcPr>
            <w:tcW w:w="300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r>
        <w:trPr>
          <w:trHeight w:val="223"/>
        </w:trPr>
        <w:tc>
          <w:tcPr>
            <w:tcW w:w="6500" w:type="dxa"/>
            <w:vAlign w:val="bottom"/>
            <w:tcBorders>
              <w:bottom w:val="single" w:sz="8" w:color="CFF0FC"/>
            </w:tcBorders>
            <w:gridSpan w:val="2"/>
            <w:shd w:val="clear" w:color="auto" w:fill="CFF0FC"/>
          </w:tcPr>
          <w:p>
            <w:pPr>
              <w:ind w:left="20"/>
              <w:spacing w:after="0" w:line="183" w:lineRule="exact"/>
              <w:rPr>
                <w:sz w:val="20"/>
                <w:szCs w:val="20"/>
                <w:color w:val="auto"/>
              </w:rPr>
            </w:pPr>
            <w:r>
              <w:rPr>
                <w:rFonts w:ascii="Arial" w:cs="Arial" w:eastAsia="Arial" w:hAnsi="Arial"/>
                <w:sz w:val="16"/>
                <w:szCs w:val="16"/>
                <w:color w:val="auto"/>
              </w:rPr>
              <w:t>Total Generated and Purchased</w:t>
            </w:r>
          </w:p>
        </w:tc>
        <w:tc>
          <w:tcPr>
            <w:tcW w:w="1720" w:type="dxa"/>
            <w:vAlign w:val="bottom"/>
            <w:tcBorders>
              <w:bottom w:val="single" w:sz="8" w:color="auto"/>
            </w:tcBorders>
            <w:shd w:val="clear" w:color="auto" w:fill="CFF0FC"/>
          </w:tcPr>
          <w:p>
            <w:pPr>
              <w:jc w:val="right"/>
              <w:ind w:right="199"/>
              <w:spacing w:after="0" w:line="183" w:lineRule="exact"/>
              <w:rPr>
                <w:sz w:val="20"/>
                <w:szCs w:val="20"/>
                <w:color w:val="auto"/>
              </w:rPr>
            </w:pPr>
            <w:r>
              <w:rPr>
                <w:rFonts w:ascii="Arial" w:cs="Arial" w:eastAsia="Arial" w:hAnsi="Arial"/>
                <w:sz w:val="16"/>
                <w:szCs w:val="16"/>
                <w:color w:val="auto"/>
              </w:rPr>
              <w:t>7,625.5</w:t>
            </w:r>
          </w:p>
        </w:tc>
        <w:tc>
          <w:tcPr>
            <w:tcW w:w="1920" w:type="dxa"/>
            <w:vAlign w:val="bottom"/>
            <w:tcBorders>
              <w:bottom w:val="single" w:sz="8" w:color="auto"/>
            </w:tcBorders>
            <w:shd w:val="clear" w:color="auto" w:fill="CFF0FC"/>
          </w:tcPr>
          <w:p>
            <w:pPr>
              <w:jc w:val="right"/>
              <w:ind w:right="559"/>
              <w:spacing w:after="0" w:line="183" w:lineRule="exact"/>
              <w:rPr>
                <w:sz w:val="20"/>
                <w:szCs w:val="20"/>
                <w:color w:val="auto"/>
              </w:rPr>
            </w:pPr>
            <w:r>
              <w:rPr>
                <w:rFonts w:ascii="Arial" w:cs="Arial" w:eastAsia="Arial" w:hAnsi="Arial"/>
                <w:sz w:val="16"/>
                <w:szCs w:val="16"/>
                <w:color w:val="auto"/>
              </w:rPr>
              <w:t>7,659.7</w:t>
            </w:r>
          </w:p>
        </w:tc>
        <w:tc>
          <w:tcPr>
            <w:tcW w:w="110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7,712.9</w:t>
            </w:r>
          </w:p>
        </w:tc>
      </w:tr>
      <w:tr>
        <w:trPr>
          <w:trHeight w:val="115"/>
        </w:trPr>
        <w:tc>
          <w:tcPr>
            <w:tcW w:w="3000" w:type="dxa"/>
            <w:vAlign w:val="bottom"/>
            <w:tcBorders>
              <w:bottom w:val="single" w:sz="8" w:color="auto"/>
            </w:tcBorders>
          </w:tcPr>
          <w:p>
            <w:pPr>
              <w:spacing w:after="0"/>
              <w:rPr>
                <w:sz w:val="10"/>
                <w:szCs w:val="10"/>
                <w:color w:val="auto"/>
              </w:rPr>
            </w:pPr>
          </w:p>
        </w:tc>
        <w:tc>
          <w:tcPr>
            <w:tcW w:w="35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100" w:type="dxa"/>
            <w:vAlign w:val="bottom"/>
          </w:tcPr>
          <w:p>
            <w:pPr>
              <w:spacing w:after="0"/>
              <w:rPr>
                <w:sz w:val="10"/>
                <w:szCs w:val="10"/>
                <w:color w:val="auto"/>
              </w:rPr>
            </w:pPr>
          </w:p>
        </w:tc>
      </w:tr>
    </w:tbl>
    <w:p>
      <w:pPr>
        <w:spacing w:after="0" w:line="31" w:lineRule="exact"/>
        <w:rPr>
          <w:sz w:val="20"/>
          <w:szCs w:val="20"/>
          <w:color w:val="auto"/>
        </w:rPr>
      </w:pPr>
    </w:p>
    <w:p>
      <w:pPr>
        <w:ind w:left="520" w:right="420" w:hanging="512"/>
        <w:spacing w:after="0" w:line="249" w:lineRule="auto"/>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The shift in purchases by fuel type for 2024 compared to 2023 is primarily due to Wyoming Electric's new wind and solar energy PPAs, which replaced market purchases from other fuel types, and are used to serve our LPCS customers. See </w:t>
      </w:r>
      <w:r>
        <w:rPr>
          <w:rFonts w:ascii="Arial" w:cs="Arial" w:eastAsia="Arial" w:hAnsi="Arial"/>
          <w:sz w:val="14"/>
          <w:szCs w:val="14"/>
          <w:u w:val="single" w:color="auto"/>
          <w:color w:val="0000FF"/>
        </w:rPr>
        <w:t>Key Elements of our Business Strategy</w:t>
      </w:r>
      <w:r>
        <w:rPr>
          <w:rFonts w:ascii="Arial" w:cs="Arial" w:eastAsia="Arial" w:hAnsi="Arial"/>
          <w:sz w:val="14"/>
          <w:szCs w:val="14"/>
          <w:color w:val="auto"/>
        </w:rPr>
        <w:t xml:space="preserve"> section above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3649345</wp:posOffset>
            </wp:positionH>
            <wp:positionV relativeFrom="paragraph">
              <wp:posOffset>-8255</wp:posOffset>
            </wp:positionV>
            <wp:extent cx="15843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584325"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560" w:type="dxa"/>
            <w:vAlign w:val="bottom"/>
            <w:gridSpan w:val="3"/>
          </w:tcPr>
          <w:p>
            <w:pPr>
              <w:jc w:val="right"/>
              <w:ind w:right="1219"/>
              <w:spacing w:after="0"/>
              <w:rPr>
                <w:sz w:val="20"/>
                <w:szCs w:val="20"/>
                <w:color w:val="auto"/>
              </w:rPr>
            </w:pPr>
            <w:r>
              <w:rPr>
                <w:rFonts w:ascii="Arial" w:cs="Arial" w:eastAsia="Arial" w:hAnsi="Arial"/>
                <w:sz w:val="16"/>
                <w:szCs w:val="16"/>
                <w:b w:val="1"/>
                <w:bCs w:val="1"/>
                <w:color w:val="auto"/>
              </w:rPr>
              <w:t>For the year ended December 31,</w:t>
            </w:r>
          </w:p>
        </w:tc>
      </w:tr>
      <w:tr>
        <w:trPr>
          <w:trHeight w:val="203"/>
        </w:trPr>
        <w:tc>
          <w:tcPr>
            <w:tcW w:w="558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Quantities Generated and Purchased by Business Unit</w:t>
            </w:r>
          </w:p>
        </w:tc>
        <w:tc>
          <w:tcPr>
            <w:tcW w:w="6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1059"/>
              <w:spacing w:after="0"/>
              <w:rPr>
                <w:sz w:val="20"/>
                <w:szCs w:val="20"/>
                <w:color w:val="auto"/>
              </w:rPr>
            </w:pPr>
            <w:r>
              <w:rPr>
                <w:rFonts w:ascii="Arial" w:cs="Arial" w:eastAsia="Arial" w:hAnsi="Arial"/>
                <w:sz w:val="16"/>
                <w:szCs w:val="16"/>
                <w:b w:val="1"/>
                <w:bCs w:val="1"/>
                <w:color w:val="auto"/>
              </w:rPr>
              <w:t>2024</w:t>
            </w:r>
          </w:p>
        </w:tc>
        <w:tc>
          <w:tcPr>
            <w:tcW w:w="12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2023</w:t>
            </w:r>
          </w:p>
        </w:tc>
        <w:tc>
          <w:tcPr>
            <w:tcW w:w="16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2022</w:t>
            </w:r>
          </w:p>
        </w:tc>
      </w:tr>
      <w:tr>
        <w:trPr>
          <w:trHeight w:val="183"/>
        </w:trPr>
        <w:tc>
          <w:tcPr>
            <w:tcW w:w="28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79"/>
              <w:spacing w:after="0" w:line="183" w:lineRule="exact"/>
              <w:rPr>
                <w:sz w:val="20"/>
                <w:szCs w:val="20"/>
                <w:color w:val="auto"/>
              </w:rPr>
            </w:pPr>
            <w:r>
              <w:rPr>
                <w:rFonts w:ascii="Arial" w:cs="Arial" w:eastAsia="Arial" w:hAnsi="Arial"/>
                <w:sz w:val="16"/>
                <w:szCs w:val="16"/>
                <w:color w:val="auto"/>
                <w:w w:val="99"/>
              </w:rPr>
              <w:t>(in GWh)</w:t>
            </w:r>
          </w:p>
        </w:tc>
        <w:tc>
          <w:tcPr>
            <w:tcW w:w="1680" w:type="dxa"/>
            <w:vAlign w:val="bottom"/>
            <w:tcBorders>
              <w:bottom w:val="single" w:sz="8" w:color="auto"/>
            </w:tcBorders>
          </w:tcPr>
          <w:p>
            <w:pPr>
              <w:spacing w:after="0"/>
              <w:rPr>
                <w:sz w:val="15"/>
                <w:szCs w:val="15"/>
                <w:color w:val="auto"/>
              </w:rPr>
            </w:pPr>
          </w:p>
        </w:tc>
      </w:tr>
      <w:tr>
        <w:trPr>
          <w:trHeight w:val="183"/>
        </w:trPr>
        <w:tc>
          <w:tcPr>
            <w:tcW w:w="28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Generated:</w:t>
            </w:r>
          </w:p>
        </w:tc>
        <w:tc>
          <w:tcPr>
            <w:tcW w:w="1040" w:type="dxa"/>
            <w:vAlign w:val="bottom"/>
            <w:shd w:val="clear" w:color="auto" w:fill="CFF0FC"/>
          </w:tcPr>
          <w:p>
            <w:pPr>
              <w:spacing w:after="0"/>
              <w:rPr>
                <w:sz w:val="15"/>
                <w:szCs w:val="15"/>
                <w:color w:val="auto"/>
              </w:rPr>
            </w:pPr>
          </w:p>
        </w:tc>
        <w:tc>
          <w:tcPr>
            <w:tcW w:w="16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6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680" w:type="dxa"/>
            <w:vAlign w:val="bottom"/>
            <w:shd w:val="clear" w:color="auto" w:fill="CFF0FC"/>
          </w:tcPr>
          <w:p>
            <w:pPr>
              <w:spacing w:after="0"/>
              <w:rPr>
                <w:sz w:val="15"/>
                <w:szCs w:val="15"/>
                <w:color w:val="auto"/>
              </w:rPr>
            </w:pPr>
          </w:p>
        </w:tc>
      </w:tr>
      <w:tr>
        <w:trPr>
          <w:trHeight w:val="189"/>
        </w:trPr>
        <w:tc>
          <w:tcPr>
            <w:tcW w:w="2860" w:type="dxa"/>
            <w:vAlign w:val="bottom"/>
          </w:tcPr>
          <w:p>
            <w:pPr>
              <w:ind w:left="200"/>
              <w:spacing w:after="0"/>
              <w:rPr>
                <w:sz w:val="20"/>
                <w:szCs w:val="20"/>
                <w:color w:val="auto"/>
              </w:rPr>
            </w:pPr>
            <w:r>
              <w:rPr>
                <w:rFonts w:ascii="Arial" w:cs="Arial" w:eastAsia="Arial" w:hAnsi="Arial"/>
                <w:sz w:val="16"/>
                <w:szCs w:val="16"/>
                <w:color w:val="auto"/>
              </w:rPr>
              <w:t>Colorado Electric</w:t>
            </w:r>
          </w:p>
        </w:tc>
        <w:tc>
          <w:tcPr>
            <w:tcW w:w="10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60" w:type="dxa"/>
            <w:vAlign w:val="bottom"/>
          </w:tcPr>
          <w:p>
            <w:pPr>
              <w:jc w:val="right"/>
              <w:ind w:right="459"/>
              <w:spacing w:after="0"/>
              <w:rPr>
                <w:sz w:val="20"/>
                <w:szCs w:val="20"/>
                <w:color w:val="auto"/>
              </w:rPr>
            </w:pPr>
            <w:r>
              <w:rPr>
                <w:rFonts w:ascii="Arial" w:cs="Arial" w:eastAsia="Arial" w:hAnsi="Arial"/>
                <w:sz w:val="16"/>
                <w:szCs w:val="16"/>
                <w:color w:val="auto"/>
              </w:rPr>
              <w:t>865.0</w:t>
            </w:r>
          </w:p>
        </w:tc>
        <w:tc>
          <w:tcPr>
            <w:tcW w:w="1220" w:type="dxa"/>
            <w:vAlign w:val="bottom"/>
          </w:tcPr>
          <w:p>
            <w:pPr>
              <w:jc w:val="right"/>
              <w:spacing w:after="0"/>
              <w:rPr>
                <w:sz w:val="20"/>
                <w:szCs w:val="20"/>
                <w:color w:val="auto"/>
              </w:rPr>
            </w:pPr>
            <w:r>
              <w:rPr>
                <w:rFonts w:ascii="Arial" w:cs="Arial" w:eastAsia="Arial" w:hAnsi="Arial"/>
                <w:sz w:val="16"/>
                <w:szCs w:val="16"/>
                <w:color w:val="auto"/>
              </w:rPr>
              <w:t>653.9</w:t>
            </w:r>
          </w:p>
        </w:tc>
        <w:tc>
          <w:tcPr>
            <w:tcW w:w="1680" w:type="dxa"/>
            <w:vAlign w:val="bottom"/>
          </w:tcPr>
          <w:p>
            <w:pPr>
              <w:jc w:val="right"/>
              <w:ind w:right="59"/>
              <w:spacing w:after="0"/>
              <w:rPr>
                <w:sz w:val="20"/>
                <w:szCs w:val="20"/>
                <w:color w:val="auto"/>
              </w:rPr>
            </w:pPr>
            <w:r>
              <w:rPr>
                <w:rFonts w:ascii="Arial" w:cs="Arial" w:eastAsia="Arial" w:hAnsi="Arial"/>
                <w:sz w:val="16"/>
                <w:szCs w:val="16"/>
                <w:color w:val="auto"/>
              </w:rPr>
              <w:t>474.4</w:t>
            </w:r>
          </w:p>
        </w:tc>
      </w:tr>
      <w:tr>
        <w:trPr>
          <w:trHeight w:val="189"/>
        </w:trPr>
        <w:tc>
          <w:tcPr>
            <w:tcW w:w="28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South Dakota Electric</w:t>
            </w:r>
          </w:p>
        </w:tc>
        <w:tc>
          <w:tcPr>
            <w:tcW w:w="1040" w:type="dxa"/>
            <w:vAlign w:val="bottom"/>
            <w:shd w:val="clear" w:color="auto" w:fill="CFF0FC"/>
          </w:tcPr>
          <w:p>
            <w:pPr>
              <w:spacing w:after="0"/>
              <w:rPr>
                <w:sz w:val="16"/>
                <w:szCs w:val="16"/>
                <w:color w:val="auto"/>
              </w:rPr>
            </w:pPr>
          </w:p>
        </w:tc>
        <w:tc>
          <w:tcPr>
            <w:tcW w:w="1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660" w:type="dxa"/>
            <w:vAlign w:val="bottom"/>
            <w:shd w:val="clear" w:color="auto" w:fill="CFF0FC"/>
          </w:tcPr>
          <w:p>
            <w:pPr>
              <w:jc w:val="right"/>
              <w:ind w:right="459"/>
              <w:spacing w:after="0"/>
              <w:rPr>
                <w:sz w:val="20"/>
                <w:szCs w:val="20"/>
                <w:color w:val="auto"/>
              </w:rPr>
            </w:pPr>
            <w:r>
              <w:rPr>
                <w:rFonts w:ascii="Arial" w:cs="Arial" w:eastAsia="Arial" w:hAnsi="Arial"/>
                <w:sz w:val="16"/>
                <w:szCs w:val="16"/>
                <w:color w:val="auto"/>
              </w:rPr>
              <w:t>2,045.4</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2,018.5</w:t>
            </w:r>
          </w:p>
        </w:tc>
        <w:tc>
          <w:tcPr>
            <w:tcW w:w="16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1,890.0</w:t>
            </w:r>
          </w:p>
        </w:tc>
      </w:tr>
      <w:tr>
        <w:trPr>
          <w:trHeight w:val="189"/>
        </w:trPr>
        <w:tc>
          <w:tcPr>
            <w:tcW w:w="2860" w:type="dxa"/>
            <w:vAlign w:val="bottom"/>
          </w:tcPr>
          <w:p>
            <w:pPr>
              <w:ind w:left="200"/>
              <w:spacing w:after="0"/>
              <w:rPr>
                <w:sz w:val="20"/>
                <w:szCs w:val="20"/>
                <w:color w:val="auto"/>
              </w:rPr>
            </w:pPr>
            <w:r>
              <w:rPr>
                <w:rFonts w:ascii="Arial" w:cs="Arial" w:eastAsia="Arial" w:hAnsi="Arial"/>
                <w:sz w:val="16"/>
                <w:szCs w:val="16"/>
                <w:color w:val="auto"/>
              </w:rPr>
              <w:t>Wyoming Electric</w:t>
            </w:r>
          </w:p>
        </w:tc>
        <w:tc>
          <w:tcPr>
            <w:tcW w:w="10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60" w:type="dxa"/>
            <w:vAlign w:val="bottom"/>
          </w:tcPr>
          <w:p>
            <w:pPr>
              <w:jc w:val="right"/>
              <w:ind w:right="459"/>
              <w:spacing w:after="0"/>
              <w:rPr>
                <w:sz w:val="20"/>
                <w:szCs w:val="20"/>
                <w:color w:val="auto"/>
              </w:rPr>
            </w:pPr>
            <w:r>
              <w:rPr>
                <w:rFonts w:ascii="Arial" w:cs="Arial" w:eastAsia="Arial" w:hAnsi="Arial"/>
                <w:sz w:val="16"/>
                <w:szCs w:val="16"/>
                <w:color w:val="auto"/>
              </w:rPr>
              <w:t>866.5</w:t>
            </w:r>
          </w:p>
        </w:tc>
        <w:tc>
          <w:tcPr>
            <w:tcW w:w="1220" w:type="dxa"/>
            <w:vAlign w:val="bottom"/>
          </w:tcPr>
          <w:p>
            <w:pPr>
              <w:jc w:val="right"/>
              <w:spacing w:after="0"/>
              <w:rPr>
                <w:sz w:val="20"/>
                <w:szCs w:val="20"/>
                <w:color w:val="auto"/>
              </w:rPr>
            </w:pPr>
            <w:r>
              <w:rPr>
                <w:rFonts w:ascii="Arial" w:cs="Arial" w:eastAsia="Arial" w:hAnsi="Arial"/>
                <w:sz w:val="16"/>
                <w:szCs w:val="16"/>
                <w:color w:val="auto"/>
              </w:rPr>
              <w:t>908.3</w:t>
            </w:r>
          </w:p>
        </w:tc>
        <w:tc>
          <w:tcPr>
            <w:tcW w:w="1680" w:type="dxa"/>
            <w:vAlign w:val="bottom"/>
          </w:tcPr>
          <w:p>
            <w:pPr>
              <w:jc w:val="right"/>
              <w:ind w:right="59"/>
              <w:spacing w:after="0"/>
              <w:rPr>
                <w:sz w:val="20"/>
                <w:szCs w:val="20"/>
                <w:color w:val="auto"/>
              </w:rPr>
            </w:pPr>
            <w:r>
              <w:rPr>
                <w:rFonts w:ascii="Arial" w:cs="Arial" w:eastAsia="Arial" w:hAnsi="Arial"/>
                <w:sz w:val="16"/>
                <w:szCs w:val="16"/>
                <w:color w:val="auto"/>
              </w:rPr>
              <w:t>905.8</w:t>
            </w:r>
          </w:p>
        </w:tc>
      </w:tr>
      <w:tr>
        <w:trPr>
          <w:trHeight w:val="189"/>
        </w:trPr>
        <w:tc>
          <w:tcPr>
            <w:tcW w:w="28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Integrated Generation</w:t>
            </w:r>
          </w:p>
        </w:tc>
        <w:tc>
          <w:tcPr>
            <w:tcW w:w="1040" w:type="dxa"/>
            <w:vAlign w:val="bottom"/>
            <w:tcBorders>
              <w:bottom w:val="single" w:sz="8" w:color="CFF0FC"/>
            </w:tcBorders>
            <w:shd w:val="clear" w:color="auto" w:fill="CFF0FC"/>
          </w:tcPr>
          <w:p>
            <w:pPr>
              <w:spacing w:after="0"/>
              <w:rPr>
                <w:sz w:val="16"/>
                <w:szCs w:val="16"/>
                <w:color w:val="auto"/>
              </w:rPr>
            </w:pPr>
          </w:p>
        </w:tc>
        <w:tc>
          <w:tcPr>
            <w:tcW w:w="168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CFF0FC"/>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spacing w:after="0"/>
              <w:rPr>
                <w:sz w:val="16"/>
                <w:szCs w:val="16"/>
                <w:color w:val="auto"/>
              </w:rPr>
            </w:pPr>
          </w:p>
        </w:tc>
        <w:tc>
          <w:tcPr>
            <w:tcW w:w="1660" w:type="dxa"/>
            <w:vAlign w:val="bottom"/>
            <w:tcBorders>
              <w:bottom w:val="single" w:sz="8" w:color="auto"/>
            </w:tcBorders>
            <w:shd w:val="clear" w:color="auto" w:fill="CFF0FC"/>
          </w:tcPr>
          <w:p>
            <w:pPr>
              <w:jc w:val="right"/>
              <w:ind w:right="459"/>
              <w:spacing w:after="0"/>
              <w:rPr>
                <w:sz w:val="20"/>
                <w:szCs w:val="20"/>
                <w:color w:val="auto"/>
              </w:rPr>
            </w:pPr>
            <w:r>
              <w:rPr>
                <w:rFonts w:ascii="Arial" w:cs="Arial" w:eastAsia="Arial" w:hAnsi="Arial"/>
                <w:sz w:val="16"/>
                <w:szCs w:val="16"/>
                <w:color w:val="auto"/>
              </w:rPr>
              <w:t>1,600.7</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1,802.5</w:t>
            </w:r>
          </w:p>
        </w:tc>
        <w:tc>
          <w:tcPr>
            <w:tcW w:w="16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1,768.6</w:t>
            </w:r>
          </w:p>
        </w:tc>
      </w:tr>
      <w:tr>
        <w:trPr>
          <w:trHeight w:val="183"/>
        </w:trPr>
        <w:tc>
          <w:tcPr>
            <w:tcW w:w="2860" w:type="dxa"/>
            <w:vAlign w:val="bottom"/>
          </w:tcPr>
          <w:p>
            <w:pPr>
              <w:ind w:left="300"/>
              <w:spacing w:after="0" w:line="183" w:lineRule="exact"/>
              <w:rPr>
                <w:sz w:val="20"/>
                <w:szCs w:val="20"/>
                <w:color w:val="auto"/>
              </w:rPr>
            </w:pPr>
            <w:r>
              <w:rPr>
                <w:rFonts w:ascii="Arial" w:cs="Arial" w:eastAsia="Arial" w:hAnsi="Arial"/>
                <w:sz w:val="16"/>
                <w:szCs w:val="16"/>
                <w:color w:val="auto"/>
              </w:rPr>
              <w:t>Total Generated</w:t>
            </w:r>
          </w:p>
        </w:tc>
        <w:tc>
          <w:tcPr>
            <w:tcW w:w="10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459"/>
              <w:spacing w:after="0" w:line="183" w:lineRule="exact"/>
              <w:rPr>
                <w:sz w:val="20"/>
                <w:szCs w:val="20"/>
                <w:color w:val="auto"/>
              </w:rPr>
            </w:pPr>
            <w:r>
              <w:rPr>
                <w:rFonts w:ascii="Arial" w:cs="Arial" w:eastAsia="Arial" w:hAnsi="Arial"/>
                <w:sz w:val="16"/>
                <w:szCs w:val="16"/>
                <w:color w:val="auto"/>
              </w:rPr>
              <w:t>5,377.6</w:t>
            </w:r>
          </w:p>
        </w:tc>
        <w:tc>
          <w:tcPr>
            <w:tcW w:w="1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5,383.2</w:t>
            </w:r>
          </w:p>
        </w:tc>
        <w:tc>
          <w:tcPr>
            <w:tcW w:w="168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5,038.8</w:t>
            </w:r>
          </w:p>
        </w:tc>
      </w:tr>
      <w:tr>
        <w:trPr>
          <w:trHeight w:val="183"/>
        </w:trPr>
        <w:tc>
          <w:tcPr>
            <w:tcW w:w="28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Purchased:</w:t>
            </w:r>
          </w:p>
        </w:tc>
        <w:tc>
          <w:tcPr>
            <w:tcW w:w="1040" w:type="dxa"/>
            <w:vAlign w:val="bottom"/>
            <w:shd w:val="clear" w:color="auto" w:fill="CFF0FC"/>
          </w:tcPr>
          <w:p>
            <w:pPr>
              <w:spacing w:after="0"/>
              <w:rPr>
                <w:sz w:val="15"/>
                <w:szCs w:val="15"/>
                <w:color w:val="auto"/>
              </w:rPr>
            </w:pPr>
          </w:p>
        </w:tc>
        <w:tc>
          <w:tcPr>
            <w:tcW w:w="16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6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680" w:type="dxa"/>
            <w:vAlign w:val="bottom"/>
            <w:shd w:val="clear" w:color="auto" w:fill="CFF0FC"/>
          </w:tcPr>
          <w:p>
            <w:pPr>
              <w:spacing w:after="0"/>
              <w:rPr>
                <w:sz w:val="15"/>
                <w:szCs w:val="15"/>
                <w:color w:val="auto"/>
              </w:rPr>
            </w:pPr>
          </w:p>
        </w:tc>
      </w:tr>
      <w:tr>
        <w:trPr>
          <w:trHeight w:val="189"/>
        </w:trPr>
        <w:tc>
          <w:tcPr>
            <w:tcW w:w="2860" w:type="dxa"/>
            <w:vAlign w:val="bottom"/>
          </w:tcPr>
          <w:p>
            <w:pPr>
              <w:ind w:left="200"/>
              <w:spacing w:after="0"/>
              <w:rPr>
                <w:sz w:val="20"/>
                <w:szCs w:val="20"/>
                <w:color w:val="auto"/>
              </w:rPr>
            </w:pPr>
            <w:r>
              <w:rPr>
                <w:rFonts w:ascii="Arial" w:cs="Arial" w:eastAsia="Arial" w:hAnsi="Arial"/>
                <w:sz w:val="16"/>
                <w:szCs w:val="16"/>
                <w:color w:val="auto"/>
              </w:rPr>
              <w:t>Colorado Electric</w:t>
            </w:r>
          </w:p>
        </w:tc>
        <w:tc>
          <w:tcPr>
            <w:tcW w:w="10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60" w:type="dxa"/>
            <w:vAlign w:val="bottom"/>
          </w:tcPr>
          <w:p>
            <w:pPr>
              <w:jc w:val="right"/>
              <w:ind w:right="459"/>
              <w:spacing w:after="0"/>
              <w:rPr>
                <w:sz w:val="20"/>
                <w:szCs w:val="20"/>
                <w:color w:val="auto"/>
              </w:rPr>
            </w:pPr>
            <w:r>
              <w:rPr>
                <w:rFonts w:ascii="Arial" w:cs="Arial" w:eastAsia="Arial" w:hAnsi="Arial"/>
                <w:sz w:val="16"/>
                <w:szCs w:val="16"/>
                <w:color w:val="auto"/>
              </w:rPr>
              <w:t>447.4</w:t>
            </w:r>
          </w:p>
        </w:tc>
        <w:tc>
          <w:tcPr>
            <w:tcW w:w="1220" w:type="dxa"/>
            <w:vAlign w:val="bottom"/>
          </w:tcPr>
          <w:p>
            <w:pPr>
              <w:jc w:val="right"/>
              <w:spacing w:after="0"/>
              <w:rPr>
                <w:sz w:val="20"/>
                <w:szCs w:val="20"/>
                <w:color w:val="auto"/>
              </w:rPr>
            </w:pPr>
            <w:r>
              <w:rPr>
                <w:rFonts w:ascii="Arial" w:cs="Arial" w:eastAsia="Arial" w:hAnsi="Arial"/>
                <w:sz w:val="16"/>
                <w:szCs w:val="16"/>
                <w:color w:val="auto"/>
              </w:rPr>
              <w:t>588.2</w:t>
            </w:r>
          </w:p>
        </w:tc>
        <w:tc>
          <w:tcPr>
            <w:tcW w:w="1680" w:type="dxa"/>
            <w:vAlign w:val="bottom"/>
          </w:tcPr>
          <w:p>
            <w:pPr>
              <w:jc w:val="right"/>
              <w:ind w:right="59"/>
              <w:spacing w:after="0"/>
              <w:rPr>
                <w:sz w:val="20"/>
                <w:szCs w:val="20"/>
                <w:color w:val="auto"/>
              </w:rPr>
            </w:pPr>
            <w:r>
              <w:rPr>
                <w:rFonts w:ascii="Arial" w:cs="Arial" w:eastAsia="Arial" w:hAnsi="Arial"/>
                <w:sz w:val="16"/>
                <w:szCs w:val="16"/>
                <w:color w:val="auto"/>
              </w:rPr>
              <w:t>1,005.4</w:t>
            </w:r>
          </w:p>
        </w:tc>
      </w:tr>
      <w:tr>
        <w:trPr>
          <w:trHeight w:val="189"/>
        </w:trPr>
        <w:tc>
          <w:tcPr>
            <w:tcW w:w="28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South Dakota Electric</w:t>
            </w:r>
          </w:p>
        </w:tc>
        <w:tc>
          <w:tcPr>
            <w:tcW w:w="1040" w:type="dxa"/>
            <w:vAlign w:val="bottom"/>
            <w:shd w:val="clear" w:color="auto" w:fill="CFF0FC"/>
          </w:tcPr>
          <w:p>
            <w:pPr>
              <w:spacing w:after="0"/>
              <w:rPr>
                <w:sz w:val="16"/>
                <w:szCs w:val="16"/>
                <w:color w:val="auto"/>
              </w:rPr>
            </w:pPr>
          </w:p>
        </w:tc>
        <w:tc>
          <w:tcPr>
            <w:tcW w:w="1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660" w:type="dxa"/>
            <w:vAlign w:val="bottom"/>
            <w:shd w:val="clear" w:color="auto" w:fill="CFF0FC"/>
          </w:tcPr>
          <w:p>
            <w:pPr>
              <w:jc w:val="right"/>
              <w:ind w:right="459"/>
              <w:spacing w:after="0"/>
              <w:rPr>
                <w:sz w:val="20"/>
                <w:szCs w:val="20"/>
                <w:color w:val="auto"/>
              </w:rPr>
            </w:pPr>
            <w:r>
              <w:rPr>
                <w:rFonts w:ascii="Arial" w:cs="Arial" w:eastAsia="Arial" w:hAnsi="Arial"/>
                <w:sz w:val="16"/>
                <w:szCs w:val="16"/>
                <w:color w:val="auto"/>
              </w:rPr>
              <w:t>590.7</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604.6</w:t>
            </w:r>
          </w:p>
        </w:tc>
        <w:tc>
          <w:tcPr>
            <w:tcW w:w="16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826.4</w:t>
            </w:r>
          </w:p>
        </w:tc>
      </w:tr>
      <w:tr>
        <w:trPr>
          <w:trHeight w:val="189"/>
        </w:trPr>
        <w:tc>
          <w:tcPr>
            <w:tcW w:w="2860" w:type="dxa"/>
            <w:vAlign w:val="bottom"/>
          </w:tcPr>
          <w:p>
            <w:pPr>
              <w:ind w:left="200"/>
              <w:spacing w:after="0"/>
              <w:rPr>
                <w:sz w:val="20"/>
                <w:szCs w:val="20"/>
                <w:color w:val="auto"/>
              </w:rPr>
            </w:pPr>
            <w:r>
              <w:rPr>
                <w:rFonts w:ascii="Arial" w:cs="Arial" w:eastAsia="Arial" w:hAnsi="Arial"/>
                <w:sz w:val="16"/>
                <w:szCs w:val="16"/>
                <w:color w:val="auto"/>
              </w:rPr>
              <w:t>Wyoming Electric</w:t>
            </w:r>
          </w:p>
        </w:tc>
        <w:tc>
          <w:tcPr>
            <w:tcW w:w="10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60" w:type="dxa"/>
            <w:vAlign w:val="bottom"/>
          </w:tcPr>
          <w:p>
            <w:pPr>
              <w:jc w:val="right"/>
              <w:ind w:right="459"/>
              <w:spacing w:after="0"/>
              <w:rPr>
                <w:sz w:val="20"/>
                <w:szCs w:val="20"/>
                <w:color w:val="auto"/>
              </w:rPr>
            </w:pPr>
            <w:r>
              <w:rPr>
                <w:rFonts w:ascii="Arial" w:cs="Arial" w:eastAsia="Arial" w:hAnsi="Arial"/>
                <w:sz w:val="16"/>
                <w:szCs w:val="16"/>
                <w:color w:val="auto"/>
              </w:rPr>
              <w:t>1,147.7</w:t>
            </w:r>
          </w:p>
        </w:tc>
        <w:tc>
          <w:tcPr>
            <w:tcW w:w="1220" w:type="dxa"/>
            <w:vAlign w:val="bottom"/>
          </w:tcPr>
          <w:p>
            <w:pPr>
              <w:jc w:val="right"/>
              <w:spacing w:after="0"/>
              <w:rPr>
                <w:sz w:val="20"/>
                <w:szCs w:val="20"/>
                <w:color w:val="auto"/>
              </w:rPr>
            </w:pPr>
            <w:r>
              <w:rPr>
                <w:rFonts w:ascii="Arial" w:cs="Arial" w:eastAsia="Arial" w:hAnsi="Arial"/>
                <w:sz w:val="16"/>
                <w:szCs w:val="16"/>
                <w:color w:val="auto"/>
              </w:rPr>
              <w:t>1,028.5</w:t>
            </w:r>
          </w:p>
        </w:tc>
        <w:tc>
          <w:tcPr>
            <w:tcW w:w="1680" w:type="dxa"/>
            <w:vAlign w:val="bottom"/>
          </w:tcPr>
          <w:p>
            <w:pPr>
              <w:jc w:val="right"/>
              <w:ind w:right="59"/>
              <w:spacing w:after="0"/>
              <w:rPr>
                <w:sz w:val="20"/>
                <w:szCs w:val="20"/>
                <w:color w:val="auto"/>
              </w:rPr>
            </w:pPr>
            <w:r>
              <w:rPr>
                <w:rFonts w:ascii="Arial" w:cs="Arial" w:eastAsia="Arial" w:hAnsi="Arial"/>
                <w:sz w:val="16"/>
                <w:szCs w:val="16"/>
                <w:color w:val="auto"/>
              </w:rPr>
              <w:t>757.2</w:t>
            </w:r>
          </w:p>
        </w:tc>
      </w:tr>
      <w:tr>
        <w:trPr>
          <w:trHeight w:val="189"/>
        </w:trPr>
        <w:tc>
          <w:tcPr>
            <w:tcW w:w="28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Integrated Generation</w:t>
            </w:r>
          </w:p>
        </w:tc>
        <w:tc>
          <w:tcPr>
            <w:tcW w:w="1040" w:type="dxa"/>
            <w:vAlign w:val="bottom"/>
            <w:tcBorders>
              <w:bottom w:val="single" w:sz="8" w:color="CFF0FC"/>
            </w:tcBorders>
            <w:shd w:val="clear" w:color="auto" w:fill="CFF0FC"/>
          </w:tcPr>
          <w:p>
            <w:pPr>
              <w:spacing w:after="0"/>
              <w:rPr>
                <w:sz w:val="16"/>
                <w:szCs w:val="16"/>
                <w:color w:val="auto"/>
              </w:rPr>
            </w:pPr>
          </w:p>
        </w:tc>
        <w:tc>
          <w:tcPr>
            <w:tcW w:w="168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CFF0FC"/>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spacing w:after="0"/>
              <w:rPr>
                <w:sz w:val="16"/>
                <w:szCs w:val="16"/>
                <w:color w:val="auto"/>
              </w:rPr>
            </w:pPr>
          </w:p>
        </w:tc>
        <w:tc>
          <w:tcPr>
            <w:tcW w:w="1660" w:type="dxa"/>
            <w:vAlign w:val="bottom"/>
            <w:tcBorders>
              <w:bottom w:val="single" w:sz="8" w:color="auto"/>
            </w:tcBorders>
            <w:shd w:val="clear" w:color="auto" w:fill="CFF0FC"/>
          </w:tcPr>
          <w:p>
            <w:pPr>
              <w:jc w:val="right"/>
              <w:ind w:right="459"/>
              <w:spacing w:after="0"/>
              <w:rPr>
                <w:sz w:val="20"/>
                <w:szCs w:val="20"/>
                <w:color w:val="auto"/>
              </w:rPr>
            </w:pPr>
            <w:r>
              <w:rPr>
                <w:rFonts w:ascii="Arial" w:cs="Arial" w:eastAsia="Arial" w:hAnsi="Arial"/>
                <w:sz w:val="16"/>
                <w:szCs w:val="16"/>
                <w:color w:val="auto"/>
              </w:rPr>
              <w:t>62.1</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55.2</w:t>
            </w:r>
          </w:p>
        </w:tc>
        <w:tc>
          <w:tcPr>
            <w:tcW w:w="16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85.1</w:t>
            </w:r>
          </w:p>
        </w:tc>
      </w:tr>
      <w:tr>
        <w:trPr>
          <w:trHeight w:val="183"/>
        </w:trPr>
        <w:tc>
          <w:tcPr>
            <w:tcW w:w="2860" w:type="dxa"/>
            <w:vAlign w:val="bottom"/>
          </w:tcPr>
          <w:p>
            <w:pPr>
              <w:ind w:left="300"/>
              <w:spacing w:after="0" w:line="183" w:lineRule="exact"/>
              <w:rPr>
                <w:sz w:val="20"/>
                <w:szCs w:val="20"/>
                <w:color w:val="auto"/>
              </w:rPr>
            </w:pPr>
            <w:r>
              <w:rPr>
                <w:rFonts w:ascii="Arial" w:cs="Arial" w:eastAsia="Arial" w:hAnsi="Arial"/>
                <w:sz w:val="16"/>
                <w:szCs w:val="16"/>
                <w:color w:val="auto"/>
              </w:rPr>
              <w:t>Total Purchased</w:t>
            </w:r>
          </w:p>
        </w:tc>
        <w:tc>
          <w:tcPr>
            <w:tcW w:w="10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459"/>
              <w:spacing w:after="0" w:line="183" w:lineRule="exact"/>
              <w:rPr>
                <w:sz w:val="20"/>
                <w:szCs w:val="20"/>
                <w:color w:val="auto"/>
              </w:rPr>
            </w:pPr>
            <w:r>
              <w:rPr>
                <w:rFonts w:ascii="Arial" w:cs="Arial" w:eastAsia="Arial" w:hAnsi="Arial"/>
                <w:sz w:val="16"/>
                <w:szCs w:val="16"/>
                <w:color w:val="auto"/>
              </w:rPr>
              <w:t>2,247.9</w:t>
            </w:r>
          </w:p>
        </w:tc>
        <w:tc>
          <w:tcPr>
            <w:tcW w:w="1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2,276.5</w:t>
            </w:r>
          </w:p>
        </w:tc>
        <w:tc>
          <w:tcPr>
            <w:tcW w:w="168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2,674.1</w:t>
            </w:r>
          </w:p>
        </w:tc>
      </w:tr>
      <w:tr>
        <w:trPr>
          <w:trHeight w:val="183"/>
        </w:trPr>
        <w:tc>
          <w:tcPr>
            <w:tcW w:w="28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6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6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680" w:type="dxa"/>
            <w:vAlign w:val="bottom"/>
            <w:shd w:val="clear" w:color="auto" w:fill="CFF0FC"/>
          </w:tcPr>
          <w:p>
            <w:pPr>
              <w:spacing w:after="0"/>
              <w:rPr>
                <w:sz w:val="15"/>
                <w:szCs w:val="15"/>
                <w:color w:val="auto"/>
              </w:rPr>
            </w:pPr>
          </w:p>
        </w:tc>
      </w:tr>
      <w:tr>
        <w:trPr>
          <w:trHeight w:val="189"/>
        </w:trPr>
        <w:tc>
          <w:tcPr>
            <w:tcW w:w="2860" w:type="dxa"/>
            <w:vAlign w:val="bottom"/>
          </w:tcPr>
          <w:p>
            <w:pPr>
              <w:ind w:left="20"/>
              <w:spacing w:after="0"/>
              <w:rPr>
                <w:sz w:val="20"/>
                <w:szCs w:val="20"/>
                <w:color w:val="auto"/>
              </w:rPr>
            </w:pPr>
            <w:r>
              <w:rPr>
                <w:rFonts w:ascii="Arial" w:cs="Arial" w:eastAsia="Arial" w:hAnsi="Arial"/>
                <w:sz w:val="16"/>
                <w:szCs w:val="16"/>
                <w:color w:val="auto"/>
              </w:rPr>
              <w:t>Total Generated and Purchased</w:t>
            </w:r>
          </w:p>
        </w:tc>
        <w:tc>
          <w:tcPr>
            <w:tcW w:w="10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7,625.5</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7,659.7</w:t>
            </w:r>
          </w:p>
        </w:tc>
        <w:tc>
          <w:tcPr>
            <w:tcW w:w="1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7,712.9</w:t>
            </w:r>
          </w:p>
        </w:tc>
      </w:tr>
      <w:tr>
        <w:trPr>
          <w:trHeight w:val="20"/>
        </w:trPr>
        <w:tc>
          <w:tcPr>
            <w:tcW w:w="2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00" w:type="dxa"/>
            <w:vAlign w:val="bottom"/>
            <w:tcBorders>
              <w:bottom w:val="single" w:sz="8" w:color="auto"/>
            </w:tcBorders>
            <w:gridSpan w:val="2"/>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344"/>
        </w:trPr>
        <w:tc>
          <w:tcPr>
            <w:tcW w:w="2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760" w:type="dxa"/>
            <w:vAlign w:val="bottom"/>
            <w:gridSpan w:val="3"/>
          </w:tcPr>
          <w:p>
            <w:pPr>
              <w:jc w:val="right"/>
              <w:spacing w:after="0"/>
              <w:rPr>
                <w:sz w:val="20"/>
                <w:szCs w:val="20"/>
                <w:color w:val="auto"/>
              </w:rPr>
            </w:pPr>
            <w:r>
              <w:rPr>
                <w:rFonts w:ascii="Arial" w:cs="Arial" w:eastAsia="Arial" w:hAnsi="Arial"/>
                <w:sz w:val="16"/>
                <w:szCs w:val="16"/>
                <w:b w:val="1"/>
                <w:bCs w:val="1"/>
                <w:color w:val="auto"/>
              </w:rPr>
              <w:t>For the year ended December 31,</w:t>
            </w:r>
          </w:p>
        </w:tc>
        <w:tc>
          <w:tcPr>
            <w:tcW w:w="12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03"/>
        </w:trPr>
        <w:tc>
          <w:tcPr>
            <w:tcW w:w="286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1079"/>
              <w:spacing w:after="0"/>
              <w:rPr>
                <w:sz w:val="20"/>
                <w:szCs w:val="20"/>
                <w:color w:val="auto"/>
              </w:rPr>
            </w:pPr>
            <w:r>
              <w:rPr>
                <w:rFonts w:ascii="Arial" w:cs="Arial" w:eastAsia="Arial" w:hAnsi="Arial"/>
                <w:sz w:val="16"/>
                <w:szCs w:val="16"/>
                <w:b w:val="1"/>
                <w:bCs w:val="1"/>
                <w:color w:val="auto"/>
              </w:rPr>
              <w:t>2024</w:t>
            </w:r>
          </w:p>
        </w:tc>
        <w:tc>
          <w:tcPr>
            <w:tcW w:w="6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1059"/>
              <w:spacing w:after="0"/>
              <w:rPr>
                <w:sz w:val="20"/>
                <w:szCs w:val="20"/>
                <w:color w:val="auto"/>
              </w:rPr>
            </w:pPr>
            <w:r>
              <w:rPr>
                <w:rFonts w:ascii="Arial" w:cs="Arial" w:eastAsia="Arial" w:hAnsi="Arial"/>
                <w:sz w:val="16"/>
                <w:szCs w:val="16"/>
                <w:b w:val="1"/>
                <w:bCs w:val="1"/>
                <w:color w:val="auto"/>
              </w:rPr>
              <w:t>2023</w:t>
            </w:r>
          </w:p>
        </w:tc>
        <w:tc>
          <w:tcPr>
            <w:tcW w:w="12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1139"/>
              <w:spacing w:after="0"/>
              <w:rPr>
                <w:sz w:val="20"/>
                <w:szCs w:val="20"/>
                <w:color w:val="auto"/>
              </w:rPr>
            </w:pPr>
            <w:r>
              <w:rPr>
                <w:rFonts w:ascii="Arial" w:cs="Arial" w:eastAsia="Arial" w:hAnsi="Arial"/>
                <w:sz w:val="16"/>
                <w:szCs w:val="16"/>
                <w:b w:val="1"/>
                <w:bCs w:val="1"/>
                <w:color w:val="auto"/>
              </w:rPr>
              <w:t>2022</w:t>
            </w:r>
          </w:p>
        </w:tc>
      </w:tr>
      <w:tr>
        <w:trPr>
          <w:trHeight w:val="168"/>
        </w:trPr>
        <w:tc>
          <w:tcPr>
            <w:tcW w:w="2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80" w:type="dxa"/>
            <w:vAlign w:val="bottom"/>
          </w:tcPr>
          <w:p>
            <w:pPr>
              <w:jc w:val="center"/>
              <w:ind w:left="119"/>
              <w:spacing w:after="0" w:line="168" w:lineRule="exact"/>
              <w:rPr>
                <w:sz w:val="20"/>
                <w:szCs w:val="20"/>
                <w:color w:val="auto"/>
              </w:rPr>
            </w:pPr>
            <w:r>
              <w:rPr>
                <w:rFonts w:ascii="Arial" w:cs="Arial" w:eastAsia="Arial" w:hAnsi="Arial"/>
                <w:sz w:val="16"/>
                <w:szCs w:val="16"/>
                <w:b w:val="1"/>
                <w:bCs w:val="1"/>
                <w:color w:val="auto"/>
              </w:rPr>
              <w:t>Variance from</w:t>
            </w: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tcPr>
          <w:p>
            <w:pPr>
              <w:jc w:val="right"/>
              <w:ind w:right="79"/>
              <w:spacing w:after="0" w:line="168" w:lineRule="exact"/>
              <w:rPr>
                <w:sz w:val="20"/>
                <w:szCs w:val="20"/>
                <w:color w:val="auto"/>
              </w:rPr>
            </w:pPr>
            <w:r>
              <w:rPr>
                <w:rFonts w:ascii="Arial" w:cs="Arial" w:eastAsia="Arial" w:hAnsi="Arial"/>
                <w:sz w:val="16"/>
                <w:szCs w:val="16"/>
                <w:b w:val="1"/>
                <w:bCs w:val="1"/>
                <w:color w:val="auto"/>
              </w:rPr>
              <w:t>Variance from</w:t>
            </w:r>
          </w:p>
        </w:tc>
        <w:tc>
          <w:tcPr>
            <w:tcW w:w="1220" w:type="dxa"/>
            <w:vAlign w:val="bottom"/>
          </w:tcPr>
          <w:p>
            <w:pPr>
              <w:spacing w:after="0"/>
              <w:rPr>
                <w:sz w:val="14"/>
                <w:szCs w:val="14"/>
                <w:color w:val="auto"/>
              </w:rPr>
            </w:pPr>
          </w:p>
        </w:tc>
        <w:tc>
          <w:tcPr>
            <w:tcW w:w="1680" w:type="dxa"/>
            <w:vAlign w:val="bottom"/>
          </w:tcPr>
          <w:p>
            <w:pPr>
              <w:jc w:val="right"/>
              <w:ind w:right="179"/>
              <w:spacing w:after="0" w:line="168" w:lineRule="exact"/>
              <w:rPr>
                <w:sz w:val="20"/>
                <w:szCs w:val="20"/>
                <w:color w:val="auto"/>
              </w:rPr>
            </w:pPr>
            <w:r>
              <w:rPr>
                <w:rFonts w:ascii="Arial" w:cs="Arial" w:eastAsia="Arial" w:hAnsi="Arial"/>
                <w:sz w:val="16"/>
                <w:szCs w:val="16"/>
                <w:b w:val="1"/>
                <w:bCs w:val="1"/>
                <w:color w:val="auto"/>
              </w:rPr>
              <w:t>Variance from</w:t>
            </w:r>
          </w:p>
        </w:tc>
      </w:tr>
      <w:tr>
        <w:trPr>
          <w:trHeight w:val="203"/>
        </w:trPr>
        <w:tc>
          <w:tcPr>
            <w:tcW w:w="2860" w:type="dxa"/>
            <w:vAlign w:val="bottom"/>
            <w:tcBorders>
              <w:bottom w:val="single" w:sz="8" w:color="auto"/>
            </w:tcBorders>
          </w:tcPr>
          <w:p>
            <w:pPr>
              <w:ind w:left="940"/>
              <w:spacing w:after="0"/>
              <w:rPr>
                <w:sz w:val="20"/>
                <w:szCs w:val="20"/>
                <w:color w:val="auto"/>
              </w:rPr>
            </w:pPr>
            <w:r>
              <w:rPr>
                <w:rFonts w:ascii="Arial" w:cs="Arial" w:eastAsia="Arial" w:hAnsi="Arial"/>
                <w:sz w:val="16"/>
                <w:szCs w:val="16"/>
                <w:b w:val="1"/>
                <w:bCs w:val="1"/>
                <w:color w:val="auto"/>
              </w:rPr>
              <w:t>Degree Days</w:t>
            </w:r>
          </w:p>
        </w:tc>
        <w:tc>
          <w:tcPr>
            <w:tcW w:w="104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color w:val="auto"/>
              </w:rPr>
              <w:t>Actual</w:t>
            </w:r>
          </w:p>
        </w:tc>
        <w:tc>
          <w:tcPr>
            <w:tcW w:w="1680" w:type="dxa"/>
            <w:vAlign w:val="bottom"/>
            <w:tcBorders>
              <w:bottom w:val="single" w:sz="8" w:color="auto"/>
            </w:tcBorders>
          </w:tcPr>
          <w:p>
            <w:pPr>
              <w:jc w:val="center"/>
              <w:ind w:left="159"/>
              <w:spacing w:after="0"/>
              <w:rPr>
                <w:sz w:val="20"/>
                <w:szCs w:val="20"/>
                <w:color w:val="auto"/>
              </w:rPr>
            </w:pPr>
            <w:r>
              <w:rPr>
                <w:rFonts w:ascii="Arial" w:cs="Arial" w:eastAsia="Arial" w:hAnsi="Arial"/>
                <w:sz w:val="16"/>
                <w:szCs w:val="16"/>
                <w:b w:val="1"/>
                <w:bCs w:val="1"/>
                <w:color w:val="auto"/>
              </w:rPr>
              <w:t>Normal</w:t>
            </w:r>
          </w:p>
        </w:tc>
        <w:tc>
          <w:tcPr>
            <w:tcW w:w="1100" w:type="dxa"/>
            <w:vAlign w:val="bottom"/>
            <w:tcBorders>
              <w:bottom w:val="single" w:sz="8" w:color="auto"/>
            </w:tcBorders>
            <w:gridSpan w:val="2"/>
          </w:tcPr>
          <w:p>
            <w:pPr>
              <w:ind w:left="440"/>
              <w:spacing w:after="0"/>
              <w:rPr>
                <w:sz w:val="20"/>
                <w:szCs w:val="20"/>
                <w:color w:val="auto"/>
              </w:rPr>
            </w:pPr>
            <w:r>
              <w:rPr>
                <w:rFonts w:ascii="Arial" w:cs="Arial" w:eastAsia="Arial" w:hAnsi="Arial"/>
                <w:sz w:val="16"/>
                <w:szCs w:val="16"/>
                <w:b w:val="1"/>
                <w:bCs w:val="1"/>
                <w:color w:val="auto"/>
              </w:rPr>
              <w:t>Actual</w:t>
            </w:r>
          </w:p>
        </w:tc>
        <w:tc>
          <w:tcPr>
            <w:tcW w:w="16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Normal</w:t>
            </w:r>
          </w:p>
        </w:tc>
        <w:tc>
          <w:tcPr>
            <w:tcW w:w="12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Actual</w:t>
            </w:r>
          </w:p>
        </w:tc>
        <w:tc>
          <w:tcPr>
            <w:tcW w:w="16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Normal</w:t>
            </w:r>
          </w:p>
        </w:tc>
      </w:tr>
      <w:tr>
        <w:trPr>
          <w:trHeight w:val="183"/>
        </w:trPr>
        <w:tc>
          <w:tcPr>
            <w:tcW w:w="28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Heating Degree Days:</w:t>
            </w:r>
          </w:p>
        </w:tc>
        <w:tc>
          <w:tcPr>
            <w:tcW w:w="1040" w:type="dxa"/>
            <w:vAlign w:val="bottom"/>
            <w:shd w:val="clear" w:color="auto" w:fill="CFF0FC"/>
          </w:tcPr>
          <w:p>
            <w:pPr>
              <w:spacing w:after="0"/>
              <w:rPr>
                <w:sz w:val="15"/>
                <w:szCs w:val="15"/>
                <w:color w:val="auto"/>
              </w:rPr>
            </w:pPr>
          </w:p>
        </w:tc>
        <w:tc>
          <w:tcPr>
            <w:tcW w:w="16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6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680" w:type="dxa"/>
            <w:vAlign w:val="bottom"/>
            <w:shd w:val="clear" w:color="auto" w:fill="CFF0FC"/>
          </w:tcPr>
          <w:p>
            <w:pPr>
              <w:spacing w:after="0"/>
              <w:rPr>
                <w:sz w:val="15"/>
                <w:szCs w:val="15"/>
                <w:color w:val="auto"/>
              </w:rPr>
            </w:pPr>
          </w:p>
        </w:tc>
      </w:tr>
      <w:tr>
        <w:trPr>
          <w:trHeight w:val="189"/>
        </w:trPr>
        <w:tc>
          <w:tcPr>
            <w:tcW w:w="2860" w:type="dxa"/>
            <w:vAlign w:val="bottom"/>
          </w:tcPr>
          <w:p>
            <w:pPr>
              <w:ind w:left="120"/>
              <w:spacing w:after="0"/>
              <w:rPr>
                <w:sz w:val="20"/>
                <w:szCs w:val="20"/>
                <w:color w:val="auto"/>
              </w:rPr>
            </w:pPr>
            <w:r>
              <w:rPr>
                <w:rFonts w:ascii="Arial" w:cs="Arial" w:eastAsia="Arial" w:hAnsi="Arial"/>
                <w:sz w:val="16"/>
                <w:szCs w:val="16"/>
                <w:color w:val="auto"/>
              </w:rPr>
              <w:t>Colorado Electric</w:t>
            </w:r>
          </w:p>
        </w:tc>
        <w:tc>
          <w:tcPr>
            <w:tcW w:w="1040" w:type="dxa"/>
            <w:vAlign w:val="bottom"/>
          </w:tcPr>
          <w:p>
            <w:pPr>
              <w:jc w:val="center"/>
              <w:ind w:left="119"/>
              <w:spacing w:after="0"/>
              <w:rPr>
                <w:sz w:val="20"/>
                <w:szCs w:val="20"/>
                <w:color w:val="auto"/>
              </w:rPr>
            </w:pPr>
            <w:r>
              <w:rPr>
                <w:rFonts w:ascii="Arial" w:cs="Arial" w:eastAsia="Arial" w:hAnsi="Arial"/>
                <w:sz w:val="16"/>
                <w:szCs w:val="16"/>
                <w:color w:val="auto"/>
                <w:w w:val="99"/>
              </w:rPr>
              <w:t>4,926</w:t>
            </w:r>
          </w:p>
        </w:tc>
        <w:tc>
          <w:tcPr>
            <w:tcW w:w="1680" w:type="dxa"/>
            <w:vAlign w:val="bottom"/>
          </w:tcPr>
          <w:p>
            <w:pPr>
              <w:jc w:val="center"/>
              <w:ind w:left="179"/>
              <w:spacing w:after="0"/>
              <w:rPr>
                <w:sz w:val="20"/>
                <w:szCs w:val="20"/>
                <w:color w:val="auto"/>
              </w:rPr>
            </w:pPr>
            <w:r>
              <w:rPr>
                <w:rFonts w:ascii="Arial" w:cs="Arial" w:eastAsia="Arial" w:hAnsi="Arial"/>
                <w:sz w:val="16"/>
                <w:szCs w:val="16"/>
                <w:color w:val="auto"/>
              </w:rPr>
              <w:t>(8)%</w:t>
            </w:r>
          </w:p>
        </w:tc>
        <w:tc>
          <w:tcPr>
            <w:tcW w:w="1100" w:type="dxa"/>
            <w:vAlign w:val="bottom"/>
            <w:gridSpan w:val="2"/>
          </w:tcPr>
          <w:p>
            <w:pPr>
              <w:jc w:val="center"/>
              <w:ind w:left="179"/>
              <w:spacing w:after="0"/>
              <w:rPr>
                <w:sz w:val="20"/>
                <w:szCs w:val="20"/>
                <w:color w:val="auto"/>
              </w:rPr>
            </w:pPr>
            <w:r>
              <w:rPr>
                <w:rFonts w:ascii="Arial" w:cs="Arial" w:eastAsia="Arial" w:hAnsi="Arial"/>
                <w:sz w:val="16"/>
                <w:szCs w:val="16"/>
                <w:color w:val="auto"/>
                <w:w w:val="99"/>
              </w:rPr>
              <w:t>5,330</w:t>
            </w:r>
          </w:p>
        </w:tc>
        <w:tc>
          <w:tcPr>
            <w:tcW w:w="1660" w:type="dxa"/>
            <w:vAlign w:val="bottom"/>
          </w:tcPr>
          <w:p>
            <w:pPr>
              <w:jc w:val="center"/>
              <w:ind w:left="219"/>
              <w:spacing w:after="0"/>
              <w:rPr>
                <w:sz w:val="20"/>
                <w:szCs w:val="20"/>
                <w:color w:val="auto"/>
              </w:rPr>
            </w:pPr>
            <w:r>
              <w:rPr>
                <w:rFonts w:ascii="Arial" w:cs="Arial" w:eastAsia="Arial" w:hAnsi="Arial"/>
                <w:sz w:val="16"/>
                <w:szCs w:val="16"/>
                <w:color w:val="auto"/>
              </w:rPr>
              <w:t>1%</w:t>
            </w:r>
          </w:p>
        </w:tc>
        <w:tc>
          <w:tcPr>
            <w:tcW w:w="1220" w:type="dxa"/>
            <w:vAlign w:val="bottom"/>
          </w:tcPr>
          <w:p>
            <w:pPr>
              <w:jc w:val="center"/>
              <w:ind w:left="139"/>
              <w:spacing w:after="0"/>
              <w:rPr>
                <w:sz w:val="20"/>
                <w:szCs w:val="20"/>
                <w:color w:val="auto"/>
              </w:rPr>
            </w:pPr>
            <w:r>
              <w:rPr>
                <w:rFonts w:ascii="Arial" w:cs="Arial" w:eastAsia="Arial" w:hAnsi="Arial"/>
                <w:sz w:val="16"/>
                <w:szCs w:val="16"/>
                <w:color w:val="auto"/>
                <w:w w:val="99"/>
              </w:rPr>
              <w:t>5,551</w:t>
            </w:r>
          </w:p>
        </w:tc>
        <w:tc>
          <w:tcPr>
            <w:tcW w:w="1680" w:type="dxa"/>
            <w:vAlign w:val="bottom"/>
          </w:tcPr>
          <w:p>
            <w:pPr>
              <w:jc w:val="center"/>
              <w:ind w:left="39"/>
              <w:spacing w:after="0"/>
              <w:rPr>
                <w:sz w:val="20"/>
                <w:szCs w:val="20"/>
                <w:color w:val="auto"/>
              </w:rPr>
            </w:pPr>
            <w:r>
              <w:rPr>
                <w:rFonts w:ascii="Arial" w:cs="Arial" w:eastAsia="Arial" w:hAnsi="Arial"/>
                <w:sz w:val="16"/>
                <w:szCs w:val="16"/>
                <w:color w:val="auto"/>
              </w:rPr>
              <w:t>9%</w:t>
            </w:r>
          </w:p>
        </w:tc>
      </w:tr>
      <w:tr>
        <w:trPr>
          <w:trHeight w:val="189"/>
        </w:trPr>
        <w:tc>
          <w:tcPr>
            <w:tcW w:w="28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South Dakota Electric</w:t>
            </w:r>
          </w:p>
        </w:tc>
        <w:tc>
          <w:tcPr>
            <w:tcW w:w="1040" w:type="dxa"/>
            <w:vAlign w:val="bottom"/>
            <w:shd w:val="clear" w:color="auto" w:fill="CFF0FC"/>
          </w:tcPr>
          <w:p>
            <w:pPr>
              <w:jc w:val="center"/>
              <w:ind w:left="119"/>
              <w:spacing w:after="0"/>
              <w:rPr>
                <w:sz w:val="20"/>
                <w:szCs w:val="20"/>
                <w:color w:val="auto"/>
              </w:rPr>
            </w:pPr>
            <w:r>
              <w:rPr>
                <w:rFonts w:ascii="Arial" w:cs="Arial" w:eastAsia="Arial" w:hAnsi="Arial"/>
                <w:sz w:val="16"/>
                <w:szCs w:val="16"/>
                <w:color w:val="auto"/>
                <w:w w:val="99"/>
              </w:rPr>
              <w:t>6,311</w:t>
            </w:r>
          </w:p>
        </w:tc>
        <w:tc>
          <w:tcPr>
            <w:tcW w:w="1680" w:type="dxa"/>
            <w:vAlign w:val="bottom"/>
            <w:shd w:val="clear" w:color="auto" w:fill="CFF0FC"/>
          </w:tcPr>
          <w:p>
            <w:pPr>
              <w:jc w:val="center"/>
              <w:ind w:left="179"/>
              <w:spacing w:after="0"/>
              <w:rPr>
                <w:sz w:val="20"/>
                <w:szCs w:val="20"/>
                <w:color w:val="auto"/>
              </w:rPr>
            </w:pPr>
            <w:r>
              <w:rPr>
                <w:rFonts w:ascii="Arial" w:cs="Arial" w:eastAsia="Arial" w:hAnsi="Arial"/>
                <w:sz w:val="16"/>
                <w:szCs w:val="16"/>
                <w:color w:val="auto"/>
                <w:w w:val="98"/>
              </w:rPr>
              <w:t>(13)%</w:t>
            </w:r>
          </w:p>
        </w:tc>
        <w:tc>
          <w:tcPr>
            <w:tcW w:w="1100" w:type="dxa"/>
            <w:vAlign w:val="bottom"/>
            <w:gridSpan w:val="2"/>
            <w:shd w:val="clear" w:color="auto" w:fill="CFF0FC"/>
          </w:tcPr>
          <w:p>
            <w:pPr>
              <w:jc w:val="center"/>
              <w:ind w:left="179"/>
              <w:spacing w:after="0"/>
              <w:rPr>
                <w:sz w:val="20"/>
                <w:szCs w:val="20"/>
                <w:color w:val="auto"/>
              </w:rPr>
            </w:pPr>
            <w:r>
              <w:rPr>
                <w:rFonts w:ascii="Arial" w:cs="Arial" w:eastAsia="Arial" w:hAnsi="Arial"/>
                <w:sz w:val="16"/>
                <w:szCs w:val="16"/>
                <w:color w:val="auto"/>
                <w:w w:val="99"/>
              </w:rPr>
              <w:t>6,969</w:t>
            </w:r>
          </w:p>
        </w:tc>
        <w:tc>
          <w:tcPr>
            <w:tcW w:w="1660" w:type="dxa"/>
            <w:vAlign w:val="bottom"/>
            <w:shd w:val="clear" w:color="auto" w:fill="CFF0FC"/>
          </w:tcPr>
          <w:p>
            <w:pPr>
              <w:jc w:val="center"/>
              <w:ind w:left="199"/>
              <w:spacing w:after="0"/>
              <w:rPr>
                <w:sz w:val="20"/>
                <w:szCs w:val="20"/>
                <w:color w:val="auto"/>
              </w:rPr>
            </w:pPr>
            <w:r>
              <w:rPr>
                <w:rFonts w:ascii="Arial" w:cs="Arial" w:eastAsia="Arial" w:hAnsi="Arial"/>
                <w:sz w:val="16"/>
                <w:szCs w:val="16"/>
                <w:color w:val="auto"/>
              </w:rPr>
              <w:t>(4)%</w:t>
            </w:r>
          </w:p>
        </w:tc>
        <w:tc>
          <w:tcPr>
            <w:tcW w:w="1220" w:type="dxa"/>
            <w:vAlign w:val="bottom"/>
            <w:shd w:val="clear" w:color="auto" w:fill="CFF0FC"/>
          </w:tcPr>
          <w:p>
            <w:pPr>
              <w:jc w:val="center"/>
              <w:ind w:left="139"/>
              <w:spacing w:after="0"/>
              <w:rPr>
                <w:sz w:val="20"/>
                <w:szCs w:val="20"/>
                <w:color w:val="auto"/>
              </w:rPr>
            </w:pPr>
            <w:r>
              <w:rPr>
                <w:rFonts w:ascii="Arial" w:cs="Arial" w:eastAsia="Arial" w:hAnsi="Arial"/>
                <w:sz w:val="16"/>
                <w:szCs w:val="16"/>
                <w:color w:val="auto"/>
                <w:w w:val="99"/>
              </w:rPr>
              <w:t>7,495</w:t>
            </w:r>
          </w:p>
        </w:tc>
        <w:tc>
          <w:tcPr>
            <w:tcW w:w="1680" w:type="dxa"/>
            <w:vAlign w:val="bottom"/>
            <w:shd w:val="clear" w:color="auto" w:fill="CFF0FC"/>
          </w:tcPr>
          <w:p>
            <w:pPr>
              <w:jc w:val="center"/>
              <w:ind w:left="39"/>
              <w:spacing w:after="0"/>
              <w:rPr>
                <w:sz w:val="20"/>
                <w:szCs w:val="20"/>
                <w:color w:val="auto"/>
              </w:rPr>
            </w:pPr>
            <w:r>
              <w:rPr>
                <w:rFonts w:ascii="Arial" w:cs="Arial" w:eastAsia="Arial" w:hAnsi="Arial"/>
                <w:sz w:val="16"/>
                <w:szCs w:val="16"/>
                <w:color w:val="auto"/>
              </w:rPr>
              <w:t>6%</w:t>
            </w:r>
          </w:p>
        </w:tc>
      </w:tr>
      <w:tr>
        <w:trPr>
          <w:trHeight w:val="189"/>
        </w:trPr>
        <w:tc>
          <w:tcPr>
            <w:tcW w:w="2860" w:type="dxa"/>
            <w:vAlign w:val="bottom"/>
          </w:tcPr>
          <w:p>
            <w:pPr>
              <w:ind w:left="120"/>
              <w:spacing w:after="0"/>
              <w:rPr>
                <w:sz w:val="20"/>
                <w:szCs w:val="20"/>
                <w:color w:val="auto"/>
              </w:rPr>
            </w:pPr>
            <w:r>
              <w:rPr>
                <w:rFonts w:ascii="Arial" w:cs="Arial" w:eastAsia="Arial" w:hAnsi="Arial"/>
                <w:sz w:val="16"/>
                <w:szCs w:val="16"/>
                <w:color w:val="auto"/>
              </w:rPr>
              <w:t>Wyoming Electric</w:t>
            </w:r>
          </w:p>
        </w:tc>
        <w:tc>
          <w:tcPr>
            <w:tcW w:w="1040" w:type="dxa"/>
            <w:vAlign w:val="bottom"/>
          </w:tcPr>
          <w:p>
            <w:pPr>
              <w:jc w:val="center"/>
              <w:ind w:left="119"/>
              <w:spacing w:after="0"/>
              <w:rPr>
                <w:sz w:val="20"/>
                <w:szCs w:val="20"/>
                <w:color w:val="auto"/>
              </w:rPr>
            </w:pPr>
            <w:r>
              <w:rPr>
                <w:rFonts w:ascii="Arial" w:cs="Arial" w:eastAsia="Arial" w:hAnsi="Arial"/>
                <w:sz w:val="16"/>
                <w:szCs w:val="16"/>
                <w:color w:val="auto"/>
                <w:w w:val="99"/>
              </w:rPr>
              <w:t>6,272</w:t>
            </w:r>
          </w:p>
        </w:tc>
        <w:tc>
          <w:tcPr>
            <w:tcW w:w="1680" w:type="dxa"/>
            <w:vAlign w:val="bottom"/>
          </w:tcPr>
          <w:p>
            <w:pPr>
              <w:jc w:val="center"/>
              <w:ind w:left="179"/>
              <w:spacing w:after="0"/>
              <w:rPr>
                <w:sz w:val="20"/>
                <w:szCs w:val="20"/>
                <w:color w:val="auto"/>
              </w:rPr>
            </w:pPr>
            <w:r>
              <w:rPr>
                <w:rFonts w:ascii="Arial" w:cs="Arial" w:eastAsia="Arial" w:hAnsi="Arial"/>
                <w:sz w:val="16"/>
                <w:szCs w:val="16"/>
                <w:color w:val="auto"/>
                <w:w w:val="98"/>
              </w:rPr>
              <w:t>(10)%</w:t>
            </w:r>
          </w:p>
        </w:tc>
        <w:tc>
          <w:tcPr>
            <w:tcW w:w="1100" w:type="dxa"/>
            <w:vAlign w:val="bottom"/>
            <w:gridSpan w:val="2"/>
          </w:tcPr>
          <w:p>
            <w:pPr>
              <w:jc w:val="center"/>
              <w:ind w:left="179"/>
              <w:spacing w:after="0"/>
              <w:rPr>
                <w:sz w:val="20"/>
                <w:szCs w:val="20"/>
                <w:color w:val="auto"/>
              </w:rPr>
            </w:pPr>
            <w:r>
              <w:rPr>
                <w:rFonts w:ascii="Arial" w:cs="Arial" w:eastAsia="Arial" w:hAnsi="Arial"/>
                <w:sz w:val="16"/>
                <w:szCs w:val="16"/>
                <w:color w:val="auto"/>
                <w:w w:val="99"/>
              </w:rPr>
              <w:t>6,783</w:t>
            </w:r>
          </w:p>
        </w:tc>
        <w:tc>
          <w:tcPr>
            <w:tcW w:w="1660" w:type="dxa"/>
            <w:vAlign w:val="bottom"/>
          </w:tcPr>
          <w:p>
            <w:pPr>
              <w:jc w:val="center"/>
              <w:ind w:left="199"/>
              <w:spacing w:after="0"/>
              <w:rPr>
                <w:sz w:val="20"/>
                <w:szCs w:val="20"/>
                <w:color w:val="auto"/>
              </w:rPr>
            </w:pPr>
            <w:r>
              <w:rPr>
                <w:rFonts w:ascii="Arial" w:cs="Arial" w:eastAsia="Arial" w:hAnsi="Arial"/>
                <w:sz w:val="16"/>
                <w:szCs w:val="16"/>
                <w:color w:val="auto"/>
              </w:rPr>
              <w:t>(1)%</w:t>
            </w:r>
          </w:p>
        </w:tc>
        <w:tc>
          <w:tcPr>
            <w:tcW w:w="1220" w:type="dxa"/>
            <w:vAlign w:val="bottom"/>
          </w:tcPr>
          <w:p>
            <w:pPr>
              <w:jc w:val="center"/>
              <w:ind w:left="139"/>
              <w:spacing w:after="0"/>
              <w:rPr>
                <w:sz w:val="20"/>
                <w:szCs w:val="20"/>
                <w:color w:val="auto"/>
              </w:rPr>
            </w:pPr>
            <w:r>
              <w:rPr>
                <w:rFonts w:ascii="Arial" w:cs="Arial" w:eastAsia="Arial" w:hAnsi="Arial"/>
                <w:sz w:val="16"/>
                <w:szCs w:val="16"/>
                <w:color w:val="auto"/>
                <w:w w:val="99"/>
              </w:rPr>
              <w:t>7,051</w:t>
            </w:r>
          </w:p>
        </w:tc>
        <w:tc>
          <w:tcPr>
            <w:tcW w:w="1680" w:type="dxa"/>
            <w:vAlign w:val="bottom"/>
          </w:tcPr>
          <w:p>
            <w:pPr>
              <w:jc w:val="center"/>
              <w:ind w:left="39"/>
              <w:spacing w:after="0"/>
              <w:rPr>
                <w:sz w:val="20"/>
                <w:szCs w:val="20"/>
                <w:color w:val="auto"/>
              </w:rPr>
            </w:pPr>
            <w:r>
              <w:rPr>
                <w:rFonts w:ascii="Arial" w:cs="Arial" w:eastAsia="Arial" w:hAnsi="Arial"/>
                <w:sz w:val="16"/>
                <w:szCs w:val="16"/>
                <w:color w:val="auto"/>
              </w:rPr>
              <w:t>3%</w:t>
            </w:r>
          </w:p>
        </w:tc>
      </w:tr>
      <w:tr>
        <w:trPr>
          <w:trHeight w:val="189"/>
        </w:trPr>
        <w:tc>
          <w:tcPr>
            <w:tcW w:w="2860" w:type="dxa"/>
            <w:vAlign w:val="bottom"/>
            <w:shd w:val="clear" w:color="auto" w:fill="CFF0FC"/>
          </w:tcPr>
          <w:p>
            <w:pPr>
              <w:ind w:left="200"/>
              <w:spacing w:after="0" w:line="189" w:lineRule="exact"/>
              <w:rPr>
                <w:sz w:val="20"/>
                <w:szCs w:val="20"/>
                <w:color w:val="auto"/>
              </w:rPr>
            </w:pPr>
            <w:r>
              <w:rPr>
                <w:rFonts w:ascii="Arial" w:cs="Arial" w:eastAsia="Arial" w:hAnsi="Arial"/>
                <w:sz w:val="16"/>
                <w:szCs w:val="16"/>
                <w:color w:val="auto"/>
              </w:rPr>
              <w:t xml:space="preserve">Combined </w:t>
            </w:r>
            <w:r>
              <w:rPr>
                <w:rFonts w:ascii="Arial" w:cs="Arial" w:eastAsia="Arial" w:hAnsi="Arial"/>
                <w:sz w:val="21"/>
                <w:szCs w:val="21"/>
                <w:color w:val="auto"/>
                <w:vertAlign w:val="superscript"/>
              </w:rPr>
              <w:t>(a)</w:t>
            </w:r>
          </w:p>
        </w:tc>
        <w:tc>
          <w:tcPr>
            <w:tcW w:w="1040" w:type="dxa"/>
            <w:vAlign w:val="bottom"/>
            <w:shd w:val="clear" w:color="auto" w:fill="CFF0FC"/>
          </w:tcPr>
          <w:p>
            <w:pPr>
              <w:jc w:val="center"/>
              <w:ind w:left="119"/>
              <w:spacing w:after="0"/>
              <w:rPr>
                <w:sz w:val="20"/>
                <w:szCs w:val="20"/>
                <w:color w:val="auto"/>
              </w:rPr>
            </w:pPr>
            <w:r>
              <w:rPr>
                <w:rFonts w:ascii="Arial" w:cs="Arial" w:eastAsia="Arial" w:hAnsi="Arial"/>
                <w:sz w:val="16"/>
                <w:szCs w:val="16"/>
                <w:color w:val="auto"/>
                <w:w w:val="99"/>
              </w:rPr>
              <w:t>5,676</w:t>
            </w:r>
          </w:p>
        </w:tc>
        <w:tc>
          <w:tcPr>
            <w:tcW w:w="1680" w:type="dxa"/>
            <w:vAlign w:val="bottom"/>
            <w:shd w:val="clear" w:color="auto" w:fill="CFF0FC"/>
          </w:tcPr>
          <w:p>
            <w:pPr>
              <w:jc w:val="center"/>
              <w:ind w:left="179"/>
              <w:spacing w:after="0"/>
              <w:rPr>
                <w:sz w:val="20"/>
                <w:szCs w:val="20"/>
                <w:color w:val="auto"/>
              </w:rPr>
            </w:pPr>
            <w:r>
              <w:rPr>
                <w:rFonts w:ascii="Arial" w:cs="Arial" w:eastAsia="Arial" w:hAnsi="Arial"/>
                <w:sz w:val="16"/>
                <w:szCs w:val="16"/>
                <w:color w:val="auto"/>
                <w:w w:val="98"/>
              </w:rPr>
              <w:t>(10)%</w:t>
            </w:r>
          </w:p>
        </w:tc>
        <w:tc>
          <w:tcPr>
            <w:tcW w:w="1100" w:type="dxa"/>
            <w:vAlign w:val="bottom"/>
            <w:gridSpan w:val="2"/>
            <w:shd w:val="clear" w:color="auto" w:fill="CFF0FC"/>
          </w:tcPr>
          <w:p>
            <w:pPr>
              <w:jc w:val="center"/>
              <w:ind w:left="179"/>
              <w:spacing w:after="0"/>
              <w:rPr>
                <w:sz w:val="20"/>
                <w:szCs w:val="20"/>
                <w:color w:val="auto"/>
              </w:rPr>
            </w:pPr>
            <w:r>
              <w:rPr>
                <w:rFonts w:ascii="Arial" w:cs="Arial" w:eastAsia="Arial" w:hAnsi="Arial"/>
                <w:sz w:val="16"/>
                <w:szCs w:val="16"/>
                <w:color w:val="auto"/>
                <w:w w:val="99"/>
              </w:rPr>
              <w:t>6,185</w:t>
            </w:r>
          </w:p>
        </w:tc>
        <w:tc>
          <w:tcPr>
            <w:tcW w:w="1660" w:type="dxa"/>
            <w:vAlign w:val="bottom"/>
            <w:shd w:val="clear" w:color="auto" w:fill="CFF0FC"/>
          </w:tcPr>
          <w:p>
            <w:pPr>
              <w:jc w:val="center"/>
              <w:ind w:left="199"/>
              <w:spacing w:after="0"/>
              <w:rPr>
                <w:sz w:val="20"/>
                <w:szCs w:val="20"/>
                <w:color w:val="auto"/>
              </w:rPr>
            </w:pPr>
            <w:r>
              <w:rPr>
                <w:rFonts w:ascii="Arial" w:cs="Arial" w:eastAsia="Arial" w:hAnsi="Arial"/>
                <w:sz w:val="16"/>
                <w:szCs w:val="16"/>
                <w:color w:val="auto"/>
              </w:rPr>
              <w:t>(1)%</w:t>
            </w:r>
          </w:p>
        </w:tc>
        <w:tc>
          <w:tcPr>
            <w:tcW w:w="1220" w:type="dxa"/>
            <w:vAlign w:val="bottom"/>
            <w:shd w:val="clear" w:color="auto" w:fill="CFF0FC"/>
          </w:tcPr>
          <w:p>
            <w:pPr>
              <w:jc w:val="center"/>
              <w:ind w:left="139"/>
              <w:spacing w:after="0"/>
              <w:rPr>
                <w:sz w:val="20"/>
                <w:szCs w:val="20"/>
                <w:color w:val="auto"/>
              </w:rPr>
            </w:pPr>
            <w:r>
              <w:rPr>
                <w:rFonts w:ascii="Arial" w:cs="Arial" w:eastAsia="Arial" w:hAnsi="Arial"/>
                <w:sz w:val="16"/>
                <w:szCs w:val="16"/>
                <w:color w:val="auto"/>
                <w:w w:val="99"/>
              </w:rPr>
              <w:t>6,518</w:t>
            </w:r>
          </w:p>
        </w:tc>
        <w:tc>
          <w:tcPr>
            <w:tcW w:w="1680" w:type="dxa"/>
            <w:vAlign w:val="bottom"/>
            <w:shd w:val="clear" w:color="auto" w:fill="CFF0FC"/>
          </w:tcPr>
          <w:p>
            <w:pPr>
              <w:jc w:val="center"/>
              <w:ind w:left="39"/>
              <w:spacing w:after="0"/>
              <w:rPr>
                <w:sz w:val="20"/>
                <w:szCs w:val="20"/>
                <w:color w:val="auto"/>
              </w:rPr>
            </w:pPr>
            <w:r>
              <w:rPr>
                <w:rFonts w:ascii="Arial" w:cs="Arial" w:eastAsia="Arial" w:hAnsi="Arial"/>
                <w:sz w:val="16"/>
                <w:szCs w:val="16"/>
                <w:color w:val="auto"/>
              </w:rPr>
              <w:t>6%</w:t>
            </w:r>
          </w:p>
        </w:tc>
      </w:tr>
      <w:tr>
        <w:trPr>
          <w:trHeight w:val="189"/>
        </w:trPr>
        <w:tc>
          <w:tcPr>
            <w:tcW w:w="28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89"/>
        </w:trPr>
        <w:tc>
          <w:tcPr>
            <w:tcW w:w="2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Cooling Degree Days:</w:t>
            </w:r>
          </w:p>
        </w:tc>
        <w:tc>
          <w:tcPr>
            <w:tcW w:w="1040" w:type="dxa"/>
            <w:vAlign w:val="bottom"/>
            <w:shd w:val="clear" w:color="auto" w:fill="CFF0FC"/>
          </w:tcPr>
          <w:p>
            <w:pPr>
              <w:spacing w:after="0"/>
              <w:rPr>
                <w:sz w:val="16"/>
                <w:szCs w:val="16"/>
                <w:color w:val="auto"/>
              </w:rPr>
            </w:pPr>
          </w:p>
        </w:tc>
        <w:tc>
          <w:tcPr>
            <w:tcW w:w="1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66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680" w:type="dxa"/>
            <w:vAlign w:val="bottom"/>
            <w:shd w:val="clear" w:color="auto" w:fill="CFF0FC"/>
          </w:tcPr>
          <w:p>
            <w:pPr>
              <w:spacing w:after="0"/>
              <w:rPr>
                <w:sz w:val="16"/>
                <w:szCs w:val="16"/>
                <w:color w:val="auto"/>
              </w:rPr>
            </w:pPr>
          </w:p>
        </w:tc>
      </w:tr>
      <w:tr>
        <w:trPr>
          <w:trHeight w:val="189"/>
        </w:trPr>
        <w:tc>
          <w:tcPr>
            <w:tcW w:w="2860" w:type="dxa"/>
            <w:vAlign w:val="bottom"/>
          </w:tcPr>
          <w:p>
            <w:pPr>
              <w:ind w:left="120"/>
              <w:spacing w:after="0"/>
              <w:rPr>
                <w:sz w:val="20"/>
                <w:szCs w:val="20"/>
                <w:color w:val="auto"/>
              </w:rPr>
            </w:pPr>
            <w:r>
              <w:rPr>
                <w:rFonts w:ascii="Arial" w:cs="Arial" w:eastAsia="Arial" w:hAnsi="Arial"/>
                <w:sz w:val="16"/>
                <w:szCs w:val="16"/>
                <w:color w:val="auto"/>
              </w:rPr>
              <w:t>Colorado Electric</w:t>
            </w:r>
          </w:p>
        </w:tc>
        <w:tc>
          <w:tcPr>
            <w:tcW w:w="1040" w:type="dxa"/>
            <w:vAlign w:val="bottom"/>
          </w:tcPr>
          <w:p>
            <w:pPr>
              <w:jc w:val="center"/>
              <w:ind w:left="119"/>
              <w:spacing w:after="0"/>
              <w:rPr>
                <w:sz w:val="20"/>
                <w:szCs w:val="20"/>
                <w:color w:val="auto"/>
              </w:rPr>
            </w:pPr>
            <w:r>
              <w:rPr>
                <w:rFonts w:ascii="Arial" w:cs="Arial" w:eastAsia="Arial" w:hAnsi="Arial"/>
                <w:sz w:val="16"/>
                <w:szCs w:val="16"/>
                <w:color w:val="auto"/>
                <w:w w:val="99"/>
              </w:rPr>
              <w:t>1,269</w:t>
            </w:r>
          </w:p>
        </w:tc>
        <w:tc>
          <w:tcPr>
            <w:tcW w:w="1680" w:type="dxa"/>
            <w:vAlign w:val="bottom"/>
          </w:tcPr>
          <w:p>
            <w:pPr>
              <w:jc w:val="center"/>
              <w:ind w:left="179"/>
              <w:spacing w:after="0"/>
              <w:rPr>
                <w:sz w:val="20"/>
                <w:szCs w:val="20"/>
                <w:color w:val="auto"/>
              </w:rPr>
            </w:pPr>
            <w:r>
              <w:rPr>
                <w:rFonts w:ascii="Arial" w:cs="Arial" w:eastAsia="Arial" w:hAnsi="Arial"/>
                <w:sz w:val="16"/>
                <w:szCs w:val="16"/>
                <w:color w:val="auto"/>
              </w:rPr>
              <w:t>11%</w:t>
            </w:r>
          </w:p>
        </w:tc>
        <w:tc>
          <w:tcPr>
            <w:tcW w:w="1100" w:type="dxa"/>
            <w:vAlign w:val="bottom"/>
            <w:gridSpan w:val="2"/>
          </w:tcPr>
          <w:p>
            <w:pPr>
              <w:jc w:val="center"/>
              <w:ind w:left="179"/>
              <w:spacing w:after="0"/>
              <w:rPr>
                <w:sz w:val="20"/>
                <w:szCs w:val="20"/>
                <w:color w:val="auto"/>
              </w:rPr>
            </w:pPr>
            <w:r>
              <w:rPr>
                <w:rFonts w:ascii="Arial" w:cs="Arial" w:eastAsia="Arial" w:hAnsi="Arial"/>
                <w:sz w:val="16"/>
                <w:szCs w:val="16"/>
                <w:color w:val="auto"/>
                <w:w w:val="99"/>
              </w:rPr>
              <w:t>1,046</w:t>
            </w:r>
          </w:p>
        </w:tc>
        <w:tc>
          <w:tcPr>
            <w:tcW w:w="1660" w:type="dxa"/>
            <w:vAlign w:val="bottom"/>
          </w:tcPr>
          <w:p>
            <w:pPr>
              <w:jc w:val="center"/>
              <w:ind w:left="219"/>
              <w:spacing w:after="0"/>
              <w:rPr>
                <w:sz w:val="20"/>
                <w:szCs w:val="20"/>
                <w:color w:val="auto"/>
              </w:rPr>
            </w:pPr>
            <w:r>
              <w:rPr>
                <w:rFonts w:ascii="Arial" w:cs="Arial" w:eastAsia="Arial" w:hAnsi="Arial"/>
                <w:sz w:val="16"/>
                <w:szCs w:val="16"/>
                <w:color w:val="auto"/>
              </w:rPr>
              <w:t>(10)%</w:t>
            </w:r>
          </w:p>
        </w:tc>
        <w:tc>
          <w:tcPr>
            <w:tcW w:w="1220" w:type="dxa"/>
            <w:vAlign w:val="bottom"/>
          </w:tcPr>
          <w:p>
            <w:pPr>
              <w:jc w:val="center"/>
              <w:ind w:left="139"/>
              <w:spacing w:after="0"/>
              <w:rPr>
                <w:sz w:val="20"/>
                <w:szCs w:val="20"/>
                <w:color w:val="auto"/>
              </w:rPr>
            </w:pPr>
            <w:r>
              <w:rPr>
                <w:rFonts w:ascii="Arial" w:cs="Arial" w:eastAsia="Arial" w:hAnsi="Arial"/>
                <w:sz w:val="16"/>
                <w:szCs w:val="16"/>
                <w:color w:val="auto"/>
                <w:w w:val="99"/>
              </w:rPr>
              <w:t>1,362</w:t>
            </w:r>
          </w:p>
        </w:tc>
        <w:tc>
          <w:tcPr>
            <w:tcW w:w="1680" w:type="dxa"/>
            <w:vAlign w:val="bottom"/>
          </w:tcPr>
          <w:p>
            <w:pPr>
              <w:jc w:val="center"/>
              <w:ind w:left="39"/>
              <w:spacing w:after="0"/>
              <w:rPr>
                <w:sz w:val="20"/>
                <w:szCs w:val="20"/>
                <w:color w:val="auto"/>
              </w:rPr>
            </w:pPr>
            <w:r>
              <w:rPr>
                <w:rFonts w:ascii="Arial" w:cs="Arial" w:eastAsia="Arial" w:hAnsi="Arial"/>
                <w:sz w:val="16"/>
                <w:szCs w:val="16"/>
                <w:color w:val="auto"/>
              </w:rPr>
              <w:t>9%</w:t>
            </w:r>
          </w:p>
        </w:tc>
      </w:tr>
      <w:tr>
        <w:trPr>
          <w:trHeight w:val="189"/>
        </w:trPr>
        <w:tc>
          <w:tcPr>
            <w:tcW w:w="28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South Dakota Electric</w:t>
            </w:r>
          </w:p>
        </w:tc>
        <w:tc>
          <w:tcPr>
            <w:tcW w:w="1040" w:type="dxa"/>
            <w:vAlign w:val="bottom"/>
            <w:shd w:val="clear" w:color="auto" w:fill="CFF0FC"/>
          </w:tcPr>
          <w:p>
            <w:pPr>
              <w:jc w:val="center"/>
              <w:ind w:left="119"/>
              <w:spacing w:after="0"/>
              <w:rPr>
                <w:sz w:val="20"/>
                <w:szCs w:val="20"/>
                <w:color w:val="auto"/>
              </w:rPr>
            </w:pPr>
            <w:r>
              <w:rPr>
                <w:rFonts w:ascii="Arial" w:cs="Arial" w:eastAsia="Arial" w:hAnsi="Arial"/>
                <w:sz w:val="16"/>
                <w:szCs w:val="16"/>
                <w:color w:val="auto"/>
              </w:rPr>
              <w:t>913</w:t>
            </w:r>
          </w:p>
        </w:tc>
        <w:tc>
          <w:tcPr>
            <w:tcW w:w="1680" w:type="dxa"/>
            <w:vAlign w:val="bottom"/>
            <w:shd w:val="clear" w:color="auto" w:fill="CFF0FC"/>
          </w:tcPr>
          <w:p>
            <w:pPr>
              <w:jc w:val="center"/>
              <w:ind w:left="179"/>
              <w:spacing w:after="0"/>
              <w:rPr>
                <w:sz w:val="20"/>
                <w:szCs w:val="20"/>
                <w:color w:val="auto"/>
              </w:rPr>
            </w:pPr>
            <w:r>
              <w:rPr>
                <w:rFonts w:ascii="Arial" w:cs="Arial" w:eastAsia="Arial" w:hAnsi="Arial"/>
                <w:sz w:val="16"/>
                <w:szCs w:val="16"/>
                <w:color w:val="auto"/>
              </w:rPr>
              <w:t>49%</w:t>
            </w:r>
          </w:p>
        </w:tc>
        <w:tc>
          <w:tcPr>
            <w:tcW w:w="1100" w:type="dxa"/>
            <w:vAlign w:val="bottom"/>
            <w:gridSpan w:val="2"/>
            <w:shd w:val="clear" w:color="auto" w:fill="CFF0FC"/>
          </w:tcPr>
          <w:p>
            <w:pPr>
              <w:jc w:val="center"/>
              <w:ind w:left="179"/>
              <w:spacing w:after="0"/>
              <w:rPr>
                <w:sz w:val="20"/>
                <w:szCs w:val="20"/>
                <w:color w:val="auto"/>
              </w:rPr>
            </w:pPr>
            <w:r>
              <w:rPr>
                <w:rFonts w:ascii="Arial" w:cs="Arial" w:eastAsia="Arial" w:hAnsi="Arial"/>
                <w:sz w:val="16"/>
                <w:szCs w:val="16"/>
                <w:color w:val="auto"/>
              </w:rPr>
              <w:t>497</w:t>
            </w:r>
          </w:p>
        </w:tc>
        <w:tc>
          <w:tcPr>
            <w:tcW w:w="1660" w:type="dxa"/>
            <w:vAlign w:val="bottom"/>
            <w:shd w:val="clear" w:color="auto" w:fill="CFF0FC"/>
          </w:tcPr>
          <w:p>
            <w:pPr>
              <w:jc w:val="center"/>
              <w:ind w:left="219"/>
              <w:spacing w:after="0"/>
              <w:rPr>
                <w:sz w:val="20"/>
                <w:szCs w:val="20"/>
                <w:color w:val="auto"/>
              </w:rPr>
            </w:pPr>
            <w:r>
              <w:rPr>
                <w:rFonts w:ascii="Arial" w:cs="Arial" w:eastAsia="Arial" w:hAnsi="Arial"/>
                <w:sz w:val="16"/>
                <w:szCs w:val="16"/>
                <w:color w:val="auto"/>
              </w:rPr>
              <w:t>(21)%</w:t>
            </w:r>
          </w:p>
        </w:tc>
        <w:tc>
          <w:tcPr>
            <w:tcW w:w="1220" w:type="dxa"/>
            <w:vAlign w:val="bottom"/>
            <w:shd w:val="clear" w:color="auto" w:fill="CFF0FC"/>
          </w:tcPr>
          <w:p>
            <w:pPr>
              <w:jc w:val="center"/>
              <w:ind w:left="119"/>
              <w:spacing w:after="0"/>
              <w:rPr>
                <w:sz w:val="20"/>
                <w:szCs w:val="20"/>
                <w:color w:val="auto"/>
              </w:rPr>
            </w:pPr>
            <w:r>
              <w:rPr>
                <w:rFonts w:ascii="Arial" w:cs="Arial" w:eastAsia="Arial" w:hAnsi="Arial"/>
                <w:sz w:val="16"/>
                <w:szCs w:val="16"/>
                <w:color w:val="auto"/>
                <w:w w:val="97"/>
              </w:rPr>
              <w:t>814</w:t>
            </w:r>
          </w:p>
        </w:tc>
        <w:tc>
          <w:tcPr>
            <w:tcW w:w="1680" w:type="dxa"/>
            <w:vAlign w:val="bottom"/>
            <w:shd w:val="clear" w:color="auto" w:fill="CFF0FC"/>
          </w:tcPr>
          <w:p>
            <w:pPr>
              <w:jc w:val="center"/>
              <w:ind w:left="39"/>
              <w:spacing w:after="0"/>
              <w:rPr>
                <w:sz w:val="20"/>
                <w:szCs w:val="20"/>
                <w:color w:val="auto"/>
              </w:rPr>
            </w:pPr>
            <w:r>
              <w:rPr>
                <w:rFonts w:ascii="Arial" w:cs="Arial" w:eastAsia="Arial" w:hAnsi="Arial"/>
                <w:sz w:val="16"/>
                <w:szCs w:val="16"/>
                <w:color w:val="auto"/>
                <w:w w:val="99"/>
              </w:rPr>
              <w:t>27%</w:t>
            </w:r>
          </w:p>
        </w:tc>
      </w:tr>
      <w:tr>
        <w:trPr>
          <w:trHeight w:val="189"/>
        </w:trPr>
        <w:tc>
          <w:tcPr>
            <w:tcW w:w="2860" w:type="dxa"/>
            <w:vAlign w:val="bottom"/>
          </w:tcPr>
          <w:p>
            <w:pPr>
              <w:ind w:left="120"/>
              <w:spacing w:after="0"/>
              <w:rPr>
                <w:sz w:val="20"/>
                <w:szCs w:val="20"/>
                <w:color w:val="auto"/>
              </w:rPr>
            </w:pPr>
            <w:r>
              <w:rPr>
                <w:rFonts w:ascii="Arial" w:cs="Arial" w:eastAsia="Arial" w:hAnsi="Arial"/>
                <w:sz w:val="16"/>
                <w:szCs w:val="16"/>
                <w:color w:val="auto"/>
              </w:rPr>
              <w:t>Wyoming Electric</w:t>
            </w:r>
          </w:p>
        </w:tc>
        <w:tc>
          <w:tcPr>
            <w:tcW w:w="1040" w:type="dxa"/>
            <w:vAlign w:val="bottom"/>
          </w:tcPr>
          <w:p>
            <w:pPr>
              <w:jc w:val="center"/>
              <w:ind w:left="119"/>
              <w:spacing w:after="0"/>
              <w:rPr>
                <w:sz w:val="20"/>
                <w:szCs w:val="20"/>
                <w:color w:val="auto"/>
              </w:rPr>
            </w:pPr>
            <w:r>
              <w:rPr>
                <w:rFonts w:ascii="Arial" w:cs="Arial" w:eastAsia="Arial" w:hAnsi="Arial"/>
                <w:sz w:val="16"/>
                <w:szCs w:val="16"/>
                <w:color w:val="auto"/>
              </w:rPr>
              <w:t>491</w:t>
            </w:r>
          </w:p>
        </w:tc>
        <w:tc>
          <w:tcPr>
            <w:tcW w:w="1680" w:type="dxa"/>
            <w:vAlign w:val="bottom"/>
          </w:tcPr>
          <w:p>
            <w:pPr>
              <w:jc w:val="center"/>
              <w:ind w:left="179"/>
              <w:spacing w:after="0"/>
              <w:rPr>
                <w:sz w:val="20"/>
                <w:szCs w:val="20"/>
                <w:color w:val="auto"/>
              </w:rPr>
            </w:pPr>
            <w:r>
              <w:rPr>
                <w:rFonts w:ascii="Arial" w:cs="Arial" w:eastAsia="Arial" w:hAnsi="Arial"/>
                <w:sz w:val="16"/>
                <w:szCs w:val="16"/>
                <w:color w:val="auto"/>
                <w:w w:val="94"/>
              </w:rPr>
              <w:t>7%</w:t>
            </w:r>
          </w:p>
        </w:tc>
        <w:tc>
          <w:tcPr>
            <w:tcW w:w="1100" w:type="dxa"/>
            <w:vAlign w:val="bottom"/>
            <w:gridSpan w:val="2"/>
          </w:tcPr>
          <w:p>
            <w:pPr>
              <w:jc w:val="center"/>
              <w:ind w:left="179"/>
              <w:spacing w:after="0"/>
              <w:rPr>
                <w:sz w:val="20"/>
                <w:szCs w:val="20"/>
                <w:color w:val="auto"/>
              </w:rPr>
            </w:pPr>
            <w:r>
              <w:rPr>
                <w:rFonts w:ascii="Arial" w:cs="Arial" w:eastAsia="Arial" w:hAnsi="Arial"/>
                <w:sz w:val="16"/>
                <w:szCs w:val="16"/>
                <w:color w:val="auto"/>
              </w:rPr>
              <w:t>329</w:t>
            </w:r>
          </w:p>
        </w:tc>
        <w:tc>
          <w:tcPr>
            <w:tcW w:w="1660" w:type="dxa"/>
            <w:vAlign w:val="bottom"/>
          </w:tcPr>
          <w:p>
            <w:pPr>
              <w:jc w:val="center"/>
              <w:ind w:left="219"/>
              <w:spacing w:after="0"/>
              <w:rPr>
                <w:sz w:val="20"/>
                <w:szCs w:val="20"/>
                <w:color w:val="auto"/>
              </w:rPr>
            </w:pPr>
            <w:r>
              <w:rPr>
                <w:rFonts w:ascii="Arial" w:cs="Arial" w:eastAsia="Arial" w:hAnsi="Arial"/>
                <w:sz w:val="16"/>
                <w:szCs w:val="16"/>
                <w:color w:val="auto"/>
              </w:rPr>
              <w:t>(30)%</w:t>
            </w:r>
          </w:p>
        </w:tc>
        <w:tc>
          <w:tcPr>
            <w:tcW w:w="1220" w:type="dxa"/>
            <w:vAlign w:val="bottom"/>
          </w:tcPr>
          <w:p>
            <w:pPr>
              <w:jc w:val="center"/>
              <w:ind w:left="119"/>
              <w:spacing w:after="0"/>
              <w:rPr>
                <w:sz w:val="20"/>
                <w:szCs w:val="20"/>
                <w:color w:val="auto"/>
              </w:rPr>
            </w:pPr>
            <w:r>
              <w:rPr>
                <w:rFonts w:ascii="Arial" w:cs="Arial" w:eastAsia="Arial" w:hAnsi="Arial"/>
                <w:sz w:val="16"/>
                <w:szCs w:val="16"/>
                <w:color w:val="auto"/>
                <w:w w:val="97"/>
              </w:rPr>
              <w:t>701</w:t>
            </w:r>
          </w:p>
        </w:tc>
        <w:tc>
          <w:tcPr>
            <w:tcW w:w="1680" w:type="dxa"/>
            <w:vAlign w:val="bottom"/>
          </w:tcPr>
          <w:p>
            <w:pPr>
              <w:jc w:val="center"/>
              <w:ind w:left="39"/>
              <w:spacing w:after="0"/>
              <w:rPr>
                <w:sz w:val="20"/>
                <w:szCs w:val="20"/>
                <w:color w:val="auto"/>
              </w:rPr>
            </w:pPr>
            <w:r>
              <w:rPr>
                <w:rFonts w:ascii="Arial" w:cs="Arial" w:eastAsia="Arial" w:hAnsi="Arial"/>
                <w:sz w:val="16"/>
                <w:szCs w:val="16"/>
                <w:color w:val="auto"/>
                <w:w w:val="99"/>
              </w:rPr>
              <w:t>47%</w:t>
            </w:r>
          </w:p>
        </w:tc>
      </w:tr>
      <w:tr>
        <w:trPr>
          <w:trHeight w:val="189"/>
        </w:trPr>
        <w:tc>
          <w:tcPr>
            <w:tcW w:w="2860" w:type="dxa"/>
            <w:vAlign w:val="bottom"/>
            <w:shd w:val="clear" w:color="auto" w:fill="CFF0FC"/>
          </w:tcPr>
          <w:p>
            <w:pPr>
              <w:ind w:left="200"/>
              <w:spacing w:after="0" w:line="189" w:lineRule="exact"/>
              <w:rPr>
                <w:sz w:val="20"/>
                <w:szCs w:val="20"/>
                <w:color w:val="auto"/>
              </w:rPr>
            </w:pPr>
            <w:r>
              <w:rPr>
                <w:rFonts w:ascii="Arial" w:cs="Arial" w:eastAsia="Arial" w:hAnsi="Arial"/>
                <w:sz w:val="16"/>
                <w:szCs w:val="16"/>
                <w:color w:val="auto"/>
              </w:rPr>
              <w:t xml:space="preserve">Combined </w:t>
            </w:r>
            <w:r>
              <w:rPr>
                <w:rFonts w:ascii="Arial" w:cs="Arial" w:eastAsia="Arial" w:hAnsi="Arial"/>
                <w:sz w:val="21"/>
                <w:szCs w:val="21"/>
                <w:color w:val="auto"/>
                <w:vertAlign w:val="superscript"/>
              </w:rPr>
              <w:t>(a)</w:t>
            </w:r>
          </w:p>
        </w:tc>
        <w:tc>
          <w:tcPr>
            <w:tcW w:w="1040" w:type="dxa"/>
            <w:vAlign w:val="bottom"/>
            <w:shd w:val="clear" w:color="auto" w:fill="CFF0FC"/>
          </w:tcPr>
          <w:p>
            <w:pPr>
              <w:jc w:val="center"/>
              <w:ind w:left="119"/>
              <w:spacing w:after="0"/>
              <w:rPr>
                <w:sz w:val="20"/>
                <w:szCs w:val="20"/>
                <w:color w:val="auto"/>
              </w:rPr>
            </w:pPr>
            <w:r>
              <w:rPr>
                <w:rFonts w:ascii="Arial" w:cs="Arial" w:eastAsia="Arial" w:hAnsi="Arial"/>
                <w:sz w:val="16"/>
                <w:szCs w:val="16"/>
                <w:color w:val="auto"/>
              </w:rPr>
              <w:t>989</w:t>
            </w:r>
          </w:p>
        </w:tc>
        <w:tc>
          <w:tcPr>
            <w:tcW w:w="1680" w:type="dxa"/>
            <w:vAlign w:val="bottom"/>
            <w:shd w:val="clear" w:color="auto" w:fill="CFF0FC"/>
          </w:tcPr>
          <w:p>
            <w:pPr>
              <w:jc w:val="center"/>
              <w:ind w:left="179"/>
              <w:spacing w:after="0"/>
              <w:rPr>
                <w:sz w:val="20"/>
                <w:szCs w:val="20"/>
                <w:color w:val="auto"/>
              </w:rPr>
            </w:pPr>
            <w:r>
              <w:rPr>
                <w:rFonts w:ascii="Arial" w:cs="Arial" w:eastAsia="Arial" w:hAnsi="Arial"/>
                <w:sz w:val="16"/>
                <w:szCs w:val="16"/>
                <w:color w:val="auto"/>
              </w:rPr>
              <w:t>20%</w:t>
            </w:r>
          </w:p>
        </w:tc>
        <w:tc>
          <w:tcPr>
            <w:tcW w:w="1100" w:type="dxa"/>
            <w:vAlign w:val="bottom"/>
            <w:gridSpan w:val="2"/>
            <w:shd w:val="clear" w:color="auto" w:fill="CFF0FC"/>
          </w:tcPr>
          <w:p>
            <w:pPr>
              <w:jc w:val="center"/>
              <w:ind w:left="179"/>
              <w:spacing w:after="0"/>
              <w:rPr>
                <w:sz w:val="20"/>
                <w:szCs w:val="20"/>
                <w:color w:val="auto"/>
              </w:rPr>
            </w:pPr>
            <w:r>
              <w:rPr>
                <w:rFonts w:ascii="Arial" w:cs="Arial" w:eastAsia="Arial" w:hAnsi="Arial"/>
                <w:sz w:val="16"/>
                <w:szCs w:val="16"/>
                <w:color w:val="auto"/>
              </w:rPr>
              <w:t>713</w:t>
            </w:r>
          </w:p>
        </w:tc>
        <w:tc>
          <w:tcPr>
            <w:tcW w:w="1660" w:type="dxa"/>
            <w:vAlign w:val="bottom"/>
            <w:shd w:val="clear" w:color="auto" w:fill="CFF0FC"/>
          </w:tcPr>
          <w:p>
            <w:pPr>
              <w:jc w:val="center"/>
              <w:ind w:left="219"/>
              <w:spacing w:after="0"/>
              <w:rPr>
                <w:sz w:val="20"/>
                <w:szCs w:val="20"/>
                <w:color w:val="auto"/>
              </w:rPr>
            </w:pPr>
            <w:r>
              <w:rPr>
                <w:rFonts w:ascii="Arial" w:cs="Arial" w:eastAsia="Arial" w:hAnsi="Arial"/>
                <w:sz w:val="16"/>
                <w:szCs w:val="16"/>
                <w:color w:val="auto"/>
              </w:rPr>
              <w:t>(15)%</w:t>
            </w:r>
          </w:p>
        </w:tc>
        <w:tc>
          <w:tcPr>
            <w:tcW w:w="1220" w:type="dxa"/>
            <w:vAlign w:val="bottom"/>
            <w:shd w:val="clear" w:color="auto" w:fill="CFF0FC"/>
          </w:tcPr>
          <w:p>
            <w:pPr>
              <w:jc w:val="center"/>
              <w:ind w:left="139"/>
              <w:spacing w:after="0"/>
              <w:rPr>
                <w:sz w:val="20"/>
                <w:szCs w:val="20"/>
                <w:color w:val="auto"/>
              </w:rPr>
            </w:pPr>
            <w:r>
              <w:rPr>
                <w:rFonts w:ascii="Arial" w:cs="Arial" w:eastAsia="Arial" w:hAnsi="Arial"/>
                <w:sz w:val="16"/>
                <w:szCs w:val="16"/>
                <w:color w:val="auto"/>
                <w:w w:val="99"/>
              </w:rPr>
              <w:t>1,040</w:t>
            </w:r>
          </w:p>
        </w:tc>
        <w:tc>
          <w:tcPr>
            <w:tcW w:w="1680" w:type="dxa"/>
            <w:vAlign w:val="bottom"/>
            <w:shd w:val="clear" w:color="auto" w:fill="CFF0FC"/>
          </w:tcPr>
          <w:p>
            <w:pPr>
              <w:jc w:val="center"/>
              <w:ind w:left="39"/>
              <w:spacing w:after="0"/>
              <w:rPr>
                <w:sz w:val="20"/>
                <w:szCs w:val="20"/>
                <w:color w:val="auto"/>
              </w:rPr>
            </w:pPr>
            <w:r>
              <w:rPr>
                <w:rFonts w:ascii="Arial" w:cs="Arial" w:eastAsia="Arial" w:hAnsi="Arial"/>
                <w:sz w:val="16"/>
                <w:szCs w:val="16"/>
                <w:color w:val="auto"/>
                <w:w w:val="99"/>
              </w:rPr>
              <w:t>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60" w:lineRule="exact"/>
        <w:rPr>
          <w:sz w:val="20"/>
          <w:szCs w:val="20"/>
          <w:color w:val="auto"/>
        </w:rPr>
      </w:pPr>
    </w:p>
    <w:p>
      <w:pPr>
        <w:ind w:left="520" w:hanging="512"/>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Degree days are calculated based on a weighted average of total customers by state.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1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 xml:space="preserve">Contracted generating facilities Availability </w:t>
            </w:r>
            <w:r>
              <w:rPr>
                <w:rFonts w:ascii="Arial" w:cs="Arial" w:eastAsia="Arial" w:hAnsi="Arial"/>
                <w:sz w:val="21"/>
                <w:szCs w:val="21"/>
                <w:b w:val="1"/>
                <w:bCs w:val="1"/>
                <w:color w:val="auto"/>
                <w:vertAlign w:val="superscript"/>
              </w:rPr>
              <w:t>(a)</w:t>
            </w:r>
            <w:r>
              <w:rPr>
                <w:rFonts w:ascii="Arial" w:cs="Arial" w:eastAsia="Arial" w:hAnsi="Arial"/>
                <w:sz w:val="16"/>
                <w:szCs w:val="16"/>
                <w:b w:val="1"/>
                <w:bCs w:val="1"/>
                <w:color w:val="auto"/>
              </w:rPr>
              <w:t xml:space="preserve"> by fuel type</w:t>
            </w:r>
          </w:p>
        </w:tc>
        <w:tc>
          <w:tcPr>
            <w:tcW w:w="4080" w:type="dxa"/>
            <w:vAlign w:val="bottom"/>
            <w:tcBorders>
              <w:bottom w:val="single" w:sz="8" w:color="auto"/>
            </w:tcBorders>
            <w:gridSpan w:val="3"/>
          </w:tcPr>
          <w:p>
            <w:pPr>
              <w:ind w:left="760"/>
              <w:spacing w:after="0"/>
              <w:rPr>
                <w:sz w:val="20"/>
                <w:szCs w:val="20"/>
                <w:color w:val="auto"/>
              </w:rPr>
            </w:pPr>
            <w:r>
              <w:rPr>
                <w:rFonts w:ascii="Arial" w:cs="Arial" w:eastAsia="Arial" w:hAnsi="Arial"/>
                <w:sz w:val="16"/>
                <w:szCs w:val="16"/>
                <w:b w:val="1"/>
                <w:bCs w:val="1"/>
                <w:color w:val="auto"/>
              </w:rPr>
              <w:t>For the year ended December 31,</w:t>
            </w:r>
          </w:p>
        </w:tc>
        <w:tc>
          <w:tcPr>
            <w:tcW w:w="0" w:type="dxa"/>
            <w:vAlign w:val="bottom"/>
          </w:tcPr>
          <w:p>
            <w:pPr>
              <w:spacing w:after="0"/>
              <w:rPr>
                <w:sz w:val="1"/>
                <w:szCs w:val="1"/>
                <w:color w:val="auto"/>
              </w:rPr>
            </w:pPr>
          </w:p>
        </w:tc>
      </w:tr>
      <w:tr>
        <w:trPr>
          <w:trHeight w:val="183"/>
        </w:trPr>
        <w:tc>
          <w:tcPr>
            <w:tcW w:w="7160" w:type="dxa"/>
            <w:vAlign w:val="bottom"/>
            <w:tcBorders>
              <w:bottom w:val="single" w:sz="8" w:color="auto"/>
            </w:tcBorders>
            <w:vMerge w:val="continue"/>
          </w:tcPr>
          <w:p>
            <w:pPr>
              <w:spacing w:after="0"/>
              <w:rPr>
                <w:sz w:val="15"/>
                <w:szCs w:val="15"/>
                <w:color w:val="auto"/>
              </w:rPr>
            </w:pPr>
          </w:p>
        </w:tc>
        <w:tc>
          <w:tcPr>
            <w:tcW w:w="136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2024</w:t>
            </w:r>
          </w:p>
        </w:tc>
        <w:tc>
          <w:tcPr>
            <w:tcW w:w="136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2023</w:t>
            </w:r>
          </w:p>
        </w:tc>
        <w:tc>
          <w:tcPr>
            <w:tcW w:w="136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83"/>
        </w:trPr>
        <w:tc>
          <w:tcPr>
            <w:tcW w:w="71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 xml:space="preserve">Coal </w:t>
            </w:r>
            <w:r>
              <w:rPr>
                <w:rFonts w:ascii="Arial" w:cs="Arial" w:eastAsia="Arial" w:hAnsi="Arial"/>
                <w:sz w:val="21"/>
                <w:szCs w:val="21"/>
                <w:color w:val="auto"/>
                <w:vertAlign w:val="superscript"/>
              </w:rPr>
              <w:t>(b)</w:t>
            </w:r>
          </w:p>
        </w:tc>
        <w:tc>
          <w:tcPr>
            <w:tcW w:w="1360" w:type="dxa"/>
            <w:vAlign w:val="bottom"/>
            <w:shd w:val="clear" w:color="auto" w:fill="CFF0FC"/>
          </w:tcPr>
          <w:p>
            <w:pPr>
              <w:jc w:val="center"/>
              <w:spacing w:after="0" w:line="183" w:lineRule="exact"/>
              <w:rPr>
                <w:sz w:val="20"/>
                <w:szCs w:val="20"/>
                <w:color w:val="auto"/>
              </w:rPr>
            </w:pPr>
            <w:r>
              <w:rPr>
                <w:rFonts w:ascii="Arial" w:cs="Arial" w:eastAsia="Arial" w:hAnsi="Arial"/>
                <w:sz w:val="16"/>
                <w:szCs w:val="16"/>
                <w:color w:val="auto"/>
              </w:rPr>
              <w:t>89.8%</w:t>
            </w:r>
          </w:p>
        </w:tc>
        <w:tc>
          <w:tcPr>
            <w:tcW w:w="1360" w:type="dxa"/>
            <w:vAlign w:val="bottom"/>
            <w:shd w:val="clear" w:color="auto" w:fill="CFF0FC"/>
          </w:tcPr>
          <w:p>
            <w:pPr>
              <w:jc w:val="center"/>
              <w:spacing w:after="0" w:line="183" w:lineRule="exact"/>
              <w:rPr>
                <w:sz w:val="20"/>
                <w:szCs w:val="20"/>
                <w:color w:val="auto"/>
              </w:rPr>
            </w:pPr>
            <w:r>
              <w:rPr>
                <w:rFonts w:ascii="Arial" w:cs="Arial" w:eastAsia="Arial" w:hAnsi="Arial"/>
                <w:sz w:val="16"/>
                <w:szCs w:val="16"/>
                <w:color w:val="auto"/>
              </w:rPr>
              <w:t>93.7%</w:t>
            </w:r>
          </w:p>
        </w:tc>
        <w:tc>
          <w:tcPr>
            <w:tcW w:w="1360" w:type="dxa"/>
            <w:vAlign w:val="bottom"/>
            <w:shd w:val="clear" w:color="auto" w:fill="CFF0FC"/>
          </w:tcPr>
          <w:p>
            <w:pPr>
              <w:jc w:val="center"/>
              <w:spacing w:after="0" w:line="183" w:lineRule="exact"/>
              <w:rPr>
                <w:sz w:val="20"/>
                <w:szCs w:val="20"/>
                <w:color w:val="auto"/>
              </w:rPr>
            </w:pPr>
            <w:r>
              <w:rPr>
                <w:rFonts w:ascii="Arial" w:cs="Arial" w:eastAsia="Arial" w:hAnsi="Arial"/>
                <w:sz w:val="16"/>
                <w:szCs w:val="16"/>
                <w:color w:val="auto"/>
              </w:rPr>
              <w:t>91.5%</w:t>
            </w:r>
          </w:p>
        </w:tc>
        <w:tc>
          <w:tcPr>
            <w:tcW w:w="0" w:type="dxa"/>
            <w:vAlign w:val="bottom"/>
          </w:tcPr>
          <w:p>
            <w:pPr>
              <w:spacing w:after="0"/>
              <w:rPr>
                <w:sz w:val="1"/>
                <w:szCs w:val="1"/>
                <w:color w:val="auto"/>
              </w:rPr>
            </w:pPr>
          </w:p>
        </w:tc>
      </w:tr>
      <w:tr>
        <w:trPr>
          <w:trHeight w:val="189"/>
        </w:trPr>
        <w:tc>
          <w:tcPr>
            <w:tcW w:w="7160" w:type="dxa"/>
            <w:vAlign w:val="bottom"/>
          </w:tcPr>
          <w:p>
            <w:pPr>
              <w:ind w:left="20"/>
              <w:spacing w:after="0" w:line="189" w:lineRule="exact"/>
              <w:rPr>
                <w:sz w:val="20"/>
                <w:szCs w:val="20"/>
                <w:color w:val="auto"/>
              </w:rPr>
            </w:pPr>
            <w:r>
              <w:rPr>
                <w:rFonts w:ascii="Arial" w:cs="Arial" w:eastAsia="Arial" w:hAnsi="Arial"/>
                <w:sz w:val="16"/>
                <w:szCs w:val="16"/>
                <w:color w:val="auto"/>
              </w:rPr>
              <w:t xml:space="preserve">Natural gas and diesel oil </w:t>
            </w:r>
            <w:r>
              <w:rPr>
                <w:rFonts w:ascii="Arial" w:cs="Arial" w:eastAsia="Arial" w:hAnsi="Arial"/>
                <w:sz w:val="21"/>
                <w:szCs w:val="21"/>
                <w:color w:val="auto"/>
                <w:vertAlign w:val="superscript"/>
              </w:rPr>
              <w:t>(b)</w:t>
            </w:r>
          </w:p>
        </w:tc>
        <w:tc>
          <w:tcPr>
            <w:tcW w:w="1360" w:type="dxa"/>
            <w:vAlign w:val="bottom"/>
          </w:tcPr>
          <w:p>
            <w:pPr>
              <w:jc w:val="center"/>
              <w:spacing w:after="0"/>
              <w:rPr>
                <w:sz w:val="20"/>
                <w:szCs w:val="20"/>
                <w:color w:val="auto"/>
              </w:rPr>
            </w:pPr>
            <w:r>
              <w:rPr>
                <w:rFonts w:ascii="Arial" w:cs="Arial" w:eastAsia="Arial" w:hAnsi="Arial"/>
                <w:sz w:val="16"/>
                <w:szCs w:val="16"/>
                <w:color w:val="auto"/>
              </w:rPr>
              <w:t>92.9%</w:t>
            </w:r>
          </w:p>
        </w:tc>
        <w:tc>
          <w:tcPr>
            <w:tcW w:w="1360" w:type="dxa"/>
            <w:vAlign w:val="bottom"/>
          </w:tcPr>
          <w:p>
            <w:pPr>
              <w:jc w:val="center"/>
              <w:spacing w:after="0"/>
              <w:rPr>
                <w:sz w:val="20"/>
                <w:szCs w:val="20"/>
                <w:color w:val="auto"/>
              </w:rPr>
            </w:pPr>
            <w:r>
              <w:rPr>
                <w:rFonts w:ascii="Arial" w:cs="Arial" w:eastAsia="Arial" w:hAnsi="Arial"/>
                <w:sz w:val="16"/>
                <w:szCs w:val="16"/>
                <w:color w:val="auto"/>
              </w:rPr>
              <w:t>92.1%</w:t>
            </w:r>
          </w:p>
        </w:tc>
        <w:tc>
          <w:tcPr>
            <w:tcW w:w="1360" w:type="dxa"/>
            <w:vAlign w:val="bottom"/>
          </w:tcPr>
          <w:p>
            <w:pPr>
              <w:jc w:val="center"/>
              <w:spacing w:after="0"/>
              <w:rPr>
                <w:sz w:val="20"/>
                <w:szCs w:val="20"/>
                <w:color w:val="auto"/>
              </w:rPr>
            </w:pPr>
            <w:r>
              <w:rPr>
                <w:rFonts w:ascii="Arial" w:cs="Arial" w:eastAsia="Arial" w:hAnsi="Arial"/>
                <w:sz w:val="16"/>
                <w:szCs w:val="16"/>
                <w:color w:val="auto"/>
              </w:rPr>
              <w:t>96.1%</w:t>
            </w:r>
          </w:p>
        </w:tc>
        <w:tc>
          <w:tcPr>
            <w:tcW w:w="0" w:type="dxa"/>
            <w:vAlign w:val="bottom"/>
          </w:tcPr>
          <w:p>
            <w:pPr>
              <w:spacing w:after="0"/>
              <w:rPr>
                <w:sz w:val="1"/>
                <w:szCs w:val="1"/>
                <w:color w:val="auto"/>
              </w:rPr>
            </w:pPr>
          </w:p>
        </w:tc>
      </w:tr>
      <w:tr>
        <w:trPr>
          <w:trHeight w:val="189"/>
        </w:trPr>
        <w:tc>
          <w:tcPr>
            <w:tcW w:w="7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Wind</w:t>
            </w:r>
          </w:p>
        </w:tc>
        <w:tc>
          <w:tcPr>
            <w:tcW w:w="13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90.6%</w:t>
            </w:r>
          </w:p>
        </w:tc>
        <w:tc>
          <w:tcPr>
            <w:tcW w:w="13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92.5%</w:t>
            </w:r>
          </w:p>
        </w:tc>
        <w:tc>
          <w:tcPr>
            <w:tcW w:w="13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93.7%</w:t>
            </w:r>
          </w:p>
        </w:tc>
        <w:tc>
          <w:tcPr>
            <w:tcW w:w="0" w:type="dxa"/>
            <w:vAlign w:val="bottom"/>
          </w:tcPr>
          <w:p>
            <w:pPr>
              <w:spacing w:after="0"/>
              <w:rPr>
                <w:sz w:val="1"/>
                <w:szCs w:val="1"/>
                <w:color w:val="auto"/>
              </w:rPr>
            </w:pPr>
          </w:p>
        </w:tc>
      </w:tr>
      <w:tr>
        <w:trPr>
          <w:trHeight w:val="189"/>
        </w:trPr>
        <w:tc>
          <w:tcPr>
            <w:tcW w:w="7160" w:type="dxa"/>
            <w:vAlign w:val="bottom"/>
          </w:tcPr>
          <w:p>
            <w:pPr>
              <w:ind w:left="20"/>
              <w:spacing w:after="0"/>
              <w:rPr>
                <w:sz w:val="20"/>
                <w:szCs w:val="20"/>
                <w:color w:val="auto"/>
              </w:rPr>
            </w:pPr>
            <w:r>
              <w:rPr>
                <w:rFonts w:ascii="Arial" w:cs="Arial" w:eastAsia="Arial" w:hAnsi="Arial"/>
                <w:sz w:val="16"/>
                <w:szCs w:val="16"/>
                <w:color w:val="auto"/>
              </w:rPr>
              <w:t>Total availability</w:t>
            </w:r>
          </w:p>
        </w:tc>
        <w:tc>
          <w:tcPr>
            <w:tcW w:w="1360" w:type="dxa"/>
            <w:vAlign w:val="bottom"/>
          </w:tcPr>
          <w:p>
            <w:pPr>
              <w:jc w:val="center"/>
              <w:spacing w:after="0"/>
              <w:rPr>
                <w:sz w:val="20"/>
                <w:szCs w:val="20"/>
                <w:color w:val="auto"/>
              </w:rPr>
            </w:pPr>
            <w:r>
              <w:rPr>
                <w:rFonts w:ascii="Arial" w:cs="Arial" w:eastAsia="Arial" w:hAnsi="Arial"/>
                <w:sz w:val="16"/>
                <w:szCs w:val="16"/>
                <w:color w:val="auto"/>
              </w:rPr>
              <w:t>91.7%</w:t>
            </w:r>
          </w:p>
        </w:tc>
        <w:tc>
          <w:tcPr>
            <w:tcW w:w="1360" w:type="dxa"/>
            <w:vAlign w:val="bottom"/>
          </w:tcPr>
          <w:p>
            <w:pPr>
              <w:jc w:val="center"/>
              <w:spacing w:after="0"/>
              <w:rPr>
                <w:sz w:val="20"/>
                <w:szCs w:val="20"/>
                <w:color w:val="auto"/>
              </w:rPr>
            </w:pPr>
            <w:r>
              <w:rPr>
                <w:rFonts w:ascii="Arial" w:cs="Arial" w:eastAsia="Arial" w:hAnsi="Arial"/>
                <w:sz w:val="16"/>
                <w:szCs w:val="16"/>
                <w:color w:val="auto"/>
              </w:rPr>
              <w:t>92.6%</w:t>
            </w:r>
          </w:p>
        </w:tc>
        <w:tc>
          <w:tcPr>
            <w:tcW w:w="1360" w:type="dxa"/>
            <w:vAlign w:val="bottom"/>
          </w:tcPr>
          <w:p>
            <w:pPr>
              <w:jc w:val="center"/>
              <w:spacing w:after="0"/>
              <w:rPr>
                <w:sz w:val="20"/>
                <w:szCs w:val="20"/>
                <w:color w:val="auto"/>
              </w:rPr>
            </w:pPr>
            <w:r>
              <w:rPr>
                <w:rFonts w:ascii="Arial" w:cs="Arial" w:eastAsia="Arial" w:hAnsi="Arial"/>
                <w:sz w:val="16"/>
                <w:szCs w:val="16"/>
                <w:color w:val="auto"/>
              </w:rPr>
              <w:t>94.4%</w:t>
            </w:r>
          </w:p>
        </w:tc>
        <w:tc>
          <w:tcPr>
            <w:tcW w:w="0" w:type="dxa"/>
            <w:vAlign w:val="bottom"/>
          </w:tcPr>
          <w:p>
            <w:pPr>
              <w:spacing w:after="0"/>
              <w:rPr>
                <w:sz w:val="1"/>
                <w:szCs w:val="1"/>
                <w:color w:val="auto"/>
              </w:rPr>
            </w:pPr>
          </w:p>
        </w:tc>
      </w:tr>
      <w:tr>
        <w:trPr>
          <w:trHeight w:val="189"/>
        </w:trPr>
        <w:tc>
          <w:tcPr>
            <w:tcW w:w="716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7160" w:type="dxa"/>
            <w:vAlign w:val="bottom"/>
          </w:tcPr>
          <w:p>
            <w:pPr>
              <w:ind w:left="20"/>
              <w:spacing w:after="0"/>
              <w:rPr>
                <w:sz w:val="20"/>
                <w:szCs w:val="20"/>
                <w:color w:val="auto"/>
              </w:rPr>
            </w:pPr>
            <w:r>
              <w:rPr>
                <w:rFonts w:ascii="Arial" w:cs="Arial" w:eastAsia="Arial" w:hAnsi="Arial"/>
                <w:sz w:val="16"/>
                <w:szCs w:val="16"/>
                <w:color w:val="auto"/>
              </w:rPr>
              <w:t xml:space="preserve">Wind Capacity Factor </w:t>
            </w:r>
            <w:r>
              <w:rPr>
                <w:rFonts w:ascii="Arial" w:cs="Arial" w:eastAsia="Arial" w:hAnsi="Arial"/>
                <w:sz w:val="21"/>
                <w:szCs w:val="21"/>
                <w:color w:val="auto"/>
                <w:vertAlign w:val="superscript"/>
              </w:rPr>
              <w:t>(a)</w:t>
            </w:r>
          </w:p>
        </w:tc>
        <w:tc>
          <w:tcPr>
            <w:tcW w:w="1360" w:type="dxa"/>
            <w:vAlign w:val="bottom"/>
          </w:tcPr>
          <w:p>
            <w:pPr>
              <w:jc w:val="center"/>
              <w:spacing w:after="0"/>
              <w:rPr>
                <w:sz w:val="20"/>
                <w:szCs w:val="20"/>
                <w:color w:val="auto"/>
              </w:rPr>
            </w:pPr>
            <w:r>
              <w:rPr>
                <w:rFonts w:ascii="Arial" w:cs="Arial" w:eastAsia="Arial" w:hAnsi="Arial"/>
                <w:sz w:val="16"/>
                <w:szCs w:val="16"/>
                <w:color w:val="auto"/>
              </w:rPr>
              <w:t>36.7%</w:t>
            </w:r>
          </w:p>
        </w:tc>
        <w:tc>
          <w:tcPr>
            <w:tcW w:w="1360" w:type="dxa"/>
            <w:vAlign w:val="bottom"/>
          </w:tcPr>
          <w:p>
            <w:pPr>
              <w:jc w:val="center"/>
              <w:spacing w:after="0"/>
              <w:rPr>
                <w:sz w:val="20"/>
                <w:szCs w:val="20"/>
                <w:color w:val="auto"/>
              </w:rPr>
            </w:pPr>
            <w:r>
              <w:rPr>
                <w:rFonts w:ascii="Arial" w:cs="Arial" w:eastAsia="Arial" w:hAnsi="Arial"/>
                <w:sz w:val="16"/>
                <w:szCs w:val="16"/>
                <w:color w:val="auto"/>
              </w:rPr>
              <w:t>37.4%</w:t>
            </w:r>
          </w:p>
        </w:tc>
        <w:tc>
          <w:tcPr>
            <w:tcW w:w="1360" w:type="dxa"/>
            <w:vAlign w:val="bottom"/>
          </w:tcPr>
          <w:p>
            <w:pPr>
              <w:jc w:val="center"/>
              <w:spacing w:after="0"/>
              <w:rPr>
                <w:sz w:val="20"/>
                <w:szCs w:val="20"/>
                <w:color w:val="auto"/>
              </w:rPr>
            </w:pPr>
            <w:r>
              <w:rPr>
                <w:rFonts w:ascii="Arial" w:cs="Arial" w:eastAsia="Arial" w:hAnsi="Arial"/>
                <w:sz w:val="16"/>
                <w:szCs w:val="16"/>
                <w:color w:val="auto"/>
              </w:rPr>
              <w:t>34.7%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190309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59" w:lineRule="exact"/>
        <w:rPr>
          <w:sz w:val="20"/>
          <w:szCs w:val="20"/>
          <w:color w:val="auto"/>
        </w:rPr>
      </w:pPr>
    </w:p>
    <w:p>
      <w:pPr>
        <w:ind w:left="520" w:hanging="512"/>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Availability and Wind Capacity Factor are calculated using a weighted average based on capacity of our generating fleet.</w:t>
      </w:r>
    </w:p>
    <w:p>
      <w:pPr>
        <w:spacing w:after="0" w:line="15" w:lineRule="exact"/>
        <w:rPr>
          <w:rFonts w:ascii="Arial" w:cs="Arial" w:eastAsia="Arial" w:hAnsi="Arial"/>
          <w:sz w:val="14"/>
          <w:szCs w:val="14"/>
          <w:color w:val="auto"/>
        </w:rPr>
      </w:pPr>
    </w:p>
    <w:p>
      <w:pPr>
        <w:ind w:left="520" w:hanging="512"/>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2024 included unplanned outages at Wygen I and Pueblo Airport Generation #4-5.</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20" w:type="dxa"/>
            <w:vAlign w:val="bottom"/>
            <w:gridSpan w:val="3"/>
          </w:tcPr>
          <w:p>
            <w:pPr>
              <w:spacing w:after="0"/>
              <w:rPr>
                <w:sz w:val="20"/>
                <w:szCs w:val="20"/>
                <w:color w:val="auto"/>
              </w:rPr>
            </w:pPr>
            <w:r>
              <w:rPr>
                <w:rFonts w:ascii="Arial" w:cs="Arial" w:eastAsia="Arial" w:hAnsi="Arial"/>
                <w:sz w:val="16"/>
                <w:szCs w:val="16"/>
                <w:b w:val="1"/>
                <w:bCs w:val="1"/>
                <w:color w:val="auto"/>
              </w:rPr>
              <w:t>Gas Utilities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0"/>
        </w:trPr>
        <w:tc>
          <w:tcPr>
            <w:tcW w:w="6820" w:type="dxa"/>
            <w:vAlign w:val="bottom"/>
            <w:gridSpan w:val="7"/>
          </w:tcPr>
          <w:p>
            <w:pPr>
              <w:spacing w:after="0"/>
              <w:rPr>
                <w:sz w:val="20"/>
                <w:szCs w:val="20"/>
                <w:color w:val="auto"/>
              </w:rPr>
            </w:pPr>
            <w:r>
              <w:rPr>
                <w:rFonts w:ascii="Arial" w:cs="Arial" w:eastAsia="Arial" w:hAnsi="Arial"/>
                <w:sz w:val="16"/>
                <w:szCs w:val="16"/>
                <w:color w:val="auto"/>
              </w:rPr>
              <w:t>Operating results for the years ended December 31 for the Gas Utilities were as follows:</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b w:val="1"/>
                <w:bCs w:val="1"/>
                <w:color w:val="auto"/>
              </w:rPr>
              <w:t>2024 vs 2023</w:t>
            </w: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b w:val="1"/>
                <w:bCs w:val="1"/>
                <w:color w:val="auto"/>
              </w:rPr>
              <w:t>2023 vs 2022</w:t>
            </w: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6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Variance</w:t>
            </w: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2022</w:t>
            </w:r>
          </w:p>
        </w:tc>
        <w:tc>
          <w:tcPr>
            <w:tcW w:w="3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Variance</w:t>
            </w: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19"/>
              <w:spacing w:after="0" w:line="183" w:lineRule="exact"/>
              <w:rPr>
                <w:sz w:val="20"/>
                <w:szCs w:val="20"/>
                <w:color w:val="auto"/>
              </w:rPr>
            </w:pPr>
            <w:r>
              <w:rPr>
                <w:rFonts w:ascii="Arial" w:cs="Arial" w:eastAsia="Arial" w:hAnsi="Arial"/>
                <w:sz w:val="16"/>
                <w:szCs w:val="16"/>
                <w:color w:val="auto"/>
              </w:rPr>
              <w:t>(in millions)</w:t>
            </w:r>
          </w:p>
        </w:tc>
        <w:tc>
          <w:tcPr>
            <w:tcW w:w="3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20" w:type="dxa"/>
            <w:vAlign w:val="bottom"/>
            <w:gridSpan w:val="3"/>
            <w:shd w:val="clear" w:color="auto" w:fill="CFF0FC"/>
          </w:tcPr>
          <w:p>
            <w:pPr>
              <w:ind w:left="20"/>
              <w:spacing w:after="0" w:line="183" w:lineRule="exact"/>
              <w:rPr>
                <w:sz w:val="20"/>
                <w:szCs w:val="20"/>
                <w:color w:val="auto"/>
              </w:rPr>
            </w:pPr>
            <w:r>
              <w:rPr>
                <w:rFonts w:ascii="Arial" w:cs="Arial" w:eastAsia="Arial" w:hAnsi="Arial"/>
                <w:sz w:val="16"/>
                <w:szCs w:val="16"/>
                <w:color w:val="auto"/>
              </w:rPr>
              <w:t>Total revenue</w:t>
            </w:r>
          </w:p>
        </w:tc>
        <w:tc>
          <w:tcPr>
            <w:tcW w:w="940" w:type="dxa"/>
            <w:vAlign w:val="bottom"/>
            <w:shd w:val="clear" w:color="auto" w:fill="CFF0FC"/>
          </w:tcPr>
          <w:p>
            <w:pPr>
              <w:jc w:val="right"/>
              <w:ind w:right="739"/>
              <w:spacing w:after="0" w:line="183" w:lineRule="exact"/>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1,269.4</w:t>
            </w:r>
          </w:p>
        </w:tc>
        <w:tc>
          <w:tcPr>
            <w:tcW w:w="360" w:type="dxa"/>
            <w:vAlign w:val="bottom"/>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1,484.2</w:t>
            </w:r>
          </w:p>
        </w:tc>
        <w:tc>
          <w:tcPr>
            <w:tcW w:w="1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620" w:type="dxa"/>
            <w:vAlign w:val="bottom"/>
            <w:gridSpan w:val="2"/>
            <w:shd w:val="clear" w:color="auto" w:fill="CFF0FC"/>
          </w:tcPr>
          <w:p>
            <w:pPr>
              <w:jc w:val="right"/>
              <w:ind w:right="139"/>
              <w:spacing w:after="0" w:line="183" w:lineRule="exact"/>
              <w:rPr>
                <w:sz w:val="20"/>
                <w:szCs w:val="20"/>
                <w:color w:val="auto"/>
              </w:rPr>
            </w:pPr>
            <w:r>
              <w:rPr>
                <w:rFonts w:ascii="Arial" w:cs="Arial" w:eastAsia="Arial" w:hAnsi="Arial"/>
                <w:sz w:val="16"/>
                <w:szCs w:val="16"/>
                <w:color w:val="auto"/>
              </w:rPr>
              <w:t>(214.8 ) $</w:t>
            </w:r>
          </w:p>
        </w:tc>
        <w:tc>
          <w:tcPr>
            <w:tcW w:w="116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1,669.1</w:t>
            </w:r>
          </w:p>
        </w:tc>
        <w:tc>
          <w:tcPr>
            <w:tcW w:w="180" w:type="dxa"/>
            <w:vAlign w:val="bottom"/>
            <w:shd w:val="clear" w:color="auto" w:fill="CFF0FC"/>
          </w:tcPr>
          <w:p>
            <w:pPr>
              <w:ind w:left="80"/>
              <w:spacing w:after="0" w:line="183" w:lineRule="exact"/>
              <w:rPr>
                <w:sz w:val="20"/>
                <w:szCs w:val="20"/>
                <w:color w:val="auto"/>
              </w:rPr>
            </w:pPr>
            <w:r>
              <w:rPr>
                <w:rFonts w:ascii="Arial" w:cs="Arial" w:eastAsia="Arial" w:hAnsi="Arial"/>
                <w:sz w:val="16"/>
                <w:szCs w:val="16"/>
                <w:color w:val="auto"/>
                <w:w w:val="89"/>
              </w:rPr>
              <w:t>$</w:t>
            </w:r>
          </w:p>
        </w:tc>
        <w:tc>
          <w:tcPr>
            <w:tcW w:w="12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(184.9 )</w:t>
            </w:r>
          </w:p>
        </w:tc>
        <w:tc>
          <w:tcPr>
            <w:tcW w:w="0" w:type="dxa"/>
            <w:vAlign w:val="bottom"/>
          </w:tcPr>
          <w:p>
            <w:pPr>
              <w:spacing w:after="0"/>
              <w:rPr>
                <w:sz w:val="1"/>
                <w:szCs w:val="1"/>
                <w:color w:val="auto"/>
              </w:rPr>
            </w:pPr>
          </w:p>
        </w:tc>
      </w:tr>
      <w:tr>
        <w:trPr>
          <w:trHeight w:val="189"/>
        </w:trPr>
        <w:tc>
          <w:tcPr>
            <w:tcW w:w="3820" w:type="dxa"/>
            <w:vAlign w:val="bottom"/>
            <w:tcBorders>
              <w:bottom w:val="single" w:sz="8" w:color="CFF0FC"/>
            </w:tcBorders>
            <w:gridSpan w:val="3"/>
          </w:tcPr>
          <w:p>
            <w:pPr>
              <w:ind w:left="20"/>
              <w:spacing w:after="0"/>
              <w:rPr>
                <w:sz w:val="20"/>
                <w:szCs w:val="20"/>
                <w:color w:val="auto"/>
              </w:rPr>
            </w:pPr>
            <w:r>
              <w:rPr>
                <w:rFonts w:ascii="Arial" w:cs="Arial" w:eastAsia="Arial" w:hAnsi="Arial"/>
                <w:sz w:val="16"/>
                <w:szCs w:val="16"/>
                <w:color w:val="auto"/>
              </w:rPr>
              <w:t>Cost of natural gas sold</w:t>
            </w:r>
          </w:p>
        </w:tc>
        <w:tc>
          <w:tcPr>
            <w:tcW w:w="9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524.3</w:t>
            </w: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783.2</w:t>
            </w: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(258.9 )</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965.1</w:t>
            </w: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(181.9 )</w:t>
            </w:r>
          </w:p>
        </w:tc>
        <w:tc>
          <w:tcPr>
            <w:tcW w:w="0" w:type="dxa"/>
            <w:vAlign w:val="bottom"/>
          </w:tcPr>
          <w:p>
            <w:pPr>
              <w:spacing w:after="0"/>
              <w:rPr>
                <w:sz w:val="1"/>
                <w:szCs w:val="1"/>
                <w:color w:val="auto"/>
              </w:rPr>
            </w:pPr>
          </w:p>
        </w:tc>
      </w:tr>
      <w:tr>
        <w:trPr>
          <w:trHeight w:val="183"/>
        </w:trPr>
        <w:tc>
          <w:tcPr>
            <w:tcW w:w="3820" w:type="dxa"/>
            <w:vAlign w:val="bottom"/>
            <w:tcBorders>
              <w:bottom w:val="single" w:sz="8" w:color="CFF0FC"/>
            </w:tcBorders>
            <w:gridSpan w:val="3"/>
            <w:shd w:val="clear" w:color="auto" w:fill="CFF0FC"/>
          </w:tcPr>
          <w:p>
            <w:pPr>
              <w:ind w:left="20"/>
              <w:spacing w:after="0" w:line="183" w:lineRule="exact"/>
              <w:rPr>
                <w:sz w:val="20"/>
                <w:szCs w:val="20"/>
                <w:color w:val="auto"/>
              </w:rPr>
            </w:pPr>
            <w:r>
              <w:rPr>
                <w:rFonts w:ascii="Arial" w:cs="Arial" w:eastAsia="Arial" w:hAnsi="Arial"/>
                <w:sz w:val="16"/>
                <w:szCs w:val="16"/>
                <w:color w:val="auto"/>
              </w:rPr>
              <w:t>Gas Utility margin (non-GAAP)</w:t>
            </w:r>
          </w:p>
        </w:tc>
        <w:tc>
          <w:tcPr>
            <w:tcW w:w="94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745.1</w:t>
            </w:r>
          </w:p>
        </w:tc>
        <w:tc>
          <w:tcPr>
            <w:tcW w:w="36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701.0</w:t>
            </w:r>
          </w:p>
        </w:tc>
        <w:tc>
          <w:tcPr>
            <w:tcW w:w="180" w:type="dxa"/>
            <w:vAlign w:val="bottom"/>
            <w:tcBorders>
              <w:bottom w:val="single" w:sz="8" w:color="auto"/>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44.1</w:t>
            </w:r>
          </w:p>
        </w:tc>
        <w:tc>
          <w:tcPr>
            <w:tcW w:w="34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704.0</w:t>
            </w:r>
          </w:p>
        </w:tc>
        <w:tc>
          <w:tcPr>
            <w:tcW w:w="180" w:type="dxa"/>
            <w:vAlign w:val="bottom"/>
            <w:tcBorders>
              <w:bottom w:val="single" w:sz="8" w:color="auto"/>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(3.0 )</w:t>
            </w: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2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Operations and maintenance</w:t>
            </w:r>
          </w:p>
        </w:tc>
        <w:tc>
          <w:tcPr>
            <w:tcW w:w="94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320.7</w:t>
            </w:r>
          </w:p>
        </w:tc>
        <w:tc>
          <w:tcPr>
            <w:tcW w:w="36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328.7</w:t>
            </w:r>
          </w:p>
        </w:tc>
        <w:tc>
          <w:tcPr>
            <w:tcW w:w="18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(8.0 )</w:t>
            </w:r>
          </w:p>
        </w:tc>
        <w:tc>
          <w:tcPr>
            <w:tcW w:w="34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317.3</w:t>
            </w:r>
          </w:p>
        </w:tc>
        <w:tc>
          <w:tcPr>
            <w:tcW w:w="18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189"/>
        </w:trPr>
        <w:tc>
          <w:tcPr>
            <w:tcW w:w="3820" w:type="dxa"/>
            <w:vAlign w:val="bottom"/>
            <w:gridSpan w:val="3"/>
          </w:tcPr>
          <w:p>
            <w:pPr>
              <w:ind w:left="20"/>
              <w:spacing w:after="0"/>
              <w:rPr>
                <w:sz w:val="20"/>
                <w:szCs w:val="20"/>
                <w:color w:val="auto"/>
              </w:rPr>
            </w:pPr>
            <w:r>
              <w:rPr>
                <w:rFonts w:ascii="Arial" w:cs="Arial" w:eastAsia="Arial" w:hAnsi="Arial"/>
                <w:sz w:val="16"/>
                <w:szCs w:val="16"/>
                <w:color w:val="auto"/>
              </w:rPr>
              <w:t>Depreciation and amortization</w:t>
            </w:r>
          </w:p>
        </w:tc>
        <w:tc>
          <w:tcPr>
            <w:tcW w:w="9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124.7</w:t>
            </w:r>
          </w:p>
        </w:tc>
        <w:tc>
          <w:tcPr>
            <w:tcW w:w="3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113.9</w:t>
            </w:r>
          </w:p>
        </w:tc>
        <w:tc>
          <w:tcPr>
            <w:tcW w:w="180" w:type="dxa"/>
            <w:vAlign w:val="bottom"/>
          </w:tcPr>
          <w:p>
            <w:pPr>
              <w:spacing w:after="0"/>
              <w:rPr>
                <w:sz w:val="16"/>
                <w:szCs w:val="16"/>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10.8</w:t>
            </w:r>
          </w:p>
        </w:tc>
        <w:tc>
          <w:tcPr>
            <w:tcW w:w="34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114.7</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(0.8 )</w:t>
            </w:r>
          </w:p>
        </w:tc>
        <w:tc>
          <w:tcPr>
            <w:tcW w:w="0" w:type="dxa"/>
            <w:vAlign w:val="bottom"/>
          </w:tcPr>
          <w:p>
            <w:pPr>
              <w:spacing w:after="0"/>
              <w:rPr>
                <w:sz w:val="1"/>
                <w:szCs w:val="1"/>
                <w:color w:val="auto"/>
              </w:rPr>
            </w:pPr>
          </w:p>
        </w:tc>
      </w:tr>
      <w:tr>
        <w:trPr>
          <w:trHeight w:val="189"/>
        </w:trPr>
        <w:tc>
          <w:tcPr>
            <w:tcW w:w="382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6"/>
                <w:szCs w:val="16"/>
                <w:color w:val="auto"/>
              </w:rPr>
              <w:t>Taxes other than income taxes</w:t>
            </w:r>
          </w:p>
        </w:tc>
        <w:tc>
          <w:tcPr>
            <w:tcW w:w="94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28.4</w:t>
            </w:r>
          </w:p>
        </w:tc>
        <w:tc>
          <w:tcPr>
            <w:tcW w:w="36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29.6</w:t>
            </w:r>
          </w:p>
        </w:tc>
        <w:tc>
          <w:tcPr>
            <w:tcW w:w="18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(1.2 )</w:t>
            </w:r>
          </w:p>
        </w:tc>
        <w:tc>
          <w:tcPr>
            <w:tcW w:w="34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27.8</w:t>
            </w:r>
          </w:p>
        </w:tc>
        <w:tc>
          <w:tcPr>
            <w:tcW w:w="18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473.8</w:t>
            </w: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472.2</w:t>
            </w: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1.6</w:t>
            </w: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right"/>
              <w:ind w:right="60"/>
              <w:spacing w:after="0" w:line="183" w:lineRule="exact"/>
              <w:rPr>
                <w:sz w:val="20"/>
                <w:szCs w:val="20"/>
                <w:color w:val="auto"/>
              </w:rPr>
            </w:pPr>
            <w:r>
              <w:rPr>
                <w:rFonts w:ascii="Arial" w:cs="Arial" w:eastAsia="Arial" w:hAnsi="Arial"/>
                <w:sz w:val="16"/>
                <w:szCs w:val="16"/>
                <w:color w:val="auto"/>
              </w:rPr>
              <w:t>459.8</w:t>
            </w: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183"/>
        </w:trPr>
        <w:tc>
          <w:tcPr>
            <w:tcW w:w="1280" w:type="dxa"/>
            <w:vAlign w:val="bottom"/>
            <w:tcBorders>
              <w:bottom w:val="single" w:sz="8" w:color="CFF0FC"/>
            </w:tcBorders>
            <w:shd w:val="clear" w:color="auto" w:fill="CFF0FC"/>
          </w:tcPr>
          <w:p>
            <w:pPr>
              <w:spacing w:after="0"/>
              <w:rPr>
                <w:sz w:val="15"/>
                <w:szCs w:val="15"/>
                <w:color w:val="auto"/>
              </w:rPr>
            </w:pPr>
          </w:p>
        </w:tc>
        <w:tc>
          <w:tcPr>
            <w:tcW w:w="480" w:type="dxa"/>
            <w:vAlign w:val="bottom"/>
            <w:tcBorders>
              <w:bottom w:val="single" w:sz="8" w:color="CFF0FC"/>
            </w:tcBorders>
            <w:shd w:val="clear" w:color="auto" w:fill="CFF0FC"/>
          </w:tcPr>
          <w:p>
            <w:pPr>
              <w:spacing w:after="0"/>
              <w:rPr>
                <w:sz w:val="15"/>
                <w:szCs w:val="15"/>
                <w:color w:val="auto"/>
              </w:rPr>
            </w:pPr>
          </w:p>
        </w:tc>
        <w:tc>
          <w:tcPr>
            <w:tcW w:w="206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20" w:type="dxa"/>
            <w:vAlign w:val="bottom"/>
            <w:gridSpan w:val="3"/>
          </w:tcPr>
          <w:p>
            <w:pPr>
              <w:ind w:left="20"/>
              <w:spacing w:after="0" w:line="183" w:lineRule="exact"/>
              <w:rPr>
                <w:sz w:val="20"/>
                <w:szCs w:val="20"/>
                <w:color w:val="auto"/>
              </w:rPr>
            </w:pPr>
            <w:r>
              <w:rPr>
                <w:rFonts w:ascii="Arial" w:cs="Arial" w:eastAsia="Arial" w:hAnsi="Arial"/>
                <w:sz w:val="16"/>
                <w:szCs w:val="16"/>
                <w:color w:val="auto"/>
              </w:rPr>
              <w:t>Operating income</w:t>
            </w:r>
          </w:p>
        </w:tc>
        <w:tc>
          <w:tcPr>
            <w:tcW w:w="940" w:type="dxa"/>
            <w:vAlign w:val="bottom"/>
            <w:tcBorders>
              <w:bottom w:val="single" w:sz="8" w:color="auto"/>
            </w:tcBorders>
          </w:tcPr>
          <w:p>
            <w:pPr>
              <w:jc w:val="right"/>
              <w:ind w:right="739"/>
              <w:spacing w:after="0" w:line="183"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271.3</w:t>
            </w:r>
          </w:p>
        </w:tc>
        <w:tc>
          <w:tcPr>
            <w:tcW w:w="36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228.8</w:t>
            </w: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42.5</w:t>
            </w:r>
          </w:p>
        </w:tc>
        <w:tc>
          <w:tcPr>
            <w:tcW w:w="34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gridSpan w:val="2"/>
          </w:tcPr>
          <w:p>
            <w:pPr>
              <w:jc w:val="right"/>
              <w:ind w:right="60"/>
              <w:spacing w:after="0" w:line="183" w:lineRule="exact"/>
              <w:rPr>
                <w:sz w:val="20"/>
                <w:szCs w:val="20"/>
                <w:color w:val="auto"/>
              </w:rPr>
            </w:pPr>
            <w:r>
              <w:rPr>
                <w:rFonts w:ascii="Arial" w:cs="Arial" w:eastAsia="Arial" w:hAnsi="Arial"/>
                <w:sz w:val="16"/>
                <w:szCs w:val="16"/>
                <w:color w:val="auto"/>
              </w:rPr>
              <w:t>244.2</w:t>
            </w:r>
          </w:p>
        </w:tc>
        <w:tc>
          <w:tcPr>
            <w:tcW w:w="180" w:type="dxa"/>
            <w:vAlign w:val="bottom"/>
            <w:tcBorders>
              <w:bottom w:val="single" w:sz="8" w:color="auto"/>
            </w:tcBorders>
          </w:tcPr>
          <w:p>
            <w:pPr>
              <w:ind w:left="80"/>
              <w:spacing w:after="0" w:line="183" w:lineRule="exact"/>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(15.4 )</w:t>
            </w:r>
          </w:p>
        </w:tc>
        <w:tc>
          <w:tcPr>
            <w:tcW w:w="0" w:type="dxa"/>
            <w:vAlign w:val="bottom"/>
          </w:tcPr>
          <w:p>
            <w:pPr>
              <w:spacing w:after="0"/>
              <w:rPr>
                <w:sz w:val="1"/>
                <w:szCs w:val="1"/>
                <w:color w:val="auto"/>
              </w:rPr>
            </w:pPr>
          </w:p>
        </w:tc>
      </w:tr>
      <w:tr>
        <w:trPr>
          <w:trHeight w:val="20"/>
        </w:trPr>
        <w:tc>
          <w:tcPr>
            <w:tcW w:w="1760" w:type="dxa"/>
            <w:vAlign w:val="bottom"/>
            <w:gridSpan w:val="2"/>
            <w:vMerge w:val="restart"/>
          </w:tcPr>
          <w:p>
            <w:pPr>
              <w:spacing w:after="0"/>
              <w:rPr>
                <w:sz w:val="20"/>
                <w:szCs w:val="20"/>
                <w:color w:val="auto"/>
              </w:rPr>
            </w:pPr>
            <w:r>
              <w:rPr>
                <w:rFonts w:ascii="Arial" w:cs="Arial" w:eastAsia="Arial" w:hAnsi="Arial"/>
                <w:sz w:val="16"/>
                <w:szCs w:val="16"/>
                <w:color w:val="auto"/>
              </w:rPr>
              <w:t>2024 Compared to 2023</w:t>
            </w:r>
          </w:p>
        </w:tc>
        <w:tc>
          <w:tcPr>
            <w:tcW w:w="2060" w:type="dxa"/>
            <w:vAlign w:val="bottom"/>
            <w:vMerge w:val="restart"/>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1760" w:type="dxa"/>
            <w:vAlign w:val="bottom"/>
            <w:tcBorders>
              <w:bottom w:val="single" w:sz="8" w:color="auto"/>
            </w:tcBorders>
            <w:gridSpan w:val="2"/>
            <w:vMerge w:val="continue"/>
          </w:tcPr>
          <w:p>
            <w:pPr>
              <w:spacing w:after="0"/>
              <w:rPr>
                <w:sz w:val="24"/>
                <w:szCs w:val="24"/>
                <w:color w:val="auto"/>
              </w:rPr>
            </w:pPr>
          </w:p>
        </w:tc>
        <w:tc>
          <w:tcPr>
            <w:tcW w:w="206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820" w:type="dxa"/>
            <w:vAlign w:val="bottom"/>
            <w:gridSpan w:val="3"/>
          </w:tcPr>
          <w:p>
            <w:pPr>
              <w:spacing w:after="0"/>
              <w:rPr>
                <w:sz w:val="20"/>
                <w:szCs w:val="20"/>
                <w:color w:val="auto"/>
              </w:rPr>
            </w:pPr>
            <w:r>
              <w:rPr>
                <w:rFonts w:ascii="Arial" w:cs="Arial" w:eastAsia="Arial" w:hAnsi="Arial"/>
                <w:sz w:val="16"/>
                <w:szCs w:val="16"/>
                <w:color w:val="auto"/>
              </w:rPr>
              <w:t>Gas Utility margin increased as a result of:</w:t>
            </w: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28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color w:val="auto"/>
              </w:rPr>
              <w:t>(in millions)</w:t>
            </w:r>
          </w:p>
        </w:tc>
        <w:tc>
          <w:tcPr>
            <w:tcW w:w="0" w:type="dxa"/>
            <w:vAlign w:val="bottom"/>
          </w:tcPr>
          <w:p>
            <w:pPr>
              <w:spacing w:after="0"/>
              <w:rPr>
                <w:sz w:val="1"/>
                <w:szCs w:val="1"/>
                <w:color w:val="auto"/>
              </w:rPr>
            </w:pPr>
          </w:p>
        </w:tc>
      </w:tr>
      <w:tr>
        <w:trPr>
          <w:trHeight w:val="183"/>
        </w:trPr>
        <w:tc>
          <w:tcPr>
            <w:tcW w:w="3820" w:type="dxa"/>
            <w:vAlign w:val="bottom"/>
            <w:gridSpan w:val="3"/>
            <w:shd w:val="clear" w:color="auto" w:fill="CFF0FC"/>
          </w:tcPr>
          <w:p>
            <w:pPr>
              <w:ind w:left="20"/>
              <w:spacing w:after="0" w:line="183" w:lineRule="exact"/>
              <w:rPr>
                <w:sz w:val="20"/>
                <w:szCs w:val="20"/>
                <w:color w:val="auto"/>
              </w:rPr>
            </w:pPr>
            <w:r>
              <w:rPr>
                <w:rFonts w:ascii="Arial" w:cs="Arial" w:eastAsia="Arial" w:hAnsi="Arial"/>
                <w:sz w:val="16"/>
                <w:szCs w:val="16"/>
                <w:color w:val="auto"/>
              </w:rPr>
              <w:t>New rates and rider recovery</w:t>
            </w:r>
          </w:p>
        </w:tc>
        <w:tc>
          <w:tcPr>
            <w:tcW w:w="9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20"/>
              <w:spacing w:after="0" w:line="183" w:lineRule="exact"/>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5"/>
                <w:szCs w:val="15"/>
                <w:color w:val="auto"/>
              </w:rPr>
            </w:pPr>
          </w:p>
        </w:tc>
        <w:tc>
          <w:tcPr>
            <w:tcW w:w="128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48.7</w:t>
            </w:r>
          </w:p>
        </w:tc>
        <w:tc>
          <w:tcPr>
            <w:tcW w:w="0" w:type="dxa"/>
            <w:vAlign w:val="bottom"/>
          </w:tcPr>
          <w:p>
            <w:pPr>
              <w:spacing w:after="0"/>
              <w:rPr>
                <w:sz w:val="1"/>
                <w:szCs w:val="1"/>
                <w:color w:val="auto"/>
              </w:rPr>
            </w:pPr>
          </w:p>
        </w:tc>
      </w:tr>
      <w:tr>
        <w:trPr>
          <w:trHeight w:val="189"/>
        </w:trPr>
        <w:tc>
          <w:tcPr>
            <w:tcW w:w="4760" w:type="dxa"/>
            <w:vAlign w:val="bottom"/>
            <w:gridSpan w:val="4"/>
          </w:tcPr>
          <w:p>
            <w:pPr>
              <w:ind w:left="20"/>
              <w:spacing w:after="0"/>
              <w:rPr>
                <w:sz w:val="20"/>
                <w:szCs w:val="20"/>
                <w:color w:val="auto"/>
              </w:rPr>
            </w:pPr>
            <w:r>
              <w:rPr>
                <w:rFonts w:ascii="Arial" w:cs="Arial" w:eastAsia="Arial" w:hAnsi="Arial"/>
                <w:sz w:val="16"/>
                <w:szCs w:val="16"/>
                <w:color w:val="auto"/>
              </w:rPr>
              <w:t>Mark-to-market on non-utility natural gas commodity contracts</w:t>
            </w: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89"/>
        </w:trPr>
        <w:tc>
          <w:tcPr>
            <w:tcW w:w="382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Retail customer growth and usage</w:t>
            </w:r>
          </w:p>
        </w:tc>
        <w:tc>
          <w:tcPr>
            <w:tcW w:w="94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89"/>
        </w:trPr>
        <w:tc>
          <w:tcPr>
            <w:tcW w:w="3820" w:type="dxa"/>
            <w:vAlign w:val="bottom"/>
            <w:gridSpan w:val="3"/>
          </w:tcPr>
          <w:p>
            <w:pPr>
              <w:ind w:left="20"/>
              <w:spacing w:after="0"/>
              <w:rPr>
                <w:sz w:val="20"/>
                <w:szCs w:val="20"/>
                <w:color w:val="auto"/>
              </w:rPr>
            </w:pPr>
            <w:r>
              <w:rPr>
                <w:rFonts w:ascii="Arial" w:cs="Arial" w:eastAsia="Arial" w:hAnsi="Arial"/>
                <w:sz w:val="16"/>
                <w:szCs w:val="16"/>
                <w:color w:val="auto"/>
              </w:rPr>
              <w:t>Weather</w:t>
            </w: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(15.9 )</w:t>
            </w:r>
          </w:p>
        </w:tc>
        <w:tc>
          <w:tcPr>
            <w:tcW w:w="0" w:type="dxa"/>
            <w:vAlign w:val="bottom"/>
          </w:tcPr>
          <w:p>
            <w:pPr>
              <w:spacing w:after="0"/>
              <w:rPr>
                <w:sz w:val="1"/>
                <w:szCs w:val="1"/>
                <w:color w:val="auto"/>
              </w:rPr>
            </w:pPr>
          </w:p>
        </w:tc>
      </w:tr>
      <w:tr>
        <w:trPr>
          <w:trHeight w:val="189"/>
        </w:trPr>
        <w:tc>
          <w:tcPr>
            <w:tcW w:w="382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6"/>
                <w:szCs w:val="16"/>
                <w:color w:val="auto"/>
              </w:rPr>
              <w:t>Other</w:t>
            </w:r>
          </w:p>
        </w:tc>
        <w:tc>
          <w:tcPr>
            <w:tcW w:w="94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CFF0FC"/>
            </w:tcBorders>
            <w:shd w:val="clear" w:color="auto" w:fill="CFF0FC"/>
          </w:tcPr>
          <w:p>
            <w:pPr>
              <w:spacing w:after="0"/>
              <w:rPr>
                <w:sz w:val="16"/>
                <w:szCs w:val="16"/>
                <w:color w:val="auto"/>
              </w:rPr>
            </w:pPr>
          </w:p>
        </w:tc>
        <w:tc>
          <w:tcPr>
            <w:tcW w:w="108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128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CFF0FC"/>
            </w:tcBorders>
            <w:shd w:val="clear" w:color="auto" w:fill="CFF0FC"/>
          </w:tcPr>
          <w:p>
            <w:pPr>
              <w:spacing w:after="0"/>
              <w:rPr>
                <w:sz w:val="16"/>
                <w:szCs w:val="16"/>
                <w:color w:val="auto"/>
              </w:rPr>
            </w:pPr>
          </w:p>
        </w:tc>
        <w:tc>
          <w:tcPr>
            <w:tcW w:w="84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gridSpan w:val="2"/>
          </w:tcPr>
          <w:p>
            <w:pPr>
              <w:jc w:val="right"/>
              <w:ind w:right="220"/>
              <w:spacing w:after="0" w:line="183"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1280" w:type="dxa"/>
            <w:vAlign w:val="bottom"/>
          </w:tcPr>
          <w:p>
            <w:pPr>
              <w:jc w:val="right"/>
              <w:ind w:right="59"/>
              <w:spacing w:after="0" w:line="183" w:lineRule="exact"/>
              <w:rPr>
                <w:sz w:val="20"/>
                <w:szCs w:val="20"/>
                <w:color w:val="auto"/>
              </w:rPr>
            </w:pPr>
            <w:r>
              <w:rPr>
                <w:rFonts w:ascii="Arial" w:cs="Arial" w:eastAsia="Arial" w:hAnsi="Arial"/>
                <w:sz w:val="16"/>
                <w:szCs w:val="16"/>
                <w:color w:val="auto"/>
              </w:rPr>
              <w:t>44.1</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u w:val="single" w:color="auto"/>
          <w:color w:val="auto"/>
        </w:rPr>
        <w:t>Operations and maintenance expense</w:t>
      </w:r>
      <w:r>
        <w:rPr>
          <w:rFonts w:ascii="Arial" w:cs="Arial" w:eastAsia="Arial" w:hAnsi="Arial"/>
          <w:sz w:val="16"/>
          <w:szCs w:val="16"/>
          <w:color w:val="auto"/>
        </w:rPr>
        <w:t xml:space="preserve"> decreased primarily due to $10.8 million of lower employee-related expenses driven by lower headcount, $2.9 million decreased bad debt expense attributable to lower customer billings, and $1.2 million of lower training expense partially offset by $3.3 million of higher insurance expense and $2.8 million of higher IT-related expenses.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Depreciation and amortization</w:t>
      </w:r>
      <w:r>
        <w:rPr>
          <w:rFonts w:ascii="Arial" w:cs="Arial" w:eastAsia="Arial" w:hAnsi="Arial"/>
          <w:sz w:val="16"/>
          <w:szCs w:val="16"/>
          <w:color w:val="auto"/>
        </w:rPr>
        <w:t xml:space="preserve"> increased primarily due to a higher asset base driven by capital expenditures.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60" w:type="dxa"/>
            <w:vAlign w:val="bottom"/>
            <w:gridSpan w:val="2"/>
          </w:tcPr>
          <w:p>
            <w:pPr>
              <w:spacing w:after="0"/>
              <w:rPr>
                <w:sz w:val="20"/>
                <w:szCs w:val="20"/>
                <w:color w:val="auto"/>
              </w:rPr>
            </w:pPr>
            <w:r>
              <w:rPr>
                <w:rFonts w:ascii="Arial" w:cs="Arial" w:eastAsia="Arial" w:hAnsi="Arial"/>
                <w:sz w:val="16"/>
                <w:szCs w:val="16"/>
                <w:color w:val="auto"/>
              </w:rPr>
              <w:t>Taxes other than income taxes were comparable.</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6"/>
        </w:trPr>
        <w:tc>
          <w:tcPr>
            <w:tcW w:w="222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rPr>
              <w:t>Operating Statistics</w:t>
            </w:r>
          </w:p>
        </w:tc>
        <w:tc>
          <w:tcPr>
            <w:tcW w:w="1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Revenue</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3"/>
          </w:tcPr>
          <w:p>
            <w:pPr>
              <w:jc w:val="center"/>
              <w:ind w:right="159"/>
              <w:spacing w:after="0"/>
              <w:rPr>
                <w:sz w:val="20"/>
                <w:szCs w:val="20"/>
                <w:color w:val="auto"/>
              </w:rPr>
            </w:pPr>
            <w:r>
              <w:rPr>
                <w:rFonts w:ascii="Arial" w:cs="Arial" w:eastAsia="Arial" w:hAnsi="Arial"/>
                <w:sz w:val="16"/>
                <w:szCs w:val="16"/>
                <w:b w:val="1"/>
                <w:bCs w:val="1"/>
                <w:color w:val="auto"/>
              </w:rPr>
              <w:t>Quantities Sold and Transported</w:t>
            </w:r>
          </w:p>
        </w:tc>
        <w:tc>
          <w:tcPr>
            <w:tcW w:w="0" w:type="dxa"/>
            <w:vAlign w:val="bottom"/>
          </w:tcPr>
          <w:p>
            <w:pPr>
              <w:spacing w:after="0"/>
              <w:rPr>
                <w:sz w:val="1"/>
                <w:szCs w:val="1"/>
                <w:color w:val="auto"/>
              </w:rPr>
            </w:pPr>
          </w:p>
        </w:tc>
      </w:tr>
      <w:tr>
        <w:trPr>
          <w:trHeight w:val="168"/>
        </w:trPr>
        <w:tc>
          <w:tcPr>
            <w:tcW w:w="2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540" w:type="dxa"/>
            <w:vAlign w:val="bottom"/>
            <w:gridSpan w:val="5"/>
          </w:tcPr>
          <w:p>
            <w:pPr>
              <w:jc w:val="center"/>
              <w:ind w:right="399"/>
              <w:spacing w:after="0" w:line="168" w:lineRule="exact"/>
              <w:rPr>
                <w:sz w:val="20"/>
                <w:szCs w:val="20"/>
                <w:color w:val="auto"/>
              </w:rPr>
            </w:pPr>
            <w:r>
              <w:rPr>
                <w:rFonts w:ascii="Arial" w:cs="Arial" w:eastAsia="Arial" w:hAnsi="Arial"/>
                <w:sz w:val="16"/>
                <w:szCs w:val="16"/>
                <w:b w:val="1"/>
                <w:bCs w:val="1"/>
                <w:color w:val="auto"/>
              </w:rPr>
              <w:t>For the year ended December 31,</w:t>
            </w:r>
          </w:p>
        </w:tc>
        <w:tc>
          <w:tcPr>
            <w:tcW w:w="3580" w:type="dxa"/>
            <w:vAlign w:val="bottom"/>
            <w:gridSpan w:val="3"/>
          </w:tcPr>
          <w:p>
            <w:pPr>
              <w:jc w:val="center"/>
              <w:ind w:right="159"/>
              <w:spacing w:after="0" w:line="168" w:lineRule="exact"/>
              <w:rPr>
                <w:sz w:val="20"/>
                <w:szCs w:val="20"/>
                <w:color w:val="auto"/>
              </w:rPr>
            </w:pPr>
            <w:r>
              <w:rPr>
                <w:rFonts w:ascii="Arial" w:cs="Arial" w:eastAsia="Arial" w:hAnsi="Arial"/>
                <w:sz w:val="16"/>
                <w:szCs w:val="16"/>
                <w:b w:val="1"/>
                <w:bCs w:val="1"/>
                <w:color w:val="auto"/>
              </w:rPr>
              <w:t>For the year ended December 31,</w:t>
            </w:r>
          </w:p>
        </w:tc>
        <w:tc>
          <w:tcPr>
            <w:tcW w:w="0" w:type="dxa"/>
            <w:vAlign w:val="bottom"/>
          </w:tcPr>
          <w:p>
            <w:pPr>
              <w:spacing w:after="0"/>
              <w:rPr>
                <w:sz w:val="1"/>
                <w:szCs w:val="1"/>
                <w:color w:val="auto"/>
              </w:rPr>
            </w:pPr>
          </w:p>
        </w:tc>
      </w:tr>
      <w:tr>
        <w:trPr>
          <w:trHeight w:val="203"/>
        </w:trPr>
        <w:tc>
          <w:tcPr>
            <w:tcW w:w="38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By Customer Class</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2024</w:t>
            </w: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2024</w:t>
            </w:r>
          </w:p>
        </w:tc>
        <w:tc>
          <w:tcPr>
            <w:tcW w:w="14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2023</w:t>
            </w:r>
          </w:p>
        </w:tc>
        <w:tc>
          <w:tcPr>
            <w:tcW w:w="11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83"/>
        </w:trPr>
        <w:tc>
          <w:tcPr>
            <w:tcW w:w="3860" w:type="dxa"/>
            <w:vAlign w:val="bottom"/>
            <w:gridSpan w:val="2"/>
            <w:vMerge w:val="restart"/>
          </w:tcPr>
          <w:p>
            <w:pPr>
              <w:ind w:left="20"/>
              <w:spacing w:after="0"/>
              <w:rPr>
                <w:sz w:val="20"/>
                <w:szCs w:val="20"/>
                <w:color w:val="auto"/>
              </w:rPr>
            </w:pPr>
            <w:r>
              <w:rPr>
                <w:rFonts w:ascii="Arial" w:cs="Arial" w:eastAsia="Arial" w:hAnsi="Arial"/>
                <w:sz w:val="16"/>
                <w:szCs w:val="16"/>
                <w:color w:val="auto"/>
              </w:rPr>
              <w:t>Retail Revenue -</w:t>
            </w: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99"/>
              <w:spacing w:after="0" w:line="183" w:lineRule="exact"/>
              <w:rPr>
                <w:sz w:val="20"/>
                <w:szCs w:val="20"/>
                <w:color w:val="auto"/>
              </w:rPr>
            </w:pPr>
            <w:r>
              <w:rPr>
                <w:rFonts w:ascii="Arial" w:cs="Arial" w:eastAsia="Arial" w:hAnsi="Arial"/>
                <w:sz w:val="16"/>
                <w:szCs w:val="16"/>
                <w:color w:val="auto"/>
              </w:rPr>
              <w:t>(in millions</w:t>
            </w: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79"/>
              <w:spacing w:after="0" w:line="183" w:lineRule="exact"/>
              <w:rPr>
                <w:sz w:val="20"/>
                <w:szCs w:val="20"/>
                <w:color w:val="auto"/>
              </w:rPr>
            </w:pPr>
            <w:r>
              <w:rPr>
                <w:rFonts w:ascii="Arial" w:cs="Arial" w:eastAsia="Arial" w:hAnsi="Arial"/>
                <w:sz w:val="16"/>
                <w:szCs w:val="16"/>
                <w:color w:val="auto"/>
                <w:w w:val="99"/>
              </w:rPr>
              <w:t>(Dth in millions)</w:t>
            </w: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6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Residential</w:t>
            </w:r>
          </w:p>
        </w:tc>
        <w:tc>
          <w:tcPr>
            <w:tcW w:w="2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691.9</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830.3</w:t>
            </w:r>
          </w:p>
        </w:tc>
        <w:tc>
          <w:tcPr>
            <w:tcW w:w="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942.3</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56.7</w:t>
            </w:r>
          </w:p>
        </w:tc>
        <w:tc>
          <w:tcPr>
            <w:tcW w:w="142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60.1</w:t>
            </w:r>
          </w:p>
        </w:tc>
        <w:tc>
          <w:tcPr>
            <w:tcW w:w="11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66.9</w:t>
            </w:r>
          </w:p>
        </w:tc>
        <w:tc>
          <w:tcPr>
            <w:tcW w:w="0" w:type="dxa"/>
            <w:vAlign w:val="bottom"/>
          </w:tcPr>
          <w:p>
            <w:pPr>
              <w:spacing w:after="0"/>
              <w:rPr>
                <w:sz w:val="1"/>
                <w:szCs w:val="1"/>
                <w:color w:val="auto"/>
              </w:rPr>
            </w:pPr>
          </w:p>
        </w:tc>
      </w:tr>
      <w:tr>
        <w:trPr>
          <w:trHeight w:val="189"/>
        </w:trPr>
        <w:tc>
          <w:tcPr>
            <w:tcW w:w="3860" w:type="dxa"/>
            <w:vAlign w:val="bottom"/>
            <w:gridSpan w:val="2"/>
          </w:tcPr>
          <w:p>
            <w:pPr>
              <w:ind w:left="120"/>
              <w:spacing w:after="0"/>
              <w:rPr>
                <w:sz w:val="20"/>
                <w:szCs w:val="20"/>
                <w:color w:val="auto"/>
              </w:rPr>
            </w:pPr>
            <w:r>
              <w:rPr>
                <w:rFonts w:ascii="Arial" w:cs="Arial" w:eastAsia="Arial" w:hAnsi="Arial"/>
                <w:sz w:val="16"/>
                <w:szCs w:val="16"/>
                <w:color w:val="auto"/>
              </w:rPr>
              <w:t>Commercial</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266.3</w:t>
            </w: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337.3</w:t>
            </w:r>
          </w:p>
        </w:tc>
        <w:tc>
          <w:tcPr>
            <w:tcW w:w="300" w:type="dxa"/>
            <w:vAlign w:val="bottom"/>
          </w:tcPr>
          <w:p>
            <w:pPr>
              <w:spacing w:after="0"/>
              <w:rPr>
                <w:sz w:val="16"/>
                <w:szCs w:val="16"/>
                <w:color w:val="auto"/>
              </w:rPr>
            </w:pP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399.2</w:t>
            </w:r>
          </w:p>
        </w:tc>
        <w:tc>
          <w:tcPr>
            <w:tcW w:w="1040" w:type="dxa"/>
            <w:vAlign w:val="bottom"/>
          </w:tcPr>
          <w:p>
            <w:pPr>
              <w:jc w:val="right"/>
              <w:spacing w:after="0"/>
              <w:rPr>
                <w:sz w:val="20"/>
                <w:szCs w:val="20"/>
                <w:color w:val="auto"/>
              </w:rPr>
            </w:pPr>
            <w:r>
              <w:rPr>
                <w:rFonts w:ascii="Arial" w:cs="Arial" w:eastAsia="Arial" w:hAnsi="Arial"/>
                <w:sz w:val="16"/>
                <w:szCs w:val="16"/>
                <w:color w:val="auto"/>
              </w:rPr>
              <w:t>28.4</w:t>
            </w:r>
          </w:p>
        </w:tc>
        <w:tc>
          <w:tcPr>
            <w:tcW w:w="1420" w:type="dxa"/>
            <w:vAlign w:val="bottom"/>
          </w:tcPr>
          <w:p>
            <w:pPr>
              <w:jc w:val="right"/>
              <w:ind w:right="199"/>
              <w:spacing w:after="0"/>
              <w:rPr>
                <w:sz w:val="20"/>
                <w:szCs w:val="20"/>
                <w:color w:val="auto"/>
              </w:rPr>
            </w:pPr>
            <w:r>
              <w:rPr>
                <w:rFonts w:ascii="Arial" w:cs="Arial" w:eastAsia="Arial" w:hAnsi="Arial"/>
                <w:sz w:val="16"/>
                <w:szCs w:val="16"/>
                <w:color w:val="auto"/>
              </w:rPr>
              <w:t>29.4</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189"/>
        </w:trPr>
        <w:tc>
          <w:tcPr>
            <w:tcW w:w="386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Industrial</w:t>
            </w: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23.7</w:t>
            </w:r>
          </w:p>
        </w:tc>
        <w:tc>
          <w:tcPr>
            <w:tcW w:w="18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33.1</w:t>
            </w: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63.0</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w:t>
            </w:r>
          </w:p>
        </w:tc>
        <w:tc>
          <w:tcPr>
            <w:tcW w:w="142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5.7</w:t>
            </w:r>
          </w:p>
        </w:tc>
        <w:tc>
          <w:tcPr>
            <w:tcW w:w="11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189"/>
        </w:trPr>
        <w:tc>
          <w:tcPr>
            <w:tcW w:w="3860" w:type="dxa"/>
            <w:vAlign w:val="bottom"/>
            <w:gridSpan w:val="2"/>
          </w:tcPr>
          <w:p>
            <w:pPr>
              <w:ind w:left="120"/>
              <w:spacing w:after="0" w:line="189" w:lineRule="exact"/>
              <w:rPr>
                <w:sz w:val="20"/>
                <w:szCs w:val="20"/>
                <w:color w:val="auto"/>
              </w:rPr>
            </w:pPr>
            <w:r>
              <w:rPr>
                <w:rFonts w:ascii="Arial" w:cs="Arial" w:eastAsia="Arial" w:hAnsi="Arial"/>
                <w:sz w:val="16"/>
                <w:szCs w:val="16"/>
                <w:color w:val="auto"/>
              </w:rPr>
              <w:t xml:space="preserve">Other Retail </w:t>
            </w:r>
            <w:r>
              <w:rPr>
                <w:rFonts w:ascii="Arial" w:cs="Arial" w:eastAsia="Arial" w:hAnsi="Arial"/>
                <w:sz w:val="21"/>
                <w:szCs w:val="21"/>
                <w:color w:val="auto"/>
                <w:vertAlign w:val="superscript"/>
              </w:rPr>
              <w:t>(a)</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48.8</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3860" w:type="dxa"/>
            <w:vAlign w:val="bottom"/>
            <w:gridSpan w:val="2"/>
            <w:shd w:val="clear" w:color="auto" w:fill="CFF0FC"/>
          </w:tcPr>
          <w:p>
            <w:pPr>
              <w:ind w:left="200"/>
              <w:spacing w:after="0" w:line="183" w:lineRule="exact"/>
              <w:rPr>
                <w:sz w:val="20"/>
                <w:szCs w:val="20"/>
                <w:color w:val="auto"/>
              </w:rPr>
            </w:pPr>
            <w:r>
              <w:rPr>
                <w:rFonts w:ascii="Arial" w:cs="Arial" w:eastAsia="Arial" w:hAnsi="Arial"/>
                <w:sz w:val="16"/>
                <w:szCs w:val="16"/>
                <w:color w:val="auto"/>
              </w:rPr>
              <w:t xml:space="preserve">Subtotal Retail Revenue - Gas </w:t>
            </w:r>
            <w:r>
              <w:rPr>
                <w:rFonts w:ascii="Arial" w:cs="Arial" w:eastAsia="Arial" w:hAnsi="Arial"/>
                <w:sz w:val="21"/>
                <w:szCs w:val="21"/>
                <w:color w:val="auto"/>
                <w:vertAlign w:val="superscript"/>
              </w:rPr>
              <w:t>(b)</w:t>
            </w:r>
          </w:p>
        </w:tc>
        <w:tc>
          <w:tcPr>
            <w:tcW w:w="26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1,022.6</w:t>
            </w:r>
          </w:p>
        </w:tc>
        <w:tc>
          <w:tcPr>
            <w:tcW w:w="18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1,248.8</w:t>
            </w: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179"/>
              <w:spacing w:after="0" w:line="183" w:lineRule="exact"/>
              <w:rPr>
                <w:sz w:val="20"/>
                <w:szCs w:val="20"/>
                <w:color w:val="auto"/>
              </w:rPr>
            </w:pPr>
            <w:r>
              <w:rPr>
                <w:rFonts w:ascii="Arial" w:cs="Arial" w:eastAsia="Arial" w:hAnsi="Arial"/>
                <w:sz w:val="16"/>
                <w:szCs w:val="16"/>
                <w:color w:val="auto"/>
              </w:rPr>
              <w:t>1,453.3</w:t>
            </w: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91.1</w:t>
            </w:r>
          </w:p>
        </w:tc>
        <w:tc>
          <w:tcPr>
            <w:tcW w:w="1420" w:type="dxa"/>
            <w:vAlign w:val="bottom"/>
            <w:shd w:val="clear" w:color="auto" w:fill="CFF0FC"/>
          </w:tcPr>
          <w:p>
            <w:pPr>
              <w:jc w:val="right"/>
              <w:ind w:right="199"/>
              <w:spacing w:after="0" w:line="183" w:lineRule="exact"/>
              <w:rPr>
                <w:sz w:val="20"/>
                <w:szCs w:val="20"/>
                <w:color w:val="auto"/>
              </w:rPr>
            </w:pPr>
            <w:r>
              <w:rPr>
                <w:rFonts w:ascii="Arial" w:cs="Arial" w:eastAsia="Arial" w:hAnsi="Arial"/>
                <w:sz w:val="16"/>
                <w:szCs w:val="16"/>
                <w:color w:val="auto"/>
              </w:rPr>
              <w:t>95.2</w:t>
            </w:r>
          </w:p>
        </w:tc>
        <w:tc>
          <w:tcPr>
            <w:tcW w:w="112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107.0</w:t>
            </w:r>
          </w:p>
        </w:tc>
        <w:tc>
          <w:tcPr>
            <w:tcW w:w="0" w:type="dxa"/>
            <w:vAlign w:val="bottom"/>
          </w:tcPr>
          <w:p>
            <w:pPr>
              <w:spacing w:after="0"/>
              <w:rPr>
                <w:sz w:val="1"/>
                <w:szCs w:val="1"/>
                <w:color w:val="auto"/>
              </w:rPr>
            </w:pPr>
          </w:p>
        </w:tc>
      </w:tr>
      <w:tr>
        <w:trPr>
          <w:trHeight w:val="189"/>
        </w:trPr>
        <w:tc>
          <w:tcPr>
            <w:tcW w:w="3860" w:type="dxa"/>
            <w:vAlign w:val="bottom"/>
            <w:gridSpan w:val="2"/>
          </w:tcPr>
          <w:p>
            <w:pPr>
              <w:ind w:left="20"/>
              <w:spacing w:after="0"/>
              <w:rPr>
                <w:sz w:val="20"/>
                <w:szCs w:val="20"/>
                <w:color w:val="auto"/>
              </w:rPr>
            </w:pPr>
            <w:r>
              <w:rPr>
                <w:rFonts w:ascii="Arial" w:cs="Arial" w:eastAsia="Arial" w:hAnsi="Arial"/>
                <w:sz w:val="16"/>
                <w:szCs w:val="16"/>
                <w:color w:val="auto"/>
              </w:rPr>
              <w:t>Transportation</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178.2</w:t>
            </w: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176.8</w:t>
            </w:r>
          </w:p>
        </w:tc>
        <w:tc>
          <w:tcPr>
            <w:tcW w:w="300" w:type="dxa"/>
            <w:vAlign w:val="bottom"/>
          </w:tcPr>
          <w:p>
            <w:pPr>
              <w:spacing w:after="0"/>
              <w:rPr>
                <w:sz w:val="16"/>
                <w:szCs w:val="16"/>
                <w:color w:val="auto"/>
              </w:rPr>
            </w:pP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173.3</w:t>
            </w:r>
          </w:p>
        </w:tc>
        <w:tc>
          <w:tcPr>
            <w:tcW w:w="1040" w:type="dxa"/>
            <w:vAlign w:val="bottom"/>
          </w:tcPr>
          <w:p>
            <w:pPr>
              <w:jc w:val="right"/>
              <w:spacing w:after="0"/>
              <w:rPr>
                <w:sz w:val="20"/>
                <w:szCs w:val="20"/>
                <w:color w:val="auto"/>
              </w:rPr>
            </w:pPr>
            <w:r>
              <w:rPr>
                <w:rFonts w:ascii="Arial" w:cs="Arial" w:eastAsia="Arial" w:hAnsi="Arial"/>
                <w:sz w:val="16"/>
                <w:szCs w:val="16"/>
                <w:color w:val="auto"/>
              </w:rPr>
              <w:t>159.2</w:t>
            </w:r>
          </w:p>
        </w:tc>
        <w:tc>
          <w:tcPr>
            <w:tcW w:w="1420" w:type="dxa"/>
            <w:vAlign w:val="bottom"/>
          </w:tcPr>
          <w:p>
            <w:pPr>
              <w:jc w:val="right"/>
              <w:ind w:right="199"/>
              <w:spacing w:after="0"/>
              <w:rPr>
                <w:sz w:val="20"/>
                <w:szCs w:val="20"/>
                <w:color w:val="auto"/>
              </w:rPr>
            </w:pPr>
            <w:r>
              <w:rPr>
                <w:rFonts w:ascii="Arial" w:cs="Arial" w:eastAsia="Arial" w:hAnsi="Arial"/>
                <w:sz w:val="16"/>
                <w:szCs w:val="16"/>
                <w:color w:val="auto"/>
              </w:rPr>
              <w:t>159.8</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160.9</w:t>
            </w:r>
          </w:p>
        </w:tc>
        <w:tc>
          <w:tcPr>
            <w:tcW w:w="0" w:type="dxa"/>
            <w:vAlign w:val="bottom"/>
          </w:tcPr>
          <w:p>
            <w:pPr>
              <w:spacing w:after="0"/>
              <w:rPr>
                <w:sz w:val="1"/>
                <w:szCs w:val="1"/>
                <w:color w:val="auto"/>
              </w:rPr>
            </w:pPr>
          </w:p>
        </w:tc>
      </w:tr>
      <w:tr>
        <w:trPr>
          <w:trHeight w:val="189"/>
        </w:trPr>
        <w:tc>
          <w:tcPr>
            <w:tcW w:w="3860" w:type="dxa"/>
            <w:vAlign w:val="bottom"/>
            <w:tcBorders>
              <w:bottom w:val="single" w:sz="8" w:color="CFF0FC"/>
            </w:tcBorders>
            <w:gridSpan w:val="2"/>
            <w:shd w:val="clear" w:color="auto" w:fill="CFF0FC"/>
          </w:tcPr>
          <w:p>
            <w:pPr>
              <w:ind w:left="20"/>
              <w:spacing w:after="0" w:line="189"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(c)</w:t>
            </w:r>
          </w:p>
        </w:tc>
        <w:tc>
          <w:tcPr>
            <w:tcW w:w="26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68.6</w:t>
            </w:r>
          </w:p>
        </w:tc>
        <w:tc>
          <w:tcPr>
            <w:tcW w:w="18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58.6</w:t>
            </w:r>
          </w:p>
        </w:tc>
        <w:tc>
          <w:tcPr>
            <w:tcW w:w="30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42.5</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3860" w:type="dxa"/>
            <w:vAlign w:val="bottom"/>
            <w:gridSpan w:val="2"/>
          </w:tcPr>
          <w:p>
            <w:pPr>
              <w:ind w:left="120"/>
              <w:spacing w:after="0" w:line="169" w:lineRule="exact"/>
              <w:rPr>
                <w:sz w:val="20"/>
                <w:szCs w:val="20"/>
                <w:color w:val="auto"/>
              </w:rPr>
            </w:pPr>
            <w:r>
              <w:rPr>
                <w:rFonts w:ascii="Arial" w:cs="Arial" w:eastAsia="Arial" w:hAnsi="Arial"/>
                <w:sz w:val="16"/>
                <w:szCs w:val="16"/>
                <w:color w:val="auto"/>
              </w:rPr>
              <w:t>Total Revenue and Quantities Sold</w:t>
            </w:r>
          </w:p>
        </w:tc>
        <w:tc>
          <w:tcPr>
            <w:tcW w:w="260" w:type="dxa"/>
            <w:vAlign w:val="bottom"/>
            <w:tcBorders>
              <w:bottom w:val="single" w:sz="8" w:color="auto"/>
            </w:tcBorders>
          </w:tcPr>
          <w:p>
            <w:pPr>
              <w:jc w:val="right"/>
              <w:ind w:right="59"/>
              <w:spacing w:after="0" w:line="169"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1,269.4</w:t>
            </w:r>
          </w:p>
        </w:tc>
        <w:tc>
          <w:tcPr>
            <w:tcW w:w="1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1,484.2</w:t>
            </w:r>
          </w:p>
        </w:tc>
        <w:tc>
          <w:tcPr>
            <w:tcW w:w="300" w:type="dxa"/>
            <w:vAlign w:val="bottom"/>
            <w:tcBorders>
              <w:bottom w:val="single" w:sz="8" w:color="auto"/>
            </w:tcBorders>
          </w:tcPr>
          <w:p>
            <w:pPr>
              <w:jc w:val="right"/>
              <w:ind w:right="39"/>
              <w:spacing w:after="0" w:line="169"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79"/>
              <w:spacing w:after="0" w:line="169" w:lineRule="exact"/>
              <w:rPr>
                <w:sz w:val="20"/>
                <w:szCs w:val="20"/>
                <w:color w:val="auto"/>
              </w:rPr>
            </w:pPr>
            <w:r>
              <w:rPr>
                <w:rFonts w:ascii="Arial" w:cs="Arial" w:eastAsia="Arial" w:hAnsi="Arial"/>
                <w:sz w:val="16"/>
                <w:szCs w:val="16"/>
                <w:color w:val="auto"/>
              </w:rPr>
              <w:t>1,669.1</w:t>
            </w:r>
          </w:p>
        </w:tc>
        <w:tc>
          <w:tcPr>
            <w:tcW w:w="10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250.3</w:t>
            </w:r>
          </w:p>
        </w:tc>
        <w:tc>
          <w:tcPr>
            <w:tcW w:w="1420" w:type="dxa"/>
            <w:vAlign w:val="bottom"/>
            <w:tcBorders>
              <w:bottom w:val="single" w:sz="8" w:color="auto"/>
            </w:tcBorders>
          </w:tcPr>
          <w:p>
            <w:pPr>
              <w:jc w:val="right"/>
              <w:ind w:right="199"/>
              <w:spacing w:after="0" w:line="169" w:lineRule="exact"/>
              <w:rPr>
                <w:sz w:val="20"/>
                <w:szCs w:val="20"/>
                <w:color w:val="auto"/>
              </w:rPr>
            </w:pPr>
            <w:r>
              <w:rPr>
                <w:rFonts w:ascii="Arial" w:cs="Arial" w:eastAsia="Arial" w:hAnsi="Arial"/>
                <w:sz w:val="16"/>
                <w:szCs w:val="16"/>
                <w:color w:val="auto"/>
              </w:rPr>
              <w:t>255.0</w:t>
            </w:r>
          </w:p>
        </w:tc>
        <w:tc>
          <w:tcPr>
            <w:tcW w:w="1120" w:type="dxa"/>
            <w:vAlign w:val="bottom"/>
            <w:tcBorders>
              <w:bottom w:val="single" w:sz="8" w:color="auto"/>
            </w:tcBorders>
          </w:tcPr>
          <w:p>
            <w:pPr>
              <w:jc w:val="right"/>
              <w:ind w:right="59"/>
              <w:spacing w:after="0" w:line="169" w:lineRule="exact"/>
              <w:rPr>
                <w:sz w:val="20"/>
                <w:szCs w:val="20"/>
                <w:color w:val="auto"/>
              </w:rPr>
            </w:pPr>
            <w:r>
              <w:rPr>
                <w:rFonts w:ascii="Arial" w:cs="Arial" w:eastAsia="Arial" w:hAnsi="Arial"/>
                <w:sz w:val="16"/>
                <w:szCs w:val="16"/>
                <w:color w:val="auto"/>
              </w:rPr>
              <w:t>267.9</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60" w:lineRule="exact"/>
        <w:rPr>
          <w:sz w:val="20"/>
          <w:szCs w:val="20"/>
          <w:color w:val="auto"/>
        </w:rPr>
      </w:pPr>
    </w:p>
    <w:p>
      <w:pPr>
        <w:ind w:left="520" w:hanging="512"/>
        <w:spacing w:after="0"/>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Black Hills Energy Services revenue under the Choice Gas Program.</w:t>
      </w:r>
    </w:p>
    <w:p>
      <w:pPr>
        <w:spacing w:after="0" w:line="15" w:lineRule="exact"/>
        <w:rPr>
          <w:rFonts w:ascii="Arial" w:cs="Arial" w:eastAsia="Arial" w:hAnsi="Arial"/>
          <w:sz w:val="14"/>
          <w:szCs w:val="14"/>
          <w:color w:val="auto"/>
        </w:rPr>
      </w:pPr>
    </w:p>
    <w:p>
      <w:pPr>
        <w:ind w:left="520" w:right="240" w:hanging="512"/>
        <w:spacing w:after="0" w:line="241" w:lineRule="auto"/>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Retail gas revenues decreased in 2024 compared to 2023 primarily due to lower commodity prices. Our Utilities have regulatory mechanisms that allow them to pass prudently incurred costs of energy through to the customer. Customer billing rates are adjusted periodically to reflect changes in our cost of energy.</w:t>
      </w:r>
    </w:p>
    <w:p>
      <w:pPr>
        <w:ind w:left="520" w:hanging="512"/>
        <w:spacing w:after="0"/>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inter-segment rent and non-regulated services under the Service Guard Comfort Plan, Tech Services, and HomeServe.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w w:val="95"/>
              </w:rPr>
              <w:t>Revenue</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3660" w:type="dxa"/>
            <w:vAlign w:val="bottom"/>
            <w:tcBorders>
              <w:bottom w:val="single" w:sz="8" w:color="auto"/>
            </w:tcBorders>
            <w:gridSpan w:val="3"/>
          </w:tcPr>
          <w:p>
            <w:pPr>
              <w:jc w:val="center"/>
              <w:ind w:right="179"/>
              <w:spacing w:after="0"/>
              <w:rPr>
                <w:sz w:val="20"/>
                <w:szCs w:val="20"/>
                <w:color w:val="auto"/>
              </w:rPr>
            </w:pPr>
            <w:r>
              <w:rPr>
                <w:rFonts w:ascii="Arial" w:cs="Arial" w:eastAsia="Arial" w:hAnsi="Arial"/>
                <w:sz w:val="16"/>
                <w:szCs w:val="16"/>
                <w:b w:val="1"/>
                <w:bCs w:val="1"/>
                <w:color w:val="auto"/>
              </w:rPr>
              <w:t>Quantities Sold and Transported</w:t>
            </w:r>
          </w:p>
        </w:tc>
      </w:tr>
      <w:tr>
        <w:trPr>
          <w:trHeight w:val="168"/>
        </w:trPr>
        <w:tc>
          <w:tcPr>
            <w:tcW w:w="3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80" w:type="dxa"/>
            <w:vAlign w:val="bottom"/>
            <w:gridSpan w:val="5"/>
          </w:tcPr>
          <w:p>
            <w:pPr>
              <w:jc w:val="right"/>
              <w:ind w:right="699"/>
              <w:spacing w:after="0" w:line="168" w:lineRule="exact"/>
              <w:rPr>
                <w:sz w:val="20"/>
                <w:szCs w:val="20"/>
                <w:color w:val="auto"/>
              </w:rPr>
            </w:pPr>
            <w:r>
              <w:rPr>
                <w:rFonts w:ascii="Arial" w:cs="Arial" w:eastAsia="Arial" w:hAnsi="Arial"/>
                <w:sz w:val="16"/>
                <w:szCs w:val="16"/>
                <w:b w:val="1"/>
                <w:bCs w:val="1"/>
                <w:color w:val="auto"/>
              </w:rPr>
              <w:t>For the year ended December 31,</w:t>
            </w:r>
          </w:p>
        </w:tc>
        <w:tc>
          <w:tcPr>
            <w:tcW w:w="3660" w:type="dxa"/>
            <w:vAlign w:val="bottom"/>
            <w:gridSpan w:val="3"/>
          </w:tcPr>
          <w:p>
            <w:pPr>
              <w:jc w:val="center"/>
              <w:ind w:right="179"/>
              <w:spacing w:after="0" w:line="168" w:lineRule="exact"/>
              <w:rPr>
                <w:sz w:val="20"/>
                <w:szCs w:val="20"/>
                <w:color w:val="auto"/>
              </w:rPr>
            </w:pPr>
            <w:r>
              <w:rPr>
                <w:rFonts w:ascii="Arial" w:cs="Arial" w:eastAsia="Arial" w:hAnsi="Arial"/>
                <w:sz w:val="16"/>
                <w:szCs w:val="16"/>
                <w:b w:val="1"/>
                <w:bCs w:val="1"/>
                <w:color w:val="auto"/>
              </w:rPr>
              <w:t>For the year ended December 31,</w:t>
            </w:r>
          </w:p>
        </w:tc>
      </w:tr>
      <w:tr>
        <w:trPr>
          <w:trHeight w:val="203"/>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By Business Unit</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10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2024</w:t>
            </w:r>
          </w:p>
        </w:tc>
        <w:tc>
          <w:tcPr>
            <w:tcW w:w="146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2023</w:t>
            </w:r>
          </w:p>
        </w:tc>
        <w:tc>
          <w:tcPr>
            <w:tcW w:w="11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r>
      <w:tr>
        <w:trPr>
          <w:trHeight w:val="183"/>
        </w:trPr>
        <w:tc>
          <w:tcPr>
            <w:tcW w:w="37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ind w:left="100"/>
              <w:spacing w:after="0" w:line="183" w:lineRule="exact"/>
              <w:rPr>
                <w:sz w:val="20"/>
                <w:szCs w:val="20"/>
                <w:color w:val="auto"/>
              </w:rPr>
            </w:pPr>
            <w:r>
              <w:rPr>
                <w:rFonts w:ascii="Arial" w:cs="Arial" w:eastAsia="Arial" w:hAnsi="Arial"/>
                <w:sz w:val="16"/>
                <w:szCs w:val="16"/>
                <w:color w:val="auto"/>
              </w:rPr>
              <w:t>(in millions)</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139"/>
              <w:spacing w:after="0" w:line="183" w:lineRule="exact"/>
              <w:rPr>
                <w:sz w:val="20"/>
                <w:szCs w:val="20"/>
                <w:color w:val="auto"/>
              </w:rPr>
            </w:pPr>
            <w:r>
              <w:rPr>
                <w:rFonts w:ascii="Arial" w:cs="Arial" w:eastAsia="Arial" w:hAnsi="Arial"/>
                <w:sz w:val="16"/>
                <w:szCs w:val="16"/>
                <w:color w:val="auto"/>
              </w:rPr>
              <w:t>(Dth in millions)</w:t>
            </w:r>
          </w:p>
        </w:tc>
        <w:tc>
          <w:tcPr>
            <w:tcW w:w="1120" w:type="dxa"/>
            <w:vAlign w:val="bottom"/>
            <w:tcBorders>
              <w:bottom w:val="single" w:sz="8" w:color="auto"/>
            </w:tcBorders>
          </w:tcPr>
          <w:p>
            <w:pPr>
              <w:spacing w:after="0"/>
              <w:rPr>
                <w:sz w:val="15"/>
                <w:szCs w:val="15"/>
                <w:color w:val="auto"/>
              </w:rPr>
            </w:pPr>
          </w:p>
        </w:tc>
      </w:tr>
      <w:tr>
        <w:trPr>
          <w:trHeight w:val="183"/>
        </w:trPr>
        <w:tc>
          <w:tcPr>
            <w:tcW w:w="37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Arkansas Gas</w:t>
            </w:r>
          </w:p>
        </w:tc>
        <w:tc>
          <w:tcPr>
            <w:tcW w:w="280" w:type="dxa"/>
            <w:vAlign w:val="bottom"/>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248.8</w:t>
            </w:r>
          </w:p>
        </w:tc>
        <w:tc>
          <w:tcPr>
            <w:tcW w:w="180" w:type="dxa"/>
            <w:vAlign w:val="bottom"/>
            <w:shd w:val="clear" w:color="auto" w:fill="CFF0FC"/>
          </w:tcPr>
          <w:p>
            <w:pPr>
              <w:ind w:left="80"/>
              <w:spacing w:after="0" w:line="183" w:lineRule="exact"/>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268.9</w:t>
            </w:r>
          </w:p>
        </w:tc>
        <w:tc>
          <w:tcPr>
            <w:tcW w:w="2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179"/>
              <w:spacing w:after="0" w:line="183" w:lineRule="exact"/>
              <w:rPr>
                <w:sz w:val="20"/>
                <w:szCs w:val="20"/>
                <w:color w:val="auto"/>
              </w:rPr>
            </w:pPr>
            <w:r>
              <w:rPr>
                <w:rFonts w:ascii="Arial" w:cs="Arial" w:eastAsia="Arial" w:hAnsi="Arial"/>
                <w:sz w:val="16"/>
                <w:szCs w:val="16"/>
                <w:color w:val="auto"/>
              </w:rPr>
              <w:t>311.3</w:t>
            </w:r>
          </w:p>
        </w:tc>
        <w:tc>
          <w:tcPr>
            <w:tcW w:w="10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29.9</w:t>
            </w:r>
          </w:p>
        </w:tc>
        <w:tc>
          <w:tcPr>
            <w:tcW w:w="1460" w:type="dxa"/>
            <w:vAlign w:val="bottom"/>
            <w:shd w:val="clear" w:color="auto" w:fill="CFF0FC"/>
          </w:tcPr>
          <w:p>
            <w:pPr>
              <w:jc w:val="right"/>
              <w:ind w:right="179"/>
              <w:spacing w:after="0" w:line="183" w:lineRule="exact"/>
              <w:rPr>
                <w:sz w:val="20"/>
                <w:szCs w:val="20"/>
                <w:color w:val="auto"/>
              </w:rPr>
            </w:pPr>
            <w:r>
              <w:rPr>
                <w:rFonts w:ascii="Arial" w:cs="Arial" w:eastAsia="Arial" w:hAnsi="Arial"/>
                <w:sz w:val="16"/>
                <w:szCs w:val="16"/>
                <w:color w:val="auto"/>
              </w:rPr>
              <w:t>30.2</w:t>
            </w:r>
          </w:p>
        </w:tc>
        <w:tc>
          <w:tcPr>
            <w:tcW w:w="112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32.3</w:t>
            </w:r>
          </w:p>
        </w:tc>
      </w:tr>
      <w:tr>
        <w:trPr>
          <w:trHeight w:val="189"/>
        </w:trPr>
        <w:tc>
          <w:tcPr>
            <w:tcW w:w="3720" w:type="dxa"/>
            <w:vAlign w:val="bottom"/>
          </w:tcPr>
          <w:p>
            <w:pPr>
              <w:ind w:left="20"/>
              <w:spacing w:after="0"/>
              <w:rPr>
                <w:sz w:val="20"/>
                <w:szCs w:val="20"/>
                <w:color w:val="auto"/>
              </w:rPr>
            </w:pPr>
            <w:r>
              <w:rPr>
                <w:rFonts w:ascii="Arial" w:cs="Arial" w:eastAsia="Arial" w:hAnsi="Arial"/>
                <w:sz w:val="16"/>
                <w:szCs w:val="16"/>
                <w:color w:val="auto"/>
              </w:rPr>
              <w:t>Colorado Gas</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278.8</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313.6</w:t>
            </w:r>
          </w:p>
        </w:tc>
        <w:tc>
          <w:tcPr>
            <w:tcW w:w="280" w:type="dxa"/>
            <w:vAlign w:val="bottom"/>
          </w:tcPr>
          <w:p>
            <w:pPr>
              <w:spacing w:after="0"/>
              <w:rPr>
                <w:sz w:val="16"/>
                <w:szCs w:val="16"/>
                <w:color w:val="auto"/>
              </w:rPr>
            </w:pP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320.9</w:t>
            </w:r>
          </w:p>
        </w:tc>
        <w:tc>
          <w:tcPr>
            <w:tcW w:w="1080" w:type="dxa"/>
            <w:vAlign w:val="bottom"/>
          </w:tcPr>
          <w:p>
            <w:pPr>
              <w:jc w:val="right"/>
              <w:spacing w:after="0"/>
              <w:rPr>
                <w:sz w:val="20"/>
                <w:szCs w:val="20"/>
                <w:color w:val="auto"/>
              </w:rPr>
            </w:pPr>
            <w:r>
              <w:rPr>
                <w:rFonts w:ascii="Arial" w:cs="Arial" w:eastAsia="Arial" w:hAnsi="Arial"/>
                <w:sz w:val="16"/>
                <w:szCs w:val="16"/>
                <w:color w:val="auto"/>
              </w:rPr>
              <w:t>31.0</w:t>
            </w:r>
          </w:p>
        </w:tc>
        <w:tc>
          <w:tcPr>
            <w:tcW w:w="1460" w:type="dxa"/>
            <w:vAlign w:val="bottom"/>
          </w:tcPr>
          <w:p>
            <w:pPr>
              <w:jc w:val="right"/>
              <w:ind w:right="179"/>
              <w:spacing w:after="0"/>
              <w:rPr>
                <w:sz w:val="20"/>
                <w:szCs w:val="20"/>
                <w:color w:val="auto"/>
              </w:rPr>
            </w:pPr>
            <w:r>
              <w:rPr>
                <w:rFonts w:ascii="Arial" w:cs="Arial" w:eastAsia="Arial" w:hAnsi="Arial"/>
                <w:sz w:val="16"/>
                <w:szCs w:val="16"/>
                <w:color w:val="auto"/>
              </w:rPr>
              <w:t>32.8</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34.3</w:t>
            </w:r>
          </w:p>
        </w:tc>
      </w:tr>
      <w:tr>
        <w:trPr>
          <w:trHeight w:val="189"/>
        </w:trPr>
        <w:tc>
          <w:tcPr>
            <w:tcW w:w="3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Iowa Gas</w:t>
            </w: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162.3</w:t>
            </w: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213.6</w:t>
            </w:r>
          </w:p>
        </w:tc>
        <w:tc>
          <w:tcPr>
            <w:tcW w:w="28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283.9</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37.3</w:t>
            </w:r>
          </w:p>
        </w:tc>
        <w:tc>
          <w:tcPr>
            <w:tcW w:w="14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37.9</w:t>
            </w:r>
          </w:p>
        </w:tc>
        <w:tc>
          <w:tcPr>
            <w:tcW w:w="11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40.9</w:t>
            </w:r>
          </w:p>
        </w:tc>
      </w:tr>
      <w:tr>
        <w:trPr>
          <w:trHeight w:val="189"/>
        </w:trPr>
        <w:tc>
          <w:tcPr>
            <w:tcW w:w="3720" w:type="dxa"/>
            <w:vAlign w:val="bottom"/>
          </w:tcPr>
          <w:p>
            <w:pPr>
              <w:ind w:left="20"/>
              <w:spacing w:after="0"/>
              <w:rPr>
                <w:sz w:val="20"/>
                <w:szCs w:val="20"/>
                <w:color w:val="auto"/>
              </w:rPr>
            </w:pPr>
            <w:r>
              <w:rPr>
                <w:rFonts w:ascii="Arial" w:cs="Arial" w:eastAsia="Arial" w:hAnsi="Arial"/>
                <w:sz w:val="16"/>
                <w:szCs w:val="16"/>
                <w:color w:val="auto"/>
              </w:rPr>
              <w:t>Kansas Gas</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130.4</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155.6</w:t>
            </w:r>
          </w:p>
        </w:tc>
        <w:tc>
          <w:tcPr>
            <w:tcW w:w="280" w:type="dxa"/>
            <w:vAlign w:val="bottom"/>
          </w:tcPr>
          <w:p>
            <w:pPr>
              <w:spacing w:after="0"/>
              <w:rPr>
                <w:sz w:val="16"/>
                <w:szCs w:val="16"/>
                <w:color w:val="auto"/>
              </w:rPr>
            </w:pP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191.4</w:t>
            </w:r>
          </w:p>
        </w:tc>
        <w:tc>
          <w:tcPr>
            <w:tcW w:w="1080" w:type="dxa"/>
            <w:vAlign w:val="bottom"/>
          </w:tcPr>
          <w:p>
            <w:pPr>
              <w:jc w:val="right"/>
              <w:spacing w:after="0"/>
              <w:rPr>
                <w:sz w:val="20"/>
                <w:szCs w:val="20"/>
                <w:color w:val="auto"/>
              </w:rPr>
            </w:pPr>
            <w:r>
              <w:rPr>
                <w:rFonts w:ascii="Arial" w:cs="Arial" w:eastAsia="Arial" w:hAnsi="Arial"/>
                <w:sz w:val="16"/>
                <w:szCs w:val="16"/>
                <w:color w:val="auto"/>
              </w:rPr>
              <w:t>34.8</w:t>
            </w:r>
          </w:p>
        </w:tc>
        <w:tc>
          <w:tcPr>
            <w:tcW w:w="1460" w:type="dxa"/>
            <w:vAlign w:val="bottom"/>
          </w:tcPr>
          <w:p>
            <w:pPr>
              <w:jc w:val="right"/>
              <w:ind w:right="179"/>
              <w:spacing w:after="0"/>
              <w:rPr>
                <w:sz w:val="20"/>
                <w:szCs w:val="20"/>
                <w:color w:val="auto"/>
              </w:rPr>
            </w:pPr>
            <w:r>
              <w:rPr>
                <w:rFonts w:ascii="Arial" w:cs="Arial" w:eastAsia="Arial" w:hAnsi="Arial"/>
                <w:sz w:val="16"/>
                <w:szCs w:val="16"/>
                <w:color w:val="auto"/>
              </w:rPr>
              <w:t>35.5</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38.6</w:t>
            </w:r>
          </w:p>
        </w:tc>
      </w:tr>
      <w:tr>
        <w:trPr>
          <w:trHeight w:val="189"/>
        </w:trPr>
        <w:tc>
          <w:tcPr>
            <w:tcW w:w="3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Nebraska Gas</w:t>
            </w: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304.5</w:t>
            </w: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366.1</w:t>
            </w:r>
          </w:p>
        </w:tc>
        <w:tc>
          <w:tcPr>
            <w:tcW w:w="28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384.8</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80.3</w:t>
            </w:r>
          </w:p>
        </w:tc>
        <w:tc>
          <w:tcPr>
            <w:tcW w:w="14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82.2</w:t>
            </w:r>
          </w:p>
        </w:tc>
        <w:tc>
          <w:tcPr>
            <w:tcW w:w="11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85.1</w:t>
            </w:r>
          </w:p>
        </w:tc>
      </w:tr>
      <w:tr>
        <w:trPr>
          <w:trHeight w:val="189"/>
        </w:trPr>
        <w:tc>
          <w:tcPr>
            <w:tcW w:w="3720" w:type="dxa"/>
            <w:vAlign w:val="bottom"/>
          </w:tcPr>
          <w:p>
            <w:pPr>
              <w:ind w:left="20"/>
              <w:spacing w:after="0"/>
              <w:rPr>
                <w:sz w:val="20"/>
                <w:szCs w:val="20"/>
                <w:color w:val="auto"/>
              </w:rPr>
            </w:pPr>
            <w:r>
              <w:rPr>
                <w:rFonts w:ascii="Arial" w:cs="Arial" w:eastAsia="Arial" w:hAnsi="Arial"/>
                <w:sz w:val="16"/>
                <w:szCs w:val="16"/>
                <w:color w:val="auto"/>
              </w:rPr>
              <w:t>Wyoming Gas</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144.6</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166.4</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176.8</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w:t>
            </w:r>
          </w:p>
        </w:tc>
        <w:tc>
          <w:tcPr>
            <w:tcW w:w="14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36.4</w:t>
            </w: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36.7</w:t>
            </w:r>
          </w:p>
        </w:tc>
      </w:tr>
      <w:tr>
        <w:trPr>
          <w:trHeight w:val="223"/>
        </w:trPr>
        <w:tc>
          <w:tcPr>
            <w:tcW w:w="3720" w:type="dxa"/>
            <w:vAlign w:val="bottom"/>
            <w:tcBorders>
              <w:bottom w:val="single" w:sz="8" w:color="CFF0FC"/>
            </w:tcBorders>
            <w:shd w:val="clear" w:color="auto" w:fill="CFF0FC"/>
          </w:tcPr>
          <w:p>
            <w:pPr>
              <w:ind w:left="120"/>
              <w:spacing w:after="0" w:line="183" w:lineRule="exact"/>
              <w:rPr>
                <w:sz w:val="20"/>
                <w:szCs w:val="20"/>
                <w:color w:val="auto"/>
              </w:rPr>
            </w:pPr>
            <w:r>
              <w:rPr>
                <w:rFonts w:ascii="Arial" w:cs="Arial" w:eastAsia="Arial" w:hAnsi="Arial"/>
                <w:sz w:val="16"/>
                <w:szCs w:val="16"/>
                <w:color w:val="auto"/>
              </w:rPr>
              <w:t>Total Revenue and Quantities Sold</w:t>
            </w:r>
          </w:p>
        </w:tc>
        <w:tc>
          <w:tcPr>
            <w:tcW w:w="280" w:type="dxa"/>
            <w:vAlign w:val="bottom"/>
            <w:tcBorders>
              <w:bottom w:val="single" w:sz="8" w:color="auto"/>
            </w:tcBorders>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1,269.4</w:t>
            </w:r>
          </w:p>
        </w:tc>
        <w:tc>
          <w:tcPr>
            <w:tcW w:w="180" w:type="dxa"/>
            <w:vAlign w:val="bottom"/>
            <w:tcBorders>
              <w:bottom w:val="single" w:sz="8" w:color="auto"/>
            </w:tcBorders>
            <w:shd w:val="clear" w:color="auto" w:fill="CFF0FC"/>
          </w:tcPr>
          <w:p>
            <w:pPr>
              <w:ind w:left="80"/>
              <w:spacing w:after="0" w:line="183" w:lineRule="exact"/>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1,484.2</w:t>
            </w:r>
          </w:p>
        </w:tc>
        <w:tc>
          <w:tcPr>
            <w:tcW w:w="28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FF0FC"/>
          </w:tcPr>
          <w:p>
            <w:pPr>
              <w:jc w:val="right"/>
              <w:ind w:right="179"/>
              <w:spacing w:after="0" w:line="183" w:lineRule="exact"/>
              <w:rPr>
                <w:sz w:val="20"/>
                <w:szCs w:val="20"/>
                <w:color w:val="auto"/>
              </w:rPr>
            </w:pPr>
            <w:r>
              <w:rPr>
                <w:rFonts w:ascii="Arial" w:cs="Arial" w:eastAsia="Arial" w:hAnsi="Arial"/>
                <w:sz w:val="16"/>
                <w:szCs w:val="16"/>
                <w:color w:val="auto"/>
              </w:rPr>
              <w:t>1,669.1</w:t>
            </w:r>
          </w:p>
        </w:tc>
        <w:tc>
          <w:tcPr>
            <w:tcW w:w="10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250.3</w:t>
            </w:r>
          </w:p>
        </w:tc>
        <w:tc>
          <w:tcPr>
            <w:tcW w:w="1460" w:type="dxa"/>
            <w:vAlign w:val="bottom"/>
            <w:tcBorders>
              <w:bottom w:val="single" w:sz="8" w:color="auto"/>
            </w:tcBorders>
            <w:shd w:val="clear" w:color="auto" w:fill="CFF0FC"/>
          </w:tcPr>
          <w:p>
            <w:pPr>
              <w:jc w:val="right"/>
              <w:ind w:right="179"/>
              <w:spacing w:after="0" w:line="183" w:lineRule="exact"/>
              <w:rPr>
                <w:sz w:val="20"/>
                <w:szCs w:val="20"/>
                <w:color w:val="auto"/>
              </w:rPr>
            </w:pPr>
            <w:r>
              <w:rPr>
                <w:rFonts w:ascii="Arial" w:cs="Arial" w:eastAsia="Arial" w:hAnsi="Arial"/>
                <w:sz w:val="16"/>
                <w:szCs w:val="16"/>
                <w:color w:val="auto"/>
              </w:rPr>
              <w:t>255.0</w:t>
            </w:r>
          </w:p>
        </w:tc>
        <w:tc>
          <w:tcPr>
            <w:tcW w:w="112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267.9</w:t>
            </w: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060" w:type="dxa"/>
            <w:vAlign w:val="bottom"/>
            <w:gridSpan w:val="2"/>
          </w:tcPr>
          <w:p>
            <w:pPr>
              <w:jc w:val="right"/>
              <w:ind w:right="219"/>
              <w:spacing w:after="0"/>
              <w:rPr>
                <w:sz w:val="20"/>
                <w:szCs w:val="20"/>
                <w:color w:val="auto"/>
              </w:rPr>
            </w:pPr>
            <w:r>
              <w:rPr>
                <w:rFonts w:ascii="Arial" w:cs="Arial" w:eastAsia="Arial" w:hAnsi="Arial"/>
                <w:sz w:val="16"/>
                <w:szCs w:val="16"/>
                <w:b w:val="1"/>
                <w:bCs w:val="1"/>
                <w:color w:val="auto"/>
              </w:rPr>
              <w:t>For the year ended December 31,</w:t>
            </w:r>
          </w:p>
        </w:tc>
        <w:tc>
          <w:tcPr>
            <w:tcW w:w="98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203"/>
        </w:trPr>
        <w:tc>
          <w:tcPr>
            <w:tcW w:w="246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1159"/>
              <w:spacing w:after="0"/>
              <w:rPr>
                <w:sz w:val="20"/>
                <w:szCs w:val="20"/>
                <w:color w:val="auto"/>
              </w:rPr>
            </w:pPr>
            <w:r>
              <w:rPr>
                <w:rFonts w:ascii="Arial" w:cs="Arial" w:eastAsia="Arial" w:hAnsi="Arial"/>
                <w:sz w:val="16"/>
                <w:szCs w:val="16"/>
                <w:b w:val="1"/>
                <w:bCs w:val="1"/>
                <w:color w:val="auto"/>
              </w:rPr>
              <w:t>2024</w:t>
            </w:r>
          </w:p>
        </w:tc>
        <w:tc>
          <w:tcPr>
            <w:tcW w:w="11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ind w:right="1279"/>
              <w:spacing w:after="0"/>
              <w:rPr>
                <w:sz w:val="20"/>
                <w:szCs w:val="20"/>
                <w:color w:val="auto"/>
              </w:rPr>
            </w:pPr>
            <w:r>
              <w:rPr>
                <w:rFonts w:ascii="Arial" w:cs="Arial" w:eastAsia="Arial" w:hAnsi="Arial"/>
                <w:sz w:val="16"/>
                <w:szCs w:val="16"/>
                <w:b w:val="1"/>
                <w:bCs w:val="1"/>
                <w:color w:val="auto"/>
              </w:rPr>
              <w:t>2023</w:t>
            </w:r>
          </w:p>
        </w:tc>
        <w:tc>
          <w:tcPr>
            <w:tcW w:w="9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1199"/>
              <w:spacing w:after="0"/>
              <w:rPr>
                <w:sz w:val="20"/>
                <w:szCs w:val="20"/>
                <w:color w:val="auto"/>
              </w:rPr>
            </w:pPr>
            <w:r>
              <w:rPr>
                <w:rFonts w:ascii="Arial" w:cs="Arial" w:eastAsia="Arial" w:hAnsi="Arial"/>
                <w:sz w:val="16"/>
                <w:szCs w:val="16"/>
                <w:b w:val="1"/>
                <w:bCs w:val="1"/>
                <w:color w:val="auto"/>
              </w:rPr>
              <w:t>2022</w:t>
            </w:r>
          </w:p>
        </w:tc>
      </w:tr>
      <w:tr>
        <w:trPr>
          <w:trHeight w:val="168"/>
        </w:trPr>
        <w:tc>
          <w:tcPr>
            <w:tcW w:w="2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60" w:type="dxa"/>
            <w:vAlign w:val="bottom"/>
          </w:tcPr>
          <w:p>
            <w:pPr>
              <w:jc w:val="center"/>
              <w:ind w:left="19"/>
              <w:spacing w:after="0" w:line="168" w:lineRule="exact"/>
              <w:rPr>
                <w:sz w:val="20"/>
                <w:szCs w:val="20"/>
                <w:color w:val="auto"/>
              </w:rPr>
            </w:pPr>
            <w:r>
              <w:rPr>
                <w:rFonts w:ascii="Arial" w:cs="Arial" w:eastAsia="Arial" w:hAnsi="Arial"/>
                <w:sz w:val="16"/>
                <w:szCs w:val="16"/>
                <w:b w:val="1"/>
                <w:bCs w:val="1"/>
                <w:color w:val="auto"/>
              </w:rPr>
              <w:t>Variance From</w:t>
            </w:r>
          </w:p>
        </w:tc>
        <w:tc>
          <w:tcPr>
            <w:tcW w:w="1140" w:type="dxa"/>
            <w:vAlign w:val="bottom"/>
          </w:tcPr>
          <w:p>
            <w:pPr>
              <w:spacing w:after="0"/>
              <w:rPr>
                <w:sz w:val="14"/>
                <w:szCs w:val="14"/>
                <w:color w:val="auto"/>
              </w:rPr>
            </w:pPr>
          </w:p>
        </w:tc>
        <w:tc>
          <w:tcPr>
            <w:tcW w:w="1920" w:type="dxa"/>
            <w:vAlign w:val="bottom"/>
          </w:tcPr>
          <w:p>
            <w:pPr>
              <w:jc w:val="center"/>
              <w:spacing w:after="0" w:line="168" w:lineRule="exact"/>
              <w:rPr>
                <w:sz w:val="20"/>
                <w:szCs w:val="20"/>
                <w:color w:val="auto"/>
              </w:rPr>
            </w:pPr>
            <w:r>
              <w:rPr>
                <w:rFonts w:ascii="Arial" w:cs="Arial" w:eastAsia="Arial" w:hAnsi="Arial"/>
                <w:sz w:val="16"/>
                <w:szCs w:val="16"/>
                <w:b w:val="1"/>
                <w:bCs w:val="1"/>
                <w:color w:val="auto"/>
              </w:rPr>
              <w:t>Variance From</w:t>
            </w:r>
          </w:p>
        </w:tc>
        <w:tc>
          <w:tcPr>
            <w:tcW w:w="980" w:type="dxa"/>
            <w:vAlign w:val="bottom"/>
          </w:tcPr>
          <w:p>
            <w:pPr>
              <w:spacing w:after="0"/>
              <w:rPr>
                <w:sz w:val="14"/>
                <w:szCs w:val="14"/>
                <w:color w:val="auto"/>
              </w:rPr>
            </w:pPr>
          </w:p>
        </w:tc>
        <w:tc>
          <w:tcPr>
            <w:tcW w:w="1840" w:type="dxa"/>
            <w:vAlign w:val="bottom"/>
          </w:tcPr>
          <w:p>
            <w:pPr>
              <w:jc w:val="center"/>
              <w:ind w:left="59"/>
              <w:spacing w:after="0" w:line="168" w:lineRule="exact"/>
              <w:rPr>
                <w:sz w:val="20"/>
                <w:szCs w:val="20"/>
                <w:color w:val="auto"/>
              </w:rPr>
            </w:pPr>
            <w:r>
              <w:rPr>
                <w:rFonts w:ascii="Arial" w:cs="Arial" w:eastAsia="Arial" w:hAnsi="Arial"/>
                <w:sz w:val="16"/>
                <w:szCs w:val="16"/>
                <w:b w:val="1"/>
                <w:bCs w:val="1"/>
                <w:color w:val="auto"/>
              </w:rPr>
              <w:t>Variance From</w:t>
            </w:r>
          </w:p>
        </w:tc>
      </w:tr>
      <w:tr>
        <w:trPr>
          <w:trHeight w:val="203"/>
        </w:trPr>
        <w:tc>
          <w:tcPr>
            <w:tcW w:w="24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Heating Degree Days</w:t>
            </w:r>
          </w:p>
        </w:tc>
        <w:tc>
          <w:tcPr>
            <w:tcW w:w="12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Actual</w:t>
            </w:r>
          </w:p>
        </w:tc>
        <w:tc>
          <w:tcPr>
            <w:tcW w:w="1660" w:type="dxa"/>
            <w:vAlign w:val="bottom"/>
            <w:tcBorders>
              <w:bottom w:val="single" w:sz="8" w:color="auto"/>
            </w:tcBorders>
          </w:tcPr>
          <w:p>
            <w:pPr>
              <w:jc w:val="center"/>
              <w:ind w:left="59"/>
              <w:spacing w:after="0"/>
              <w:rPr>
                <w:sz w:val="20"/>
                <w:szCs w:val="20"/>
                <w:color w:val="auto"/>
              </w:rPr>
            </w:pPr>
            <w:r>
              <w:rPr>
                <w:rFonts w:ascii="Arial" w:cs="Arial" w:eastAsia="Arial" w:hAnsi="Arial"/>
                <w:sz w:val="16"/>
                <w:szCs w:val="16"/>
                <w:b w:val="1"/>
                <w:bCs w:val="1"/>
                <w:color w:val="auto"/>
              </w:rPr>
              <w:t>Normal</w:t>
            </w:r>
          </w:p>
        </w:tc>
        <w:tc>
          <w:tcPr>
            <w:tcW w:w="1140" w:type="dxa"/>
            <w:vAlign w:val="bottom"/>
            <w:tcBorders>
              <w:bottom w:val="single" w:sz="8" w:color="auto"/>
            </w:tcBorders>
          </w:tcPr>
          <w:p>
            <w:pPr>
              <w:jc w:val="center"/>
              <w:ind w:left="159"/>
              <w:spacing w:after="0"/>
              <w:rPr>
                <w:sz w:val="20"/>
                <w:szCs w:val="20"/>
                <w:color w:val="auto"/>
              </w:rPr>
            </w:pPr>
            <w:r>
              <w:rPr>
                <w:rFonts w:ascii="Arial" w:cs="Arial" w:eastAsia="Arial" w:hAnsi="Arial"/>
                <w:sz w:val="16"/>
                <w:szCs w:val="16"/>
                <w:b w:val="1"/>
                <w:bCs w:val="1"/>
                <w:color w:val="auto"/>
              </w:rPr>
              <w:t>Actual</w:t>
            </w: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Normal</w:t>
            </w:r>
          </w:p>
        </w:tc>
        <w:tc>
          <w:tcPr>
            <w:tcW w:w="98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w w:val="98"/>
              </w:rPr>
              <w:t>Actual</w:t>
            </w:r>
          </w:p>
        </w:tc>
        <w:tc>
          <w:tcPr>
            <w:tcW w:w="1840" w:type="dxa"/>
            <w:vAlign w:val="bottom"/>
            <w:tcBorders>
              <w:bottom w:val="single" w:sz="8" w:color="auto"/>
            </w:tcBorders>
          </w:tcPr>
          <w:p>
            <w:pPr>
              <w:jc w:val="center"/>
              <w:ind w:left="99"/>
              <w:spacing w:after="0"/>
              <w:rPr>
                <w:sz w:val="20"/>
                <w:szCs w:val="20"/>
                <w:color w:val="auto"/>
              </w:rPr>
            </w:pPr>
            <w:r>
              <w:rPr>
                <w:rFonts w:ascii="Arial" w:cs="Arial" w:eastAsia="Arial" w:hAnsi="Arial"/>
                <w:sz w:val="16"/>
                <w:szCs w:val="16"/>
                <w:b w:val="1"/>
                <w:bCs w:val="1"/>
                <w:color w:val="auto"/>
                <w:w w:val="97"/>
              </w:rPr>
              <w:t>Normal</w:t>
            </w:r>
          </w:p>
        </w:tc>
      </w:tr>
      <w:tr>
        <w:trPr>
          <w:trHeight w:val="183"/>
        </w:trPr>
        <w:tc>
          <w:tcPr>
            <w:tcW w:w="24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 xml:space="preserve">Arkansas Gas </w:t>
            </w:r>
            <w:r>
              <w:rPr>
                <w:rFonts w:ascii="Arial" w:cs="Arial" w:eastAsia="Arial" w:hAnsi="Arial"/>
                <w:sz w:val="21"/>
                <w:szCs w:val="21"/>
                <w:color w:val="auto"/>
                <w:vertAlign w:val="superscript"/>
              </w:rPr>
              <w:t>(a)</w:t>
            </w:r>
          </w:p>
        </w:tc>
        <w:tc>
          <w:tcPr>
            <w:tcW w:w="12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2,998</w:t>
            </w:r>
          </w:p>
        </w:tc>
        <w:tc>
          <w:tcPr>
            <w:tcW w:w="1660" w:type="dxa"/>
            <w:vAlign w:val="bottom"/>
            <w:shd w:val="clear" w:color="auto" w:fill="CFF0FC"/>
          </w:tcPr>
          <w:p>
            <w:pPr>
              <w:jc w:val="center"/>
              <w:ind w:left="59"/>
              <w:spacing w:after="0" w:line="183" w:lineRule="exact"/>
              <w:rPr>
                <w:sz w:val="20"/>
                <w:szCs w:val="20"/>
                <w:color w:val="auto"/>
              </w:rPr>
            </w:pPr>
            <w:r>
              <w:rPr>
                <w:rFonts w:ascii="Arial" w:cs="Arial" w:eastAsia="Arial" w:hAnsi="Arial"/>
                <w:sz w:val="16"/>
                <w:szCs w:val="16"/>
                <w:color w:val="auto"/>
              </w:rPr>
              <w:t>(20)%</w:t>
            </w:r>
          </w:p>
        </w:tc>
        <w:tc>
          <w:tcPr>
            <w:tcW w:w="1140" w:type="dxa"/>
            <w:vAlign w:val="bottom"/>
            <w:shd w:val="clear" w:color="auto" w:fill="CFF0FC"/>
          </w:tcPr>
          <w:p>
            <w:pPr>
              <w:jc w:val="center"/>
              <w:ind w:left="179"/>
              <w:spacing w:after="0" w:line="183" w:lineRule="exact"/>
              <w:rPr>
                <w:sz w:val="20"/>
                <w:szCs w:val="20"/>
                <w:color w:val="auto"/>
              </w:rPr>
            </w:pPr>
            <w:r>
              <w:rPr>
                <w:rFonts w:ascii="Arial" w:cs="Arial" w:eastAsia="Arial" w:hAnsi="Arial"/>
                <w:sz w:val="16"/>
                <w:szCs w:val="16"/>
                <w:color w:val="auto"/>
                <w:w w:val="99"/>
              </w:rPr>
              <w:t>3,197</w:t>
            </w:r>
          </w:p>
        </w:tc>
        <w:tc>
          <w:tcPr>
            <w:tcW w:w="1920" w:type="dxa"/>
            <w:vAlign w:val="bottom"/>
            <w:shd w:val="clear" w:color="auto" w:fill="CFF0FC"/>
          </w:tcPr>
          <w:p>
            <w:pPr>
              <w:jc w:val="center"/>
              <w:ind w:left="19"/>
              <w:spacing w:after="0" w:line="183" w:lineRule="exact"/>
              <w:rPr>
                <w:sz w:val="20"/>
                <w:szCs w:val="20"/>
                <w:color w:val="auto"/>
              </w:rPr>
            </w:pPr>
            <w:r>
              <w:rPr>
                <w:rFonts w:ascii="Arial" w:cs="Arial" w:eastAsia="Arial" w:hAnsi="Arial"/>
                <w:sz w:val="16"/>
                <w:szCs w:val="16"/>
                <w:color w:val="auto"/>
                <w:w w:val="98"/>
              </w:rPr>
              <w:t>(17)%</w:t>
            </w:r>
          </w:p>
        </w:tc>
        <w:tc>
          <w:tcPr>
            <w:tcW w:w="980" w:type="dxa"/>
            <w:vAlign w:val="bottom"/>
            <w:shd w:val="clear" w:color="auto" w:fill="CFF0FC"/>
          </w:tcPr>
          <w:p>
            <w:pPr>
              <w:jc w:val="center"/>
              <w:ind w:left="19"/>
              <w:spacing w:after="0" w:line="183" w:lineRule="exact"/>
              <w:rPr>
                <w:sz w:val="20"/>
                <w:szCs w:val="20"/>
                <w:color w:val="auto"/>
              </w:rPr>
            </w:pPr>
            <w:r>
              <w:rPr>
                <w:rFonts w:ascii="Arial" w:cs="Arial" w:eastAsia="Arial" w:hAnsi="Arial"/>
                <w:sz w:val="16"/>
                <w:szCs w:val="16"/>
                <w:color w:val="auto"/>
                <w:w w:val="99"/>
              </w:rPr>
              <w:t>3,844</w:t>
            </w:r>
          </w:p>
        </w:tc>
        <w:tc>
          <w:tcPr>
            <w:tcW w:w="1840" w:type="dxa"/>
            <w:vAlign w:val="bottom"/>
            <w:shd w:val="clear" w:color="auto" w:fill="CFF0FC"/>
          </w:tcPr>
          <w:p>
            <w:pPr>
              <w:jc w:val="center"/>
              <w:ind w:left="99"/>
              <w:spacing w:after="0" w:line="183" w:lineRule="exact"/>
              <w:rPr>
                <w:sz w:val="20"/>
                <w:szCs w:val="20"/>
                <w:color w:val="auto"/>
              </w:rPr>
            </w:pPr>
            <w:r>
              <w:rPr>
                <w:rFonts w:ascii="Arial" w:cs="Arial" w:eastAsia="Arial" w:hAnsi="Arial"/>
                <w:sz w:val="16"/>
                <w:szCs w:val="16"/>
                <w:color w:val="auto"/>
                <w:w w:val="94"/>
              </w:rPr>
              <w:t>2%</w:t>
            </w:r>
          </w:p>
        </w:tc>
      </w:tr>
      <w:tr>
        <w:trPr>
          <w:trHeight w:val="189"/>
        </w:trPr>
        <w:tc>
          <w:tcPr>
            <w:tcW w:w="2460" w:type="dxa"/>
            <w:vAlign w:val="bottom"/>
          </w:tcPr>
          <w:p>
            <w:pPr>
              <w:ind w:left="20"/>
              <w:spacing w:after="0"/>
              <w:rPr>
                <w:sz w:val="20"/>
                <w:szCs w:val="20"/>
                <w:color w:val="auto"/>
              </w:rPr>
            </w:pPr>
            <w:r>
              <w:rPr>
                <w:rFonts w:ascii="Arial" w:cs="Arial" w:eastAsia="Arial" w:hAnsi="Arial"/>
                <w:sz w:val="16"/>
                <w:szCs w:val="16"/>
                <w:color w:val="auto"/>
              </w:rPr>
              <w:t>Colorado Gas</w:t>
            </w:r>
          </w:p>
        </w:tc>
        <w:tc>
          <w:tcPr>
            <w:tcW w:w="1240" w:type="dxa"/>
            <w:vAlign w:val="bottom"/>
          </w:tcPr>
          <w:p>
            <w:pPr>
              <w:jc w:val="right"/>
              <w:spacing w:after="0"/>
              <w:rPr>
                <w:sz w:val="20"/>
                <w:szCs w:val="20"/>
                <w:color w:val="auto"/>
              </w:rPr>
            </w:pPr>
            <w:r>
              <w:rPr>
                <w:rFonts w:ascii="Arial" w:cs="Arial" w:eastAsia="Arial" w:hAnsi="Arial"/>
                <w:sz w:val="16"/>
                <w:szCs w:val="16"/>
                <w:color w:val="auto"/>
              </w:rPr>
              <w:t>5,662</w:t>
            </w:r>
          </w:p>
        </w:tc>
        <w:tc>
          <w:tcPr>
            <w:tcW w:w="1660" w:type="dxa"/>
            <w:vAlign w:val="bottom"/>
          </w:tcPr>
          <w:p>
            <w:pPr>
              <w:jc w:val="center"/>
              <w:ind w:left="79"/>
              <w:spacing w:after="0"/>
              <w:rPr>
                <w:sz w:val="20"/>
                <w:szCs w:val="20"/>
                <w:color w:val="auto"/>
              </w:rPr>
            </w:pPr>
            <w:r>
              <w:rPr>
                <w:rFonts w:ascii="Arial" w:cs="Arial" w:eastAsia="Arial" w:hAnsi="Arial"/>
                <w:sz w:val="16"/>
                <w:szCs w:val="16"/>
                <w:color w:val="auto"/>
              </w:rPr>
              <w:t>(7)%</w:t>
            </w:r>
          </w:p>
        </w:tc>
        <w:tc>
          <w:tcPr>
            <w:tcW w:w="1140" w:type="dxa"/>
            <w:vAlign w:val="bottom"/>
          </w:tcPr>
          <w:p>
            <w:pPr>
              <w:jc w:val="center"/>
              <w:ind w:left="179"/>
              <w:spacing w:after="0"/>
              <w:rPr>
                <w:sz w:val="20"/>
                <w:szCs w:val="20"/>
                <w:color w:val="auto"/>
              </w:rPr>
            </w:pPr>
            <w:r>
              <w:rPr>
                <w:rFonts w:ascii="Arial" w:cs="Arial" w:eastAsia="Arial" w:hAnsi="Arial"/>
                <w:sz w:val="16"/>
                <w:szCs w:val="16"/>
                <w:color w:val="auto"/>
                <w:w w:val="99"/>
              </w:rPr>
              <w:t>5,916</w:t>
            </w:r>
          </w:p>
        </w:tc>
        <w:tc>
          <w:tcPr>
            <w:tcW w:w="1920" w:type="dxa"/>
            <w:vAlign w:val="bottom"/>
          </w:tcPr>
          <w:p>
            <w:pPr>
              <w:jc w:val="center"/>
              <w:ind w:left="19"/>
              <w:spacing w:after="0"/>
              <w:rPr>
                <w:sz w:val="20"/>
                <w:szCs w:val="20"/>
                <w:color w:val="auto"/>
              </w:rPr>
            </w:pPr>
            <w:r>
              <w:rPr>
                <w:rFonts w:ascii="Arial" w:cs="Arial" w:eastAsia="Arial" w:hAnsi="Arial"/>
                <w:sz w:val="16"/>
                <w:szCs w:val="16"/>
                <w:color w:val="auto"/>
              </w:rPr>
              <w:t>(4)%</w:t>
            </w:r>
          </w:p>
        </w:tc>
        <w:tc>
          <w:tcPr>
            <w:tcW w:w="980" w:type="dxa"/>
            <w:vAlign w:val="bottom"/>
          </w:tcPr>
          <w:p>
            <w:pPr>
              <w:jc w:val="center"/>
              <w:ind w:left="19"/>
              <w:spacing w:after="0"/>
              <w:rPr>
                <w:sz w:val="20"/>
                <w:szCs w:val="20"/>
                <w:color w:val="auto"/>
              </w:rPr>
            </w:pPr>
            <w:r>
              <w:rPr>
                <w:rFonts w:ascii="Arial" w:cs="Arial" w:eastAsia="Arial" w:hAnsi="Arial"/>
                <w:sz w:val="16"/>
                <w:szCs w:val="16"/>
                <w:color w:val="auto"/>
                <w:w w:val="99"/>
              </w:rPr>
              <w:t>6,325</w:t>
            </w:r>
          </w:p>
        </w:tc>
        <w:tc>
          <w:tcPr>
            <w:tcW w:w="1840" w:type="dxa"/>
            <w:vAlign w:val="bottom"/>
          </w:tcPr>
          <w:p>
            <w:pPr>
              <w:jc w:val="center"/>
              <w:ind w:left="99"/>
              <w:spacing w:after="0"/>
              <w:rPr>
                <w:sz w:val="20"/>
                <w:szCs w:val="20"/>
                <w:color w:val="auto"/>
              </w:rPr>
            </w:pPr>
            <w:r>
              <w:rPr>
                <w:rFonts w:ascii="Arial" w:cs="Arial" w:eastAsia="Arial" w:hAnsi="Arial"/>
                <w:sz w:val="16"/>
                <w:szCs w:val="16"/>
                <w:color w:val="auto"/>
                <w:w w:val="94"/>
              </w:rPr>
              <w:t>4%</w:t>
            </w:r>
          </w:p>
        </w:tc>
      </w:tr>
      <w:tr>
        <w:trPr>
          <w:trHeight w:val="189"/>
        </w:trPr>
        <w:tc>
          <w:tcPr>
            <w:tcW w:w="2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Iowa Gas</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5,543</w:t>
            </w:r>
          </w:p>
        </w:tc>
        <w:tc>
          <w:tcPr>
            <w:tcW w:w="1660" w:type="dxa"/>
            <w:vAlign w:val="bottom"/>
            <w:shd w:val="clear" w:color="auto" w:fill="CFF0FC"/>
          </w:tcPr>
          <w:p>
            <w:pPr>
              <w:jc w:val="center"/>
              <w:ind w:left="59"/>
              <w:spacing w:after="0"/>
              <w:rPr>
                <w:sz w:val="20"/>
                <w:szCs w:val="20"/>
                <w:color w:val="auto"/>
              </w:rPr>
            </w:pPr>
            <w:r>
              <w:rPr>
                <w:rFonts w:ascii="Arial" w:cs="Arial" w:eastAsia="Arial" w:hAnsi="Arial"/>
                <w:sz w:val="16"/>
                <w:szCs w:val="16"/>
                <w:color w:val="auto"/>
              </w:rPr>
              <w:t>(16)%</w:t>
            </w:r>
          </w:p>
        </w:tc>
        <w:tc>
          <w:tcPr>
            <w:tcW w:w="1140" w:type="dxa"/>
            <w:vAlign w:val="bottom"/>
            <w:shd w:val="clear" w:color="auto" w:fill="CFF0FC"/>
          </w:tcPr>
          <w:p>
            <w:pPr>
              <w:jc w:val="center"/>
              <w:ind w:left="179"/>
              <w:spacing w:after="0"/>
              <w:rPr>
                <w:sz w:val="20"/>
                <w:szCs w:val="20"/>
                <w:color w:val="auto"/>
              </w:rPr>
            </w:pPr>
            <w:r>
              <w:rPr>
                <w:rFonts w:ascii="Arial" w:cs="Arial" w:eastAsia="Arial" w:hAnsi="Arial"/>
                <w:sz w:val="16"/>
                <w:szCs w:val="16"/>
                <w:color w:val="auto"/>
                <w:w w:val="99"/>
              </w:rPr>
              <w:t>5,921</w:t>
            </w:r>
          </w:p>
        </w:tc>
        <w:tc>
          <w:tcPr>
            <w:tcW w:w="1920" w:type="dxa"/>
            <w:vAlign w:val="bottom"/>
            <w:shd w:val="clear" w:color="auto" w:fill="CFF0FC"/>
          </w:tcPr>
          <w:p>
            <w:pPr>
              <w:jc w:val="center"/>
              <w:ind w:left="19"/>
              <w:spacing w:after="0"/>
              <w:rPr>
                <w:sz w:val="20"/>
                <w:szCs w:val="20"/>
                <w:color w:val="auto"/>
              </w:rPr>
            </w:pPr>
            <w:r>
              <w:rPr>
                <w:rFonts w:ascii="Arial" w:cs="Arial" w:eastAsia="Arial" w:hAnsi="Arial"/>
                <w:sz w:val="16"/>
                <w:szCs w:val="16"/>
                <w:color w:val="auto"/>
                <w:w w:val="98"/>
              </w:rPr>
              <w:t>(12)%</w:t>
            </w:r>
          </w:p>
        </w:tc>
        <w:tc>
          <w:tcPr>
            <w:tcW w:w="980" w:type="dxa"/>
            <w:vAlign w:val="bottom"/>
            <w:shd w:val="clear" w:color="auto" w:fill="CFF0FC"/>
          </w:tcPr>
          <w:p>
            <w:pPr>
              <w:jc w:val="center"/>
              <w:ind w:left="19"/>
              <w:spacing w:after="0"/>
              <w:rPr>
                <w:sz w:val="20"/>
                <w:szCs w:val="20"/>
                <w:color w:val="auto"/>
              </w:rPr>
            </w:pPr>
            <w:r>
              <w:rPr>
                <w:rFonts w:ascii="Arial" w:cs="Arial" w:eastAsia="Arial" w:hAnsi="Arial"/>
                <w:sz w:val="16"/>
                <w:szCs w:val="16"/>
                <w:color w:val="auto"/>
                <w:w w:val="99"/>
              </w:rPr>
              <w:t>7,037</w:t>
            </w:r>
          </w:p>
        </w:tc>
        <w:tc>
          <w:tcPr>
            <w:tcW w:w="1840" w:type="dxa"/>
            <w:vAlign w:val="bottom"/>
            <w:shd w:val="clear" w:color="auto" w:fill="CFF0FC"/>
          </w:tcPr>
          <w:p>
            <w:pPr>
              <w:jc w:val="center"/>
              <w:ind w:left="99"/>
              <w:spacing w:after="0"/>
              <w:rPr>
                <w:sz w:val="20"/>
                <w:szCs w:val="20"/>
                <w:color w:val="auto"/>
              </w:rPr>
            </w:pPr>
            <w:r>
              <w:rPr>
                <w:rFonts w:ascii="Arial" w:cs="Arial" w:eastAsia="Arial" w:hAnsi="Arial"/>
                <w:sz w:val="16"/>
                <w:szCs w:val="16"/>
                <w:color w:val="auto"/>
                <w:w w:val="94"/>
              </w:rPr>
              <w:t>7%</w:t>
            </w:r>
          </w:p>
        </w:tc>
      </w:tr>
      <w:tr>
        <w:trPr>
          <w:trHeight w:val="189"/>
        </w:trPr>
        <w:tc>
          <w:tcPr>
            <w:tcW w:w="2460" w:type="dxa"/>
            <w:vAlign w:val="bottom"/>
          </w:tcPr>
          <w:p>
            <w:pPr>
              <w:ind w:left="20"/>
              <w:spacing w:after="0" w:line="189" w:lineRule="exact"/>
              <w:rPr>
                <w:sz w:val="20"/>
                <w:szCs w:val="20"/>
                <w:color w:val="auto"/>
              </w:rPr>
            </w:pPr>
            <w:r>
              <w:rPr>
                <w:rFonts w:ascii="Arial" w:cs="Arial" w:eastAsia="Arial" w:hAnsi="Arial"/>
                <w:sz w:val="16"/>
                <w:szCs w:val="16"/>
                <w:color w:val="auto"/>
              </w:rPr>
              <w:t xml:space="preserve">Kansas Gas </w:t>
            </w:r>
            <w:r>
              <w:rPr>
                <w:rFonts w:ascii="Arial" w:cs="Arial" w:eastAsia="Arial" w:hAnsi="Arial"/>
                <w:sz w:val="21"/>
                <w:szCs w:val="21"/>
                <w:color w:val="auto"/>
                <w:vertAlign w:val="superscript"/>
              </w:rPr>
              <w:t>(a)</w:t>
            </w:r>
          </w:p>
        </w:tc>
        <w:tc>
          <w:tcPr>
            <w:tcW w:w="1240" w:type="dxa"/>
            <w:vAlign w:val="bottom"/>
          </w:tcPr>
          <w:p>
            <w:pPr>
              <w:jc w:val="right"/>
              <w:spacing w:after="0"/>
              <w:rPr>
                <w:sz w:val="20"/>
                <w:szCs w:val="20"/>
                <w:color w:val="auto"/>
              </w:rPr>
            </w:pPr>
            <w:r>
              <w:rPr>
                <w:rFonts w:ascii="Arial" w:cs="Arial" w:eastAsia="Arial" w:hAnsi="Arial"/>
                <w:sz w:val="16"/>
                <w:szCs w:val="16"/>
                <w:color w:val="auto"/>
              </w:rPr>
              <w:t>4,092</w:t>
            </w:r>
          </w:p>
        </w:tc>
        <w:tc>
          <w:tcPr>
            <w:tcW w:w="1660" w:type="dxa"/>
            <w:vAlign w:val="bottom"/>
          </w:tcPr>
          <w:p>
            <w:pPr>
              <w:jc w:val="center"/>
              <w:ind w:left="59"/>
              <w:spacing w:after="0"/>
              <w:rPr>
                <w:sz w:val="20"/>
                <w:szCs w:val="20"/>
                <w:color w:val="auto"/>
              </w:rPr>
            </w:pPr>
            <w:r>
              <w:rPr>
                <w:rFonts w:ascii="Arial" w:cs="Arial" w:eastAsia="Arial" w:hAnsi="Arial"/>
                <w:sz w:val="16"/>
                <w:szCs w:val="16"/>
                <w:color w:val="auto"/>
              </w:rPr>
              <w:t>(12)%</w:t>
            </w:r>
          </w:p>
        </w:tc>
        <w:tc>
          <w:tcPr>
            <w:tcW w:w="1140" w:type="dxa"/>
            <w:vAlign w:val="bottom"/>
          </w:tcPr>
          <w:p>
            <w:pPr>
              <w:jc w:val="center"/>
              <w:ind w:left="179"/>
              <w:spacing w:after="0"/>
              <w:rPr>
                <w:sz w:val="20"/>
                <w:szCs w:val="20"/>
                <w:color w:val="auto"/>
              </w:rPr>
            </w:pPr>
            <w:r>
              <w:rPr>
                <w:rFonts w:ascii="Arial" w:cs="Arial" w:eastAsia="Arial" w:hAnsi="Arial"/>
                <w:sz w:val="16"/>
                <w:szCs w:val="16"/>
                <w:color w:val="auto"/>
                <w:w w:val="99"/>
              </w:rPr>
              <w:t>4,387</w:t>
            </w:r>
          </w:p>
        </w:tc>
        <w:tc>
          <w:tcPr>
            <w:tcW w:w="1920" w:type="dxa"/>
            <w:vAlign w:val="bottom"/>
          </w:tcPr>
          <w:p>
            <w:pPr>
              <w:jc w:val="center"/>
              <w:ind w:left="19"/>
              <w:spacing w:after="0"/>
              <w:rPr>
                <w:sz w:val="20"/>
                <w:szCs w:val="20"/>
                <w:color w:val="auto"/>
              </w:rPr>
            </w:pPr>
            <w:r>
              <w:rPr>
                <w:rFonts w:ascii="Arial" w:cs="Arial" w:eastAsia="Arial" w:hAnsi="Arial"/>
                <w:sz w:val="16"/>
                <w:szCs w:val="16"/>
                <w:color w:val="auto"/>
              </w:rPr>
              <w:t>(8)%</w:t>
            </w:r>
          </w:p>
        </w:tc>
        <w:tc>
          <w:tcPr>
            <w:tcW w:w="980" w:type="dxa"/>
            <w:vAlign w:val="bottom"/>
          </w:tcPr>
          <w:p>
            <w:pPr>
              <w:jc w:val="center"/>
              <w:ind w:left="19"/>
              <w:spacing w:after="0"/>
              <w:rPr>
                <w:sz w:val="20"/>
                <w:szCs w:val="20"/>
                <w:color w:val="auto"/>
              </w:rPr>
            </w:pPr>
            <w:r>
              <w:rPr>
                <w:rFonts w:ascii="Arial" w:cs="Arial" w:eastAsia="Arial" w:hAnsi="Arial"/>
                <w:sz w:val="16"/>
                <w:szCs w:val="16"/>
                <w:color w:val="auto"/>
                <w:w w:val="99"/>
              </w:rPr>
              <w:t>4,968</w:t>
            </w:r>
          </w:p>
        </w:tc>
        <w:tc>
          <w:tcPr>
            <w:tcW w:w="1840" w:type="dxa"/>
            <w:vAlign w:val="bottom"/>
          </w:tcPr>
          <w:p>
            <w:pPr>
              <w:jc w:val="center"/>
              <w:ind w:left="99"/>
              <w:spacing w:after="0"/>
              <w:rPr>
                <w:sz w:val="20"/>
                <w:szCs w:val="20"/>
                <w:color w:val="auto"/>
              </w:rPr>
            </w:pPr>
            <w:r>
              <w:rPr>
                <w:rFonts w:ascii="Arial" w:cs="Arial" w:eastAsia="Arial" w:hAnsi="Arial"/>
                <w:sz w:val="16"/>
                <w:szCs w:val="16"/>
                <w:color w:val="auto"/>
                <w:w w:val="94"/>
              </w:rPr>
              <w:t>7%</w:t>
            </w:r>
          </w:p>
        </w:tc>
      </w:tr>
      <w:tr>
        <w:trPr>
          <w:trHeight w:val="189"/>
        </w:trPr>
        <w:tc>
          <w:tcPr>
            <w:tcW w:w="2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Nebraska Gas</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5,172</w:t>
            </w:r>
          </w:p>
        </w:tc>
        <w:tc>
          <w:tcPr>
            <w:tcW w:w="1660" w:type="dxa"/>
            <w:vAlign w:val="bottom"/>
            <w:shd w:val="clear" w:color="auto" w:fill="CFF0FC"/>
          </w:tcPr>
          <w:p>
            <w:pPr>
              <w:jc w:val="center"/>
              <w:ind w:left="59"/>
              <w:spacing w:after="0"/>
              <w:rPr>
                <w:sz w:val="20"/>
                <w:szCs w:val="20"/>
                <w:color w:val="auto"/>
              </w:rPr>
            </w:pPr>
            <w:r>
              <w:rPr>
                <w:rFonts w:ascii="Arial" w:cs="Arial" w:eastAsia="Arial" w:hAnsi="Arial"/>
                <w:sz w:val="16"/>
                <w:szCs w:val="16"/>
                <w:color w:val="auto"/>
              </w:rPr>
              <w:t>(13)%</w:t>
            </w:r>
          </w:p>
        </w:tc>
        <w:tc>
          <w:tcPr>
            <w:tcW w:w="1140" w:type="dxa"/>
            <w:vAlign w:val="bottom"/>
            <w:shd w:val="clear" w:color="auto" w:fill="CFF0FC"/>
          </w:tcPr>
          <w:p>
            <w:pPr>
              <w:jc w:val="center"/>
              <w:ind w:left="179"/>
              <w:spacing w:after="0"/>
              <w:rPr>
                <w:sz w:val="20"/>
                <w:szCs w:val="20"/>
                <w:color w:val="auto"/>
              </w:rPr>
            </w:pPr>
            <w:r>
              <w:rPr>
                <w:rFonts w:ascii="Arial" w:cs="Arial" w:eastAsia="Arial" w:hAnsi="Arial"/>
                <w:sz w:val="16"/>
                <w:szCs w:val="16"/>
                <w:color w:val="auto"/>
                <w:w w:val="99"/>
              </w:rPr>
              <w:t>5,579</w:t>
            </w:r>
          </w:p>
        </w:tc>
        <w:tc>
          <w:tcPr>
            <w:tcW w:w="1920" w:type="dxa"/>
            <w:vAlign w:val="bottom"/>
            <w:shd w:val="clear" w:color="auto" w:fill="CFF0FC"/>
          </w:tcPr>
          <w:p>
            <w:pPr>
              <w:jc w:val="center"/>
              <w:ind w:left="19"/>
              <w:spacing w:after="0"/>
              <w:rPr>
                <w:sz w:val="20"/>
                <w:szCs w:val="20"/>
                <w:color w:val="auto"/>
              </w:rPr>
            </w:pPr>
            <w:r>
              <w:rPr>
                <w:rFonts w:ascii="Arial" w:cs="Arial" w:eastAsia="Arial" w:hAnsi="Arial"/>
                <w:sz w:val="16"/>
                <w:szCs w:val="16"/>
                <w:color w:val="auto"/>
              </w:rPr>
              <w:t>(8)%</w:t>
            </w:r>
          </w:p>
        </w:tc>
        <w:tc>
          <w:tcPr>
            <w:tcW w:w="980" w:type="dxa"/>
            <w:vAlign w:val="bottom"/>
            <w:shd w:val="clear" w:color="auto" w:fill="CFF0FC"/>
          </w:tcPr>
          <w:p>
            <w:pPr>
              <w:jc w:val="center"/>
              <w:ind w:left="19"/>
              <w:spacing w:after="0"/>
              <w:rPr>
                <w:sz w:val="20"/>
                <w:szCs w:val="20"/>
                <w:color w:val="auto"/>
              </w:rPr>
            </w:pPr>
            <w:r>
              <w:rPr>
                <w:rFonts w:ascii="Arial" w:cs="Arial" w:eastAsia="Arial" w:hAnsi="Arial"/>
                <w:sz w:val="16"/>
                <w:szCs w:val="16"/>
                <w:color w:val="auto"/>
                <w:w w:val="99"/>
              </w:rPr>
              <w:t>6,220</w:t>
            </w:r>
          </w:p>
        </w:tc>
        <w:tc>
          <w:tcPr>
            <w:tcW w:w="1840" w:type="dxa"/>
            <w:vAlign w:val="bottom"/>
            <w:shd w:val="clear" w:color="auto" w:fill="CFF0FC"/>
          </w:tcPr>
          <w:p>
            <w:pPr>
              <w:jc w:val="center"/>
              <w:ind w:left="99"/>
              <w:spacing w:after="0"/>
              <w:rPr>
                <w:sz w:val="20"/>
                <w:szCs w:val="20"/>
                <w:color w:val="auto"/>
              </w:rPr>
            </w:pPr>
            <w:r>
              <w:rPr>
                <w:rFonts w:ascii="Arial" w:cs="Arial" w:eastAsia="Arial" w:hAnsi="Arial"/>
                <w:sz w:val="16"/>
                <w:szCs w:val="16"/>
                <w:color w:val="auto"/>
                <w:w w:val="94"/>
              </w:rPr>
              <w:t>4%</w:t>
            </w:r>
          </w:p>
        </w:tc>
      </w:tr>
      <w:tr>
        <w:trPr>
          <w:trHeight w:val="189"/>
        </w:trPr>
        <w:tc>
          <w:tcPr>
            <w:tcW w:w="2460" w:type="dxa"/>
            <w:vAlign w:val="bottom"/>
          </w:tcPr>
          <w:p>
            <w:pPr>
              <w:ind w:left="20"/>
              <w:spacing w:after="0"/>
              <w:rPr>
                <w:sz w:val="20"/>
                <w:szCs w:val="20"/>
                <w:color w:val="auto"/>
              </w:rPr>
            </w:pPr>
            <w:r>
              <w:rPr>
                <w:rFonts w:ascii="Arial" w:cs="Arial" w:eastAsia="Arial" w:hAnsi="Arial"/>
                <w:sz w:val="16"/>
                <w:szCs w:val="16"/>
                <w:color w:val="auto"/>
              </w:rPr>
              <w:t>Wyoming Gas</w:t>
            </w:r>
          </w:p>
        </w:tc>
        <w:tc>
          <w:tcPr>
            <w:tcW w:w="1240" w:type="dxa"/>
            <w:vAlign w:val="bottom"/>
          </w:tcPr>
          <w:p>
            <w:pPr>
              <w:jc w:val="right"/>
              <w:spacing w:after="0"/>
              <w:rPr>
                <w:sz w:val="20"/>
                <w:szCs w:val="20"/>
                <w:color w:val="auto"/>
              </w:rPr>
            </w:pPr>
            <w:r>
              <w:rPr>
                <w:rFonts w:ascii="Arial" w:cs="Arial" w:eastAsia="Arial" w:hAnsi="Arial"/>
                <w:sz w:val="16"/>
                <w:szCs w:val="16"/>
                <w:color w:val="auto"/>
              </w:rPr>
              <w:t>6,641</w:t>
            </w:r>
          </w:p>
        </w:tc>
        <w:tc>
          <w:tcPr>
            <w:tcW w:w="1660" w:type="dxa"/>
            <w:vAlign w:val="bottom"/>
          </w:tcPr>
          <w:p>
            <w:pPr>
              <w:jc w:val="center"/>
              <w:ind w:left="59"/>
              <w:spacing w:after="0"/>
              <w:rPr>
                <w:sz w:val="20"/>
                <w:szCs w:val="20"/>
                <w:color w:val="auto"/>
              </w:rPr>
            </w:pPr>
            <w:r>
              <w:rPr>
                <w:rFonts w:ascii="Arial" w:cs="Arial" w:eastAsia="Arial" w:hAnsi="Arial"/>
                <w:sz w:val="16"/>
                <w:szCs w:val="16"/>
                <w:color w:val="auto"/>
              </w:rPr>
              <w:t>(10)%</w:t>
            </w:r>
          </w:p>
        </w:tc>
        <w:tc>
          <w:tcPr>
            <w:tcW w:w="1140" w:type="dxa"/>
            <w:vAlign w:val="bottom"/>
          </w:tcPr>
          <w:p>
            <w:pPr>
              <w:jc w:val="center"/>
              <w:ind w:left="179"/>
              <w:spacing w:after="0"/>
              <w:rPr>
                <w:sz w:val="20"/>
                <w:szCs w:val="20"/>
                <w:color w:val="auto"/>
              </w:rPr>
            </w:pPr>
            <w:r>
              <w:rPr>
                <w:rFonts w:ascii="Arial" w:cs="Arial" w:eastAsia="Arial" w:hAnsi="Arial"/>
                <w:sz w:val="16"/>
                <w:szCs w:val="16"/>
                <w:color w:val="auto"/>
                <w:w w:val="99"/>
              </w:rPr>
              <w:t>7,385</w:t>
            </w:r>
          </w:p>
        </w:tc>
        <w:tc>
          <w:tcPr>
            <w:tcW w:w="1920" w:type="dxa"/>
            <w:vAlign w:val="bottom"/>
          </w:tcPr>
          <w:p>
            <w:pPr>
              <w:jc w:val="center"/>
              <w:ind w:left="19"/>
              <w:spacing w:after="0"/>
              <w:rPr>
                <w:sz w:val="20"/>
                <w:szCs w:val="20"/>
                <w:color w:val="auto"/>
              </w:rPr>
            </w:pPr>
            <w:r>
              <w:rPr>
                <w:rFonts w:ascii="Arial" w:cs="Arial" w:eastAsia="Arial" w:hAnsi="Arial"/>
                <w:sz w:val="16"/>
                <w:szCs w:val="16"/>
                <w:color w:val="auto"/>
                <w:w w:val="94"/>
              </w:rPr>
              <w:t>8%</w:t>
            </w:r>
          </w:p>
        </w:tc>
        <w:tc>
          <w:tcPr>
            <w:tcW w:w="980" w:type="dxa"/>
            <w:vAlign w:val="bottom"/>
          </w:tcPr>
          <w:p>
            <w:pPr>
              <w:jc w:val="center"/>
              <w:ind w:left="19"/>
              <w:spacing w:after="0"/>
              <w:rPr>
                <w:sz w:val="20"/>
                <w:szCs w:val="20"/>
                <w:color w:val="auto"/>
              </w:rPr>
            </w:pPr>
            <w:r>
              <w:rPr>
                <w:rFonts w:ascii="Arial" w:cs="Arial" w:eastAsia="Arial" w:hAnsi="Arial"/>
                <w:sz w:val="16"/>
                <w:szCs w:val="16"/>
                <w:color w:val="auto"/>
                <w:w w:val="99"/>
              </w:rPr>
              <w:t>7,644</w:t>
            </w:r>
          </w:p>
        </w:tc>
        <w:tc>
          <w:tcPr>
            <w:tcW w:w="1840" w:type="dxa"/>
            <w:vAlign w:val="bottom"/>
          </w:tcPr>
          <w:p>
            <w:pPr>
              <w:jc w:val="center"/>
              <w:ind w:left="99"/>
              <w:spacing w:after="0"/>
              <w:rPr>
                <w:sz w:val="20"/>
                <w:szCs w:val="20"/>
                <w:color w:val="auto"/>
              </w:rPr>
            </w:pPr>
            <w:r>
              <w:rPr>
                <w:rFonts w:ascii="Arial" w:cs="Arial" w:eastAsia="Arial" w:hAnsi="Arial"/>
                <w:sz w:val="16"/>
                <w:szCs w:val="16"/>
                <w:color w:val="auto"/>
              </w:rPr>
              <w:t>12%</w:t>
            </w:r>
          </w:p>
        </w:tc>
      </w:tr>
      <w:tr>
        <w:trPr>
          <w:trHeight w:val="189"/>
        </w:trPr>
        <w:tc>
          <w:tcPr>
            <w:tcW w:w="2460" w:type="dxa"/>
            <w:vAlign w:val="bottom"/>
            <w:shd w:val="clear" w:color="auto" w:fill="CFF0FC"/>
          </w:tcPr>
          <w:p>
            <w:pPr>
              <w:ind w:left="120"/>
              <w:spacing w:after="0" w:line="189" w:lineRule="exact"/>
              <w:rPr>
                <w:sz w:val="20"/>
                <w:szCs w:val="20"/>
                <w:color w:val="auto"/>
              </w:rPr>
            </w:pPr>
            <w:r>
              <w:rPr>
                <w:rFonts w:ascii="Arial" w:cs="Arial" w:eastAsia="Arial" w:hAnsi="Arial"/>
                <w:sz w:val="16"/>
                <w:szCs w:val="16"/>
                <w:color w:val="auto"/>
              </w:rPr>
              <w:t xml:space="preserve">Combined </w:t>
            </w:r>
            <w:r>
              <w:rPr>
                <w:rFonts w:ascii="Arial" w:cs="Arial" w:eastAsia="Arial" w:hAnsi="Arial"/>
                <w:sz w:val="21"/>
                <w:szCs w:val="21"/>
                <w:color w:val="auto"/>
                <w:vertAlign w:val="superscript"/>
              </w:rPr>
              <w:t>(b)</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5,517</w:t>
            </w:r>
          </w:p>
        </w:tc>
        <w:tc>
          <w:tcPr>
            <w:tcW w:w="1660" w:type="dxa"/>
            <w:vAlign w:val="bottom"/>
            <w:shd w:val="clear" w:color="auto" w:fill="CFF0FC"/>
          </w:tcPr>
          <w:p>
            <w:pPr>
              <w:jc w:val="center"/>
              <w:ind w:left="59"/>
              <w:spacing w:after="0"/>
              <w:rPr>
                <w:sz w:val="20"/>
                <w:szCs w:val="20"/>
                <w:color w:val="auto"/>
              </w:rPr>
            </w:pPr>
            <w:r>
              <w:rPr>
                <w:rFonts w:ascii="Arial" w:cs="Arial" w:eastAsia="Arial" w:hAnsi="Arial"/>
                <w:sz w:val="16"/>
                <w:szCs w:val="16"/>
                <w:color w:val="auto"/>
              </w:rPr>
              <w:t>(11)%</w:t>
            </w:r>
          </w:p>
        </w:tc>
        <w:tc>
          <w:tcPr>
            <w:tcW w:w="1140" w:type="dxa"/>
            <w:vAlign w:val="bottom"/>
            <w:shd w:val="clear" w:color="auto" w:fill="CFF0FC"/>
          </w:tcPr>
          <w:p>
            <w:pPr>
              <w:jc w:val="center"/>
              <w:ind w:left="179"/>
              <w:spacing w:after="0"/>
              <w:rPr>
                <w:sz w:val="20"/>
                <w:szCs w:val="20"/>
                <w:color w:val="auto"/>
              </w:rPr>
            </w:pPr>
            <w:r>
              <w:rPr>
                <w:rFonts w:ascii="Arial" w:cs="Arial" w:eastAsia="Arial" w:hAnsi="Arial"/>
                <w:sz w:val="16"/>
                <w:szCs w:val="16"/>
                <w:color w:val="auto"/>
                <w:w w:val="99"/>
              </w:rPr>
              <w:t>6,006</w:t>
            </w:r>
          </w:p>
        </w:tc>
        <w:tc>
          <w:tcPr>
            <w:tcW w:w="1920" w:type="dxa"/>
            <w:vAlign w:val="bottom"/>
            <w:shd w:val="clear" w:color="auto" w:fill="CFF0FC"/>
          </w:tcPr>
          <w:p>
            <w:pPr>
              <w:jc w:val="center"/>
              <w:ind w:left="19"/>
              <w:spacing w:after="0"/>
              <w:rPr>
                <w:sz w:val="20"/>
                <w:szCs w:val="20"/>
                <w:color w:val="auto"/>
              </w:rPr>
            </w:pPr>
            <w:r>
              <w:rPr>
                <w:rFonts w:ascii="Arial" w:cs="Arial" w:eastAsia="Arial" w:hAnsi="Arial"/>
                <w:sz w:val="16"/>
                <w:szCs w:val="16"/>
                <w:color w:val="auto"/>
              </w:rPr>
              <w:t>(4)%</w:t>
            </w:r>
          </w:p>
        </w:tc>
        <w:tc>
          <w:tcPr>
            <w:tcW w:w="980" w:type="dxa"/>
            <w:vAlign w:val="bottom"/>
            <w:shd w:val="clear" w:color="auto" w:fill="CFF0FC"/>
          </w:tcPr>
          <w:p>
            <w:pPr>
              <w:jc w:val="center"/>
              <w:ind w:left="19"/>
              <w:spacing w:after="0"/>
              <w:rPr>
                <w:sz w:val="20"/>
                <w:szCs w:val="20"/>
                <w:color w:val="auto"/>
              </w:rPr>
            </w:pPr>
            <w:r>
              <w:rPr>
                <w:rFonts w:ascii="Arial" w:cs="Arial" w:eastAsia="Arial" w:hAnsi="Arial"/>
                <w:sz w:val="16"/>
                <w:szCs w:val="16"/>
                <w:color w:val="auto"/>
                <w:w w:val="99"/>
              </w:rPr>
              <w:t>6,536</w:t>
            </w:r>
          </w:p>
        </w:tc>
        <w:tc>
          <w:tcPr>
            <w:tcW w:w="1840" w:type="dxa"/>
            <w:vAlign w:val="bottom"/>
            <w:shd w:val="clear" w:color="auto" w:fill="CFF0FC"/>
          </w:tcPr>
          <w:p>
            <w:pPr>
              <w:jc w:val="center"/>
              <w:ind w:left="99"/>
              <w:spacing w:after="0"/>
              <w:rPr>
                <w:sz w:val="20"/>
                <w:szCs w:val="20"/>
                <w:color w:val="auto"/>
              </w:rPr>
            </w:pPr>
            <w:r>
              <w:rPr>
                <w:rFonts w:ascii="Arial" w:cs="Arial" w:eastAsia="Arial" w:hAnsi="Arial"/>
                <w:sz w:val="16"/>
                <w:szCs w:val="16"/>
                <w:color w:val="auto"/>
                <w:w w:val="94"/>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60" w:lineRule="exact"/>
        <w:rPr>
          <w:sz w:val="20"/>
          <w:szCs w:val="20"/>
          <w:color w:val="auto"/>
        </w:rPr>
      </w:pPr>
    </w:p>
    <w:p>
      <w:pPr>
        <w:ind w:left="520" w:hanging="512"/>
        <w:spacing w:after="0"/>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Arkansas and Kansas have weather normalization mechanisms that mitigate the weather impact on Gas Utility margins.</w:t>
      </w:r>
    </w:p>
    <w:p>
      <w:pPr>
        <w:spacing w:after="0" w:line="15" w:lineRule="exact"/>
        <w:rPr>
          <w:rFonts w:ascii="Arial" w:cs="Arial" w:eastAsia="Arial" w:hAnsi="Arial"/>
          <w:sz w:val="14"/>
          <w:szCs w:val="14"/>
          <w:color w:val="auto"/>
        </w:rPr>
      </w:pPr>
    </w:p>
    <w:p>
      <w:pPr>
        <w:ind w:left="520" w:right="120" w:hanging="512"/>
        <w:spacing w:after="0" w:line="264" w:lineRule="auto"/>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Heating degree days are calculated based on a weighted average of total customers by state excluding Kansas due to its weather normalization mechanism. Arkansas Gas is partially excluded based on the weather normalization mechanism in effect from November through April.</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and Other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Corporate and Other operating results, including inter-segment eliminations, for the years ended December 31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60" w:type="dxa"/>
            <w:vAlign w:val="bottom"/>
          </w:tcPr>
          <w:p>
            <w:pPr>
              <w:jc w:val="center"/>
              <w:ind w:right="179"/>
              <w:spacing w:after="0"/>
              <w:rPr>
                <w:sz w:val="20"/>
                <w:szCs w:val="20"/>
                <w:color w:val="auto"/>
              </w:rPr>
            </w:pPr>
            <w:r>
              <w:rPr>
                <w:rFonts w:ascii="Arial" w:cs="Arial" w:eastAsia="Arial" w:hAnsi="Arial"/>
                <w:sz w:val="16"/>
                <w:szCs w:val="16"/>
                <w:b w:val="1"/>
                <w:bCs w:val="1"/>
                <w:color w:val="auto"/>
              </w:rPr>
              <w:t>2024 vs 2023</w:t>
            </w:r>
          </w:p>
        </w:tc>
        <w:tc>
          <w:tcPr>
            <w:tcW w:w="3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20" w:type="dxa"/>
            <w:vAlign w:val="bottom"/>
          </w:tcPr>
          <w:p>
            <w:pPr>
              <w:jc w:val="center"/>
              <w:ind w:right="239"/>
              <w:spacing w:after="0"/>
              <w:rPr>
                <w:sz w:val="20"/>
                <w:szCs w:val="20"/>
                <w:color w:val="auto"/>
              </w:rPr>
            </w:pPr>
            <w:r>
              <w:rPr>
                <w:rFonts w:ascii="Arial" w:cs="Arial" w:eastAsia="Arial" w:hAnsi="Arial"/>
                <w:sz w:val="16"/>
                <w:szCs w:val="16"/>
                <w:b w:val="1"/>
                <w:bCs w:val="1"/>
                <w:color w:val="auto"/>
              </w:rPr>
              <w:t>2023 vs 2022</w:t>
            </w:r>
          </w:p>
        </w:tc>
      </w:tr>
      <w:tr>
        <w:trPr>
          <w:trHeight w:val="203"/>
        </w:trPr>
        <w:tc>
          <w:tcPr>
            <w:tcW w:w="33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899"/>
              <w:spacing w:after="0"/>
              <w:rPr>
                <w:sz w:val="20"/>
                <w:szCs w:val="20"/>
                <w:color w:val="auto"/>
              </w:rPr>
            </w:pPr>
            <w:r>
              <w:rPr>
                <w:rFonts w:ascii="Arial" w:cs="Arial" w:eastAsia="Arial" w:hAnsi="Arial"/>
                <w:sz w:val="16"/>
                <w:szCs w:val="16"/>
                <w:b w:val="1"/>
                <w:bCs w:val="1"/>
                <w:color w:val="auto"/>
              </w:rPr>
              <w:t>2024</w:t>
            </w:r>
          </w:p>
        </w:tc>
        <w:tc>
          <w:tcPr>
            <w:tcW w:w="140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2023</w:t>
            </w:r>
          </w:p>
        </w:tc>
        <w:tc>
          <w:tcPr>
            <w:tcW w:w="136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8"/>
              </w:rPr>
              <w:t>Variance</w:t>
            </w:r>
          </w:p>
        </w:tc>
        <w:tc>
          <w:tcPr>
            <w:tcW w:w="3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2022</w:t>
            </w:r>
          </w:p>
        </w:tc>
        <w:tc>
          <w:tcPr>
            <w:tcW w:w="142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w w:val="98"/>
              </w:rPr>
              <w:t>Variance</w:t>
            </w:r>
          </w:p>
        </w:tc>
      </w:tr>
      <w:tr>
        <w:trPr>
          <w:trHeight w:val="183"/>
        </w:trPr>
        <w:tc>
          <w:tcPr>
            <w:tcW w:w="33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39"/>
              <w:spacing w:after="0" w:line="183" w:lineRule="exact"/>
              <w:rPr>
                <w:sz w:val="20"/>
                <w:szCs w:val="20"/>
                <w:color w:val="auto"/>
              </w:rPr>
            </w:pPr>
            <w:r>
              <w:rPr>
                <w:rFonts w:ascii="Arial" w:cs="Arial" w:eastAsia="Arial" w:hAnsi="Arial"/>
                <w:sz w:val="16"/>
                <w:szCs w:val="16"/>
                <w:color w:val="auto"/>
              </w:rPr>
              <w:t>(in millions)</w:t>
            </w:r>
          </w:p>
        </w:tc>
        <w:tc>
          <w:tcPr>
            <w:tcW w:w="3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r>
      <w:tr>
        <w:trPr>
          <w:trHeight w:val="183"/>
        </w:trPr>
        <w:tc>
          <w:tcPr>
            <w:tcW w:w="338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Operating (loss)</w:t>
            </w:r>
          </w:p>
        </w:tc>
        <w:tc>
          <w:tcPr>
            <w:tcW w:w="320" w:type="dxa"/>
            <w:vAlign w:val="bottom"/>
            <w:shd w:val="clear" w:color="auto" w:fill="CFF0FC"/>
          </w:tcPr>
          <w:p>
            <w:pPr>
              <w:jc w:val="right"/>
              <w:ind w:right="139"/>
              <w:spacing w:after="0" w:line="183" w:lineRule="exact"/>
              <w:rPr>
                <w:sz w:val="20"/>
                <w:szCs w:val="20"/>
                <w:color w:val="auto"/>
              </w:rPr>
            </w:pPr>
            <w:r>
              <w:rPr>
                <w:rFonts w:ascii="Arial" w:cs="Arial" w:eastAsia="Arial" w:hAnsi="Arial"/>
                <w:sz w:val="16"/>
                <w:szCs w:val="16"/>
                <w:color w:val="auto"/>
                <w:w w:val="89"/>
              </w:rPr>
              <w:t>$</w:t>
            </w:r>
          </w:p>
        </w:tc>
        <w:tc>
          <w:tcPr>
            <w:tcW w:w="1580" w:type="dxa"/>
            <w:vAlign w:val="bottom"/>
            <w:shd w:val="clear" w:color="auto" w:fill="CFF0FC"/>
          </w:tcPr>
          <w:p>
            <w:pPr>
              <w:jc w:val="right"/>
              <w:ind w:right="139"/>
              <w:spacing w:after="0" w:line="183" w:lineRule="exact"/>
              <w:rPr>
                <w:sz w:val="20"/>
                <w:szCs w:val="20"/>
                <w:color w:val="auto"/>
              </w:rPr>
            </w:pPr>
            <w:r>
              <w:rPr>
                <w:rFonts w:ascii="Arial" w:cs="Arial" w:eastAsia="Arial" w:hAnsi="Arial"/>
                <w:sz w:val="16"/>
                <w:szCs w:val="16"/>
                <w:color w:val="auto"/>
              </w:rPr>
              <w:t>(1.2 ) $</w:t>
            </w:r>
          </w:p>
        </w:tc>
        <w:tc>
          <w:tcPr>
            <w:tcW w:w="14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(4.9 ) $</w:t>
            </w:r>
          </w:p>
        </w:tc>
        <w:tc>
          <w:tcPr>
            <w:tcW w:w="13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3.7</w:t>
            </w:r>
          </w:p>
        </w:tc>
        <w:tc>
          <w:tcPr>
            <w:tcW w:w="380" w:type="dxa"/>
            <w:vAlign w:val="bottom"/>
            <w:shd w:val="clear" w:color="auto" w:fill="CFF0FC"/>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(3.3 ) $</w:t>
            </w:r>
          </w:p>
        </w:tc>
        <w:tc>
          <w:tcPr>
            <w:tcW w:w="14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(1.6 )</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2024 Compared to 2023</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Operating (loss) decreased primarily due to lower unallocated outside services expenses and a gain on the sale of a Corporate asset.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Interest Expense, Other Income (Expense) and Income Tax (Expense)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720" w:type="dxa"/>
            <w:vAlign w:val="bottom"/>
          </w:tcPr>
          <w:p>
            <w:pPr>
              <w:jc w:val="center"/>
              <w:ind w:right="559"/>
              <w:spacing w:after="0"/>
              <w:rPr>
                <w:sz w:val="20"/>
                <w:szCs w:val="20"/>
                <w:color w:val="auto"/>
              </w:rPr>
            </w:pPr>
            <w:r>
              <w:rPr>
                <w:rFonts w:ascii="Arial" w:cs="Arial" w:eastAsia="Arial" w:hAnsi="Arial"/>
                <w:sz w:val="16"/>
                <w:szCs w:val="16"/>
                <w:b w:val="1"/>
                <w:bCs w:val="1"/>
                <w:color w:val="auto"/>
              </w:rPr>
              <w:t>2024 vs 2023</w:t>
            </w:r>
          </w:p>
        </w:tc>
        <w:tc>
          <w:tcPr>
            <w:tcW w:w="1380" w:type="dxa"/>
            <w:vAlign w:val="bottom"/>
          </w:tcPr>
          <w:p>
            <w:pPr>
              <w:spacing w:after="0"/>
              <w:rPr>
                <w:sz w:val="16"/>
                <w:szCs w:val="16"/>
                <w:color w:val="auto"/>
              </w:rPr>
            </w:pPr>
          </w:p>
        </w:tc>
        <w:tc>
          <w:tcPr>
            <w:tcW w:w="1400" w:type="dxa"/>
            <w:vAlign w:val="bottom"/>
          </w:tcPr>
          <w:p>
            <w:pPr>
              <w:jc w:val="right"/>
              <w:ind w:right="279"/>
              <w:spacing w:after="0"/>
              <w:rPr>
                <w:sz w:val="20"/>
                <w:szCs w:val="20"/>
                <w:color w:val="auto"/>
              </w:rPr>
            </w:pPr>
            <w:r>
              <w:rPr>
                <w:rFonts w:ascii="Arial" w:cs="Arial" w:eastAsia="Arial" w:hAnsi="Arial"/>
                <w:sz w:val="16"/>
                <w:szCs w:val="16"/>
                <w:b w:val="1"/>
                <w:bCs w:val="1"/>
                <w:color w:val="auto"/>
              </w:rPr>
              <w:t>2023 vs 2022</w:t>
            </w:r>
          </w:p>
        </w:tc>
      </w:tr>
      <w:tr>
        <w:trPr>
          <w:trHeight w:val="203"/>
        </w:trPr>
        <w:tc>
          <w:tcPr>
            <w:tcW w:w="348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9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2023</w:t>
            </w:r>
          </w:p>
        </w:tc>
        <w:tc>
          <w:tcPr>
            <w:tcW w:w="1720" w:type="dxa"/>
            <w:vAlign w:val="bottom"/>
            <w:tcBorders>
              <w:bottom w:val="single" w:sz="8" w:color="auto"/>
            </w:tcBorders>
          </w:tcPr>
          <w:p>
            <w:pPr>
              <w:jc w:val="center"/>
              <w:ind w:right="519"/>
              <w:spacing w:after="0"/>
              <w:rPr>
                <w:sz w:val="20"/>
                <w:szCs w:val="20"/>
                <w:color w:val="auto"/>
              </w:rPr>
            </w:pPr>
            <w:r>
              <w:rPr>
                <w:rFonts w:ascii="Arial" w:cs="Arial" w:eastAsia="Arial" w:hAnsi="Arial"/>
                <w:sz w:val="16"/>
                <w:szCs w:val="16"/>
                <w:b w:val="1"/>
                <w:bCs w:val="1"/>
                <w:color w:val="auto"/>
              </w:rPr>
              <w:t>Variance</w:t>
            </w:r>
          </w:p>
        </w:tc>
        <w:tc>
          <w:tcPr>
            <w:tcW w:w="138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2022</w:t>
            </w:r>
          </w:p>
        </w:tc>
        <w:tc>
          <w:tcPr>
            <w:tcW w:w="14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Variance</w:t>
            </w:r>
          </w:p>
        </w:tc>
      </w:tr>
      <w:tr>
        <w:trPr>
          <w:trHeight w:val="183"/>
        </w:trPr>
        <w:tc>
          <w:tcPr>
            <w:tcW w:w="34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center"/>
              <w:ind w:right="539"/>
              <w:spacing w:after="0" w:line="183" w:lineRule="exact"/>
              <w:rPr>
                <w:sz w:val="20"/>
                <w:szCs w:val="20"/>
                <w:color w:val="auto"/>
              </w:rPr>
            </w:pPr>
            <w:r>
              <w:rPr>
                <w:rFonts w:ascii="Arial" w:cs="Arial" w:eastAsia="Arial" w:hAnsi="Arial"/>
                <w:sz w:val="16"/>
                <w:szCs w:val="16"/>
                <w:color w:val="auto"/>
              </w:rPr>
              <w:t>(in millions)</w:t>
            </w:r>
          </w:p>
        </w:tc>
        <w:tc>
          <w:tcPr>
            <w:tcW w:w="13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r>
      <w:tr>
        <w:trPr>
          <w:trHeight w:val="183"/>
        </w:trPr>
        <w:tc>
          <w:tcPr>
            <w:tcW w:w="348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Interest expense, net</w:t>
            </w:r>
          </w:p>
        </w:tc>
        <w:tc>
          <w:tcPr>
            <w:tcW w:w="920" w:type="dxa"/>
            <w:vAlign w:val="bottom"/>
            <w:shd w:val="clear" w:color="auto" w:fill="CFF0FC"/>
          </w:tcPr>
          <w:p>
            <w:pPr>
              <w:jc w:val="right"/>
              <w:ind w:right="739"/>
              <w:spacing w:after="0" w:line="183" w:lineRule="exact"/>
              <w:rPr>
                <w:sz w:val="20"/>
                <w:szCs w:val="20"/>
                <w:color w:val="auto"/>
              </w:rPr>
            </w:pPr>
            <w:r>
              <w:rPr>
                <w:rFonts w:ascii="Arial" w:cs="Arial" w:eastAsia="Arial" w:hAnsi="Arial"/>
                <w:sz w:val="16"/>
                <w:szCs w:val="16"/>
                <w:color w:val="auto"/>
                <w:w w:val="89"/>
              </w:rPr>
              <w:t>$</w:t>
            </w:r>
          </w:p>
        </w:tc>
        <w:tc>
          <w:tcPr>
            <w:tcW w:w="940" w:type="dxa"/>
            <w:vAlign w:val="bottom"/>
            <w:shd w:val="clear" w:color="auto" w:fill="CFF0FC"/>
          </w:tcPr>
          <w:p>
            <w:pPr>
              <w:jc w:val="right"/>
              <w:ind w:right="119"/>
              <w:spacing w:after="0" w:line="183" w:lineRule="exact"/>
              <w:rPr>
                <w:sz w:val="20"/>
                <w:szCs w:val="20"/>
                <w:color w:val="auto"/>
              </w:rPr>
            </w:pPr>
            <w:r>
              <w:rPr>
                <w:rFonts w:ascii="Arial" w:cs="Arial" w:eastAsia="Arial" w:hAnsi="Arial"/>
                <w:sz w:val="16"/>
                <w:szCs w:val="16"/>
                <w:color w:val="auto"/>
              </w:rPr>
              <w:t>(181.7 ) $</w:t>
            </w:r>
          </w:p>
        </w:tc>
        <w:tc>
          <w:tcPr>
            <w:tcW w:w="14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(167.9 ) $</w:t>
            </w:r>
          </w:p>
        </w:tc>
        <w:tc>
          <w:tcPr>
            <w:tcW w:w="1720" w:type="dxa"/>
            <w:vAlign w:val="bottom"/>
            <w:shd w:val="clear" w:color="auto" w:fill="CFF0FC"/>
          </w:tcPr>
          <w:p>
            <w:pPr>
              <w:jc w:val="right"/>
              <w:ind w:right="139"/>
              <w:spacing w:after="0" w:line="183" w:lineRule="exact"/>
              <w:rPr>
                <w:sz w:val="20"/>
                <w:szCs w:val="20"/>
                <w:color w:val="auto"/>
              </w:rPr>
            </w:pPr>
            <w:r>
              <w:rPr>
                <w:rFonts w:ascii="Arial" w:cs="Arial" w:eastAsia="Arial" w:hAnsi="Arial"/>
                <w:sz w:val="16"/>
                <w:szCs w:val="16"/>
                <w:color w:val="auto"/>
              </w:rPr>
              <w:t>(13.8 ) $</w:t>
            </w:r>
          </w:p>
        </w:tc>
        <w:tc>
          <w:tcPr>
            <w:tcW w:w="13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(161.0 ) $</w:t>
            </w:r>
          </w:p>
        </w:tc>
        <w:tc>
          <w:tcPr>
            <w:tcW w:w="14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(6.9 )</w:t>
            </w:r>
          </w:p>
        </w:tc>
      </w:tr>
      <w:tr>
        <w:trPr>
          <w:trHeight w:val="189"/>
        </w:trPr>
        <w:tc>
          <w:tcPr>
            <w:tcW w:w="3480" w:type="dxa"/>
            <w:vAlign w:val="bottom"/>
          </w:tcPr>
          <w:p>
            <w:pPr>
              <w:ind w:left="20"/>
              <w:spacing w:after="0"/>
              <w:rPr>
                <w:sz w:val="20"/>
                <w:szCs w:val="20"/>
                <w:color w:val="auto"/>
              </w:rPr>
            </w:pPr>
            <w:r>
              <w:rPr>
                <w:rFonts w:ascii="Arial" w:cs="Arial" w:eastAsia="Arial" w:hAnsi="Arial"/>
                <w:sz w:val="16"/>
                <w:szCs w:val="16"/>
                <w:color w:val="auto"/>
              </w:rPr>
              <w:t>Other income (expense), net</w:t>
            </w:r>
          </w:p>
        </w:tc>
        <w:tc>
          <w:tcPr>
            <w:tcW w:w="920" w:type="dxa"/>
            <w:vAlign w:val="bottom"/>
          </w:tcPr>
          <w:p>
            <w:pPr>
              <w:spacing w:after="0"/>
              <w:rPr>
                <w:sz w:val="16"/>
                <w:szCs w:val="16"/>
                <w:color w:val="auto"/>
              </w:rPr>
            </w:pPr>
          </w:p>
        </w:tc>
        <w:tc>
          <w:tcPr>
            <w:tcW w:w="940" w:type="dxa"/>
            <w:vAlign w:val="bottom"/>
          </w:tcPr>
          <w:p>
            <w:pPr>
              <w:jc w:val="right"/>
              <w:ind w:right="279"/>
              <w:spacing w:after="0"/>
              <w:rPr>
                <w:sz w:val="20"/>
                <w:szCs w:val="20"/>
                <w:color w:val="auto"/>
              </w:rPr>
            </w:pPr>
            <w:r>
              <w:rPr>
                <w:rFonts w:ascii="Arial" w:cs="Arial" w:eastAsia="Arial" w:hAnsi="Arial"/>
                <w:sz w:val="16"/>
                <w:szCs w:val="16"/>
                <w:color w:val="auto"/>
              </w:rPr>
              <w:t>(1.4 )</w:t>
            </w: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(3.2 )</w:t>
            </w:r>
          </w:p>
        </w:tc>
        <w:tc>
          <w:tcPr>
            <w:tcW w:w="1720" w:type="dxa"/>
            <w:vAlign w:val="bottom"/>
          </w:tcPr>
          <w:p>
            <w:pPr>
              <w:jc w:val="right"/>
              <w:ind w:right="379"/>
              <w:spacing w:after="0"/>
              <w:rPr>
                <w:sz w:val="20"/>
                <w:szCs w:val="20"/>
                <w:color w:val="auto"/>
              </w:rPr>
            </w:pPr>
            <w:r>
              <w:rPr>
                <w:rFonts w:ascii="Arial" w:cs="Arial" w:eastAsia="Arial" w:hAnsi="Arial"/>
                <w:sz w:val="16"/>
                <w:szCs w:val="16"/>
                <w:color w:val="auto"/>
              </w:rPr>
              <w:t>1.8</w:t>
            </w:r>
          </w:p>
        </w:tc>
        <w:tc>
          <w:tcPr>
            <w:tcW w:w="1380" w:type="dxa"/>
            <w:vAlign w:val="bottom"/>
          </w:tcPr>
          <w:p>
            <w:pPr>
              <w:jc w:val="right"/>
              <w:ind w:right="199"/>
              <w:spacing w:after="0"/>
              <w:rPr>
                <w:sz w:val="20"/>
                <w:szCs w:val="20"/>
                <w:color w:val="auto"/>
              </w:rPr>
            </w:pPr>
            <w:r>
              <w:rPr>
                <w:rFonts w:ascii="Arial" w:cs="Arial" w:eastAsia="Arial" w:hAnsi="Arial"/>
                <w:sz w:val="16"/>
                <w:szCs w:val="16"/>
                <w:color w:val="auto"/>
              </w:rPr>
              <w:t>1.8</w:t>
            </w:r>
          </w:p>
        </w:tc>
        <w:tc>
          <w:tcPr>
            <w:tcW w:w="1400" w:type="dxa"/>
            <w:vAlign w:val="bottom"/>
          </w:tcPr>
          <w:p>
            <w:pPr>
              <w:jc w:val="right"/>
              <w:spacing w:after="0"/>
              <w:rPr>
                <w:sz w:val="20"/>
                <w:szCs w:val="20"/>
                <w:color w:val="auto"/>
              </w:rPr>
            </w:pPr>
            <w:r>
              <w:rPr>
                <w:rFonts w:ascii="Arial" w:cs="Arial" w:eastAsia="Arial" w:hAnsi="Arial"/>
                <w:sz w:val="16"/>
                <w:szCs w:val="16"/>
                <w:color w:val="auto"/>
              </w:rPr>
              <w:t>(5.0 )</w:t>
            </w:r>
          </w:p>
        </w:tc>
      </w:tr>
      <w:tr>
        <w:trPr>
          <w:trHeight w:val="189"/>
        </w:trPr>
        <w:tc>
          <w:tcPr>
            <w:tcW w:w="3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Income tax (expense)</w:t>
            </w:r>
          </w:p>
        </w:tc>
        <w:tc>
          <w:tcPr>
            <w:tcW w:w="92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rPr>
              <w:t>(36.3 )</w:t>
            </w:r>
          </w:p>
        </w:tc>
        <w:tc>
          <w:tcPr>
            <w:tcW w:w="14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(25.6 )</w:t>
            </w:r>
          </w:p>
        </w:tc>
        <w:tc>
          <w:tcPr>
            <w:tcW w:w="172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rPr>
              <w:t>(10.7 )</w:t>
            </w:r>
          </w:p>
        </w:tc>
        <w:tc>
          <w:tcPr>
            <w:tcW w:w="13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(25.2 )</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(0.4 )</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2024 Compared to 2023</w:t>
      </w:r>
    </w:p>
    <w:p>
      <w:pPr>
        <w:spacing w:after="0" w:line="194"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u w:val="single" w:color="auto"/>
          <w:color w:val="auto"/>
        </w:rPr>
        <w:t>Interest expense, net</w:t>
      </w:r>
      <w:r>
        <w:rPr>
          <w:rFonts w:ascii="Arial" w:cs="Arial" w:eastAsia="Arial" w:hAnsi="Arial"/>
          <w:sz w:val="16"/>
          <w:szCs w:val="16"/>
          <w:color w:val="auto"/>
        </w:rPr>
        <w:t xml:space="preserve"> increased due to higher interest rates partially offset by higher interest income and higher AFUDC debt driven by higher construction work-in-progress balances.</w:t>
      </w:r>
    </w:p>
    <w:p>
      <w:pPr>
        <w:spacing w:after="0" w:line="129" w:lineRule="exact"/>
        <w:rPr>
          <w:sz w:val="20"/>
          <w:szCs w:val="20"/>
          <w:color w:val="auto"/>
        </w:rPr>
      </w:pPr>
    </w:p>
    <w:p>
      <w:pPr>
        <w:ind w:left="5540" w:right="2120" w:hanging="5525"/>
        <w:spacing w:after="0" w:line="286" w:lineRule="auto"/>
        <w:rPr>
          <w:sz w:val="20"/>
          <w:szCs w:val="20"/>
          <w:color w:val="auto"/>
        </w:rPr>
      </w:pPr>
      <w:r>
        <w:rPr>
          <w:rFonts w:ascii="Arial" w:cs="Arial" w:eastAsia="Arial" w:hAnsi="Arial"/>
          <w:sz w:val="16"/>
          <w:szCs w:val="16"/>
          <w:u w:val="single" w:color="auto"/>
          <w:color w:val="auto"/>
        </w:rPr>
        <w:t>Other (expense), net</w:t>
      </w:r>
      <w:r>
        <w:rPr>
          <w:rFonts w:ascii="Arial" w:cs="Arial" w:eastAsia="Arial" w:hAnsi="Arial"/>
          <w:sz w:val="16"/>
          <w:szCs w:val="16"/>
          <w:color w:val="auto"/>
        </w:rPr>
        <w:t xml:space="preserve"> decreased primarily due to higher AFUDC equity driven by higher construction work-in-progress balances.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438150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right="140"/>
        <w:spacing w:after="0" w:line="266" w:lineRule="auto"/>
        <w:rPr>
          <w:sz w:val="20"/>
          <w:szCs w:val="20"/>
          <w:color w:val="auto"/>
        </w:rPr>
      </w:pPr>
      <w:r>
        <w:rPr>
          <w:rFonts w:ascii="Arial" w:cs="Arial" w:eastAsia="Arial" w:hAnsi="Arial"/>
          <w:sz w:val="16"/>
          <w:szCs w:val="16"/>
          <w:u w:val="single" w:color="auto"/>
          <w:color w:val="auto"/>
        </w:rPr>
        <w:t>Income tax (expense)</w:t>
      </w:r>
      <w:r>
        <w:rPr>
          <w:rFonts w:ascii="Arial" w:cs="Arial" w:eastAsia="Arial" w:hAnsi="Arial"/>
          <w:sz w:val="16"/>
          <w:szCs w:val="16"/>
          <w:color w:val="auto"/>
        </w:rPr>
        <w:t xml:space="preserve"> increased due to higher pre-tax income and a higher effective tax rate. The effective tax rate was 11.3% for 2024 and 8.5% for 2023. The effective tax rate was higher primarily due to a $8.2 million tax benefit in 2023 from a Nebraska income tax rate decrease. See </w:t>
      </w:r>
      <w:r>
        <w:rPr>
          <w:rFonts w:ascii="Arial" w:cs="Arial" w:eastAsia="Arial" w:hAnsi="Arial"/>
          <w:sz w:val="16"/>
          <w:szCs w:val="16"/>
          <w:u w:val="single" w:color="auto"/>
          <w:color w:val="0000FF"/>
        </w:rPr>
        <w:t>Note 15</w:t>
      </w:r>
      <w:r>
        <w:rPr>
          <w:rFonts w:ascii="Arial" w:cs="Arial" w:eastAsia="Arial" w:hAnsi="Arial"/>
          <w:sz w:val="16"/>
          <w:szCs w:val="16"/>
          <w:color w:val="auto"/>
        </w:rPr>
        <w:t xml:space="preserve"> of the Notes to Consolidated Financial Statements in this Annual Report on Form 10-K for additional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5969000</wp:posOffset>
            </wp:positionH>
            <wp:positionV relativeFrom="paragraph">
              <wp:posOffset>-156210</wp:posOffset>
            </wp:positionV>
            <wp:extent cx="36004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Liquidity and Capital Resources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94"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Our company requires significant cash to support and grow our businesses. Our primary sources of cash are generated from our operating activities, Revolving Credit Facility, CP Program, ATM, and ability to access the public and private capital markets through debt and equity securities offerings when necessary. This cash is used for, among other things, working capital, capital expenditures, dividends, pension funding, investments in or acquisitions of assets and businesses, payment of debt obligations, and redemption of outstanding debt and equity securities when required or financially appropriate.</w:t>
      </w:r>
    </w:p>
    <w:p>
      <w:pPr>
        <w:spacing w:after="0" w:line="15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We experience significant cash requirements during peak months of the winter heating season due to higher natural gas consumption, during periods of high natural gas prices, and during the construction season, which typically peaks in spring and summer.</w:t>
      </w:r>
    </w:p>
    <w:p>
      <w:pPr>
        <w:spacing w:after="0" w:line="129"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We believe that our cash on hand, operating cash flows, existing borrowing capacity, and ability to complete new debt and equity financings, taken in their entirety, provide sufficient capital resources to fund our ongoing operating requirements, regulatory liabilities, debt maturities, anticipated dividends, and anticipated capital expenditures discussed in this section.</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an informational summary of our liquidity and capital structure as of December 31: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7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2023</w:t>
            </w:r>
          </w:p>
        </w:tc>
      </w:tr>
      <w:tr>
        <w:trPr>
          <w:trHeight w:val="183"/>
        </w:trPr>
        <w:tc>
          <w:tcPr>
            <w:tcW w:w="768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(dollars in millions)</w:t>
            </w:r>
          </w:p>
        </w:tc>
        <w:tc>
          <w:tcPr>
            <w:tcW w:w="1180" w:type="dxa"/>
            <w:vAlign w:val="bottom"/>
            <w:tcBorders>
              <w:bottom w:val="single" w:sz="8" w:color="auto"/>
            </w:tcBorders>
          </w:tcPr>
          <w:p>
            <w:pPr>
              <w:spacing w:after="0"/>
              <w:rPr>
                <w:sz w:val="15"/>
                <w:szCs w:val="15"/>
                <w:color w:val="auto"/>
              </w:rPr>
            </w:pPr>
          </w:p>
        </w:tc>
      </w:tr>
      <w:tr>
        <w:trPr>
          <w:trHeight w:val="183"/>
        </w:trPr>
        <w:tc>
          <w:tcPr>
            <w:tcW w:w="768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Cash and cash equivalents</w:t>
            </w:r>
          </w:p>
        </w:tc>
        <w:tc>
          <w:tcPr>
            <w:tcW w:w="1000" w:type="dxa"/>
            <w:vAlign w:val="bottom"/>
            <w:shd w:val="clear" w:color="auto" w:fill="CFF0FC"/>
          </w:tcPr>
          <w:p>
            <w:pPr>
              <w:jc w:val="right"/>
              <w:ind w:right="819"/>
              <w:spacing w:after="0" w:line="183" w:lineRule="exact"/>
              <w:rPr>
                <w:sz w:val="20"/>
                <w:szCs w:val="20"/>
                <w:color w:val="auto"/>
              </w:rPr>
            </w:pPr>
            <w:r>
              <w:rPr>
                <w:rFonts w:ascii="Arial" w:cs="Arial" w:eastAsia="Arial" w:hAnsi="Arial"/>
                <w:sz w:val="16"/>
                <w:szCs w:val="16"/>
                <w:color w:val="auto"/>
                <w:w w:val="89"/>
              </w:rPr>
              <w:t>$</w:t>
            </w:r>
          </w:p>
        </w:tc>
        <w:tc>
          <w:tcPr>
            <w:tcW w:w="780" w:type="dxa"/>
            <w:vAlign w:val="bottom"/>
            <w:shd w:val="clear" w:color="auto" w:fill="CFF0FC"/>
          </w:tcPr>
          <w:p>
            <w:pPr>
              <w:jc w:val="right"/>
              <w:ind w:right="119"/>
              <w:spacing w:after="0" w:line="183" w:lineRule="exact"/>
              <w:rPr>
                <w:sz w:val="20"/>
                <w:szCs w:val="20"/>
                <w:color w:val="auto"/>
              </w:rPr>
            </w:pPr>
            <w:r>
              <w:rPr>
                <w:rFonts w:ascii="Arial" w:cs="Arial" w:eastAsia="Arial" w:hAnsi="Arial"/>
                <w:sz w:val="16"/>
                <w:szCs w:val="16"/>
                <w:color w:val="auto"/>
              </w:rPr>
              <w:t>16.1</w:t>
            </w:r>
          </w:p>
        </w:tc>
        <w:tc>
          <w:tcPr>
            <w:tcW w:w="600" w:type="dxa"/>
            <w:vAlign w:val="bottom"/>
            <w:shd w:val="clear" w:color="auto" w:fill="CFF0FC"/>
          </w:tcPr>
          <w:p>
            <w:pPr>
              <w:jc w:val="right"/>
              <w:ind w:right="419"/>
              <w:spacing w:after="0" w:line="183" w:lineRule="exact"/>
              <w:rPr>
                <w:sz w:val="20"/>
                <w:szCs w:val="20"/>
                <w:color w:val="auto"/>
              </w:rPr>
            </w:pPr>
            <w:r>
              <w:rPr>
                <w:rFonts w:ascii="Arial" w:cs="Arial" w:eastAsia="Arial" w:hAnsi="Arial"/>
                <w:sz w:val="16"/>
                <w:szCs w:val="16"/>
                <w:color w:val="auto"/>
                <w:w w:val="89"/>
              </w:rPr>
              <w:t>$</w:t>
            </w:r>
          </w:p>
        </w:tc>
        <w:tc>
          <w:tcPr>
            <w:tcW w:w="1180" w:type="dxa"/>
            <w:vAlign w:val="bottom"/>
            <w:shd w:val="clear" w:color="auto" w:fill="CFF0FC"/>
          </w:tcPr>
          <w:p>
            <w:pPr>
              <w:jc w:val="right"/>
              <w:ind w:right="119"/>
              <w:spacing w:after="0" w:line="183" w:lineRule="exact"/>
              <w:rPr>
                <w:sz w:val="20"/>
                <w:szCs w:val="20"/>
                <w:color w:val="auto"/>
              </w:rPr>
            </w:pPr>
            <w:r>
              <w:rPr>
                <w:rFonts w:ascii="Arial" w:cs="Arial" w:eastAsia="Arial" w:hAnsi="Arial"/>
                <w:sz w:val="16"/>
                <w:szCs w:val="16"/>
                <w:color w:val="auto"/>
              </w:rPr>
              <w:t>86.6</w:t>
            </w:r>
          </w:p>
        </w:tc>
      </w:tr>
      <w:tr>
        <w:trPr>
          <w:trHeight w:val="189"/>
        </w:trPr>
        <w:tc>
          <w:tcPr>
            <w:tcW w:w="7680" w:type="dxa"/>
            <w:vAlign w:val="bottom"/>
          </w:tcPr>
          <w:p>
            <w:pPr>
              <w:ind w:left="20"/>
              <w:spacing w:after="0" w:line="189" w:lineRule="exact"/>
              <w:rPr>
                <w:sz w:val="20"/>
                <w:szCs w:val="20"/>
                <w:color w:val="auto"/>
              </w:rPr>
            </w:pPr>
            <w:r>
              <w:rPr>
                <w:rFonts w:ascii="Arial" w:cs="Arial" w:eastAsia="Arial" w:hAnsi="Arial"/>
                <w:sz w:val="16"/>
                <w:szCs w:val="16"/>
                <w:color w:val="auto"/>
              </w:rPr>
              <w:t xml:space="preserve">Available capacity under Revolving Credit Facility and CP Program </w:t>
            </w:r>
            <w:r>
              <w:rPr>
                <w:rFonts w:ascii="Arial" w:cs="Arial" w:eastAsia="Arial" w:hAnsi="Arial"/>
                <w:sz w:val="21"/>
                <w:szCs w:val="21"/>
                <w:color w:val="auto"/>
                <w:vertAlign w:val="superscript"/>
              </w:rPr>
              <w:t>(a)</w:t>
            </w:r>
          </w:p>
        </w:tc>
        <w:tc>
          <w:tcPr>
            <w:tcW w:w="10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612.7</w:t>
            </w:r>
          </w:p>
        </w:tc>
        <w:tc>
          <w:tcPr>
            <w:tcW w:w="6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746.3</w:t>
            </w:r>
          </w:p>
        </w:tc>
      </w:tr>
      <w:tr>
        <w:trPr>
          <w:trHeight w:val="183"/>
        </w:trPr>
        <w:tc>
          <w:tcPr>
            <w:tcW w:w="7680" w:type="dxa"/>
            <w:vAlign w:val="bottom"/>
            <w:shd w:val="clear" w:color="auto" w:fill="CFF0FC"/>
          </w:tcPr>
          <w:p>
            <w:pPr>
              <w:ind w:left="120"/>
              <w:spacing w:after="0" w:line="183" w:lineRule="exact"/>
              <w:rPr>
                <w:sz w:val="20"/>
                <w:szCs w:val="20"/>
                <w:color w:val="auto"/>
              </w:rPr>
            </w:pPr>
            <w:r>
              <w:rPr>
                <w:rFonts w:ascii="Arial" w:cs="Arial" w:eastAsia="Arial" w:hAnsi="Arial"/>
                <w:sz w:val="16"/>
                <w:szCs w:val="16"/>
                <w:color w:val="auto"/>
              </w:rPr>
              <w:t>Available liquidity</w:t>
            </w:r>
          </w:p>
        </w:tc>
        <w:tc>
          <w:tcPr>
            <w:tcW w:w="1000" w:type="dxa"/>
            <w:vAlign w:val="bottom"/>
            <w:shd w:val="clear" w:color="auto" w:fill="CFF0FC"/>
          </w:tcPr>
          <w:p>
            <w:pPr>
              <w:jc w:val="right"/>
              <w:ind w:right="819"/>
              <w:spacing w:after="0" w:line="183" w:lineRule="exact"/>
              <w:rPr>
                <w:sz w:val="20"/>
                <w:szCs w:val="20"/>
                <w:color w:val="auto"/>
              </w:rPr>
            </w:pPr>
            <w:r>
              <w:rPr>
                <w:rFonts w:ascii="Arial" w:cs="Arial" w:eastAsia="Arial" w:hAnsi="Arial"/>
                <w:sz w:val="16"/>
                <w:szCs w:val="16"/>
                <w:color w:val="auto"/>
                <w:w w:val="89"/>
              </w:rPr>
              <w:t>$</w:t>
            </w:r>
          </w:p>
        </w:tc>
        <w:tc>
          <w:tcPr>
            <w:tcW w:w="780" w:type="dxa"/>
            <w:vAlign w:val="bottom"/>
            <w:shd w:val="clear" w:color="auto" w:fill="CFF0FC"/>
          </w:tcPr>
          <w:p>
            <w:pPr>
              <w:jc w:val="right"/>
              <w:ind w:right="119"/>
              <w:spacing w:after="0" w:line="183" w:lineRule="exact"/>
              <w:rPr>
                <w:sz w:val="20"/>
                <w:szCs w:val="20"/>
                <w:color w:val="auto"/>
              </w:rPr>
            </w:pPr>
            <w:r>
              <w:rPr>
                <w:rFonts w:ascii="Arial" w:cs="Arial" w:eastAsia="Arial" w:hAnsi="Arial"/>
                <w:sz w:val="16"/>
                <w:szCs w:val="16"/>
                <w:color w:val="auto"/>
              </w:rPr>
              <w:t>628.8</w:t>
            </w:r>
          </w:p>
        </w:tc>
        <w:tc>
          <w:tcPr>
            <w:tcW w:w="600" w:type="dxa"/>
            <w:vAlign w:val="bottom"/>
            <w:shd w:val="clear" w:color="auto" w:fill="CFF0FC"/>
          </w:tcPr>
          <w:p>
            <w:pPr>
              <w:jc w:val="right"/>
              <w:ind w:right="419"/>
              <w:spacing w:after="0" w:line="183" w:lineRule="exact"/>
              <w:rPr>
                <w:sz w:val="20"/>
                <w:szCs w:val="20"/>
                <w:color w:val="auto"/>
              </w:rPr>
            </w:pPr>
            <w:r>
              <w:rPr>
                <w:rFonts w:ascii="Arial" w:cs="Arial" w:eastAsia="Arial" w:hAnsi="Arial"/>
                <w:sz w:val="16"/>
                <w:szCs w:val="16"/>
                <w:color w:val="auto"/>
                <w:w w:val="89"/>
              </w:rPr>
              <w:t>$</w:t>
            </w:r>
          </w:p>
        </w:tc>
        <w:tc>
          <w:tcPr>
            <w:tcW w:w="1180" w:type="dxa"/>
            <w:vAlign w:val="bottom"/>
            <w:shd w:val="clear" w:color="auto" w:fill="CFF0FC"/>
          </w:tcPr>
          <w:p>
            <w:pPr>
              <w:jc w:val="right"/>
              <w:ind w:right="119"/>
              <w:spacing w:after="0" w:line="183" w:lineRule="exact"/>
              <w:rPr>
                <w:sz w:val="20"/>
                <w:szCs w:val="20"/>
                <w:color w:val="auto"/>
              </w:rPr>
            </w:pPr>
            <w:r>
              <w:rPr>
                <w:rFonts w:ascii="Arial" w:cs="Arial" w:eastAsia="Arial" w:hAnsi="Arial"/>
                <w:sz w:val="16"/>
                <w:szCs w:val="16"/>
                <w:color w:val="auto"/>
              </w:rPr>
              <w:t>832.9</w:t>
            </w:r>
          </w:p>
        </w:tc>
      </w:tr>
      <w:tr>
        <w:trPr>
          <w:trHeight w:val="189"/>
        </w:trPr>
        <w:tc>
          <w:tcPr>
            <w:tcW w:w="7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Capital structure</w:t>
            </w:r>
          </w:p>
        </w:tc>
        <w:tc>
          <w:tcPr>
            <w:tcW w:w="10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r>
      <w:tr>
        <w:trPr>
          <w:trHeight w:val="189"/>
        </w:trPr>
        <w:tc>
          <w:tcPr>
            <w:tcW w:w="7680" w:type="dxa"/>
            <w:vAlign w:val="bottom"/>
          </w:tcPr>
          <w:p>
            <w:pPr>
              <w:ind w:left="120"/>
              <w:spacing w:after="0"/>
              <w:rPr>
                <w:sz w:val="20"/>
                <w:szCs w:val="20"/>
                <w:color w:val="auto"/>
              </w:rPr>
            </w:pPr>
            <w:r>
              <w:rPr>
                <w:rFonts w:ascii="Arial" w:cs="Arial" w:eastAsia="Arial" w:hAnsi="Arial"/>
                <w:sz w:val="16"/>
                <w:szCs w:val="16"/>
                <w:color w:val="auto"/>
              </w:rPr>
              <w:t>Short-term debt</w:t>
            </w:r>
          </w:p>
        </w:tc>
        <w:tc>
          <w:tcPr>
            <w:tcW w:w="1000" w:type="dxa"/>
            <w:vAlign w:val="bottom"/>
          </w:tcPr>
          <w:p>
            <w:pPr>
              <w:jc w:val="right"/>
              <w:ind w:right="8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133.8</w:t>
            </w: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600.0</w:t>
            </w:r>
          </w:p>
        </w:tc>
      </w:tr>
      <w:tr>
        <w:trPr>
          <w:trHeight w:val="189"/>
        </w:trPr>
        <w:tc>
          <w:tcPr>
            <w:tcW w:w="76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Long-term debt</w:t>
            </w:r>
          </w:p>
        </w:tc>
        <w:tc>
          <w:tcPr>
            <w:tcW w:w="100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4,250.2</w:t>
            </w:r>
          </w:p>
        </w:tc>
        <w:tc>
          <w:tcPr>
            <w:tcW w:w="60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3,801.2</w:t>
            </w:r>
          </w:p>
        </w:tc>
      </w:tr>
      <w:tr>
        <w:trPr>
          <w:trHeight w:val="183"/>
        </w:trPr>
        <w:tc>
          <w:tcPr>
            <w:tcW w:w="7680" w:type="dxa"/>
            <w:vAlign w:val="bottom"/>
          </w:tcPr>
          <w:p>
            <w:pPr>
              <w:ind w:left="200"/>
              <w:spacing w:after="0" w:line="183" w:lineRule="exact"/>
              <w:rPr>
                <w:sz w:val="20"/>
                <w:szCs w:val="20"/>
                <w:color w:val="auto"/>
              </w:rPr>
            </w:pPr>
            <w:r>
              <w:rPr>
                <w:rFonts w:ascii="Arial" w:cs="Arial" w:eastAsia="Arial" w:hAnsi="Arial"/>
                <w:sz w:val="16"/>
                <w:szCs w:val="16"/>
                <w:color w:val="auto"/>
              </w:rPr>
              <w:t>Total debt</w:t>
            </w:r>
          </w:p>
        </w:tc>
        <w:tc>
          <w:tcPr>
            <w:tcW w:w="1000" w:type="dxa"/>
            <w:vAlign w:val="bottom"/>
          </w:tcPr>
          <w:p>
            <w:pPr>
              <w:spacing w:after="0"/>
              <w:rPr>
                <w:sz w:val="15"/>
                <w:szCs w:val="15"/>
                <w:color w:val="auto"/>
              </w:rPr>
            </w:pPr>
          </w:p>
        </w:tc>
        <w:tc>
          <w:tcPr>
            <w:tcW w:w="780" w:type="dxa"/>
            <w:vAlign w:val="bottom"/>
          </w:tcPr>
          <w:p>
            <w:pPr>
              <w:jc w:val="right"/>
              <w:ind w:right="119"/>
              <w:spacing w:after="0" w:line="183" w:lineRule="exact"/>
              <w:rPr>
                <w:sz w:val="20"/>
                <w:szCs w:val="20"/>
                <w:color w:val="auto"/>
              </w:rPr>
            </w:pPr>
            <w:r>
              <w:rPr>
                <w:rFonts w:ascii="Arial" w:cs="Arial" w:eastAsia="Arial" w:hAnsi="Arial"/>
                <w:sz w:val="16"/>
                <w:szCs w:val="16"/>
                <w:color w:val="auto"/>
              </w:rPr>
              <w:t>4,384.0</w:t>
            </w:r>
          </w:p>
        </w:tc>
        <w:tc>
          <w:tcPr>
            <w:tcW w:w="600" w:type="dxa"/>
            <w:vAlign w:val="bottom"/>
          </w:tcPr>
          <w:p>
            <w:pPr>
              <w:spacing w:after="0"/>
              <w:rPr>
                <w:sz w:val="15"/>
                <w:szCs w:val="15"/>
                <w:color w:val="auto"/>
              </w:rPr>
            </w:pPr>
          </w:p>
        </w:tc>
        <w:tc>
          <w:tcPr>
            <w:tcW w:w="1180" w:type="dxa"/>
            <w:vAlign w:val="bottom"/>
          </w:tcPr>
          <w:p>
            <w:pPr>
              <w:jc w:val="right"/>
              <w:ind w:right="119"/>
              <w:spacing w:after="0" w:line="183" w:lineRule="exact"/>
              <w:rPr>
                <w:sz w:val="20"/>
                <w:szCs w:val="20"/>
                <w:color w:val="auto"/>
              </w:rPr>
            </w:pPr>
            <w:r>
              <w:rPr>
                <w:rFonts w:ascii="Arial" w:cs="Arial" w:eastAsia="Arial" w:hAnsi="Arial"/>
                <w:sz w:val="16"/>
                <w:szCs w:val="16"/>
                <w:color w:val="auto"/>
              </w:rPr>
              <w:t>4,401.2</w:t>
            </w:r>
          </w:p>
        </w:tc>
      </w:tr>
      <w:tr>
        <w:trPr>
          <w:trHeight w:val="189"/>
        </w:trPr>
        <w:tc>
          <w:tcPr>
            <w:tcW w:w="76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Total stockholders' equity (excludes non-controlling interest)</w:t>
            </w:r>
          </w:p>
        </w:tc>
        <w:tc>
          <w:tcPr>
            <w:tcW w:w="100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3,501.5</w:t>
            </w:r>
          </w:p>
        </w:tc>
        <w:tc>
          <w:tcPr>
            <w:tcW w:w="60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3,215.3</w:t>
            </w:r>
          </w:p>
        </w:tc>
      </w:tr>
      <w:tr>
        <w:trPr>
          <w:trHeight w:val="183"/>
        </w:trPr>
        <w:tc>
          <w:tcPr>
            <w:tcW w:w="7680" w:type="dxa"/>
            <w:vAlign w:val="bottom"/>
          </w:tcPr>
          <w:p>
            <w:pPr>
              <w:ind w:left="200"/>
              <w:spacing w:after="0" w:line="183" w:lineRule="exact"/>
              <w:rPr>
                <w:sz w:val="20"/>
                <w:szCs w:val="20"/>
                <w:color w:val="auto"/>
              </w:rPr>
            </w:pPr>
            <w:r>
              <w:rPr>
                <w:rFonts w:ascii="Arial" w:cs="Arial" w:eastAsia="Arial" w:hAnsi="Arial"/>
                <w:sz w:val="16"/>
                <w:szCs w:val="16"/>
                <w:color w:val="auto"/>
              </w:rPr>
              <w:t>Total capitalization</w:t>
            </w:r>
          </w:p>
        </w:tc>
        <w:tc>
          <w:tcPr>
            <w:tcW w:w="1000" w:type="dxa"/>
            <w:vAlign w:val="bottom"/>
          </w:tcPr>
          <w:p>
            <w:pPr>
              <w:jc w:val="right"/>
              <w:ind w:right="819"/>
              <w:spacing w:after="0" w:line="183" w:lineRule="exact"/>
              <w:rPr>
                <w:sz w:val="20"/>
                <w:szCs w:val="20"/>
                <w:color w:val="auto"/>
              </w:rPr>
            </w:pPr>
            <w:r>
              <w:rPr>
                <w:rFonts w:ascii="Arial" w:cs="Arial" w:eastAsia="Arial" w:hAnsi="Arial"/>
                <w:sz w:val="16"/>
                <w:szCs w:val="16"/>
                <w:color w:val="auto"/>
                <w:w w:val="89"/>
              </w:rPr>
              <w:t>$</w:t>
            </w:r>
          </w:p>
        </w:tc>
        <w:tc>
          <w:tcPr>
            <w:tcW w:w="780" w:type="dxa"/>
            <w:vAlign w:val="bottom"/>
          </w:tcPr>
          <w:p>
            <w:pPr>
              <w:jc w:val="right"/>
              <w:ind w:right="119"/>
              <w:spacing w:after="0" w:line="183" w:lineRule="exact"/>
              <w:rPr>
                <w:sz w:val="20"/>
                <w:szCs w:val="20"/>
                <w:color w:val="auto"/>
              </w:rPr>
            </w:pPr>
            <w:r>
              <w:rPr>
                <w:rFonts w:ascii="Arial" w:cs="Arial" w:eastAsia="Arial" w:hAnsi="Arial"/>
                <w:sz w:val="16"/>
                <w:szCs w:val="16"/>
                <w:color w:val="auto"/>
              </w:rPr>
              <w:t>7,885.5</w:t>
            </w:r>
          </w:p>
        </w:tc>
        <w:tc>
          <w:tcPr>
            <w:tcW w:w="600" w:type="dxa"/>
            <w:vAlign w:val="bottom"/>
          </w:tcPr>
          <w:p>
            <w:pPr>
              <w:jc w:val="right"/>
              <w:ind w:right="419"/>
              <w:spacing w:after="0" w:line="183" w:lineRule="exact"/>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19"/>
              <w:spacing w:after="0" w:line="183" w:lineRule="exact"/>
              <w:rPr>
                <w:sz w:val="20"/>
                <w:szCs w:val="20"/>
                <w:color w:val="auto"/>
              </w:rPr>
            </w:pPr>
            <w:r>
              <w:rPr>
                <w:rFonts w:ascii="Arial" w:cs="Arial" w:eastAsia="Arial" w:hAnsi="Arial"/>
                <w:sz w:val="16"/>
                <w:szCs w:val="16"/>
                <w:color w:val="auto"/>
              </w:rPr>
              <w:t>7,616.5</w:t>
            </w:r>
          </w:p>
        </w:tc>
      </w:tr>
      <w:tr>
        <w:trPr>
          <w:trHeight w:val="189"/>
        </w:trPr>
        <w:tc>
          <w:tcPr>
            <w:tcW w:w="76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r>
      <w:tr>
        <w:trPr>
          <w:trHeight w:val="189"/>
        </w:trPr>
        <w:tc>
          <w:tcPr>
            <w:tcW w:w="7680" w:type="dxa"/>
            <w:vAlign w:val="bottom"/>
          </w:tcPr>
          <w:p>
            <w:pPr>
              <w:ind w:left="20"/>
              <w:spacing w:after="0"/>
              <w:rPr>
                <w:sz w:val="20"/>
                <w:szCs w:val="20"/>
                <w:color w:val="auto"/>
              </w:rPr>
            </w:pPr>
            <w:r>
              <w:rPr>
                <w:rFonts w:ascii="Arial" w:cs="Arial" w:eastAsia="Arial" w:hAnsi="Arial"/>
                <w:sz w:val="16"/>
                <w:szCs w:val="16"/>
                <w:color w:val="auto"/>
              </w:rPr>
              <w:t>Debt to capitalization</w:t>
            </w:r>
          </w:p>
        </w:tc>
        <w:tc>
          <w:tcPr>
            <w:tcW w:w="10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55.6 %</w:t>
            </w:r>
          </w:p>
        </w:tc>
        <w:tc>
          <w:tcPr>
            <w:tcW w:w="6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57.8 %</w:t>
            </w:r>
          </w:p>
        </w:tc>
      </w:tr>
      <w:tr>
        <w:trPr>
          <w:trHeight w:val="18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Long-term debt to total debt</w:t>
            </w:r>
          </w:p>
        </w:tc>
        <w:tc>
          <w:tcPr>
            <w:tcW w:w="100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96.9 %</w:t>
            </w:r>
          </w:p>
        </w:tc>
        <w:tc>
          <w:tcPr>
            <w:tcW w:w="60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60" w:lineRule="exact"/>
        <w:rPr>
          <w:sz w:val="20"/>
          <w:szCs w:val="20"/>
          <w:color w:val="auto"/>
        </w:rPr>
      </w:pPr>
    </w:p>
    <w:p>
      <w:pPr>
        <w:ind w:left="520" w:right="100" w:hanging="512"/>
        <w:spacing w:after="0" w:line="285" w:lineRule="auto"/>
        <w:tabs>
          <w:tab w:leader="none" w:pos="5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 xml:space="preserve">Available capacity under Revolving Credit Facility and CP Program represents $750 million of total borrowing capacity less outstanding borrowings and letters of credit. See </w:t>
      </w:r>
      <w:r>
        <w:rPr>
          <w:rFonts w:ascii="Arial" w:cs="Arial" w:eastAsia="Arial" w:hAnsi="Arial"/>
          <w:sz w:val="14"/>
          <w:szCs w:val="14"/>
          <w:u w:val="single" w:color="auto"/>
          <w:color w:val="0000FF"/>
        </w:rPr>
        <w:t>Note 8</w:t>
      </w:r>
      <w:r>
        <w:rPr>
          <w:rFonts w:ascii="Arial" w:cs="Arial" w:eastAsia="Arial" w:hAnsi="Arial"/>
          <w:sz w:val="14"/>
          <w:szCs w:val="14"/>
          <w:color w:val="auto"/>
        </w:rPr>
        <w:t xml:space="preserve"> of the Notes to Consolidated Financial Statements in this Annual Report on Form 10-K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516255</wp:posOffset>
            </wp:positionH>
            <wp:positionV relativeFrom="paragraph">
              <wp:posOffset>-39370</wp:posOffset>
            </wp:positionV>
            <wp:extent cx="26924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69240" cy="825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Future Financing Plans</w:t>
      </w:r>
    </w:p>
    <w:p>
      <w:pPr>
        <w:spacing w:after="0" w:line="194"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We plan to fund our capital plan and strategic objectives by using cash generated from operating activities and various financing alternatives, which could include our Revolving Credit Facility, our CP Program, and the issuance of common stock under our ATM program or in an opportunistic block trade. In 2025, we plan to renew our Equity Distribution Sales Agreement and assess the renewal of our shelf registration statement. Our Equity Distribution Sales Agreement allows us to sell shares of common stock, from time to time, through our ATM program utilizing our shelf registration statement. We also plan to re-finance our $300 million, 3.95%, senior unsecured notes due January 2026, at or before maturity date.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 ACTIVITIES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our cash flows for the years ended December 31: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400" w:type="dxa"/>
            <w:vAlign w:val="bottom"/>
          </w:tcPr>
          <w:p>
            <w:pPr>
              <w:spacing w:after="0"/>
              <w:rPr>
                <w:sz w:val="20"/>
                <w:szCs w:val="20"/>
                <w:color w:val="auto"/>
              </w:rPr>
            </w:pPr>
            <w:r>
              <w:rPr>
                <w:rFonts w:ascii="Arial" w:cs="Arial" w:eastAsia="Arial" w:hAnsi="Arial"/>
                <w:sz w:val="16"/>
                <w:szCs w:val="16"/>
                <w:b w:val="1"/>
                <w:bCs w:val="1"/>
                <w:color w:val="auto"/>
              </w:rPr>
              <w:t>Operating Activities:</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4"/>
        </w:trPr>
        <w:tc>
          <w:tcPr>
            <w:tcW w:w="5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6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rPr>
              <w:t>2024 vs 2023</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b w:val="1"/>
                <w:bCs w:val="1"/>
                <w:color w:val="auto"/>
              </w:rPr>
              <w:t>2023 vs 2022</w:t>
            </w:r>
          </w:p>
        </w:tc>
        <w:tc>
          <w:tcPr>
            <w:tcW w:w="0" w:type="dxa"/>
            <w:vAlign w:val="bottom"/>
          </w:tcPr>
          <w:p>
            <w:pPr>
              <w:spacing w:after="0"/>
              <w:rPr>
                <w:sz w:val="1"/>
                <w:szCs w:val="1"/>
                <w:color w:val="auto"/>
              </w:rPr>
            </w:pPr>
          </w:p>
        </w:tc>
      </w:tr>
      <w:tr>
        <w:trPr>
          <w:trHeight w:val="203"/>
        </w:trPr>
        <w:tc>
          <w:tcPr>
            <w:tcW w:w="54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Variance</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Variance</w:t>
            </w:r>
          </w:p>
        </w:tc>
        <w:tc>
          <w:tcPr>
            <w:tcW w:w="0" w:type="dxa"/>
            <w:vAlign w:val="bottom"/>
          </w:tcPr>
          <w:p>
            <w:pPr>
              <w:spacing w:after="0"/>
              <w:rPr>
                <w:sz w:val="1"/>
                <w:szCs w:val="1"/>
                <w:color w:val="auto"/>
              </w:rPr>
            </w:pPr>
          </w:p>
        </w:tc>
      </w:tr>
      <w:tr>
        <w:trPr>
          <w:trHeight w:val="183"/>
        </w:trPr>
        <w:tc>
          <w:tcPr>
            <w:tcW w:w="54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(in millions)</w:t>
            </w: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0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Net income</w:t>
            </w:r>
          </w:p>
        </w:tc>
        <w:tc>
          <w:tcPr>
            <w:tcW w:w="1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8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283.7</w:t>
            </w:r>
          </w:p>
        </w:tc>
        <w:tc>
          <w:tcPr>
            <w:tcW w:w="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276.0</w:t>
            </w:r>
          </w:p>
        </w:tc>
        <w:tc>
          <w:tcPr>
            <w:tcW w:w="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7.7</w:t>
            </w:r>
          </w:p>
        </w:tc>
        <w:tc>
          <w:tcPr>
            <w:tcW w:w="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270.8</w:t>
            </w:r>
          </w:p>
        </w:tc>
        <w:tc>
          <w:tcPr>
            <w:tcW w:w="1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189"/>
        </w:trPr>
        <w:tc>
          <w:tcPr>
            <w:tcW w:w="5400" w:type="dxa"/>
            <w:vAlign w:val="bottom"/>
          </w:tcPr>
          <w:p>
            <w:pPr>
              <w:ind w:left="20"/>
              <w:spacing w:after="0"/>
              <w:rPr>
                <w:sz w:val="20"/>
                <w:szCs w:val="20"/>
                <w:color w:val="auto"/>
              </w:rPr>
            </w:pPr>
            <w:r>
              <w:rPr>
                <w:rFonts w:ascii="Arial" w:cs="Arial" w:eastAsia="Arial" w:hAnsi="Arial"/>
                <w:sz w:val="16"/>
                <w:szCs w:val="16"/>
                <w:color w:val="auto"/>
              </w:rPr>
              <w:t>Non-cash adjustments to Net income</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350.5</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313.5</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37.0</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295.7</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183"/>
        </w:trPr>
        <w:tc>
          <w:tcPr>
            <w:tcW w:w="5400" w:type="dxa"/>
            <w:vAlign w:val="bottom"/>
            <w:tcBorders>
              <w:bottom w:val="single" w:sz="8" w:color="CFF0FC"/>
            </w:tcBorders>
            <w:shd w:val="clear" w:color="auto" w:fill="CFF0FC"/>
          </w:tcPr>
          <w:p>
            <w:pPr>
              <w:ind w:left="120"/>
              <w:spacing w:after="0" w:line="183" w:lineRule="exact"/>
              <w:rPr>
                <w:sz w:val="20"/>
                <w:szCs w:val="20"/>
                <w:color w:val="auto"/>
              </w:rPr>
            </w:pPr>
            <w:r>
              <w:rPr>
                <w:rFonts w:ascii="Arial" w:cs="Arial" w:eastAsia="Arial" w:hAnsi="Arial"/>
                <w:sz w:val="16"/>
                <w:szCs w:val="16"/>
                <w:color w:val="auto"/>
              </w:rPr>
              <w:t>Total earnings</w:t>
            </w:r>
          </w:p>
        </w:tc>
        <w:tc>
          <w:tcPr>
            <w:tcW w:w="18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634.2</w:t>
            </w:r>
          </w:p>
        </w:tc>
        <w:tc>
          <w:tcPr>
            <w:tcW w:w="20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589.5</w:t>
            </w:r>
          </w:p>
        </w:tc>
        <w:tc>
          <w:tcPr>
            <w:tcW w:w="20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44.7</w:t>
            </w:r>
          </w:p>
        </w:tc>
        <w:tc>
          <w:tcPr>
            <w:tcW w:w="20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566.5</w:t>
            </w:r>
          </w:p>
        </w:tc>
        <w:tc>
          <w:tcPr>
            <w:tcW w:w="14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183"/>
        </w:trPr>
        <w:tc>
          <w:tcPr>
            <w:tcW w:w="5400" w:type="dxa"/>
            <w:vAlign w:val="bottom"/>
          </w:tcPr>
          <w:p>
            <w:pPr>
              <w:ind w:left="20"/>
              <w:spacing w:after="0" w:line="183" w:lineRule="exact"/>
              <w:rPr>
                <w:sz w:val="20"/>
                <w:szCs w:val="20"/>
                <w:color w:val="auto"/>
              </w:rPr>
            </w:pPr>
            <w:r>
              <w:rPr>
                <w:rFonts w:ascii="Arial" w:cs="Arial" w:eastAsia="Arial" w:hAnsi="Arial"/>
                <w:sz w:val="16"/>
                <w:szCs w:val="16"/>
                <w:color w:val="auto"/>
              </w:rPr>
              <w:t>Changes in certain operating assets and liabilities:</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00" w:type="dxa"/>
            <w:vAlign w:val="bottom"/>
            <w:shd w:val="clear" w:color="auto" w:fill="CFF0FC"/>
          </w:tcPr>
          <w:p>
            <w:pPr>
              <w:ind w:left="200"/>
              <w:spacing w:after="0" w:line="175" w:lineRule="exact"/>
              <w:rPr>
                <w:sz w:val="20"/>
                <w:szCs w:val="20"/>
                <w:color w:val="auto"/>
              </w:rPr>
            </w:pPr>
            <w:r>
              <w:rPr>
                <w:rFonts w:ascii="Arial" w:cs="Arial" w:eastAsia="Arial" w:hAnsi="Arial"/>
                <w:sz w:val="16"/>
                <w:szCs w:val="16"/>
                <w:color w:val="auto"/>
              </w:rPr>
              <w:t>Materials, supplies and fuel, Accounts receivable and other current</w:t>
            </w:r>
          </w:p>
        </w:tc>
        <w:tc>
          <w:tcPr>
            <w:tcW w:w="180" w:type="dxa"/>
            <w:vAlign w:val="bottom"/>
            <w:shd w:val="clear" w:color="auto" w:fill="CFF0FC"/>
          </w:tcPr>
          <w:p>
            <w:pPr>
              <w:spacing w:after="0"/>
              <w:rPr>
                <w:sz w:val="15"/>
                <w:szCs w:val="15"/>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(12.5 )</w:t>
            </w:r>
          </w:p>
        </w:tc>
        <w:tc>
          <w:tcPr>
            <w:tcW w:w="200" w:type="dxa"/>
            <w:vAlign w:val="bottom"/>
            <w:shd w:val="clear" w:color="auto" w:fill="CFF0FC"/>
          </w:tcPr>
          <w:p>
            <w:pPr>
              <w:spacing w:after="0"/>
              <w:rPr>
                <w:sz w:val="15"/>
                <w:szCs w:val="15"/>
                <w:color w:val="auto"/>
              </w:rPr>
            </w:pPr>
          </w:p>
        </w:tc>
        <w:tc>
          <w:tcPr>
            <w:tcW w:w="80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255.9</w:t>
            </w:r>
          </w:p>
        </w:tc>
        <w:tc>
          <w:tcPr>
            <w:tcW w:w="200" w:type="dxa"/>
            <w:vAlign w:val="bottom"/>
            <w:shd w:val="clear" w:color="auto" w:fill="CFF0FC"/>
          </w:tcPr>
          <w:p>
            <w:pPr>
              <w:spacing w:after="0"/>
              <w:rPr>
                <w:sz w:val="15"/>
                <w:szCs w:val="15"/>
                <w:color w:val="auto"/>
              </w:rPr>
            </w:pP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(268.4 )</w:t>
            </w:r>
          </w:p>
        </w:tc>
        <w:tc>
          <w:tcPr>
            <w:tcW w:w="200" w:type="dxa"/>
            <w:vAlign w:val="bottom"/>
            <w:shd w:val="clear" w:color="auto" w:fill="CFF0FC"/>
          </w:tcPr>
          <w:p>
            <w:pPr>
              <w:spacing w:after="0"/>
              <w:rPr>
                <w:sz w:val="15"/>
                <w:szCs w:val="15"/>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(259.9 )</w:t>
            </w:r>
          </w:p>
        </w:tc>
        <w:tc>
          <w:tcPr>
            <w:tcW w:w="140" w:type="dxa"/>
            <w:vAlign w:val="bottom"/>
            <w:shd w:val="clear" w:color="auto" w:fill="CFF0FC"/>
          </w:tcPr>
          <w:p>
            <w:pPr>
              <w:spacing w:after="0"/>
              <w:rPr>
                <w:sz w:val="15"/>
                <w:szCs w:val="15"/>
                <w:color w:val="auto"/>
              </w:rPr>
            </w:pPr>
          </w:p>
        </w:tc>
        <w:tc>
          <w:tcPr>
            <w:tcW w:w="1340" w:type="dxa"/>
            <w:vAlign w:val="bottom"/>
            <w:vMerge w:val="restart"/>
            <w:shd w:val="clear" w:color="auto" w:fill="CFF0FC"/>
          </w:tcPr>
          <w:p>
            <w:pPr>
              <w:jc w:val="right"/>
              <w:ind w:right="59"/>
              <w:spacing w:after="0"/>
              <w:rPr>
                <w:sz w:val="20"/>
                <w:szCs w:val="20"/>
                <w:color w:val="auto"/>
              </w:rPr>
            </w:pPr>
            <w:r>
              <w:rPr>
                <w:rFonts w:ascii="Arial" w:cs="Arial" w:eastAsia="Arial" w:hAnsi="Arial"/>
                <w:sz w:val="16"/>
                <w:szCs w:val="16"/>
                <w:color w:val="auto"/>
              </w:rPr>
              <w:t>515.8</w:t>
            </w:r>
          </w:p>
        </w:tc>
        <w:tc>
          <w:tcPr>
            <w:tcW w:w="0" w:type="dxa"/>
            <w:vAlign w:val="bottom"/>
          </w:tcPr>
          <w:p>
            <w:pPr>
              <w:spacing w:after="0"/>
              <w:rPr>
                <w:sz w:val="1"/>
                <w:szCs w:val="1"/>
                <w:color w:val="auto"/>
              </w:rPr>
            </w:pPr>
          </w:p>
        </w:tc>
      </w:tr>
      <w:tr>
        <w:trPr>
          <w:trHeight w:val="120"/>
        </w:trPr>
        <w:tc>
          <w:tcPr>
            <w:tcW w:w="5400" w:type="dxa"/>
            <w:vAlign w:val="bottom"/>
            <w:vMerge w:val="restart"/>
            <w:shd w:val="clear" w:color="auto" w:fill="CFF0FC"/>
          </w:tcPr>
          <w:p>
            <w:pPr>
              <w:ind w:left="200"/>
              <w:spacing w:after="0"/>
              <w:rPr>
                <w:sz w:val="20"/>
                <w:szCs w:val="20"/>
                <w:color w:val="auto"/>
              </w:rPr>
            </w:pPr>
            <w:r>
              <w:rPr>
                <w:rFonts w:ascii="Arial" w:cs="Arial" w:eastAsia="Arial" w:hAnsi="Arial"/>
                <w:sz w:val="16"/>
                <w:szCs w:val="16"/>
                <w:color w:val="auto"/>
              </w:rPr>
              <w:t>assets</w:t>
            </w:r>
          </w:p>
        </w:tc>
        <w:tc>
          <w:tcPr>
            <w:tcW w:w="180" w:type="dxa"/>
            <w:vAlign w:val="bottom"/>
            <w:shd w:val="clear" w:color="auto" w:fill="CFF0FC"/>
          </w:tcPr>
          <w:p>
            <w:pPr>
              <w:spacing w:after="0"/>
              <w:rPr>
                <w:sz w:val="10"/>
                <w:szCs w:val="10"/>
                <w:color w:val="auto"/>
              </w:rPr>
            </w:pPr>
          </w:p>
        </w:tc>
        <w:tc>
          <w:tcPr>
            <w:tcW w:w="820" w:type="dxa"/>
            <w:vAlign w:val="bottom"/>
            <w:vMerge w:val="continue"/>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0" w:type="dxa"/>
            <w:vAlign w:val="bottom"/>
            <w:vMerge w:val="continue"/>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160" w:type="dxa"/>
            <w:vAlign w:val="bottom"/>
            <w:vMerge w:val="continue"/>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0" w:type="dxa"/>
            <w:vAlign w:val="bottom"/>
            <w:vMerge w:val="continue"/>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340" w:type="dxa"/>
            <w:vAlign w:val="bottom"/>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5400" w:type="dxa"/>
            <w:vAlign w:val="bottom"/>
            <w:vMerge w:val="continue"/>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82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80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16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80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134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5400" w:type="dxa"/>
            <w:vAlign w:val="bottom"/>
          </w:tcPr>
          <w:p>
            <w:pPr>
              <w:ind w:left="200"/>
              <w:spacing w:after="0"/>
              <w:rPr>
                <w:sz w:val="20"/>
                <w:szCs w:val="20"/>
                <w:color w:val="auto"/>
              </w:rPr>
            </w:pPr>
            <w:r>
              <w:rPr>
                <w:rFonts w:ascii="Arial" w:cs="Arial" w:eastAsia="Arial" w:hAnsi="Arial"/>
                <w:sz w:val="16"/>
                <w:szCs w:val="16"/>
                <w:color w:val="auto"/>
              </w:rPr>
              <w:t>Accounts payable and accrued liabilities</w:t>
            </w:r>
          </w:p>
        </w:tc>
        <w:tc>
          <w:tcPr>
            <w:tcW w:w="180" w:type="dxa"/>
            <w:vAlign w:val="bottom"/>
          </w:tcPr>
          <w:p>
            <w:pPr>
              <w:spacing w:after="0"/>
              <w:rPr>
                <w:sz w:val="16"/>
                <w:szCs w:val="16"/>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28.8</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(109.9 )</w:t>
            </w:r>
          </w:p>
        </w:tc>
        <w:tc>
          <w:tcPr>
            <w:tcW w:w="200" w:type="dxa"/>
            <w:vAlign w:val="bottom"/>
          </w:tcPr>
          <w:p>
            <w:pPr>
              <w:spacing w:after="0"/>
              <w:rPr>
                <w:sz w:val="16"/>
                <w:szCs w:val="16"/>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138.7</w:t>
            </w:r>
          </w:p>
        </w:tc>
        <w:tc>
          <w:tcPr>
            <w:tcW w:w="200" w:type="dxa"/>
            <w:vAlign w:val="bottom"/>
          </w:tcPr>
          <w:p>
            <w:pPr>
              <w:spacing w:after="0"/>
              <w:rPr>
                <w:sz w:val="16"/>
                <w:szCs w:val="16"/>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89.4</w:t>
            </w: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(199.3 )</w:t>
            </w:r>
          </w:p>
        </w:tc>
        <w:tc>
          <w:tcPr>
            <w:tcW w:w="0" w:type="dxa"/>
            <w:vAlign w:val="bottom"/>
          </w:tcPr>
          <w:p>
            <w:pPr>
              <w:spacing w:after="0"/>
              <w:rPr>
                <w:sz w:val="1"/>
                <w:szCs w:val="1"/>
                <w:color w:val="auto"/>
              </w:rPr>
            </w:pPr>
          </w:p>
        </w:tc>
      </w:tr>
      <w:tr>
        <w:trPr>
          <w:trHeight w:val="189"/>
        </w:trPr>
        <w:tc>
          <w:tcPr>
            <w:tcW w:w="54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Regulatory assets</w:t>
            </w:r>
          </w:p>
        </w:tc>
        <w:tc>
          <w:tcPr>
            <w:tcW w:w="18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90.0</w:t>
            </w:r>
          </w:p>
        </w:tc>
        <w:tc>
          <w:tcPr>
            <w:tcW w:w="20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236.8</w:t>
            </w:r>
          </w:p>
        </w:tc>
        <w:tc>
          <w:tcPr>
            <w:tcW w:w="20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(146.8 )</w:t>
            </w:r>
          </w:p>
        </w:tc>
        <w:tc>
          <w:tcPr>
            <w:tcW w:w="20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203.9</w:t>
            </w:r>
          </w:p>
        </w:tc>
        <w:tc>
          <w:tcPr>
            <w:tcW w:w="14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32.9</w:t>
            </w:r>
          </w:p>
        </w:tc>
        <w:tc>
          <w:tcPr>
            <w:tcW w:w="0" w:type="dxa"/>
            <w:vAlign w:val="bottom"/>
          </w:tcPr>
          <w:p>
            <w:pPr>
              <w:spacing w:after="0"/>
              <w:rPr>
                <w:sz w:val="1"/>
                <w:szCs w:val="1"/>
                <w:color w:val="auto"/>
              </w:rPr>
            </w:pPr>
          </w:p>
        </w:tc>
      </w:tr>
      <w:tr>
        <w:trPr>
          <w:trHeight w:val="183"/>
        </w:trPr>
        <w:tc>
          <w:tcPr>
            <w:tcW w:w="5400" w:type="dxa"/>
            <w:vAlign w:val="bottom"/>
          </w:tcPr>
          <w:p>
            <w:pPr>
              <w:ind w:left="120"/>
              <w:spacing w:after="0" w:line="183" w:lineRule="exact"/>
              <w:rPr>
                <w:sz w:val="20"/>
                <w:szCs w:val="20"/>
                <w:color w:val="auto"/>
              </w:rPr>
            </w:pPr>
            <w:r>
              <w:rPr>
                <w:rFonts w:ascii="Arial" w:cs="Arial" w:eastAsia="Arial" w:hAnsi="Arial"/>
                <w:sz w:val="16"/>
                <w:szCs w:val="16"/>
                <w:color w:val="auto"/>
              </w:rPr>
              <w:t>Net inflow from changes in certain operating assets and liabilities</w:t>
            </w: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106.3</w:t>
            </w: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382.8</w:t>
            </w: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(276.5 )</w:t>
            </w: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33.4</w:t>
            </w: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349.4</w:t>
            </w:r>
          </w:p>
        </w:tc>
        <w:tc>
          <w:tcPr>
            <w:tcW w:w="0" w:type="dxa"/>
            <w:vAlign w:val="bottom"/>
          </w:tcPr>
          <w:p>
            <w:pPr>
              <w:spacing w:after="0"/>
              <w:rPr>
                <w:sz w:val="1"/>
                <w:szCs w:val="1"/>
                <w:color w:val="auto"/>
              </w:rPr>
            </w:pPr>
          </w:p>
        </w:tc>
      </w:tr>
      <w:tr>
        <w:trPr>
          <w:trHeight w:val="183"/>
        </w:trPr>
        <w:tc>
          <w:tcPr>
            <w:tcW w:w="540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Other operating activities</w:t>
            </w:r>
          </w:p>
        </w:tc>
        <w:tc>
          <w:tcPr>
            <w:tcW w:w="18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(21.2 )</w:t>
            </w:r>
          </w:p>
        </w:tc>
        <w:tc>
          <w:tcPr>
            <w:tcW w:w="20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(27.9 )</w:t>
            </w:r>
          </w:p>
        </w:tc>
        <w:tc>
          <w:tcPr>
            <w:tcW w:w="20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6.7</w:t>
            </w:r>
          </w:p>
        </w:tc>
        <w:tc>
          <w:tcPr>
            <w:tcW w:w="20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(15.1 )</w:t>
            </w:r>
          </w:p>
        </w:tc>
        <w:tc>
          <w:tcPr>
            <w:tcW w:w="14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(12.8 )</w:t>
            </w:r>
          </w:p>
        </w:tc>
        <w:tc>
          <w:tcPr>
            <w:tcW w:w="0" w:type="dxa"/>
            <w:vAlign w:val="bottom"/>
          </w:tcPr>
          <w:p>
            <w:pPr>
              <w:spacing w:after="0"/>
              <w:rPr>
                <w:sz w:val="1"/>
                <w:szCs w:val="1"/>
                <w:color w:val="auto"/>
              </w:rPr>
            </w:pPr>
          </w:p>
        </w:tc>
      </w:tr>
      <w:tr>
        <w:trPr>
          <w:trHeight w:val="183"/>
        </w:trPr>
        <w:tc>
          <w:tcPr>
            <w:tcW w:w="5400" w:type="dxa"/>
            <w:vAlign w:val="bottom"/>
          </w:tcPr>
          <w:p>
            <w:pPr>
              <w:ind w:left="20"/>
              <w:spacing w:after="0" w:line="183" w:lineRule="exact"/>
              <w:rPr>
                <w:sz w:val="20"/>
                <w:szCs w:val="20"/>
                <w:color w:val="auto"/>
              </w:rPr>
            </w:pPr>
            <w:r>
              <w:rPr>
                <w:rFonts w:ascii="Arial" w:cs="Arial" w:eastAsia="Arial" w:hAnsi="Arial"/>
                <w:sz w:val="16"/>
                <w:szCs w:val="16"/>
                <w:color w:val="auto"/>
              </w:rPr>
              <w:t>Net cash provided by operating activities</w:t>
            </w: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719.3</w:t>
            </w:r>
          </w:p>
        </w:tc>
        <w:tc>
          <w:tcPr>
            <w:tcW w:w="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944.4</w:t>
            </w:r>
          </w:p>
        </w:tc>
        <w:tc>
          <w:tcPr>
            <w:tcW w:w="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(225.1 ) $</w:t>
            </w:r>
          </w:p>
        </w:tc>
        <w:tc>
          <w:tcPr>
            <w:tcW w:w="80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584.8</w:t>
            </w:r>
          </w:p>
        </w:tc>
        <w:tc>
          <w:tcPr>
            <w:tcW w:w="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359.6</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2024 Compared to 2023</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operating activities was $225.1 million lower which was attributable to:</w:t>
      </w:r>
    </w:p>
    <w:p>
      <w:pPr>
        <w:spacing w:after="0" w:line="194" w:lineRule="exact"/>
        <w:rPr>
          <w:sz w:val="20"/>
          <w:szCs w:val="20"/>
          <w:color w:val="auto"/>
        </w:rPr>
      </w:pPr>
    </w:p>
    <w:p>
      <w:pPr>
        <w:ind w:left="1020" w:right="120" w:hanging="503"/>
        <w:spacing w:after="0" w:line="266" w:lineRule="auto"/>
        <w:tabs>
          <w:tab w:leader="none" w:pos="1020"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Total earnings (net income plus non-cash adjustments) were $44.7 million higher primarily as a result of increased Electric and Gas Utility margins due to new rates, rider recovery and customer growth, partially offset by unfavorable weather, higher operating expenses and higher financing costs.</w:t>
      </w:r>
    </w:p>
    <w:p>
      <w:pPr>
        <w:spacing w:after="0" w:line="143"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Net inflows from changes in certain operating assets and liabilities were $276.5 million lower, primarily attributable to:</w:t>
      </w:r>
    </w:p>
    <w:p>
      <w:pPr>
        <w:spacing w:after="0" w:line="220" w:lineRule="exact"/>
        <w:rPr>
          <w:sz w:val="20"/>
          <w:szCs w:val="20"/>
          <w:color w:val="auto"/>
        </w:rPr>
      </w:pPr>
    </w:p>
    <w:p>
      <w:pPr>
        <w:ind w:left="1780" w:right="280" w:hanging="515"/>
        <w:spacing w:after="0" w:line="250" w:lineRule="auto"/>
        <w:tabs>
          <w:tab w:leader="none" w:pos="1780" w:val="left"/>
        </w:tabs>
        <w:numPr>
          <w:ilvl w:val="1"/>
          <w:numId w:val="40"/>
        </w:numPr>
        <w:rPr>
          <w:rFonts w:ascii="Times New Roman" w:cs="Times New Roman" w:eastAsia="Times New Roman" w:hAnsi="Times New Roman"/>
          <w:sz w:val="18"/>
          <w:szCs w:val="18"/>
          <w:color w:val="auto"/>
        </w:rPr>
      </w:pPr>
      <w:r>
        <w:rPr>
          <w:rFonts w:ascii="Arial" w:cs="Arial" w:eastAsia="Arial" w:hAnsi="Arial"/>
          <w:sz w:val="16"/>
          <w:szCs w:val="16"/>
          <w:color w:val="auto"/>
        </w:rPr>
        <w:t>Cash inflows decreased by approximately $268.4 million as a result of changes in accounts receivable and other current assets primarily due to lower collections on pass-through revenues and lower natural gas in storage inventories driven by fluctuations in commodity prices and timing of injections and withdrawals;</w:t>
      </w:r>
    </w:p>
    <w:p>
      <w:pPr>
        <w:spacing w:after="0" w:line="170" w:lineRule="exact"/>
        <w:rPr>
          <w:rFonts w:ascii="Times New Roman" w:cs="Times New Roman" w:eastAsia="Times New Roman" w:hAnsi="Times New Roman"/>
          <w:sz w:val="18"/>
          <w:szCs w:val="18"/>
          <w:color w:val="auto"/>
        </w:rPr>
      </w:pPr>
    </w:p>
    <w:p>
      <w:pPr>
        <w:ind w:left="1780" w:right="200" w:hanging="515"/>
        <w:spacing w:after="0" w:line="250" w:lineRule="auto"/>
        <w:tabs>
          <w:tab w:leader="none" w:pos="1780" w:val="left"/>
        </w:tabs>
        <w:numPr>
          <w:ilvl w:val="1"/>
          <w:numId w:val="40"/>
        </w:numPr>
        <w:rPr>
          <w:rFonts w:ascii="Times New Roman" w:cs="Times New Roman" w:eastAsia="Times New Roman" w:hAnsi="Times New Roman"/>
          <w:sz w:val="18"/>
          <w:szCs w:val="18"/>
          <w:color w:val="auto"/>
        </w:rPr>
      </w:pPr>
      <w:r>
        <w:rPr>
          <w:rFonts w:ascii="Arial" w:cs="Arial" w:eastAsia="Arial" w:hAnsi="Arial"/>
          <w:sz w:val="16"/>
          <w:szCs w:val="16"/>
          <w:color w:val="auto"/>
        </w:rPr>
        <w:t>Cash outflows decreased by approximately $138.7 million as a result of increases in accounts payable and other current liabilities primarily driven by fluctuations in commodity prices, payment timing of natural gas and power purchases, and changes in other working capital requirements; and</w:t>
      </w:r>
    </w:p>
    <w:p>
      <w:pPr>
        <w:spacing w:after="0" w:line="170" w:lineRule="exact"/>
        <w:rPr>
          <w:rFonts w:ascii="Times New Roman" w:cs="Times New Roman" w:eastAsia="Times New Roman" w:hAnsi="Times New Roman"/>
          <w:sz w:val="18"/>
          <w:szCs w:val="18"/>
          <w:color w:val="auto"/>
        </w:rPr>
      </w:pPr>
    </w:p>
    <w:p>
      <w:pPr>
        <w:ind w:left="1780" w:right="120" w:hanging="515"/>
        <w:spacing w:after="0" w:line="256" w:lineRule="auto"/>
        <w:tabs>
          <w:tab w:leader="none" w:pos="1780" w:val="left"/>
        </w:tabs>
        <w:numPr>
          <w:ilvl w:val="1"/>
          <w:numId w:val="40"/>
        </w:numPr>
        <w:rPr>
          <w:rFonts w:ascii="Times New Roman" w:cs="Times New Roman" w:eastAsia="Times New Roman" w:hAnsi="Times New Roman"/>
          <w:sz w:val="18"/>
          <w:szCs w:val="18"/>
          <w:color w:val="auto"/>
        </w:rPr>
      </w:pPr>
      <w:r>
        <w:rPr>
          <w:rFonts w:ascii="Arial" w:cs="Arial" w:eastAsia="Arial" w:hAnsi="Arial"/>
          <w:sz w:val="16"/>
          <w:szCs w:val="16"/>
          <w:color w:val="auto"/>
        </w:rPr>
        <w:t>Cash inflows decreased by approximately $146.8 million as a result of changes in our regulatory assets and liabilities primarily due to lower recoveries of deferred gas and fuel cost adjustments driven by fluctuations in commodity prices.</w:t>
      </w:r>
    </w:p>
    <w:p>
      <w:pPr>
        <w:spacing w:after="0" w:line="1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6"/>
          <w:szCs w:val="16"/>
          <w:color w:val="auto"/>
        </w:rPr>
      </w:pPr>
      <w:r>
        <w:rPr>
          <w:rFonts w:ascii="Arial" w:cs="Arial" w:eastAsia="Arial" w:hAnsi="Arial"/>
          <w:sz w:val="16"/>
          <w:szCs w:val="16"/>
          <w:color w:val="auto"/>
        </w:rPr>
        <w:t>Cash outflows decreased $6.7 million from other operating activities primarily due to lower costs from cloud computing arrangements.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40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344"/>
        </w:trPr>
        <w:tc>
          <w:tcPr>
            <w:tcW w:w="5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20" w:type="dxa"/>
            <w:vAlign w:val="bottom"/>
          </w:tcPr>
          <w:p>
            <w:pPr>
              <w:jc w:val="right"/>
              <w:ind w:right="419"/>
              <w:spacing w:after="0"/>
              <w:rPr>
                <w:sz w:val="20"/>
                <w:szCs w:val="20"/>
                <w:color w:val="auto"/>
              </w:rPr>
            </w:pPr>
            <w:r>
              <w:rPr>
                <w:rFonts w:ascii="Arial" w:cs="Arial" w:eastAsia="Arial" w:hAnsi="Arial"/>
                <w:sz w:val="16"/>
                <w:szCs w:val="16"/>
                <w:b w:val="1"/>
                <w:bCs w:val="1"/>
                <w:color w:val="auto"/>
              </w:rPr>
              <w:t>2024 vs 2023</w:t>
            </w:r>
          </w:p>
        </w:tc>
        <w:tc>
          <w:tcPr>
            <w:tcW w:w="218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rPr>
              <w:t>2023 vs 2022</w:t>
            </w:r>
          </w:p>
        </w:tc>
      </w:tr>
      <w:tr>
        <w:trPr>
          <w:trHeight w:val="203"/>
        </w:trPr>
        <w:tc>
          <w:tcPr>
            <w:tcW w:w="54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15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Variance</w:t>
            </w:r>
          </w:p>
        </w:tc>
        <w:tc>
          <w:tcPr>
            <w:tcW w:w="10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1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Variance</w:t>
            </w:r>
          </w:p>
        </w:tc>
      </w:tr>
      <w:tr>
        <w:trPr>
          <w:trHeight w:val="183"/>
        </w:trPr>
        <w:tc>
          <w:tcPr>
            <w:tcW w:w="54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319"/>
              <w:spacing w:after="0" w:line="183" w:lineRule="exact"/>
              <w:rPr>
                <w:sz w:val="20"/>
                <w:szCs w:val="20"/>
                <w:color w:val="auto"/>
              </w:rPr>
            </w:pPr>
            <w:r>
              <w:rPr>
                <w:rFonts w:ascii="Arial" w:cs="Arial" w:eastAsia="Arial" w:hAnsi="Arial"/>
                <w:sz w:val="16"/>
                <w:szCs w:val="16"/>
                <w:color w:val="auto"/>
              </w:rPr>
              <w:t>(in millions)</w:t>
            </w:r>
          </w:p>
        </w:tc>
        <w:tc>
          <w:tcPr>
            <w:tcW w:w="10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r>
      <w:tr>
        <w:trPr>
          <w:trHeight w:val="183"/>
        </w:trPr>
        <w:tc>
          <w:tcPr>
            <w:tcW w:w="540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Capital expenditures</w:t>
            </w:r>
          </w:p>
        </w:tc>
        <w:tc>
          <w:tcPr>
            <w:tcW w:w="1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(744.2 ) $</w:t>
            </w:r>
          </w:p>
        </w:tc>
        <w:tc>
          <w:tcPr>
            <w:tcW w:w="9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(555.6 ) $</w:t>
            </w:r>
          </w:p>
        </w:tc>
        <w:tc>
          <w:tcPr>
            <w:tcW w:w="15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(188.6 ) $</w:t>
            </w:r>
          </w:p>
        </w:tc>
        <w:tc>
          <w:tcPr>
            <w:tcW w:w="10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(604.4 ) $</w:t>
            </w:r>
          </w:p>
        </w:tc>
        <w:tc>
          <w:tcPr>
            <w:tcW w:w="116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48.8</w:t>
            </w:r>
          </w:p>
        </w:tc>
      </w:tr>
      <w:tr>
        <w:trPr>
          <w:trHeight w:val="189"/>
        </w:trPr>
        <w:tc>
          <w:tcPr>
            <w:tcW w:w="5400" w:type="dxa"/>
            <w:vAlign w:val="bottom"/>
          </w:tcPr>
          <w:p>
            <w:pPr>
              <w:ind w:left="20"/>
              <w:spacing w:after="0"/>
              <w:rPr>
                <w:sz w:val="20"/>
                <w:szCs w:val="20"/>
                <w:color w:val="auto"/>
              </w:rPr>
            </w:pPr>
            <w:r>
              <w:rPr>
                <w:rFonts w:ascii="Arial" w:cs="Arial" w:eastAsia="Arial" w:hAnsi="Arial"/>
                <w:sz w:val="16"/>
                <w:szCs w:val="16"/>
                <w:color w:val="auto"/>
              </w:rPr>
              <w:t>Other investing activities</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(1.8 )</w:t>
            </w: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18.9</w:t>
            </w:r>
          </w:p>
        </w:tc>
        <w:tc>
          <w:tcPr>
            <w:tcW w:w="15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(20.7 )</w:t>
            </w:r>
          </w:p>
        </w:tc>
        <w:tc>
          <w:tcPr>
            <w:tcW w:w="10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0.5</w:t>
            </w: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18.4</w:t>
            </w:r>
          </w:p>
        </w:tc>
      </w:tr>
      <w:tr>
        <w:trPr>
          <w:trHeight w:val="223"/>
        </w:trPr>
        <w:tc>
          <w:tcPr>
            <w:tcW w:w="540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Net cash (used in) investing activities</w:t>
            </w:r>
          </w:p>
        </w:tc>
        <w:tc>
          <w:tcPr>
            <w:tcW w:w="1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(746.0 ) $</w:t>
            </w:r>
          </w:p>
        </w:tc>
        <w:tc>
          <w:tcPr>
            <w:tcW w:w="9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(536.7 ) $</w:t>
            </w:r>
          </w:p>
        </w:tc>
        <w:tc>
          <w:tcPr>
            <w:tcW w:w="15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(209.3 ) $</w:t>
            </w:r>
          </w:p>
        </w:tc>
        <w:tc>
          <w:tcPr>
            <w:tcW w:w="10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(603.9 ) $</w:t>
            </w:r>
          </w:p>
        </w:tc>
        <w:tc>
          <w:tcPr>
            <w:tcW w:w="116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67.2</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2024 Compared to 2023</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investing activities was $209.3 million higher which was attributable to:</w:t>
      </w:r>
    </w:p>
    <w:p>
      <w:pPr>
        <w:spacing w:after="0" w:line="194" w:lineRule="exact"/>
        <w:rPr>
          <w:sz w:val="20"/>
          <w:szCs w:val="20"/>
          <w:color w:val="auto"/>
        </w:rPr>
      </w:pPr>
    </w:p>
    <w:p>
      <w:pPr>
        <w:ind w:left="1020" w:right="140" w:hanging="503"/>
        <w:spacing w:after="0" w:line="253" w:lineRule="auto"/>
        <w:tabs>
          <w:tab w:leader="none" w:pos="1020"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Cash outflows from capital expenditures (which are net of contributions in aid of construction) increased $188.6 million primarily as a result of Wyoming Electric's Ready Wyoming electric transmission expansion project and Black Hills Energy Renewable Resources' acquisition of a RNG production facility at a landfill in Dubuque, Iowa.</w:t>
      </w: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020" w:right="140" w:hanging="503"/>
        <w:spacing w:after="0" w:line="285" w:lineRule="auto"/>
        <w:tabs>
          <w:tab w:leader="none" w:pos="1020" w:val="left"/>
        </w:tabs>
        <w:numPr>
          <w:ilvl w:val="0"/>
          <w:numId w:val="42"/>
        </w:numPr>
        <w:rPr>
          <w:rFonts w:ascii="Times New Roman" w:cs="Times New Roman" w:eastAsia="Times New Roman" w:hAnsi="Times New Roman"/>
          <w:sz w:val="16"/>
          <w:szCs w:val="16"/>
          <w:color w:val="auto"/>
        </w:rPr>
      </w:pPr>
      <w:r>
        <w:rPr>
          <w:rFonts w:ascii="Arial" w:cs="Arial" w:eastAsia="Arial" w:hAnsi="Arial"/>
          <w:sz w:val="16"/>
          <w:szCs w:val="16"/>
          <w:color w:val="auto"/>
        </w:rPr>
        <w:t>Cash outflows increased $20.7 million for other investing activities primarily due to 2023 proceeds from the sale of Northern Iowa Windpower assets and a sale of land to support data center growth.</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40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344"/>
        </w:trPr>
        <w:tc>
          <w:tcPr>
            <w:tcW w:w="5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12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rPr>
              <w:t>2024 vs 2023</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6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rPr>
              <w:t>2023 vs 2022</w:t>
            </w:r>
          </w:p>
        </w:tc>
      </w:tr>
      <w:tr>
        <w:trPr>
          <w:trHeight w:val="203"/>
        </w:trPr>
        <w:tc>
          <w:tcPr>
            <w:tcW w:w="54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10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1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Variance</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Variance</w:t>
            </w:r>
          </w:p>
        </w:tc>
      </w:tr>
      <w:tr>
        <w:trPr>
          <w:trHeight w:val="183"/>
        </w:trPr>
        <w:tc>
          <w:tcPr>
            <w:tcW w:w="54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(in millions)</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r>
      <w:tr>
        <w:trPr>
          <w:trHeight w:val="183"/>
        </w:trPr>
        <w:tc>
          <w:tcPr>
            <w:tcW w:w="540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Dividends paid on common stock</w:t>
            </w:r>
          </w:p>
        </w:tc>
        <w:tc>
          <w:tcPr>
            <w:tcW w:w="1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(182.3 ) $</w:t>
            </w:r>
          </w:p>
        </w:tc>
        <w:tc>
          <w:tcPr>
            <w:tcW w:w="10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(168.1 ) $</w:t>
            </w:r>
          </w:p>
        </w:tc>
        <w:tc>
          <w:tcPr>
            <w:tcW w:w="1380" w:type="dxa"/>
            <w:vAlign w:val="bottom"/>
            <w:gridSpan w:val="2"/>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(14.2 ) $</w:t>
            </w:r>
          </w:p>
        </w:tc>
        <w:tc>
          <w:tcPr>
            <w:tcW w:w="110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(156.7 ) $</w:t>
            </w:r>
          </w:p>
        </w:tc>
        <w:tc>
          <w:tcPr>
            <w:tcW w:w="1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(11.4 )</w:t>
            </w:r>
          </w:p>
        </w:tc>
      </w:tr>
      <w:tr>
        <w:trPr>
          <w:trHeight w:val="189"/>
        </w:trPr>
        <w:tc>
          <w:tcPr>
            <w:tcW w:w="5400" w:type="dxa"/>
            <w:vAlign w:val="bottom"/>
          </w:tcPr>
          <w:p>
            <w:pPr>
              <w:ind w:left="20"/>
              <w:spacing w:after="0"/>
              <w:rPr>
                <w:sz w:val="20"/>
                <w:szCs w:val="20"/>
                <w:color w:val="auto"/>
              </w:rPr>
            </w:pPr>
            <w:r>
              <w:rPr>
                <w:rFonts w:ascii="Arial" w:cs="Arial" w:eastAsia="Arial" w:hAnsi="Arial"/>
                <w:sz w:val="16"/>
                <w:szCs w:val="16"/>
                <w:color w:val="auto"/>
              </w:rPr>
              <w:t>Common stock issued</w:t>
            </w:r>
          </w:p>
        </w:tc>
        <w:tc>
          <w:tcPr>
            <w:tcW w:w="180" w:type="dxa"/>
            <w:vAlign w:val="bottom"/>
          </w:tcPr>
          <w:p>
            <w:pPr>
              <w:spacing w:after="0"/>
              <w:rPr>
                <w:sz w:val="16"/>
                <w:szCs w:val="16"/>
                <w:color w:val="auto"/>
              </w:rPr>
            </w:pPr>
          </w:p>
        </w:tc>
        <w:tc>
          <w:tcPr>
            <w:tcW w:w="1020" w:type="dxa"/>
            <w:vAlign w:val="bottom"/>
          </w:tcPr>
          <w:p>
            <w:pPr>
              <w:jc w:val="right"/>
              <w:ind w:right="239"/>
              <w:spacing w:after="0"/>
              <w:rPr>
                <w:sz w:val="20"/>
                <w:szCs w:val="20"/>
                <w:color w:val="auto"/>
              </w:rPr>
            </w:pPr>
            <w:r>
              <w:rPr>
                <w:rFonts w:ascii="Arial" w:cs="Arial" w:eastAsia="Arial" w:hAnsi="Arial"/>
                <w:sz w:val="16"/>
                <w:szCs w:val="16"/>
                <w:color w:val="auto"/>
              </w:rPr>
              <w:t>181.4</w:t>
            </w:r>
          </w:p>
        </w:tc>
        <w:tc>
          <w:tcPr>
            <w:tcW w:w="1000" w:type="dxa"/>
            <w:vAlign w:val="bottom"/>
          </w:tcPr>
          <w:p>
            <w:pPr>
              <w:jc w:val="right"/>
              <w:ind w:right="239"/>
              <w:spacing w:after="0"/>
              <w:rPr>
                <w:sz w:val="20"/>
                <w:szCs w:val="20"/>
                <w:color w:val="auto"/>
              </w:rPr>
            </w:pPr>
            <w:r>
              <w:rPr>
                <w:rFonts w:ascii="Arial" w:cs="Arial" w:eastAsia="Arial" w:hAnsi="Arial"/>
                <w:sz w:val="16"/>
                <w:szCs w:val="16"/>
                <w:color w:val="auto"/>
              </w:rPr>
              <w:t>118.3</w:t>
            </w:r>
          </w:p>
        </w:tc>
        <w:tc>
          <w:tcPr>
            <w:tcW w:w="1120" w:type="dxa"/>
            <w:vAlign w:val="bottom"/>
          </w:tcPr>
          <w:p>
            <w:pPr>
              <w:jc w:val="right"/>
              <w:spacing w:after="0"/>
              <w:rPr>
                <w:sz w:val="20"/>
                <w:szCs w:val="20"/>
                <w:color w:val="auto"/>
              </w:rPr>
            </w:pPr>
            <w:r>
              <w:rPr>
                <w:rFonts w:ascii="Arial" w:cs="Arial" w:eastAsia="Arial" w:hAnsi="Arial"/>
                <w:sz w:val="16"/>
                <w:szCs w:val="16"/>
                <w:color w:val="auto"/>
              </w:rPr>
              <w:t>63.1</w:t>
            </w:r>
          </w:p>
        </w:tc>
        <w:tc>
          <w:tcPr>
            <w:tcW w:w="260" w:type="dxa"/>
            <w:vAlign w:val="bottom"/>
          </w:tcPr>
          <w:p>
            <w:pPr>
              <w:spacing w:after="0"/>
              <w:rPr>
                <w:sz w:val="16"/>
                <w:szCs w:val="16"/>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90.1</w:t>
            </w:r>
          </w:p>
        </w:tc>
        <w:tc>
          <w:tcPr>
            <w:tcW w:w="200" w:type="dxa"/>
            <w:vAlign w:val="bottom"/>
          </w:tcPr>
          <w:p>
            <w:pPr>
              <w:spacing w:after="0"/>
              <w:rPr>
                <w:sz w:val="16"/>
                <w:szCs w:val="16"/>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28.2</w:t>
            </w:r>
          </w:p>
        </w:tc>
      </w:tr>
      <w:tr>
        <w:trPr>
          <w:trHeight w:val="189"/>
        </w:trPr>
        <w:tc>
          <w:tcPr>
            <w:tcW w:w="5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Short-term and long-term debt borrowings (repayments), net</w:t>
            </w: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(16.2 )</w:t>
            </w:r>
          </w:p>
        </w:tc>
        <w:tc>
          <w:tcPr>
            <w:tcW w:w="100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(260.6 )</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244.4</w:t>
            </w: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115.4</w:t>
            </w:r>
          </w:p>
        </w:tc>
        <w:tc>
          <w:tcPr>
            <w:tcW w:w="20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(376.0 )</w:t>
            </w:r>
          </w:p>
        </w:tc>
      </w:tr>
      <w:tr>
        <w:trPr>
          <w:trHeight w:val="189"/>
        </w:trPr>
        <w:tc>
          <w:tcPr>
            <w:tcW w:w="5400" w:type="dxa"/>
            <w:vAlign w:val="bottom"/>
          </w:tcPr>
          <w:p>
            <w:pPr>
              <w:ind w:left="20"/>
              <w:spacing w:after="0"/>
              <w:rPr>
                <w:sz w:val="20"/>
                <w:szCs w:val="20"/>
                <w:color w:val="auto"/>
              </w:rPr>
            </w:pPr>
            <w:r>
              <w:rPr>
                <w:rFonts w:ascii="Arial" w:cs="Arial" w:eastAsia="Arial" w:hAnsi="Arial"/>
                <w:sz w:val="16"/>
                <w:szCs w:val="16"/>
                <w:color w:val="auto"/>
              </w:rPr>
              <w:t>Distributions to non-controlling interests</w:t>
            </w:r>
          </w:p>
        </w:tc>
        <w:tc>
          <w:tcPr>
            <w:tcW w:w="18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Arial" w:cs="Arial" w:eastAsia="Arial" w:hAnsi="Arial"/>
                <w:sz w:val="16"/>
                <w:szCs w:val="16"/>
                <w:color w:val="auto"/>
              </w:rPr>
              <w:t>(17.4 )</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(18.3 )</w:t>
            </w:r>
          </w:p>
        </w:tc>
        <w:tc>
          <w:tcPr>
            <w:tcW w:w="1120" w:type="dxa"/>
            <w:vAlign w:val="bottom"/>
          </w:tcPr>
          <w:p>
            <w:pPr>
              <w:jc w:val="right"/>
              <w:spacing w:after="0"/>
              <w:rPr>
                <w:sz w:val="20"/>
                <w:szCs w:val="20"/>
                <w:color w:val="auto"/>
              </w:rPr>
            </w:pPr>
            <w:r>
              <w:rPr>
                <w:rFonts w:ascii="Arial" w:cs="Arial" w:eastAsia="Arial" w:hAnsi="Arial"/>
                <w:sz w:val="16"/>
                <w:szCs w:val="16"/>
                <w:color w:val="auto"/>
              </w:rPr>
              <w:t>0.9</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(17.4 )</w:t>
            </w: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(0.9 )</w:t>
            </w:r>
          </w:p>
        </w:tc>
      </w:tr>
      <w:tr>
        <w:trPr>
          <w:trHeight w:val="189"/>
        </w:trPr>
        <w:tc>
          <w:tcPr>
            <w:tcW w:w="5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financing activities</w:t>
            </w:r>
          </w:p>
        </w:tc>
        <w:tc>
          <w:tcPr>
            <w:tcW w:w="18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(8.4 )</w:t>
            </w:r>
          </w:p>
        </w:tc>
        <w:tc>
          <w:tcPr>
            <w:tcW w:w="100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color w:val="auto"/>
              </w:rPr>
              <w:t>(13.0 )</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w:t>
            </w:r>
          </w:p>
        </w:tc>
        <w:tc>
          <w:tcPr>
            <w:tcW w:w="26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0.9</w:t>
            </w:r>
          </w:p>
        </w:tc>
        <w:tc>
          <w:tcPr>
            <w:tcW w:w="20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(13.9 )</w:t>
            </w:r>
          </w:p>
        </w:tc>
      </w:tr>
      <w:tr>
        <w:trPr>
          <w:trHeight w:val="183"/>
        </w:trPr>
        <w:tc>
          <w:tcPr>
            <w:tcW w:w="5400" w:type="dxa"/>
            <w:vAlign w:val="bottom"/>
          </w:tcPr>
          <w:p>
            <w:pPr>
              <w:ind w:left="20"/>
              <w:spacing w:after="0" w:line="183" w:lineRule="exact"/>
              <w:rPr>
                <w:sz w:val="20"/>
                <w:szCs w:val="20"/>
                <w:color w:val="auto"/>
              </w:rPr>
            </w:pPr>
            <w:r>
              <w:rPr>
                <w:rFonts w:ascii="Arial" w:cs="Arial" w:eastAsia="Arial" w:hAnsi="Arial"/>
                <w:sz w:val="16"/>
                <w:szCs w:val="16"/>
                <w:color w:val="auto"/>
              </w:rPr>
              <w:t>Net cash provided by (used in) financing activities</w:t>
            </w: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(42.9 ) $</w:t>
            </w: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(341.7 ) $</w:t>
            </w: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298.8</w:t>
            </w:r>
          </w:p>
        </w:tc>
        <w:tc>
          <w:tcPr>
            <w:tcW w:w="26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32.3</w:t>
            </w:r>
          </w:p>
        </w:tc>
        <w:tc>
          <w:tcPr>
            <w:tcW w:w="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(374.0 )</w:t>
            </w:r>
          </w:p>
        </w:tc>
      </w:tr>
      <w:tr>
        <w:trPr>
          <w:trHeight w:val="20"/>
        </w:trPr>
        <w:tc>
          <w:tcPr>
            <w:tcW w:w="5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2024 Compared to 2023</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financing activities was $298.8 million lower which was primarily attributable to:</w:t>
      </w:r>
    </w:p>
    <w:p>
      <w:pPr>
        <w:spacing w:after="0" w:line="194" w:lineRule="exact"/>
        <w:rPr>
          <w:sz w:val="20"/>
          <w:szCs w:val="20"/>
          <w:color w:val="auto"/>
        </w:rPr>
      </w:pPr>
    </w:p>
    <w:p>
      <w:pPr>
        <w:ind w:left="1020" w:hanging="503"/>
        <w:spacing w:after="0"/>
        <w:tabs>
          <w:tab w:leader="none" w:pos="1020"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color w:val="auto"/>
        </w:rPr>
        <w:t>Cash outflows increased $14.2 million due to increased dividends paid on increased shares of common stock outstanding;</w:t>
      </w:r>
    </w:p>
    <w:p>
      <w:pPr>
        <w:spacing w:after="0" w:line="20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color w:val="auto"/>
        </w:rPr>
        <w:t>Cash inflows increased $63.1 million due to higher issuances of common stock;</w:t>
      </w:r>
    </w:p>
    <w:p>
      <w:pPr>
        <w:spacing w:after="0" w:line="20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color w:val="auto"/>
        </w:rPr>
        <w:t>Net outflows from changes in short-term and long-term debt (repayments) borrowings decreased $244.4 million due to:</w:t>
      </w:r>
    </w:p>
    <w:p>
      <w:pPr>
        <w:spacing w:after="0" w:line="206" w:lineRule="exact"/>
        <w:rPr>
          <w:rFonts w:ascii="Times New Roman" w:cs="Times New Roman" w:eastAsia="Times New Roman" w:hAnsi="Times New Roman"/>
          <w:sz w:val="16"/>
          <w:szCs w:val="16"/>
          <w:color w:val="auto"/>
        </w:rPr>
      </w:pPr>
    </w:p>
    <w:p>
      <w:pPr>
        <w:ind w:left="10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w:t>
      </w:r>
      <w:r>
        <w:rPr>
          <w:rFonts w:ascii="Arial" w:cs="Arial" w:eastAsia="Arial" w:hAnsi="Arial"/>
          <w:sz w:val="16"/>
          <w:szCs w:val="16"/>
          <w:color w:val="auto"/>
        </w:rPr>
        <w:t>Net cash inflows increased $669.4 million as a result of net borrowing activity under our Revolving Credit Facility and CP Program; and</w:t>
      </w:r>
    </w:p>
    <w:p>
      <w:pPr>
        <w:spacing w:after="0" w:line="207" w:lineRule="exact"/>
        <w:rPr>
          <w:rFonts w:ascii="Times New Roman" w:cs="Times New Roman" w:eastAsia="Times New Roman" w:hAnsi="Times New Roman"/>
          <w:sz w:val="16"/>
          <w:szCs w:val="16"/>
          <w:color w:val="auto"/>
        </w:rPr>
      </w:pPr>
    </w:p>
    <w:p>
      <w:pPr>
        <w:ind w:left="1540" w:right="180" w:hanging="509"/>
        <w:spacing w:after="0" w:line="28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w:t>
      </w:r>
      <w:r>
        <w:rPr>
          <w:rFonts w:ascii="Arial" w:cs="Arial" w:eastAsia="Arial" w:hAnsi="Arial"/>
          <w:sz w:val="16"/>
          <w:szCs w:val="16"/>
          <w:color w:val="auto"/>
        </w:rPr>
        <w:t>Cash inflows decreased $350 million due to issuances of $450 million of senior unsecured notes in May 2024 compared to issuances of $350 million of senior unsecured notes in March 2023 and $450 million of senior unsecured notes in September 2023; and</w:t>
      </w:r>
    </w:p>
    <w:p>
      <w:pPr>
        <w:spacing w:after="0" w:line="128" w:lineRule="exact"/>
        <w:rPr>
          <w:rFonts w:ascii="Times New Roman" w:cs="Times New Roman" w:eastAsia="Times New Roman" w:hAnsi="Times New Roman"/>
          <w:sz w:val="16"/>
          <w:szCs w:val="16"/>
          <w:color w:val="auto"/>
        </w:rPr>
      </w:pPr>
    </w:p>
    <w:p>
      <w:pPr>
        <w:ind w:left="1540" w:right="640" w:hanging="509"/>
        <w:spacing w:after="0" w:line="28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w:t>
      </w:r>
      <w:r>
        <w:rPr>
          <w:rFonts w:ascii="Arial" w:cs="Arial" w:eastAsia="Arial" w:hAnsi="Arial"/>
          <w:sz w:val="16"/>
          <w:szCs w:val="16"/>
          <w:color w:val="auto"/>
        </w:rPr>
        <w:t>Cash outflows increased $75 million due to repayment of our $600 million senior unsecured notes in August 2024 compared to repayment of our $525 million senior unsecured notes in November 2023.</w:t>
      </w:r>
    </w:p>
    <w:p>
      <w:pPr>
        <w:spacing w:after="0" w:line="128" w:lineRule="exact"/>
        <w:rPr>
          <w:rFonts w:ascii="Times New Roman" w:cs="Times New Roman" w:eastAsia="Times New Roman" w:hAnsi="Times New Roman"/>
          <w:sz w:val="16"/>
          <w:szCs w:val="16"/>
          <w:color w:val="auto"/>
        </w:rPr>
      </w:pPr>
    </w:p>
    <w:p>
      <w:pPr>
        <w:ind w:left="1020" w:right="260" w:hanging="503"/>
        <w:spacing w:after="0" w:line="285" w:lineRule="auto"/>
        <w:tabs>
          <w:tab w:leader="none" w:pos="1020"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color w:val="auto"/>
        </w:rPr>
        <w:t>Cash outflows decreased by $4.6 million for other financing activities primarily due to lower financing costs from the May 2024 debt offering compared to the March 2023 and September 2023 debt offerings.</w:t>
      </w: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 RESOURCES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Shelf Registration Statement</w:t>
      </w:r>
    </w:p>
    <w:p>
      <w:pPr>
        <w:spacing w:after="0" w:line="194"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color w:val="auto"/>
        </w:rPr>
        <w:t>We maintain an effective shelf registration statement with the SEC under which we may issue, from time to time, an unspecified amount of senior debt securities, subordinate debt securities, common stock, preferred stock, warrants, and other securities.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Short-term Debt</w:t>
      </w:r>
    </w:p>
    <w:p>
      <w:pPr>
        <w:spacing w:after="0" w:line="194"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We have a $750 million Revolving Credit Facility that matures on May 31, 2029, with two one-year extension options (subject to consent from lenders). This facility is similar to the former revolving credit facility, which includes an accordion feature that allows us to increase total commitments up to $1.0 billion with the consent of the administrative agent, the issuing agents, and each bank increasing or providing a new commitment. We also have a $750 million, unsecured CP Program that is backstopped by the Revolving Credit Facility. Amounts outstanding under the Revolving Credit Facility and the CP Program, either individually or in the aggregate, cannot exceed $750 million.</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The Revolving Credit Facility prohibits us from paying cash dividends if a default or an event of default exists prior to, or would result after, paying a dividend.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Although these contractual restrictions exist, we do not anticipate triggering any default measures or restrictions.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right="60"/>
        <w:spacing w:after="0" w:line="266" w:lineRule="auto"/>
        <w:rPr>
          <w:sz w:val="20"/>
          <w:szCs w:val="20"/>
          <w:color w:val="auto"/>
        </w:rPr>
      </w:pPr>
      <w:r>
        <w:rPr>
          <w:rFonts w:ascii="Arial" w:cs="Arial" w:eastAsia="Arial" w:hAnsi="Arial"/>
          <w:sz w:val="16"/>
          <w:szCs w:val="16"/>
          <w:color w:val="auto"/>
        </w:rPr>
        <w:t>The Revolving Credit Facility contains cross-default provisions that could result in a default under such agreements if BHC or its material subsidiaries failed to 1) make timely payments of debt obligations; or 2) triggered other default provisions under any debt agreement totaling, in the aggregate principal amount of $50 million or more that permit the acceleration of debt maturities or mandatory debt prepayment.</w:t>
      </w:r>
    </w:p>
    <w:p>
      <w:pPr>
        <w:spacing w:after="0" w:line="144"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8</w:t>
      </w:r>
      <w:r>
        <w:rPr>
          <w:rFonts w:ascii="Arial" w:cs="Arial" w:eastAsia="Arial" w:hAnsi="Arial"/>
          <w:sz w:val="16"/>
          <w:szCs w:val="16"/>
          <w:color w:val="auto"/>
        </w:rPr>
        <w:t xml:space="preserve"> of the Notes to Consolidated Financial Statements in this Annual Report on Form 10-K for more information on our Revolving Credit Facility and CP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-165735</wp:posOffset>
            </wp:positionV>
            <wp:extent cx="30289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02895" cy="8890"/>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Utility Money Pool</w:t>
      </w:r>
    </w:p>
    <w:p>
      <w:pPr>
        <w:spacing w:after="0" w:line="194"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As a utility holding company, we are required to establish a cash management program to address lending and borrowing activities between our utilities and the Company. We have established utility money pool agreements which address these requirements. These agreements are on file with the FERC and appropriate state regulators. Under the utility money pool agreements, our utilities may, at their option, borrow and extend short-term loans to the utility money pool at market-based rates. While the utility money pool may borrow funds from the Company (as ultimate parent company), the money pool arrangement does not allow loans from our utility subsidiaries to the Company (as ultimate parent company) or to non-regulated affiliates.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Long-term Debt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information on our long-term debt, see </w:t>
      </w:r>
      <w:r>
        <w:rPr>
          <w:rFonts w:ascii="Arial" w:cs="Arial" w:eastAsia="Arial" w:hAnsi="Arial"/>
          <w:sz w:val="16"/>
          <w:szCs w:val="16"/>
          <w:u w:val="single" w:color="auto"/>
          <w:color w:val="0000FF"/>
        </w:rPr>
        <w:t>Note 8</w:t>
      </w:r>
      <w:r>
        <w:rPr>
          <w:rFonts w:ascii="Arial" w:cs="Arial" w:eastAsia="Arial" w:hAnsi="Arial"/>
          <w:sz w:val="16"/>
          <w:szCs w:val="16"/>
          <w:color w:val="auto"/>
        </w:rPr>
        <w:t xml:space="preserve">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1960245</wp:posOffset>
            </wp:positionH>
            <wp:positionV relativeFrom="paragraph">
              <wp:posOffset>-4445</wp:posOffset>
            </wp:positionV>
            <wp:extent cx="30289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Covenants</w:t>
      </w:r>
    </w:p>
    <w:p>
      <w:pPr>
        <w:spacing w:after="0" w:line="19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 xml:space="preserve">The Revolving Credit Facility and Wyoming Electric’s financing agreements contain covenant requirements. We were in compliance with these covenants as of December 31, 2024. See additional information in </w:t>
      </w:r>
      <w:r>
        <w:rPr>
          <w:rFonts w:ascii="Arial" w:cs="Arial" w:eastAsia="Arial" w:hAnsi="Arial"/>
          <w:sz w:val="16"/>
          <w:szCs w:val="16"/>
          <w:u w:val="single" w:color="auto"/>
          <w:color w:val="0000FF"/>
        </w:rPr>
        <w:t>Note 8</w:t>
      </w:r>
      <w:r>
        <w:rPr>
          <w:rFonts w:ascii="Arial" w:cs="Arial" w:eastAsia="Arial" w:hAnsi="Arial"/>
          <w:sz w:val="16"/>
          <w:szCs w:val="16"/>
          <w:color w:val="auto"/>
        </w:rPr>
        <w:t xml:space="preserve">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-45720</wp:posOffset>
            </wp:positionV>
            <wp:extent cx="30289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02895" cy="8890"/>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information regarding equity, see </w:t>
      </w:r>
      <w:r>
        <w:rPr>
          <w:rFonts w:ascii="Arial" w:cs="Arial" w:eastAsia="Arial" w:hAnsi="Arial"/>
          <w:sz w:val="16"/>
          <w:szCs w:val="16"/>
          <w:u w:val="single" w:color="auto"/>
          <w:color w:val="0000FF"/>
        </w:rPr>
        <w:t>Note 8</w:t>
      </w:r>
      <w:r>
        <w:rPr>
          <w:rFonts w:ascii="Arial" w:cs="Arial" w:eastAsia="Arial" w:hAnsi="Arial"/>
          <w:sz w:val="16"/>
          <w:szCs w:val="16"/>
          <w:color w:val="auto"/>
        </w:rPr>
        <w:t xml:space="preserve">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1714500</wp:posOffset>
            </wp:positionH>
            <wp:positionV relativeFrom="paragraph">
              <wp:posOffset>-4445</wp:posOffset>
            </wp:positionV>
            <wp:extent cx="30289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 RATINGS</w:t>
      </w:r>
    </w:p>
    <w:p>
      <w:pPr>
        <w:spacing w:after="0" w:line="194"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Financing for operational needs and capital expenditure requirements, not satisfied by operating cash flows, depends upon the cost and availability of external funds through both short and long-term financing. In order to operate and grow our business, we need to consistently maintain the ability to raise capital on favorable terms. Access to funds is dependent upon factors such as general economic and capital market conditions, regulatory authorizations and policies, the Company’s credit ratings, cash flows from routine operations, and the credit ratings of counterparties. After assessing the current operating performance, liquidity, and credit ratings of the Company, management believes that the Company will have access to the capital markets at prevailing market rates for companies with comparable credit ratings. We note that credit ratings are not recommendations to buy, sell, or hold securities and may be subject to revision or withdrawal at any time by the assigning rating agency. Each rating should be evaluated independently of any other rating.</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represents the credit ratings, outlook and risk profile of BHC at December 31, 2024: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40" w:type="dxa"/>
            <w:vAlign w:val="bottom"/>
            <w:tcBorders>
              <w:bottom w:val="single" w:sz="8" w:color="auto"/>
            </w:tcBorders>
          </w:tcPr>
          <w:p>
            <w:pPr>
              <w:ind w:left="2000"/>
              <w:spacing w:after="0"/>
              <w:rPr>
                <w:sz w:val="20"/>
                <w:szCs w:val="20"/>
                <w:color w:val="auto"/>
              </w:rPr>
            </w:pPr>
            <w:r>
              <w:rPr>
                <w:rFonts w:ascii="Arial" w:cs="Arial" w:eastAsia="Arial" w:hAnsi="Arial"/>
                <w:sz w:val="16"/>
                <w:szCs w:val="16"/>
                <w:b w:val="1"/>
                <w:bCs w:val="1"/>
                <w:color w:val="auto"/>
              </w:rPr>
              <w:t>Rating Agency</w:t>
            </w:r>
          </w:p>
        </w:tc>
        <w:tc>
          <w:tcPr>
            <w:tcW w:w="4220" w:type="dxa"/>
            <w:vAlign w:val="bottom"/>
            <w:tcBorders>
              <w:bottom w:val="single" w:sz="8" w:color="auto"/>
            </w:tcBorders>
          </w:tcPr>
          <w:p>
            <w:pPr>
              <w:jc w:val="center"/>
              <w:ind w:left="419"/>
              <w:spacing w:after="0"/>
              <w:rPr>
                <w:sz w:val="20"/>
                <w:szCs w:val="20"/>
                <w:color w:val="auto"/>
              </w:rPr>
            </w:pPr>
            <w:r>
              <w:rPr>
                <w:rFonts w:ascii="Arial" w:cs="Arial" w:eastAsia="Arial" w:hAnsi="Arial"/>
                <w:sz w:val="16"/>
                <w:szCs w:val="16"/>
                <w:b w:val="1"/>
                <w:bCs w:val="1"/>
                <w:color w:val="auto"/>
              </w:rPr>
              <w:t>Senior Unsecured Rating</w:t>
            </w: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Outlook</w:t>
            </w:r>
          </w:p>
        </w:tc>
      </w:tr>
      <w:tr>
        <w:trPr>
          <w:trHeight w:val="182"/>
        </w:trPr>
        <w:tc>
          <w:tcPr>
            <w:tcW w:w="454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 xml:space="preserve">S&amp;P </w:t>
            </w:r>
            <w:r>
              <w:rPr>
                <w:rFonts w:ascii="Arial" w:cs="Arial" w:eastAsia="Arial" w:hAnsi="Arial"/>
                <w:sz w:val="21"/>
                <w:szCs w:val="21"/>
                <w:color w:val="auto"/>
                <w:vertAlign w:val="superscript"/>
              </w:rPr>
              <w:t>(a)</w:t>
            </w:r>
          </w:p>
        </w:tc>
        <w:tc>
          <w:tcPr>
            <w:tcW w:w="4220" w:type="dxa"/>
            <w:vAlign w:val="bottom"/>
            <w:shd w:val="clear" w:color="auto" w:fill="CFF0FC"/>
          </w:tcPr>
          <w:p>
            <w:pPr>
              <w:jc w:val="center"/>
              <w:ind w:left="439"/>
              <w:spacing w:after="0" w:line="183" w:lineRule="exact"/>
              <w:rPr>
                <w:sz w:val="20"/>
                <w:szCs w:val="20"/>
                <w:color w:val="auto"/>
              </w:rPr>
            </w:pPr>
            <w:r>
              <w:rPr>
                <w:rFonts w:ascii="Arial" w:cs="Arial" w:eastAsia="Arial" w:hAnsi="Arial"/>
                <w:sz w:val="16"/>
                <w:szCs w:val="16"/>
                <w:color w:val="auto"/>
              </w:rPr>
              <w:t>BBB+</w:t>
            </w:r>
          </w:p>
        </w:tc>
        <w:tc>
          <w:tcPr>
            <w:tcW w:w="2480" w:type="dxa"/>
            <w:vAlign w:val="bottom"/>
            <w:shd w:val="clear" w:color="auto" w:fill="CFF0FC"/>
          </w:tcPr>
          <w:p>
            <w:pPr>
              <w:jc w:val="center"/>
              <w:ind w:right="19"/>
              <w:spacing w:after="0" w:line="183" w:lineRule="exact"/>
              <w:rPr>
                <w:sz w:val="20"/>
                <w:szCs w:val="20"/>
                <w:color w:val="auto"/>
              </w:rPr>
            </w:pPr>
            <w:r>
              <w:rPr>
                <w:rFonts w:ascii="Arial" w:cs="Arial" w:eastAsia="Arial" w:hAnsi="Arial"/>
                <w:sz w:val="16"/>
                <w:szCs w:val="16"/>
                <w:color w:val="auto"/>
              </w:rPr>
              <w:t>Stable</w:t>
            </w:r>
          </w:p>
        </w:tc>
      </w:tr>
      <w:tr>
        <w:trPr>
          <w:trHeight w:val="189"/>
        </w:trPr>
        <w:tc>
          <w:tcPr>
            <w:tcW w:w="4540" w:type="dxa"/>
            <w:vAlign w:val="bottom"/>
          </w:tcPr>
          <w:p>
            <w:pPr>
              <w:ind w:left="20"/>
              <w:spacing w:after="0" w:line="189" w:lineRule="exact"/>
              <w:rPr>
                <w:sz w:val="20"/>
                <w:szCs w:val="20"/>
                <w:color w:val="auto"/>
              </w:rPr>
            </w:pPr>
            <w:r>
              <w:rPr>
                <w:rFonts w:ascii="Arial" w:cs="Arial" w:eastAsia="Arial" w:hAnsi="Arial"/>
                <w:sz w:val="16"/>
                <w:szCs w:val="16"/>
                <w:color w:val="auto"/>
              </w:rPr>
              <w:t xml:space="preserve">Moody’s </w:t>
            </w:r>
            <w:r>
              <w:rPr>
                <w:rFonts w:ascii="Arial" w:cs="Arial" w:eastAsia="Arial" w:hAnsi="Arial"/>
                <w:sz w:val="21"/>
                <w:szCs w:val="21"/>
                <w:color w:val="auto"/>
                <w:vertAlign w:val="superscript"/>
              </w:rPr>
              <w:t>(b)</w:t>
            </w:r>
          </w:p>
        </w:tc>
        <w:tc>
          <w:tcPr>
            <w:tcW w:w="4220" w:type="dxa"/>
            <w:vAlign w:val="bottom"/>
          </w:tcPr>
          <w:p>
            <w:pPr>
              <w:jc w:val="center"/>
              <w:ind w:left="419"/>
              <w:spacing w:after="0"/>
              <w:rPr>
                <w:sz w:val="20"/>
                <w:szCs w:val="20"/>
                <w:color w:val="auto"/>
              </w:rPr>
            </w:pPr>
            <w:r>
              <w:rPr>
                <w:rFonts w:ascii="Arial" w:cs="Arial" w:eastAsia="Arial" w:hAnsi="Arial"/>
                <w:sz w:val="16"/>
                <w:szCs w:val="16"/>
                <w:color w:val="auto"/>
                <w:w w:val="96"/>
              </w:rPr>
              <w:t>Baa2</w:t>
            </w:r>
          </w:p>
        </w:tc>
        <w:tc>
          <w:tcPr>
            <w:tcW w:w="2480" w:type="dxa"/>
            <w:vAlign w:val="bottom"/>
          </w:tcPr>
          <w:p>
            <w:pPr>
              <w:jc w:val="center"/>
              <w:ind w:right="19"/>
              <w:spacing w:after="0"/>
              <w:rPr>
                <w:sz w:val="20"/>
                <w:szCs w:val="20"/>
                <w:color w:val="auto"/>
              </w:rPr>
            </w:pPr>
            <w:r>
              <w:rPr>
                <w:rFonts w:ascii="Arial" w:cs="Arial" w:eastAsia="Arial" w:hAnsi="Arial"/>
                <w:sz w:val="16"/>
                <w:szCs w:val="16"/>
                <w:color w:val="auto"/>
              </w:rPr>
              <w:t>Stable</w:t>
            </w:r>
          </w:p>
        </w:tc>
      </w:tr>
      <w:tr>
        <w:trPr>
          <w:trHeight w:val="189"/>
        </w:trPr>
        <w:tc>
          <w:tcPr>
            <w:tcW w:w="4540" w:type="dxa"/>
            <w:vAlign w:val="bottom"/>
            <w:shd w:val="clear" w:color="auto" w:fill="CFF0FC"/>
          </w:tcPr>
          <w:p>
            <w:pPr>
              <w:ind w:left="20"/>
              <w:spacing w:after="0" w:line="189" w:lineRule="exact"/>
              <w:rPr>
                <w:sz w:val="20"/>
                <w:szCs w:val="20"/>
                <w:color w:val="auto"/>
              </w:rPr>
            </w:pPr>
            <w:r>
              <w:rPr>
                <w:rFonts w:ascii="Arial" w:cs="Arial" w:eastAsia="Arial" w:hAnsi="Arial"/>
                <w:sz w:val="16"/>
                <w:szCs w:val="16"/>
                <w:color w:val="auto"/>
              </w:rPr>
              <w:t xml:space="preserve">Fitch </w:t>
            </w:r>
            <w:r>
              <w:rPr>
                <w:rFonts w:ascii="Arial" w:cs="Arial" w:eastAsia="Arial" w:hAnsi="Arial"/>
                <w:sz w:val="21"/>
                <w:szCs w:val="21"/>
                <w:color w:val="auto"/>
                <w:vertAlign w:val="superscript"/>
              </w:rPr>
              <w:t>(c)</w:t>
            </w:r>
          </w:p>
        </w:tc>
        <w:tc>
          <w:tcPr>
            <w:tcW w:w="4220" w:type="dxa"/>
            <w:vAlign w:val="bottom"/>
            <w:shd w:val="clear" w:color="auto" w:fill="CFF0FC"/>
          </w:tcPr>
          <w:p>
            <w:pPr>
              <w:jc w:val="center"/>
              <w:ind w:left="439"/>
              <w:spacing w:after="0"/>
              <w:rPr>
                <w:sz w:val="20"/>
                <w:szCs w:val="20"/>
                <w:color w:val="auto"/>
              </w:rPr>
            </w:pPr>
            <w:r>
              <w:rPr>
                <w:rFonts w:ascii="Arial" w:cs="Arial" w:eastAsia="Arial" w:hAnsi="Arial"/>
                <w:sz w:val="16"/>
                <w:szCs w:val="16"/>
                <w:color w:val="auto"/>
              </w:rPr>
              <w:t>BBB+</w:t>
            </w:r>
          </w:p>
        </w:tc>
        <w:tc>
          <w:tcPr>
            <w:tcW w:w="24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Negative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60" w:lineRule="exact"/>
        <w:rPr>
          <w:sz w:val="20"/>
          <w:szCs w:val="20"/>
          <w:color w:val="auto"/>
        </w:rPr>
      </w:pPr>
    </w:p>
    <w:p>
      <w:pPr>
        <w:ind w:left="520" w:hanging="512"/>
        <w:spacing w:after="0"/>
        <w:tabs>
          <w:tab w:leader="none" w:pos="5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On May 9, 2024, S&amp;P reported BBB+ rating and maintained a Stable outlook.</w:t>
      </w:r>
    </w:p>
    <w:p>
      <w:pPr>
        <w:spacing w:after="0" w:line="15" w:lineRule="exact"/>
        <w:rPr>
          <w:rFonts w:ascii="Arial" w:cs="Arial" w:eastAsia="Arial" w:hAnsi="Arial"/>
          <w:sz w:val="14"/>
          <w:szCs w:val="14"/>
          <w:color w:val="auto"/>
        </w:rPr>
      </w:pPr>
    </w:p>
    <w:p>
      <w:pPr>
        <w:ind w:left="520" w:hanging="512"/>
        <w:spacing w:after="0"/>
        <w:tabs>
          <w:tab w:leader="none" w:pos="5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On January 8, 2025, Moody's reported our Baa2 rating and maintained a Stable outlook.</w:t>
      </w:r>
    </w:p>
    <w:p>
      <w:pPr>
        <w:spacing w:after="0" w:line="1" w:lineRule="exact"/>
        <w:rPr>
          <w:rFonts w:ascii="Arial" w:cs="Arial" w:eastAsia="Arial" w:hAnsi="Arial"/>
          <w:sz w:val="14"/>
          <w:szCs w:val="14"/>
          <w:color w:val="auto"/>
        </w:rPr>
      </w:pPr>
    </w:p>
    <w:p>
      <w:pPr>
        <w:ind w:left="520" w:hanging="512"/>
        <w:spacing w:after="0" w:line="237" w:lineRule="auto"/>
        <w:tabs>
          <w:tab w:leader="none" w:pos="5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On January 17, 2025, Fitch affirmed its BBB+ rating for BHC and maintained a Negative outlook. Following the affirmation, the parties jointly withdrew the rating.</w:t>
      </w:r>
    </w:p>
    <w:p>
      <w:pPr>
        <w:ind w:left="5540"/>
        <w:spacing w:after="0"/>
        <w:rPr>
          <w:rFonts w:ascii="Arial" w:cs="Arial" w:eastAsia="Arial" w:hAnsi="Arial"/>
          <w:sz w:val="14"/>
          <w:szCs w:val="14"/>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20" w:type="dxa"/>
            <w:vAlign w:val="bottom"/>
          </w:tcPr>
          <w:p>
            <w:pPr>
              <w:spacing w:after="0"/>
              <w:rPr>
                <w:sz w:val="20"/>
                <w:szCs w:val="20"/>
                <w:color w:val="auto"/>
              </w:rPr>
            </w:pPr>
            <w:r>
              <w:rPr>
                <w:rFonts w:ascii="Arial" w:cs="Arial" w:eastAsia="Arial" w:hAnsi="Arial"/>
                <w:sz w:val="16"/>
                <w:szCs w:val="16"/>
                <w:color w:val="auto"/>
              </w:rPr>
              <w:t>The following table represents the credit ratings of South Dakota Electric at December 31, 2024:</w:t>
            </w:r>
          </w:p>
        </w:tc>
        <w:tc>
          <w:tcPr>
            <w:tcW w:w="3720" w:type="dxa"/>
            <w:vAlign w:val="bottom"/>
          </w:tcPr>
          <w:p>
            <w:pPr>
              <w:spacing w:after="0"/>
              <w:rPr>
                <w:sz w:val="18"/>
                <w:szCs w:val="18"/>
                <w:color w:val="auto"/>
              </w:rPr>
            </w:pPr>
          </w:p>
        </w:tc>
      </w:tr>
      <w:tr>
        <w:trPr>
          <w:trHeight w:val="367"/>
        </w:trPr>
        <w:tc>
          <w:tcPr>
            <w:tcW w:w="7520" w:type="dxa"/>
            <w:vAlign w:val="bottom"/>
            <w:tcBorders>
              <w:bottom w:val="single" w:sz="8" w:color="auto"/>
            </w:tcBorders>
          </w:tcPr>
          <w:p>
            <w:pPr>
              <w:ind w:left="2840"/>
              <w:spacing w:after="0"/>
              <w:rPr>
                <w:sz w:val="20"/>
                <w:szCs w:val="20"/>
                <w:color w:val="auto"/>
              </w:rPr>
            </w:pPr>
            <w:r>
              <w:rPr>
                <w:rFonts w:ascii="Arial" w:cs="Arial" w:eastAsia="Arial" w:hAnsi="Arial"/>
                <w:sz w:val="16"/>
                <w:szCs w:val="16"/>
                <w:b w:val="1"/>
                <w:bCs w:val="1"/>
                <w:color w:val="auto"/>
              </w:rPr>
              <w:t>Rating Agency</w:t>
            </w:r>
          </w:p>
        </w:tc>
        <w:tc>
          <w:tcPr>
            <w:tcW w:w="3720" w:type="dxa"/>
            <w:vAlign w:val="bottom"/>
            <w:tcBorders>
              <w:bottom w:val="single" w:sz="8" w:color="auto"/>
            </w:tcBorders>
          </w:tcPr>
          <w:p>
            <w:pPr>
              <w:jc w:val="center"/>
              <w:ind w:right="659"/>
              <w:spacing w:after="0"/>
              <w:rPr>
                <w:sz w:val="20"/>
                <w:szCs w:val="20"/>
                <w:color w:val="auto"/>
              </w:rPr>
            </w:pPr>
            <w:r>
              <w:rPr>
                <w:rFonts w:ascii="Arial" w:cs="Arial" w:eastAsia="Arial" w:hAnsi="Arial"/>
                <w:sz w:val="16"/>
                <w:szCs w:val="16"/>
                <w:b w:val="1"/>
                <w:bCs w:val="1"/>
                <w:color w:val="auto"/>
              </w:rPr>
              <w:t>Senior Secured Rating</w:t>
            </w:r>
          </w:p>
        </w:tc>
      </w:tr>
      <w:tr>
        <w:trPr>
          <w:trHeight w:val="183"/>
        </w:trPr>
        <w:tc>
          <w:tcPr>
            <w:tcW w:w="7520" w:type="dxa"/>
            <w:vAlign w:val="bottom"/>
          </w:tcPr>
          <w:p>
            <w:pPr>
              <w:ind w:left="20"/>
              <w:spacing w:after="0" w:line="183" w:lineRule="exact"/>
              <w:rPr>
                <w:sz w:val="20"/>
                <w:szCs w:val="20"/>
                <w:color w:val="auto"/>
              </w:rPr>
            </w:pPr>
            <w:r>
              <w:rPr>
                <w:rFonts w:ascii="Arial" w:cs="Arial" w:eastAsia="Arial" w:hAnsi="Arial"/>
                <w:sz w:val="21"/>
                <w:szCs w:val="21"/>
                <w:color w:val="auto"/>
                <w:vertAlign w:val="subscript"/>
              </w:rPr>
              <w:t>S&amp;P</w:t>
            </w:r>
            <w:r>
              <w:rPr>
                <w:rFonts w:ascii="Arial" w:cs="Arial" w:eastAsia="Arial" w:hAnsi="Arial"/>
                <w:sz w:val="9"/>
                <w:szCs w:val="9"/>
                <w:color w:val="auto"/>
              </w:rPr>
              <w:t xml:space="preserve"> (a)</w:t>
            </w:r>
          </w:p>
        </w:tc>
        <w:tc>
          <w:tcPr>
            <w:tcW w:w="3720" w:type="dxa"/>
            <w:vAlign w:val="bottom"/>
          </w:tcPr>
          <w:p>
            <w:pPr>
              <w:jc w:val="center"/>
              <w:ind w:right="659"/>
              <w:spacing w:after="0" w:line="183" w:lineRule="exact"/>
              <w:rPr>
                <w:sz w:val="20"/>
                <w:szCs w:val="20"/>
                <w:color w:val="auto"/>
              </w:rPr>
            </w:pPr>
            <w:r>
              <w:rPr>
                <w:rFonts w:ascii="Arial" w:cs="Arial" w:eastAsia="Arial" w:hAnsi="Arial"/>
                <w:sz w:val="16"/>
                <w:szCs w:val="16"/>
                <w:color w:val="auto"/>
                <w:w w:val="93"/>
              </w:rPr>
              <w:t>A</w:t>
            </w:r>
          </w:p>
        </w:tc>
      </w:tr>
      <w:tr>
        <w:trPr>
          <w:trHeight w:val="189"/>
        </w:trPr>
        <w:tc>
          <w:tcPr>
            <w:tcW w:w="7520" w:type="dxa"/>
            <w:vAlign w:val="bottom"/>
            <w:shd w:val="clear" w:color="auto" w:fill="CFF0FC"/>
          </w:tcPr>
          <w:p>
            <w:pPr>
              <w:ind w:left="20"/>
              <w:spacing w:after="0" w:line="189" w:lineRule="exact"/>
              <w:rPr>
                <w:sz w:val="20"/>
                <w:szCs w:val="20"/>
                <w:color w:val="auto"/>
              </w:rPr>
            </w:pPr>
            <w:r>
              <w:rPr>
                <w:rFonts w:ascii="Arial" w:cs="Arial" w:eastAsia="Arial" w:hAnsi="Arial"/>
                <w:sz w:val="16"/>
                <w:szCs w:val="16"/>
                <w:color w:val="auto"/>
              </w:rPr>
              <w:t xml:space="preserve">Fitch </w:t>
            </w:r>
            <w:r>
              <w:rPr>
                <w:rFonts w:ascii="Arial" w:cs="Arial" w:eastAsia="Arial" w:hAnsi="Arial"/>
                <w:sz w:val="21"/>
                <w:szCs w:val="21"/>
                <w:color w:val="auto"/>
                <w:vertAlign w:val="superscript"/>
              </w:rPr>
              <w:t>(b)</w:t>
            </w:r>
          </w:p>
        </w:tc>
        <w:tc>
          <w:tcPr>
            <w:tcW w:w="3720" w:type="dxa"/>
            <w:vAlign w:val="bottom"/>
            <w:shd w:val="clear" w:color="auto" w:fill="CFF0FC"/>
          </w:tcPr>
          <w:p>
            <w:pPr>
              <w:jc w:val="center"/>
              <w:ind w:right="659"/>
              <w:spacing w:after="0"/>
              <w:rPr>
                <w:sz w:val="20"/>
                <w:szCs w:val="20"/>
                <w:color w:val="auto"/>
              </w:rPr>
            </w:pPr>
            <w:r>
              <w:rPr>
                <w:rFonts w:ascii="Arial" w:cs="Arial" w:eastAsia="Arial" w:hAnsi="Arial"/>
                <w:sz w:val="16"/>
                <w:szCs w:val="16"/>
                <w:color w:val="auto"/>
                <w:w w:val="93"/>
              </w:rPr>
              <w:t>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60" w:lineRule="exact"/>
        <w:rPr>
          <w:sz w:val="20"/>
          <w:szCs w:val="20"/>
          <w:color w:val="auto"/>
        </w:rPr>
      </w:pPr>
    </w:p>
    <w:p>
      <w:pPr>
        <w:ind w:left="520" w:hanging="512"/>
        <w:spacing w:after="0"/>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On May 9, 2024, S&amp;P reported A rating.</w:t>
      </w:r>
    </w:p>
    <w:p>
      <w:pPr>
        <w:spacing w:after="0" w:line="15" w:lineRule="exact"/>
        <w:rPr>
          <w:rFonts w:ascii="Arial" w:cs="Arial" w:eastAsia="Arial" w:hAnsi="Arial"/>
          <w:sz w:val="14"/>
          <w:szCs w:val="14"/>
          <w:color w:val="auto"/>
        </w:rPr>
      </w:pPr>
    </w:p>
    <w:p>
      <w:pPr>
        <w:ind w:left="520" w:hanging="512"/>
        <w:spacing w:after="0"/>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On January 17, 2025, Fitch affirmed its A rating for South Dakota Electric. Following the affirmation, the parties jointly withdrew the rating.</w:t>
      </w:r>
    </w:p>
    <w:p>
      <w:pPr>
        <w:spacing w:after="0" w:line="171"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auto"/>
        </w:rPr>
        <w:t>We have not had any triggering events (i.e. an acceleration of repayment of outstanding indebtedness, an increase in interest costs, or the posting of additional cash collateral) tied to our stock price and have not executed any transactions that require us to issue equity based on our credit ratings.</w:t>
      </w: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 REQUIREMENTS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 Expenditures</w:t>
      </w:r>
    </w:p>
    <w:p>
      <w:pPr>
        <w:spacing w:after="0" w:line="194"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 xml:space="preserve">Capital expenditures are a substantial portion of our cash requirements each year and we continue to forecast a robust capital expenditure program during the next five years. See above in </w:t>
      </w:r>
      <w:r>
        <w:rPr>
          <w:rFonts w:ascii="Arial" w:cs="Arial" w:eastAsia="Arial" w:hAnsi="Arial"/>
          <w:sz w:val="16"/>
          <w:szCs w:val="16"/>
          <w:u w:val="single" w:color="auto"/>
          <w:color w:val="0000FF"/>
        </w:rPr>
        <w:t>Key Elements of our Business Strategy</w:t>
      </w:r>
      <w:r>
        <w:rPr>
          <w:rFonts w:ascii="Arial" w:cs="Arial" w:eastAsia="Arial" w:hAnsi="Arial"/>
          <w:sz w:val="16"/>
          <w:szCs w:val="16"/>
          <w:color w:val="auto"/>
        </w:rPr>
        <w:t xml:space="preserve"> for forecasted capital expenditure requirements. A significant portion of our capital expenditures are for safety, reliability, and integrity of our system and is included in utility rate base and eligible for recovery from our utility customers with regulatory approval. Those capital expenditures also earn a rate of return authorized by the commissions in the jurisdictions in which we operate.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1525905</wp:posOffset>
            </wp:positionH>
            <wp:positionV relativeFrom="paragraph">
              <wp:posOffset>-271780</wp:posOffset>
            </wp:positionV>
            <wp:extent cx="178371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783715" cy="8255"/>
                    </a:xfrm>
                    <a:prstGeom prst="rect">
                      <a:avLst/>
                    </a:prstGeom>
                    <a:noFill/>
                  </pic:spPr>
                </pic:pic>
              </a:graphicData>
            </a:graphic>
          </wp:anchor>
        </w:drawing>
      </w:r>
    </w:p>
    <w:p>
      <w:pPr>
        <w:spacing w:after="0" w:line="131"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 xml:space="preserve">Our historical capital expenditures by reportable segment are shown in </w:t>
      </w:r>
      <w:r>
        <w:rPr>
          <w:rFonts w:ascii="Arial" w:cs="Arial" w:eastAsia="Arial" w:hAnsi="Arial"/>
          <w:sz w:val="16"/>
          <w:szCs w:val="16"/>
          <w:u w:val="single" w:color="auto"/>
          <w:color w:val="0000FF"/>
        </w:rPr>
        <w:t>Note 16</w:t>
      </w:r>
      <w:r>
        <w:rPr>
          <w:rFonts w:ascii="Arial" w:cs="Arial" w:eastAsia="Arial" w:hAnsi="Arial"/>
          <w:sz w:val="16"/>
          <w:szCs w:val="16"/>
          <w:color w:val="auto"/>
        </w:rPr>
        <w:t xml:space="preserve">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3247390</wp:posOffset>
            </wp:positionH>
            <wp:positionV relativeFrom="paragraph">
              <wp:posOffset>-165735</wp:posOffset>
            </wp:positionV>
            <wp:extent cx="36004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Repayments of Indebtedness</w:t>
      </w:r>
    </w:p>
    <w:p>
      <w:pPr>
        <w:spacing w:after="0" w:line="194"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 xml:space="preserve">For information relating to repayments of our short- and long-term debt and associated interest payments, see </w:t>
      </w:r>
      <w:r>
        <w:rPr>
          <w:rFonts w:ascii="Arial" w:cs="Arial" w:eastAsia="Arial" w:hAnsi="Arial"/>
          <w:sz w:val="16"/>
          <w:szCs w:val="16"/>
          <w:u w:val="single" w:color="auto"/>
          <w:color w:val="0000FF"/>
        </w:rPr>
        <w:t>Note 8</w:t>
      </w:r>
      <w:r>
        <w:rPr>
          <w:rFonts w:ascii="Arial" w:cs="Arial" w:eastAsia="Arial" w:hAnsi="Arial"/>
          <w:sz w:val="16"/>
          <w:szCs w:val="16"/>
          <w:color w:val="auto"/>
        </w:rPr>
        <w:t xml:space="preserve">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5031105</wp:posOffset>
            </wp:positionH>
            <wp:positionV relativeFrom="paragraph">
              <wp:posOffset>-165735</wp:posOffset>
            </wp:positionV>
            <wp:extent cx="30289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02895" cy="8890"/>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Unconditional Purchase Obligations</w:t>
      </w:r>
    </w:p>
    <w:p>
      <w:pPr>
        <w:spacing w:after="0" w:line="194"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 xml:space="preserve">We have unconditional purchase obligations which include the energy and capacity costs associated with our PPAs, transmission services agreements, and natural gas capacity, transportation and storage agreements. Additionally, our Gas Utilities have commitments to purchase physical quantities of natural gas under contracts indexed to various forward natural gas price curves. For additional information. see </w:t>
      </w:r>
      <w:r>
        <w:rPr>
          <w:rFonts w:ascii="Arial" w:cs="Arial" w:eastAsia="Arial" w:hAnsi="Arial"/>
          <w:sz w:val="16"/>
          <w:szCs w:val="16"/>
          <w:u w:val="single" w:color="auto"/>
          <w:color w:val="0000FF"/>
        </w:rPr>
        <w:t>Note 3</w:t>
      </w:r>
      <w:r>
        <w:rPr>
          <w:rFonts w:ascii="Arial" w:cs="Arial" w:eastAsia="Arial" w:hAnsi="Arial"/>
          <w:sz w:val="16"/>
          <w:szCs w:val="16"/>
          <w:color w:val="auto"/>
        </w:rPr>
        <w:t xml:space="preserve">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-151765</wp:posOffset>
            </wp:positionV>
            <wp:extent cx="30289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02895" cy="8890"/>
                    </a:xfrm>
                    <a:prstGeom prst="rect">
                      <a:avLst/>
                    </a:prstGeom>
                    <a:noFill/>
                  </pic:spPr>
                </pic:pic>
              </a:graphicData>
            </a:graphic>
          </wp:anchor>
        </w:drawing>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Defined Benefit Pension Plan</w:t>
      </w:r>
    </w:p>
    <w:p>
      <w:pPr>
        <w:spacing w:after="0" w:line="194" w:lineRule="exact"/>
        <w:rPr>
          <w:sz w:val="20"/>
          <w:szCs w:val="20"/>
          <w:color w:val="auto"/>
        </w:rPr>
      </w:pPr>
    </w:p>
    <w:p>
      <w:pPr>
        <w:ind w:right="320"/>
        <w:spacing w:after="0" w:line="259" w:lineRule="auto"/>
        <w:rPr>
          <w:sz w:val="20"/>
          <w:szCs w:val="20"/>
          <w:color w:val="auto"/>
        </w:rPr>
      </w:pPr>
      <w:r>
        <w:rPr>
          <w:rFonts w:ascii="Arial" w:cs="Arial" w:eastAsia="Arial" w:hAnsi="Arial"/>
          <w:sz w:val="16"/>
          <w:szCs w:val="16"/>
          <w:color w:val="auto"/>
        </w:rPr>
        <w:t xml:space="preserve">We have one defined benefit pension plan, the Black Hills Retirement Plan (Pension Plan). The unfunded status of the Pension Plan is defined as the amount the projected benefit obligation exceeds the plan assets. The unfunded status of the Pension Plan is $41.4 million as of December 31, 2024, compared to $39.5 million as of December 31, 2023. See further information in </w:t>
      </w:r>
      <w:r>
        <w:rPr>
          <w:rFonts w:ascii="Arial" w:cs="Arial" w:eastAsia="Arial" w:hAnsi="Arial"/>
          <w:sz w:val="16"/>
          <w:szCs w:val="16"/>
          <w:u w:val="single" w:color="auto"/>
          <w:color w:val="0000FF"/>
        </w:rPr>
        <w:t>Note 13</w:t>
      </w:r>
      <w:r>
        <w:rPr>
          <w:rFonts w:ascii="Arial" w:cs="Arial" w:eastAsia="Arial" w:hAnsi="Arial"/>
          <w:sz w:val="16"/>
          <w:szCs w:val="16"/>
          <w:color w:val="auto"/>
        </w:rPr>
        <w:t xml:space="preserve">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3607435</wp:posOffset>
            </wp:positionH>
            <wp:positionV relativeFrom="paragraph">
              <wp:posOffset>-151765</wp:posOffset>
            </wp:positionV>
            <wp:extent cx="36004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Common Stock Dividends</w:t>
      </w:r>
    </w:p>
    <w:p>
      <w:pPr>
        <w:spacing w:after="0" w:line="19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Future cash dividends, if any, will be dependent on our results of operations, financial position, cash flows, reinvestment opportunities, and other factors, and will be evaluated and approved by our Board of Directors.</w:t>
      </w:r>
    </w:p>
    <w:p>
      <w:pPr>
        <w:spacing w:after="0" w:line="129"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 xml:space="preserve">Additionally, there are certain statutory limitations that could affect future cash dividends paid. Federal law places limits on the ability of public utilities within a holding company structure to declare dividends. Specifically, under the Federal Power Act, a public utility may not pay dividends from any funds properly included in a capital account. The utility subsidiaries’ dividends may be limited directly or indirectly by state regulatory commissions or bond indenture covenants. See additional information in </w:t>
      </w:r>
      <w:r>
        <w:rPr>
          <w:rFonts w:ascii="Arial" w:cs="Arial" w:eastAsia="Arial" w:hAnsi="Arial"/>
          <w:sz w:val="16"/>
          <w:szCs w:val="16"/>
          <w:u w:val="single" w:color="auto"/>
          <w:color w:val="0000FF"/>
        </w:rPr>
        <w:t>Note 8</w:t>
      </w:r>
      <w:r>
        <w:rPr>
          <w:rFonts w:ascii="Arial" w:cs="Arial" w:eastAsia="Arial" w:hAnsi="Arial"/>
          <w:sz w:val="16"/>
          <w:szCs w:val="16"/>
          <w:color w:val="auto"/>
        </w:rPr>
        <w:t xml:space="preserve">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-31750</wp:posOffset>
            </wp:positionV>
            <wp:extent cx="30289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On January 24, 2025, our Board of Directors declared a quarterly dividend of $0.676 per share, equivalent to an annual dividend rate of $2.704 per share.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provides our dividends paid, dividend payout ratio, and dividends paid per share for the three years ended December 31:</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2024</w:t>
            </w:r>
          </w:p>
        </w:tc>
        <w:tc>
          <w:tcPr>
            <w:tcW w:w="6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2023</w:t>
            </w:r>
          </w:p>
        </w:tc>
        <w:tc>
          <w:tcPr>
            <w:tcW w:w="4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2022</w:t>
            </w:r>
          </w:p>
        </w:tc>
      </w:tr>
      <w:tr>
        <w:trPr>
          <w:trHeight w:val="183"/>
        </w:trPr>
        <w:tc>
          <w:tcPr>
            <w:tcW w:w="516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2"/>
          </w:tcPr>
          <w:p>
            <w:pPr>
              <w:jc w:val="right"/>
              <w:ind w:right="59"/>
              <w:spacing w:after="0" w:line="183" w:lineRule="exact"/>
              <w:rPr>
                <w:sz w:val="20"/>
                <w:szCs w:val="20"/>
                <w:color w:val="auto"/>
              </w:rPr>
            </w:pPr>
            <w:r>
              <w:rPr>
                <w:rFonts w:ascii="Arial" w:cs="Arial" w:eastAsia="Arial" w:hAnsi="Arial"/>
                <w:sz w:val="16"/>
                <w:szCs w:val="16"/>
                <w:color w:val="auto"/>
              </w:rPr>
              <w:t>(Dividends Paid in millions)</w:t>
            </w:r>
          </w:p>
        </w:tc>
        <w:tc>
          <w:tcPr>
            <w:tcW w:w="4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r>
      <w:tr>
        <w:trPr>
          <w:trHeight w:val="183"/>
        </w:trPr>
        <w:tc>
          <w:tcPr>
            <w:tcW w:w="51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Common Stock Dividends Paid</w:t>
            </w:r>
          </w:p>
        </w:tc>
        <w:tc>
          <w:tcPr>
            <w:tcW w:w="1260" w:type="dxa"/>
            <w:vAlign w:val="bottom"/>
            <w:shd w:val="clear" w:color="auto" w:fill="CFF0FC"/>
          </w:tcPr>
          <w:p>
            <w:pPr>
              <w:jc w:val="right"/>
              <w:ind w:right="1079"/>
              <w:spacing w:after="0" w:line="183" w:lineRule="exact"/>
              <w:rPr>
                <w:sz w:val="20"/>
                <w:szCs w:val="20"/>
                <w:color w:val="auto"/>
              </w:rPr>
            </w:pPr>
            <w:r>
              <w:rPr>
                <w:rFonts w:ascii="Arial" w:cs="Arial" w:eastAsia="Arial" w:hAnsi="Arial"/>
                <w:sz w:val="16"/>
                <w:szCs w:val="16"/>
                <w:color w:val="auto"/>
                <w:w w:val="89"/>
              </w:rPr>
              <w:t>$</w:t>
            </w:r>
          </w:p>
        </w:tc>
        <w:tc>
          <w:tcPr>
            <w:tcW w:w="6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182.3</w:t>
            </w:r>
          </w:p>
        </w:tc>
        <w:tc>
          <w:tcPr>
            <w:tcW w:w="560" w:type="dxa"/>
            <w:vAlign w:val="bottom"/>
            <w:shd w:val="clear" w:color="auto" w:fill="CFF0FC"/>
          </w:tcPr>
          <w:p>
            <w:pPr>
              <w:jc w:val="right"/>
              <w:ind w:right="239"/>
              <w:spacing w:after="0" w:line="183" w:lineRule="exact"/>
              <w:rPr>
                <w:sz w:val="20"/>
                <w:szCs w:val="20"/>
                <w:color w:val="auto"/>
              </w:rPr>
            </w:pPr>
            <w:r>
              <w:rPr>
                <w:rFonts w:ascii="Arial" w:cs="Arial" w:eastAsia="Arial" w:hAnsi="Arial"/>
                <w:sz w:val="16"/>
                <w:szCs w:val="16"/>
                <w:color w:val="auto"/>
              </w:rPr>
              <w:t>$</w:t>
            </w:r>
          </w:p>
        </w:tc>
        <w:tc>
          <w:tcPr>
            <w:tcW w:w="1600" w:type="dxa"/>
            <w:vAlign w:val="bottom"/>
            <w:shd w:val="clear" w:color="auto" w:fill="CFF0FC"/>
          </w:tcPr>
          <w:p>
            <w:pPr>
              <w:jc w:val="right"/>
              <w:ind w:right="119"/>
              <w:spacing w:after="0" w:line="183" w:lineRule="exact"/>
              <w:rPr>
                <w:sz w:val="20"/>
                <w:szCs w:val="20"/>
                <w:color w:val="auto"/>
              </w:rPr>
            </w:pPr>
            <w:r>
              <w:rPr>
                <w:rFonts w:ascii="Arial" w:cs="Arial" w:eastAsia="Arial" w:hAnsi="Arial"/>
                <w:sz w:val="16"/>
                <w:szCs w:val="16"/>
                <w:color w:val="auto"/>
              </w:rPr>
              <w:t>168.1</w:t>
            </w:r>
          </w:p>
        </w:tc>
        <w:tc>
          <w:tcPr>
            <w:tcW w:w="420" w:type="dxa"/>
            <w:vAlign w:val="bottom"/>
            <w:shd w:val="clear" w:color="auto" w:fill="CFF0FC"/>
          </w:tcPr>
          <w:p>
            <w:pPr>
              <w:jc w:val="right"/>
              <w:ind w:right="239"/>
              <w:spacing w:after="0" w:line="183" w:lineRule="exact"/>
              <w:rPr>
                <w:sz w:val="20"/>
                <w:szCs w:val="20"/>
                <w:color w:val="auto"/>
              </w:rPr>
            </w:pPr>
            <w:r>
              <w:rPr>
                <w:rFonts w:ascii="Arial" w:cs="Arial" w:eastAsia="Arial" w:hAnsi="Arial"/>
                <w:sz w:val="16"/>
                <w:szCs w:val="16"/>
                <w:color w:val="auto"/>
                <w:w w:val="89"/>
              </w:rPr>
              <w:t>$</w:t>
            </w:r>
          </w:p>
        </w:tc>
        <w:tc>
          <w:tcPr>
            <w:tcW w:w="1600" w:type="dxa"/>
            <w:vAlign w:val="bottom"/>
            <w:shd w:val="clear" w:color="auto" w:fill="CFF0FC"/>
          </w:tcPr>
          <w:p>
            <w:pPr>
              <w:jc w:val="right"/>
              <w:ind w:right="119"/>
              <w:spacing w:after="0" w:line="183" w:lineRule="exact"/>
              <w:rPr>
                <w:sz w:val="20"/>
                <w:szCs w:val="20"/>
                <w:color w:val="auto"/>
              </w:rPr>
            </w:pPr>
            <w:r>
              <w:rPr>
                <w:rFonts w:ascii="Arial" w:cs="Arial" w:eastAsia="Arial" w:hAnsi="Arial"/>
                <w:sz w:val="16"/>
                <w:szCs w:val="16"/>
                <w:color w:val="auto"/>
              </w:rPr>
              <w:t>156.7</w:t>
            </w:r>
          </w:p>
        </w:tc>
      </w:tr>
      <w:tr>
        <w:trPr>
          <w:trHeight w:val="189"/>
        </w:trPr>
        <w:tc>
          <w:tcPr>
            <w:tcW w:w="5160" w:type="dxa"/>
            <w:vAlign w:val="bottom"/>
          </w:tcPr>
          <w:p>
            <w:pPr>
              <w:ind w:left="20"/>
              <w:spacing w:after="0"/>
              <w:rPr>
                <w:sz w:val="20"/>
                <w:szCs w:val="20"/>
                <w:color w:val="auto"/>
              </w:rPr>
            </w:pPr>
            <w:r>
              <w:rPr>
                <w:rFonts w:ascii="Arial" w:cs="Arial" w:eastAsia="Arial" w:hAnsi="Arial"/>
                <w:sz w:val="16"/>
                <w:szCs w:val="16"/>
                <w:color w:val="auto"/>
              </w:rPr>
              <w:t>Dividend Payout Ratio</w:t>
            </w:r>
          </w:p>
        </w:tc>
        <w:tc>
          <w:tcPr>
            <w:tcW w:w="1260" w:type="dxa"/>
            <w:vAlign w:val="bottom"/>
          </w:tcPr>
          <w:p>
            <w:pPr>
              <w:spacing w:after="0"/>
              <w:rPr>
                <w:sz w:val="16"/>
                <w:szCs w:val="16"/>
                <w:color w:val="auto"/>
              </w:rPr>
            </w:pPr>
          </w:p>
        </w:tc>
        <w:tc>
          <w:tcPr>
            <w:tcW w:w="1200" w:type="dxa"/>
            <w:vAlign w:val="bottom"/>
            <w:gridSpan w:val="2"/>
          </w:tcPr>
          <w:p>
            <w:pPr>
              <w:jc w:val="right"/>
              <w:ind w:right="359"/>
              <w:spacing w:after="0"/>
              <w:rPr>
                <w:sz w:val="20"/>
                <w:szCs w:val="20"/>
                <w:color w:val="auto"/>
              </w:rPr>
            </w:pPr>
            <w:r>
              <w:rPr>
                <w:rFonts w:ascii="Arial" w:cs="Arial" w:eastAsia="Arial" w:hAnsi="Arial"/>
                <w:sz w:val="16"/>
                <w:szCs w:val="16"/>
                <w:color w:val="auto"/>
              </w:rPr>
              <w:t>66 %</w:t>
            </w:r>
          </w:p>
        </w:tc>
        <w:tc>
          <w:tcPr>
            <w:tcW w:w="1600" w:type="dxa"/>
            <w:vAlign w:val="bottom"/>
          </w:tcPr>
          <w:p>
            <w:pPr>
              <w:jc w:val="right"/>
              <w:spacing w:after="0"/>
              <w:rPr>
                <w:sz w:val="20"/>
                <w:szCs w:val="20"/>
                <w:color w:val="auto"/>
              </w:rPr>
            </w:pPr>
            <w:r>
              <w:rPr>
                <w:rFonts w:ascii="Arial" w:cs="Arial" w:eastAsia="Arial" w:hAnsi="Arial"/>
                <w:sz w:val="16"/>
                <w:szCs w:val="16"/>
                <w:color w:val="auto"/>
              </w:rPr>
              <w:t>64 %</w:t>
            </w:r>
          </w:p>
        </w:tc>
        <w:tc>
          <w:tcPr>
            <w:tcW w:w="4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61 %</w:t>
            </w:r>
          </w:p>
        </w:tc>
      </w:tr>
      <w:tr>
        <w:trPr>
          <w:trHeight w:val="189"/>
        </w:trPr>
        <w:tc>
          <w:tcPr>
            <w:tcW w:w="5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Dividends Per Share</w:t>
            </w:r>
          </w:p>
        </w:tc>
        <w:tc>
          <w:tcPr>
            <w:tcW w:w="1260" w:type="dxa"/>
            <w:vAlign w:val="bottom"/>
            <w:shd w:val="clear" w:color="auto" w:fill="CFF0FC"/>
          </w:tcPr>
          <w:p>
            <w:pPr>
              <w:jc w:val="right"/>
              <w:ind w:right="107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2.60</w:t>
            </w:r>
          </w:p>
        </w:tc>
        <w:tc>
          <w:tcPr>
            <w:tcW w:w="56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2.50</w:t>
            </w:r>
          </w:p>
        </w:tc>
        <w:tc>
          <w:tcPr>
            <w:tcW w:w="42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2.41</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Our three-year compound annualized dividend growth rate was 4.3%.</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Collateral Requirements</w:t>
      </w:r>
    </w:p>
    <w:p>
      <w:pPr>
        <w:spacing w:after="0" w:line="194"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 xml:space="preserve">Our Utilities maintain wholesale commodity contracts for the purchases and sales of electricity and natural gas which have performance assurance provisions that allow the counterparty to require collateral postings under certain conditions, including when requested on a reasonable basis due to a deterioration in our financial condition or nonperformance. A significant downgrade in our credit ratings, such as a downgrade to a level below investment grade, could result in counterparties requiring collateral postings under such adequate assurance provisions. The amount of credit support that we may be required to provide at any point in the future is dependent on the amount of the initial transaction, changes in the market price, open positions, and the amounts owed by or to the counterparty. At December 31, 2024, we had sufficient liquidity to cover collateral that could be required to be posted under these contracts. The cash collateral we were required to post at December 31, 2024, was not material. See </w:t>
      </w:r>
      <w:r>
        <w:rPr>
          <w:rFonts w:ascii="Arial" w:cs="Arial" w:eastAsia="Arial" w:hAnsi="Arial"/>
          <w:sz w:val="16"/>
          <w:szCs w:val="16"/>
          <w:u w:val="single" w:color="auto"/>
          <w:color w:val="0000FF"/>
        </w:rPr>
        <w:t>Note 9</w:t>
      </w:r>
      <w:r>
        <w:rPr>
          <w:rFonts w:ascii="Arial" w:cs="Arial" w:eastAsia="Arial" w:hAnsi="Arial"/>
          <w:sz w:val="16"/>
          <w:szCs w:val="16"/>
          <w:color w:val="auto"/>
        </w:rPr>
        <w:t xml:space="preserve">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4619625</wp:posOffset>
            </wp:positionH>
            <wp:positionV relativeFrom="paragraph">
              <wp:posOffset>-148590</wp:posOffset>
            </wp:positionV>
            <wp:extent cx="30289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02895" cy="8890"/>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Guarantees</w:t>
      </w:r>
    </w:p>
    <w:p>
      <w:pPr>
        <w:spacing w:after="0" w:line="194"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 xml:space="preserve">We provide various guarantees, which represent off-balance sheet commitments, supporting certain of our subsidiaries under specified agreements or transactions. For more information on these guarantees, see </w:t>
      </w:r>
      <w:r>
        <w:rPr>
          <w:rFonts w:ascii="Arial" w:cs="Arial" w:eastAsia="Arial" w:hAnsi="Arial"/>
          <w:sz w:val="16"/>
          <w:szCs w:val="16"/>
          <w:u w:val="single" w:color="auto"/>
          <w:color w:val="0000FF"/>
        </w:rPr>
        <w:t>Note 3</w:t>
      </w:r>
      <w:r>
        <w:rPr>
          <w:rFonts w:ascii="Arial" w:cs="Arial" w:eastAsia="Arial" w:hAnsi="Arial"/>
          <w:sz w:val="16"/>
          <w:szCs w:val="16"/>
          <w:color w:val="auto"/>
        </w:rPr>
        <w:t xml:space="preserve">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2789555</wp:posOffset>
            </wp:positionH>
            <wp:positionV relativeFrom="paragraph">
              <wp:posOffset>-45720</wp:posOffset>
            </wp:positionV>
            <wp:extent cx="30289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Critical Accounting Estimates</w:t>
      </w:r>
    </w:p>
    <w:p>
      <w:pPr>
        <w:spacing w:after="0" w:line="194"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We prepare our consolidated financial statements in conformity with GAAP. In many cases, the accounting treatment of a particular transaction is specifically dictated by GAAP and does not require management’s judgment in application. There are also areas which require management’s judgment in selecting among available GAAP alternatives. We are required to make certain estimates, judgments and assumptions that we believe are reasonable based upon the information available. We continue to closely monitor the macroeconomic environment and related impacts on our critical accounting estimates including, but not limited to, collectability of customer receivables, recoverability of regulatory assets, impairment risk of goodwill and long-lived assets, and contingent liabilities. These estimates and assumptions affect the reported amounts of assets and liabilities at the date of the financial statements and the reported amounts of revenues and expenses during the periods presented. Actual results may differ from our estimates and to the extent there are material differences between these estimates, judgments or assumptions, and actual results, our financial statements will be affected. We believe the following accounting estimates are the most critical in understanding and evaluating our reported financial results. We have reviewed these critical accounting estimates and related disclosures with our Audit Committee.</w:t>
      </w:r>
    </w:p>
    <w:p>
      <w:pPr>
        <w:spacing w:after="0" w:line="162"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 xml:space="preserve">The following discussion of our critical accounting estimates should be read in conjunction with </w:t>
      </w:r>
      <w:r>
        <w:rPr>
          <w:rFonts w:ascii="Arial" w:cs="Arial" w:eastAsia="Arial" w:hAnsi="Arial"/>
          <w:sz w:val="16"/>
          <w:szCs w:val="16"/>
          <w:u w:val="single" w:color="auto"/>
          <w:color w:val="0000FF"/>
        </w:rPr>
        <w:t>Note 1</w:t>
      </w:r>
      <w:r>
        <w:rPr>
          <w:rFonts w:ascii="Arial" w:cs="Arial" w:eastAsia="Arial" w:hAnsi="Arial"/>
          <w:sz w:val="16"/>
          <w:szCs w:val="16"/>
          <w:color w:val="auto"/>
        </w:rPr>
        <w:t>, “</w:t>
      </w:r>
      <w:r>
        <w:rPr>
          <w:rFonts w:ascii="Arial" w:cs="Arial" w:eastAsia="Arial" w:hAnsi="Arial"/>
          <w:sz w:val="16"/>
          <w:szCs w:val="16"/>
          <w:u w:val="single" w:color="auto"/>
          <w:color w:val="0000FF"/>
        </w:rPr>
        <w:t>Business Description and Significant Accounting</w:t>
      </w:r>
      <w:r>
        <w:rPr>
          <w:rFonts w:ascii="Arial" w:cs="Arial" w:eastAsia="Arial" w:hAnsi="Arial"/>
          <w:sz w:val="16"/>
          <w:szCs w:val="16"/>
          <w:color w:val="auto"/>
        </w:rPr>
        <w:t xml:space="preserve"> </w:t>
      </w:r>
      <w:r>
        <w:rPr>
          <w:rFonts w:ascii="Arial" w:cs="Arial" w:eastAsia="Arial" w:hAnsi="Arial"/>
          <w:sz w:val="16"/>
          <w:szCs w:val="16"/>
          <w:u w:val="single" w:color="auto"/>
          <w:color w:val="0000FF"/>
        </w:rPr>
        <w:t>Policies</w:t>
      </w:r>
      <w:r>
        <w:rPr>
          <w:rFonts w:ascii="Arial" w:cs="Arial" w:eastAsia="Arial" w:hAnsi="Arial"/>
          <w:sz w:val="16"/>
          <w:szCs w:val="16"/>
          <w:color w:val="000000"/>
        </w:rPr>
        <w:t>”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-165735</wp:posOffset>
            </wp:positionV>
            <wp:extent cx="262445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6244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wp:posOffset>
            </wp:positionV>
            <wp:extent cx="35433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54330" cy="8890"/>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w:t>
      </w:r>
    </w:p>
    <w:p>
      <w:pPr>
        <w:spacing w:after="0" w:line="194"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Our regulated Electric and Gas Utilities are subject to cost-of-service regulation and earnings oversight from federal and state utility commissions. This regulatory treatment does not provide any assurance as to achievement of desired earnings levels. Our retail electric and gas utility rates are regulated on a state-by-state basis by the relevant state regulatory commissions based on an analysis of our costs, as reviewed and approved in a regulatory proceeding. The rates that we are allowed to charge may or may not match our related costs and allowed return on invested capital at any given time.</w:t>
      </w:r>
    </w:p>
    <w:p>
      <w:pPr>
        <w:spacing w:after="0" w:line="151"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Management continually assesses the probability of future recoveries associated with regulatory assets and future obligations associated with regulatory liabilities. Factors such as the current regulatory environment, recently issued rate orders, and historical precedents are considered. As a result, we believe that the accounting prescribed under rate-based regulation remains appropriate and our regulatory assets are probable of recovery in current rates or in future rate proceedings.</w:t>
      </w:r>
    </w:p>
    <w:p>
      <w:pPr>
        <w:spacing w:after="0" w:line="151" w:lineRule="exact"/>
        <w:rPr>
          <w:sz w:val="20"/>
          <w:szCs w:val="20"/>
          <w:color w:val="auto"/>
        </w:rPr>
      </w:pPr>
    </w:p>
    <w:p>
      <w:pPr>
        <w:jc w:val="both"/>
        <w:ind w:right="40"/>
        <w:spacing w:after="0" w:line="253" w:lineRule="auto"/>
        <w:rPr>
          <w:sz w:val="20"/>
          <w:szCs w:val="20"/>
          <w:color w:val="auto"/>
        </w:rPr>
      </w:pPr>
      <w:r>
        <w:rPr>
          <w:rFonts w:ascii="Arial" w:cs="Arial" w:eastAsia="Arial" w:hAnsi="Arial"/>
          <w:sz w:val="16"/>
          <w:szCs w:val="16"/>
          <w:color w:val="auto"/>
        </w:rPr>
        <w:t>To some degree, each of our Electric and Gas Utilities are permitted to recover certain costs (such as increased fuel and purchased power costs) outside of a base rate review. To the extent we are able to pass through such costs to our customers, and a state regulatory commission subsequently determines that such costs should not have been paid by the customers, we may be required to refund such costs.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 xml:space="preserve">As of December 31, 2024, and 2023, we had total regulatory assets of $427.7 million and $480.1 million, respectively, and total regulatory liabilities of $568.7 million and $566.6 million, respectively. See </w:t>
      </w:r>
      <w:r>
        <w:rPr>
          <w:rFonts w:ascii="Arial" w:cs="Arial" w:eastAsia="Arial" w:hAnsi="Arial"/>
          <w:sz w:val="16"/>
          <w:szCs w:val="16"/>
          <w:u w:val="single" w:color="auto"/>
          <w:color w:val="0000FF"/>
        </w:rPr>
        <w:t>Note 2</w:t>
      </w:r>
      <w:r>
        <w:rPr>
          <w:rFonts w:ascii="Arial" w:cs="Arial" w:eastAsia="Arial" w:hAnsi="Arial"/>
          <w:sz w:val="16"/>
          <w:szCs w:val="16"/>
          <w:color w:val="auto"/>
        </w:rPr>
        <w:t xml:space="preserve"> of the Notes to Consolidated Financial Statements in this Annual Report on Form 10-K for further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2028825</wp:posOffset>
            </wp:positionH>
            <wp:positionV relativeFrom="paragraph">
              <wp:posOffset>-156210</wp:posOffset>
            </wp:positionV>
            <wp:extent cx="30289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Goodwill</w:t>
      </w:r>
    </w:p>
    <w:p>
      <w:pPr>
        <w:spacing w:after="0" w:line="194"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We perform a goodwill impairment test on an annual basis or upon the occurrence of events or changes in circumstances that indicate that the asset might be impaired. Our annual goodwill impairment testing date is as of October 1, which aligns with our financial planning process.</w:t>
      </w:r>
    </w:p>
    <w:p>
      <w:pPr>
        <w:spacing w:after="0" w:line="129"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Accounting standards for testing goodwill for impairment require the application of either a qualitative or quantitative assessment to analyze whether or not goodwill has been impaired. Goodwill is tested for impairment at the reporting unit level. Under either the qualitative or quantitative assessment, the estimated fair value of a reporting unit is compared with its carrying amount, including goodwill. If the carrying amount exceeds fair value, then an impairment loss would be recognized in an amount equal to that excess, limited to the amount of goodwill allocated to that reporting unit.</w:t>
      </w:r>
    </w:p>
    <w:p>
      <w:pPr>
        <w:spacing w:after="0" w:line="151"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Application of the goodwill impairment test requires judgment, including the identification of reporting units and determining the fair value of the reporting unit. We have determined that the reporting units for goodwill impairment testing are our operating segments, or components of an operating segment, that constitute a business for which discrete financial information is available. We estimate the fair value of our reporting units using a combination of an income approach, which estimates fair value based on discounted future cash flows, and a market approach, which estimates fair value based on market comparables within the utility and energy industry. These valuations require significant judgments, including, but not limited to: 1) estimates of future cash flows, based on our internal five-year business plans and adjusted as appropriate for our view of market participant assumptions, with long range cash flows estimated using a terminal value calculation; 2) estimates of long-term growth rates for our businesses; 3) the determination of an appropriate weighted-average cost of capital or discount rate; and 4) the utilization of market information such as recent sales transactions for comparable assets within the utility and energy industry. Varying by reporting unit, weighted average cost of capital in the range of 6.3% to 6.5% and long-term growth rate projections of 1.75% were utilized in the goodwill impairment test performed as of October 1, 2024. Although 1.75% was used for a long-term growth rate projection, the short-term projected growth rate is higher with planned recovery of capital investments through rider mechanisms and rate reviews. Under the market approach, we estimate fair value using multiples derived from comparable sales transactions and enterprise value to EBITDA for comparative peer companies for each respective reporting unit. These multiples are applied to operating data for each reporting unit to arrive at an indication of fair value. In addition, we add a reasonable control premium when calculating fair value utilizing the peer multiples, which is estimated as the premium that would be received in a sale in an orderly transaction between market participants.</w:t>
      </w:r>
    </w:p>
    <w:p>
      <w:pPr>
        <w:spacing w:after="0" w:line="161" w:lineRule="exact"/>
        <w:rPr>
          <w:sz w:val="20"/>
          <w:szCs w:val="20"/>
          <w:color w:val="auto"/>
        </w:rPr>
      </w:pPr>
    </w:p>
    <w:p>
      <w:pPr>
        <w:ind w:right="560"/>
        <w:spacing w:after="0" w:line="266" w:lineRule="auto"/>
        <w:rPr>
          <w:sz w:val="20"/>
          <w:szCs w:val="20"/>
          <w:color w:val="auto"/>
        </w:rPr>
      </w:pPr>
      <w:r>
        <w:rPr>
          <w:rFonts w:ascii="Arial" w:cs="Arial" w:eastAsia="Arial" w:hAnsi="Arial"/>
          <w:sz w:val="16"/>
          <w:szCs w:val="16"/>
          <w:color w:val="auto"/>
        </w:rPr>
        <w:t>The estimates and assumptions used in our impairment assessments are based on available market information and we believe they are reasonable. However, variations in any of the assumptions could result in materially different calculations of fair value and determinations of whether or not an impairment is indicated.</w:t>
      </w:r>
    </w:p>
    <w:p>
      <w:pPr>
        <w:spacing w:after="0" w:line="144"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For the years ended December 31, 2024, 2023, and 2022, there were no impairment losses recorded. At December 31, 2024, the fair value exceeded the carrying value at all reporting units.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Item 1A - Risk Factors</w:t>
      </w:r>
      <w:r>
        <w:rPr>
          <w:rFonts w:ascii="Arial" w:cs="Arial" w:eastAsia="Arial" w:hAnsi="Arial"/>
          <w:sz w:val="16"/>
          <w:szCs w:val="16"/>
          <w:color w:val="auto"/>
        </w:rPr>
        <w:t xml:space="preserve"> and </w:t>
      </w:r>
      <w:r>
        <w:rPr>
          <w:rFonts w:ascii="Arial" w:cs="Arial" w:eastAsia="Arial" w:hAnsi="Arial"/>
          <w:sz w:val="16"/>
          <w:szCs w:val="16"/>
          <w:u w:val="single" w:color="auto"/>
          <w:color w:val="0000FF"/>
        </w:rPr>
        <w:t>Note 1</w:t>
      </w:r>
      <w:r>
        <w:rPr>
          <w:rFonts w:ascii="Arial" w:cs="Arial" w:eastAsia="Arial" w:hAnsi="Arial"/>
          <w:sz w:val="16"/>
          <w:szCs w:val="16"/>
          <w:color w:val="auto"/>
        </w:rPr>
        <w:t xml:space="preserve"> of the Notes to Consolidated Financial Statements in this Annual Report on Form 10-K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-4445</wp:posOffset>
            </wp:positionV>
            <wp:extent cx="15494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54940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194"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The Company and its subsidiaries file consolidated federal income tax returns. Each entity records income taxes as if it were a separate taxpayer for both federal and state income tax purposes and consolidating adjustments are allocated to the subsidiaries based on separate company computations of taxable income or loss.</w:t>
      </w:r>
    </w:p>
    <w:p>
      <w:pPr>
        <w:spacing w:after="0" w:line="144"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 Company uses the asset and liability method in accounting for income taxes. Under the asset and liability method, deferred income taxes are recognized at currently enacted income tax rates, to reflect the tax effect of temporary differences between the financial and tax basis of assets and liabilities as well as operating loss and tax credit carryforwards. Such temporary differences are the result of provisions in the income tax law that either require or permit certain items to be reported on the income tax return in a different period than they are reported in the financial statements.</w:t>
      </w:r>
    </w:p>
    <w:p>
      <w:pPr>
        <w:spacing w:after="0" w:line="151" w:lineRule="exact"/>
        <w:rPr>
          <w:sz w:val="20"/>
          <w:szCs w:val="20"/>
          <w:color w:val="auto"/>
        </w:rPr>
      </w:pPr>
    </w:p>
    <w:p>
      <w:pPr>
        <w:ind w:right="260"/>
        <w:spacing w:after="0" w:line="250" w:lineRule="auto"/>
        <w:rPr>
          <w:sz w:val="20"/>
          <w:szCs w:val="20"/>
          <w:color w:val="auto"/>
        </w:rPr>
      </w:pPr>
      <w:r>
        <w:rPr>
          <w:rFonts w:ascii="Arial" w:cs="Arial" w:eastAsia="Arial" w:hAnsi="Arial"/>
          <w:sz w:val="16"/>
          <w:szCs w:val="16"/>
          <w:color w:val="auto"/>
        </w:rPr>
        <w:t>In assessing the realization of deferred tax assets, management considers whether it is more likely than not that some portion or all of the deferred tax assets will not be realized and provides any necessary valuation allowances as required. If we determine that we will be unable to realize all or part of our deferred tax assets in the future, an adjustment to the deferred tax asset would be made in the period such determination was made. These adjustments may increase or decrease earnings. Although we believe our assumptions, judgments, and estimates are reasonable, changes in tax laws or our interpretations of tax laws and the resolution of current and any future tax audits could significantly impact the amounts provided for income taxes in our consolidated financial statements.</w:t>
      </w: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15</w:t>
      </w:r>
      <w:r>
        <w:rPr>
          <w:rFonts w:ascii="Arial" w:cs="Arial" w:eastAsia="Arial" w:hAnsi="Arial"/>
          <w:sz w:val="16"/>
          <w:szCs w:val="16"/>
          <w:color w:val="auto"/>
        </w:rPr>
        <w:t xml:space="preserve"> of the Notes to Consolidated Financial Statements in this Annual Report on Form 10-K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-4445</wp:posOffset>
            </wp:positionV>
            <wp:extent cx="36004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363" w:lineRule="exact"/>
        <w:rPr>
          <w:sz w:val="20"/>
          <w:szCs w:val="20"/>
          <w:color w:val="auto"/>
        </w:rPr>
      </w:pPr>
    </w:p>
    <w:p>
      <w:pPr>
        <w:spacing w:after="0"/>
        <w:tabs>
          <w:tab w:leader="none" w:pos="980" w:val="left"/>
        </w:tabs>
        <w:rPr>
          <w:sz w:val="20"/>
          <w:szCs w:val="20"/>
          <w:color w:val="auto"/>
        </w:rPr>
      </w:pPr>
      <w:r>
        <w:rPr>
          <w:rFonts w:ascii="Arial" w:cs="Arial" w:eastAsia="Arial" w:hAnsi="Arial"/>
          <w:sz w:val="16"/>
          <w:szCs w:val="16"/>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9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Our activities in the regulated and non-regulated energy industries expose us to a number of risks in the normal operations of our businesses. Depending on the activity, we are exposed to varying degrees of market risk and credit risk.</w:t>
      </w:r>
    </w:p>
    <w:p>
      <w:pPr>
        <w:spacing w:after="0" w:line="129" w:lineRule="exact"/>
        <w:rPr>
          <w:sz w:val="20"/>
          <w:szCs w:val="20"/>
          <w:color w:val="auto"/>
        </w:rPr>
      </w:pPr>
    </w:p>
    <w:p>
      <w:pPr>
        <w:ind w:right="480"/>
        <w:spacing w:after="0" w:line="286" w:lineRule="auto"/>
        <w:rPr>
          <w:sz w:val="20"/>
          <w:szCs w:val="20"/>
          <w:color w:val="auto"/>
        </w:rPr>
      </w:pPr>
      <w:r>
        <w:rPr>
          <w:rFonts w:ascii="Arial" w:cs="Arial" w:eastAsia="Arial" w:hAnsi="Arial"/>
          <w:sz w:val="16"/>
          <w:szCs w:val="16"/>
          <w:color w:val="auto"/>
        </w:rPr>
        <w:t>Market risk is the potential loss that may occur as a result of an adverse change in market price, rate or supply. We are exposed, but not limited to, the following market risks:</w:t>
      </w:r>
    </w:p>
    <w:p>
      <w:pPr>
        <w:spacing w:after="0" w:line="129" w:lineRule="exact"/>
        <w:rPr>
          <w:sz w:val="20"/>
          <w:szCs w:val="20"/>
          <w:color w:val="auto"/>
        </w:rPr>
      </w:pPr>
    </w:p>
    <w:p>
      <w:pPr>
        <w:ind w:left="520" w:right="60" w:hanging="512"/>
        <w:spacing w:after="0" w:line="259" w:lineRule="auto"/>
        <w:tabs>
          <w:tab w:leader="none" w:pos="520" w:val="left"/>
        </w:tabs>
        <w:numPr>
          <w:ilvl w:val="0"/>
          <w:numId w:val="46"/>
        </w:numPr>
        <w:rPr>
          <w:rFonts w:ascii="Times New Roman" w:cs="Times New Roman" w:eastAsia="Times New Roman" w:hAnsi="Times New Roman"/>
          <w:sz w:val="16"/>
          <w:szCs w:val="16"/>
          <w:color w:val="auto"/>
        </w:rPr>
      </w:pPr>
      <w:r>
        <w:rPr>
          <w:rFonts w:ascii="Arial" w:cs="Arial" w:eastAsia="Arial" w:hAnsi="Arial"/>
          <w:sz w:val="16"/>
          <w:szCs w:val="16"/>
          <w:color w:val="auto"/>
        </w:rPr>
        <w:t>Commodity price risk associated with our retail natural gas services, wholesale electric power marketing activities and fuel procurement for several of our gas-fired generation assets. Market fluctuations may occur due to unpredictable factors such as weather, wildfires, geopolitical events, pandemics, market speculation, recession, inflation, pipeline constraints, and other factors that may impact natural gas and electric energy supply and demand; and</w:t>
      </w:r>
    </w:p>
    <w:p>
      <w:pPr>
        <w:spacing w:after="0" w:line="150"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46"/>
        </w:numPr>
        <w:rPr>
          <w:rFonts w:ascii="Times New Roman" w:cs="Times New Roman" w:eastAsia="Times New Roman" w:hAnsi="Times New Roman"/>
          <w:sz w:val="16"/>
          <w:szCs w:val="16"/>
          <w:color w:val="auto"/>
        </w:rPr>
      </w:pPr>
      <w:r>
        <w:rPr>
          <w:rFonts w:ascii="Arial" w:cs="Arial" w:eastAsia="Arial" w:hAnsi="Arial"/>
          <w:sz w:val="16"/>
          <w:szCs w:val="16"/>
          <w:color w:val="auto"/>
        </w:rPr>
        <w:t>Interest rate risk associated with future debt, including reduced access to liquidity during periods of extreme capital markets volatility.</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Credit risk is associated with financial loss resulting from non-performance of contractual obligations by a counterparty.</w:t>
      </w:r>
    </w:p>
    <w:p>
      <w:pPr>
        <w:spacing w:after="0" w:line="194"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To manage and mitigate these identified risks, we have adopted the Black Hills Corporation Risk Policies and Procedures. The Black Hills Corporation Risk Policies and Procedures have been approved by our Executive Risk Committee. These policies relate to numerous matters including governance, control infrastructure, authorized commodities and trading instruments, prohibited activities, and employee conduct. We report significant issues or concerns pertaining to the Risk Policies and Procedures to the Audit Committee of our Board of Directors. The Executive Risk Committee, which includes senior level executives, meets at least quarterly and as necessary, to review our business and credit activities and to ensure that these activities are conducted within the authorized policies.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Commodity Price Risk</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Electric and Gas Utilities</w:t>
      </w:r>
    </w:p>
    <w:p>
      <w:pPr>
        <w:spacing w:after="0" w:line="192"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Our Utilities have various provisions that allow them to pass the prudently-incurred cost of energy through to the customer. To the extent energy prices are higher or lower than amounts in our current billing rates, adjustments are made on a periodic basis to reflect billed amounts to match the actual energy cost we incurred. In Colorado, South Dakota, and Wyoming, we have ECA or PCA provisions that adjust electric rates when energy costs are higher or lower than the costs included in our tariffs. In Arkansas, Colorado, Iowa, Kansas, Nebraska, and Wyoming, we have GCA provisions that adjust natural gas rates when our natural gas costs are higher or lower than the energy cost included in our tariffs. These adjustments are subject to periodic prudence reviews by the state regulatory commissions. If state regulatory commissions decide to discontinue these tariff-based adjustment mechanisms, or there are delays in the timing of recovery under these mechanisms, we may be more exposed to commodity price risk.</w:t>
      </w:r>
    </w:p>
    <w:p>
      <w:pPr>
        <w:spacing w:after="0" w:line="154"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The operations of our Utilities, including natural gas sold by our Gas Utilities and natural gas used by our Electric Utilities’ generation plants or those plants under PPAs where our Electric Utilities must provide the generation fuel (tolling agreements), expose our utility customers to natural gas price volatility. Therefore, as allowed or required by state regulatory commissions, we have entered into commission-approved hedging programs utilizing natural gas futures, options, over-the-counter swaps, and basis swaps to reduce our customers’ underlying exposure to these fluctuations.</w:t>
      </w:r>
    </w:p>
    <w:p>
      <w:pPr>
        <w:spacing w:after="0" w:line="151"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 xml:space="preserve">For our regulated Utilities’ hedging plans, unrealized and realized gains and losses, as well as option premiums and commissions on these transactions are recorded as Regulatory assets or Regulatory liabilities in the accompanying Consolidated Balance Sheets in accordance with the state utility commission guidelines. When the related costs are recovered through our rates, the hedging activity is recognized in the Consolidated Statements of Income. See additional information in </w:t>
      </w:r>
      <w:r>
        <w:rPr>
          <w:rFonts w:ascii="Arial" w:cs="Arial" w:eastAsia="Arial" w:hAnsi="Arial"/>
          <w:sz w:val="16"/>
          <w:szCs w:val="16"/>
          <w:u w:val="single" w:color="auto"/>
          <w:color w:val="0000FF"/>
        </w:rPr>
        <w:t>Note 9</w:t>
      </w:r>
      <w:r>
        <w:rPr>
          <w:rFonts w:ascii="Arial" w:cs="Arial" w:eastAsia="Arial" w:hAnsi="Arial"/>
          <w:sz w:val="16"/>
          <w:szCs w:val="16"/>
          <w:color w:val="auto"/>
        </w:rPr>
        <w:t xml:space="preserve">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-31750</wp:posOffset>
            </wp:positionV>
            <wp:extent cx="30289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Wholesale Power</w:t>
      </w:r>
    </w:p>
    <w:p>
      <w:pPr>
        <w:spacing w:after="0" w:line="192"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There is a potential risk that our wholesale power sales could exceed our current generating capacity, which may arise from unplanned plant outages or from unanticipated load demands. To manage such risk, we restrict wholesale off-system sales to amounts by which our anticipated generating capabilities and purchased power resources exceed our anticipated load requirements plus a required reserve margin.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Black Hills Energy Services</w:t>
      </w:r>
    </w:p>
    <w:p>
      <w:pPr>
        <w:spacing w:after="0" w:line="192"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Through our non-regulated natural gas commodity supplier, we buy and sell natural gas in Nebraska and Wyoming at competitive prices by managing commodity price risk. As a result of these activities, this area of our business is exposed to risks associated with changes in the market price of natural gas. We manage our exposure to such risks using over-the-counter and exchange traded options and swaps with counterparties in anticipation of forecasted purchases and sales. A portion of our over-the-counter swaps have been designated as cash flow hedges to mitigate the commodity price risk associated with fixed price forward contracts to supply gas to our Choice Gas Program customers. The gain or loss on these designated derivatives is reported in AOCI in the accompanying Consolidated Balance Sheets and reclassified into earnings in the same period that the underlying hedged item is recognized in earnings.</w:t>
      </w:r>
    </w:p>
    <w:p>
      <w:pPr>
        <w:spacing w:after="0" w:line="15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At December 31, 2024, and 2023, a 10% change in market prices for our derivative instruments would not materially impact pre-tax income, the fair values of our derivative assets and liabilities, or OCI.</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additional commodity risk and derivative information in </w:t>
      </w:r>
      <w:r>
        <w:rPr>
          <w:rFonts w:ascii="Arial" w:cs="Arial" w:eastAsia="Arial" w:hAnsi="Arial"/>
          <w:sz w:val="16"/>
          <w:szCs w:val="16"/>
          <w:u w:val="single" w:color="auto"/>
          <w:color w:val="0000FF"/>
        </w:rPr>
        <w:t>Note 9</w:t>
      </w:r>
      <w:r>
        <w:rPr>
          <w:rFonts w:ascii="Arial" w:cs="Arial" w:eastAsia="Arial" w:hAnsi="Arial"/>
          <w:sz w:val="16"/>
          <w:szCs w:val="16"/>
          <w:color w:val="auto"/>
        </w:rPr>
        <w:t xml:space="preserve">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-4445</wp:posOffset>
            </wp:positionV>
            <wp:extent cx="30289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Risk</w:t>
      </w:r>
    </w:p>
    <w:p>
      <w:pPr>
        <w:spacing w:after="0" w:line="194"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 xml:space="preserve">Periodically, we have engaged in activities to manage risks associated with changes in interest rates. We have utilized pay-fixed interest rate swap agreements to reduce exposure to interest rate fluctuations associated with floating rate debt obligations and anticipated debt refinancings. At December 31, 2024, we had no interest rate swaps in place. Further details of past swap agreements are set forth in </w:t>
      </w:r>
      <w:r>
        <w:rPr>
          <w:rFonts w:ascii="Arial" w:cs="Arial" w:eastAsia="Arial" w:hAnsi="Arial"/>
          <w:sz w:val="16"/>
          <w:szCs w:val="16"/>
          <w:u w:val="single" w:color="auto"/>
          <w:color w:val="0000FF"/>
        </w:rPr>
        <w:t>Note 9</w:t>
      </w:r>
      <w:r>
        <w:rPr>
          <w:rFonts w:ascii="Arial" w:cs="Arial" w:eastAsia="Arial" w:hAnsi="Arial"/>
          <w:sz w:val="16"/>
          <w:szCs w:val="16"/>
          <w:color w:val="auto"/>
        </w:rPr>
        <w:t xml:space="preserve">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4648200</wp:posOffset>
            </wp:positionH>
            <wp:positionV relativeFrom="paragraph">
              <wp:posOffset>-151765</wp:posOffset>
            </wp:positionV>
            <wp:extent cx="30289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31"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 xml:space="preserve">At December 31, 2024, 96.9% of our debt is fixed rate debt, which limits our exposure to variable interest rate fluctuations. A hypothetical 100 basis point increase in the benchmark rate on our variable rate debt would have increased annual pretax interest expense by approximately $0.3 million and $0.9 million for the years ended December 31, 2024, and 2023, respectively. See </w:t>
      </w:r>
      <w:r>
        <w:rPr>
          <w:rFonts w:ascii="Arial" w:cs="Arial" w:eastAsia="Arial" w:hAnsi="Arial"/>
          <w:sz w:val="16"/>
          <w:szCs w:val="16"/>
          <w:u w:val="single" w:color="auto"/>
          <w:color w:val="0000FF"/>
        </w:rPr>
        <w:t>Note 8</w:t>
      </w:r>
      <w:r>
        <w:rPr>
          <w:rFonts w:ascii="Arial" w:cs="Arial" w:eastAsia="Arial" w:hAnsi="Arial"/>
          <w:sz w:val="16"/>
          <w:szCs w:val="16"/>
          <w:color w:val="auto"/>
        </w:rPr>
        <w:t xml:space="preserve"> for further information on cash amounts outstanding under short- and long-term variable rate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3207385</wp:posOffset>
            </wp:positionH>
            <wp:positionV relativeFrom="paragraph">
              <wp:posOffset>-151765</wp:posOffset>
            </wp:positionV>
            <wp:extent cx="30289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31"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 xml:space="preserve">We are subject to interest rate risk associated with our pension and post-retirement benefit obligations. Changes in interest rates impact the liabilities associated with these benefit plans as well as the amount of income or expense recognized for these plans. Declines in the value of the plan assets could diminish the funded status of the pension plans and potentially increase the requirements to make cash contributions to these plans. See additional information in </w:t>
      </w:r>
      <w:r>
        <w:rPr>
          <w:rFonts w:ascii="Arial" w:cs="Arial" w:eastAsia="Arial" w:hAnsi="Arial"/>
          <w:sz w:val="16"/>
          <w:szCs w:val="16"/>
          <w:u w:val="single" w:color="auto"/>
          <w:color w:val="0000FF"/>
        </w:rPr>
        <w:t>Note 13</w:t>
      </w:r>
      <w:r>
        <w:rPr>
          <w:rFonts w:ascii="Arial" w:cs="Arial" w:eastAsia="Arial" w:hAnsi="Arial"/>
          <w:sz w:val="16"/>
          <w:szCs w:val="16"/>
          <w:color w:val="auto"/>
        </w:rPr>
        <w:t xml:space="preserve">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650875</wp:posOffset>
            </wp:positionH>
            <wp:positionV relativeFrom="paragraph">
              <wp:posOffset>-31750</wp:posOffset>
            </wp:positionV>
            <wp:extent cx="36004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 Risk</w:t>
      </w:r>
    </w:p>
    <w:p>
      <w:pPr>
        <w:spacing w:after="0" w:line="194"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We have adopted the Black Hills Corporation Credit Policy that establishes guidelines, controls and limits to manage and mitigate credit risk within risk tolerances established by the Board of Directors. We attempt to mitigate our credit exposure by conducting business primarily with high credit quality entities, setting tenor and credit limits commensurate with counterparty financial strength, obtaining master netting agreements, and mitigating credit exposure with less creditworthy counterparties through parental guarantees, cash collateral requirements, letters of credit and other security agreements.</w:t>
      </w:r>
    </w:p>
    <w:p>
      <w:pPr>
        <w:spacing w:after="0" w:line="151"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We perform periodic credit evaluations of our customers and adjust credit limits based upon payment history and the customer’s current creditworthiness, as determined by review of their current credit information. We maintain a provision for estimated credit losses based upon historical experience, changes in current market conditions, expected losses, and any specific customer collection issue that is identified.</w:t>
      </w:r>
    </w:p>
    <w:p>
      <w:pPr>
        <w:spacing w:after="0" w:line="144" w:lineRule="exact"/>
        <w:rPr>
          <w:sz w:val="20"/>
          <w:szCs w:val="20"/>
          <w:color w:val="auto"/>
        </w:rPr>
      </w:pPr>
    </w:p>
    <w:p>
      <w:pPr>
        <w:ind w:left="5540" w:right="2180" w:hanging="5525"/>
        <w:spacing w:after="0" w:line="286" w:lineRule="auto"/>
        <w:rPr>
          <w:sz w:val="20"/>
          <w:szCs w:val="20"/>
          <w:color w:val="auto"/>
        </w:rPr>
      </w:pPr>
      <w:r>
        <w:rPr>
          <w:rFonts w:ascii="Arial" w:cs="Arial" w:eastAsia="Arial" w:hAnsi="Arial"/>
          <w:sz w:val="16"/>
          <w:szCs w:val="16"/>
          <w:color w:val="auto"/>
        </w:rPr>
        <w:t xml:space="preserve">See more information in Notes </w:t>
      </w:r>
      <w:r>
        <w:rPr>
          <w:rFonts w:ascii="Arial" w:cs="Arial" w:eastAsia="Arial" w:hAnsi="Arial"/>
          <w:sz w:val="16"/>
          <w:szCs w:val="16"/>
          <w:u w:val="single" w:color="auto"/>
          <w:color w:val="0000FF"/>
        </w:rPr>
        <w:t>1</w:t>
      </w:r>
      <w:r>
        <w:rPr>
          <w:rFonts w:ascii="Arial" w:cs="Arial" w:eastAsia="Arial" w:hAnsi="Arial"/>
          <w:sz w:val="16"/>
          <w:szCs w:val="16"/>
          <w:color w:val="auto"/>
        </w:rPr>
        <w:t xml:space="preserve"> and </w:t>
      </w:r>
      <w:r>
        <w:rPr>
          <w:rFonts w:ascii="Arial" w:cs="Arial" w:eastAsia="Arial" w:hAnsi="Arial"/>
          <w:sz w:val="16"/>
          <w:szCs w:val="16"/>
          <w:u w:val="single" w:color="auto"/>
          <w:color w:val="0000FF"/>
        </w:rPr>
        <w:t>9</w:t>
      </w:r>
      <w:r>
        <w:rPr>
          <w:rFonts w:ascii="Arial" w:cs="Arial" w:eastAsia="Arial" w:hAnsi="Arial"/>
          <w:sz w:val="16"/>
          <w:szCs w:val="16"/>
          <w:color w:val="auto"/>
        </w:rPr>
        <w:t xml:space="preserve"> of the Notes to Consolidated Financial Statements in this Annual Report on Form 10-K.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438150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1423035</wp:posOffset>
            </wp:positionH>
            <wp:positionV relativeFrom="paragraph">
              <wp:posOffset>-165735</wp:posOffset>
            </wp:positionV>
            <wp:extent cx="5715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7150" cy="8890"/>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-165735</wp:posOffset>
            </wp:positionV>
            <wp:extent cx="5715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715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8.FINANCIAL STATEMENTS AND SUPPLEMENTARY DATA</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u w:val="single" w:color="auto"/>
          <w:color w:val="auto"/>
        </w:rPr>
        <w:t>Management’s Report on Internal Control Over Financial Reporting</w:t>
      </w:r>
    </w:p>
    <w:p>
      <w:pPr>
        <w:spacing w:after="0" w:line="194"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We are responsible for establishing and maintaining adequate internal control over financial reporting as defined in Rules 13a-15(f) and 15d-15(f) under the Securities Exchange Act of 1934, as amended. Our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46"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All internal control systems, no matter how well designed, have inherent limitations. Therefore, even those systems determined to be effective can provide only reasonable assurance with respect to financial statement preparation and presentation.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1"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 xml:space="preserve">Under the supervision and with the participation of management, including our Chief Executive Officer and Chief Financial Officer, we conducted an evaluation of the effectiveness of our internal control over financial reporting as of December 31, 2024, based on the criteria set forth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(2013) </w:t>
      </w:r>
      <w:r>
        <w:rPr>
          <w:rFonts w:ascii="Arial" w:cs="Arial" w:eastAsia="Arial" w:hAnsi="Arial"/>
          <w:sz w:val="16"/>
          <w:szCs w:val="16"/>
          <w:color w:val="auto"/>
        </w:rPr>
        <w:t>issued by the Committee of Sponsoring Organizations of the Treadway Commission “COSO”. This evaluation included review</w:t>
      </w:r>
      <w:r>
        <w:rPr>
          <w:rFonts w:ascii="Arial" w:cs="Arial" w:eastAsia="Arial" w:hAnsi="Arial"/>
          <w:sz w:val="16"/>
          <w:szCs w:val="16"/>
          <w:i w:val="1"/>
          <w:iCs w:val="1"/>
          <w:color w:val="auto"/>
        </w:rPr>
        <w:t xml:space="preserve"> </w:t>
      </w:r>
      <w:r>
        <w:rPr>
          <w:rFonts w:ascii="Arial" w:cs="Arial" w:eastAsia="Arial" w:hAnsi="Arial"/>
          <w:sz w:val="16"/>
          <w:szCs w:val="16"/>
          <w:color w:val="auto"/>
        </w:rPr>
        <w:t>of the documentation of controls, evaluation of the design effectiveness of controls, testing of the operating effectiveness of controls and a conclusion on this evaluation. Based on our evaluation, we have concluded that our internal control over financial reporting was effective as of December 31, 2024.</w:t>
      </w:r>
    </w:p>
    <w:p>
      <w:pPr>
        <w:spacing w:after="0" w:line="153"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Deloitte &amp; Touche LLP, an independent registered public accounting firm, as auditors of Black Hills Corporation’s financial statements, has issued an attestation report on the effectiveness of Black Hills Corporation's internal control over financial reporting as of December 31, 2024. Deloitte &amp; Touche LLP's report on Black Hills Corporation's internal control over financial reporting is included herein.</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Black Hills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4" w:name="page55"/>
    <w:bookmarkEnd w:id="5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955040</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To the shareholders and the Board of Directors of Black Hills Corporation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Financial Statements</w:t>
      </w:r>
    </w:p>
    <w:p>
      <w:pPr>
        <w:spacing w:after="0" w:line="194"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We have audited the accompanying consolidated balance sheets of Black Hills Corporation and subsidiaries (the "Company") as of December 31, 2024 and 2023, the related consolidated statements of income, comprehensive income, shareholders' equity, and cash flows, for each of the three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153"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 xml:space="preserve">We have also audited, in accordance with the standards of the Public Company Accounting Oversight Board (United States) (PCAOB), the Company's internal control over financial reporting as of December 31, 2024,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and our report dated February 12, 2025, expressed an unqualified opinion on the Company's internal control over financial reporting.</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94"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1"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Audit Matter</w:t>
      </w:r>
    </w:p>
    <w:p>
      <w:pPr>
        <w:spacing w:after="0" w:line="194"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Regulatory Accounting – Impact of Rate Regulation on the Financial Statements – Refer to Notes 1 and 2 to the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Critical Audit Matter Description</w:t>
      </w:r>
    </w:p>
    <w:p>
      <w:pPr>
        <w:spacing w:after="0" w:line="192"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The Company is subject to cost-of-service regulation and earnings oversight by state and federal utility commissions (collectively, the “Commissions”), which have jurisdiction over the Company’s electric rates in Colorado, Montana, South Dakota and Wyoming and natural gas rates in Arkansas, Colorado, Iowa, Kansas, Nebraska, and Wyoming. Management has determined it meets the requirements under accounting principles generally accepted in the United States of America to prepare its financial statements applying the specialized rules to account for the effects of cost-based rate regulation. Accounting for the economics of rate regulation impacts multiple financial statement line items and disclosures, such as property, plant, and equipment; regulatory assets and liabilities; revenue; operating expenses; and income tax benefit (expense).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5" w:name="page56"/>
    <w:bookmarkEnd w:id="5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Rates are regulated on a state-by-state basis by the relevant state regulatory commissions based on an analysis of the Company’s costs, as reviewed and approved in a regulatory proceeding. Rate regulation is premised on the full recovery of prudently incurred costs and a reasonable rate of return on invested capital. Decisions to be made by the Commissions in the future will impact the accounting for regulated operations, including decisions about the amount of allowable costs and return on invested capital included in rates and any refunds that may be required. While the Company has indicated its regulatory assets are probable of recovery in current rates or in future proceedings, there is a risk that the Commissions will not judge all costs to have been prudently incurred or that the rate regulation process in which rates are determined will not always result in rates that produce a full recovery of costs and the return on invested capital.</w:t>
      </w:r>
    </w:p>
    <w:p>
      <w:pPr>
        <w:spacing w:after="0" w:line="154"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We identified the impact of rate regulation as a critical audit matter due to the significant judgments made by management to support its assertions about impacted account balances and disclosures and the high degree of subjectivity involved in assessing the impact of future regulatory orders on the financial statements. Management judgments include assessing the likelihood of (1) recovery in future rates of incurred costs, and (2) a refund or future rate reduction to be provided to customers. Given the uncertainty of future decisions by the Commissions, auditing these judgments required specialized knowledge of accounting for rate regulation and the rate setting process due to its inherent complexities.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Our audit procedures related to the uncertainty of future decisions by the Commissions included the following, among others:</w:t>
      </w:r>
    </w:p>
    <w:p>
      <w:pPr>
        <w:spacing w:after="0" w:line="194" w:lineRule="exact"/>
        <w:rPr>
          <w:sz w:val="20"/>
          <w:szCs w:val="20"/>
          <w:color w:val="auto"/>
        </w:rPr>
      </w:pPr>
    </w:p>
    <w:p>
      <w:pPr>
        <w:ind w:left="520" w:right="120" w:hanging="512"/>
        <w:spacing w:after="0" w:line="256" w:lineRule="auto"/>
        <w:tabs>
          <w:tab w:leader="none" w:pos="520" w:val="left"/>
        </w:tabs>
        <w:numPr>
          <w:ilvl w:val="0"/>
          <w:numId w:val="47"/>
        </w:numPr>
        <w:rPr>
          <w:rFonts w:ascii="Times New Roman" w:cs="Times New Roman" w:eastAsia="Times New Roman" w:hAnsi="Times New Roman"/>
          <w:sz w:val="16"/>
          <w:szCs w:val="16"/>
          <w:color w:val="auto"/>
        </w:rPr>
      </w:pPr>
      <w:r>
        <w:rPr>
          <w:rFonts w:ascii="Arial" w:cs="Arial" w:eastAsia="Arial" w:hAnsi="Arial"/>
          <w:sz w:val="16"/>
          <w:szCs w:val="16"/>
          <w:color w:val="auto"/>
        </w:rPr>
        <w:t>We tested the effectiveness of management’s controls over the evaluation of the likelihood of (1) the recovery in future rates of costs incurred as property, plant, and equipment and deferred as regulatory assets, and (2) refunds or future reductions in rates that should be reported as regulatory liabilities. We tested the effectiveness of management’s controls over the initial recognition of amounts as property, plant, and equipment; regulatory assets or liabilities; and the monitoring and evaluation of regulatory developments that may affect the likelihood of recovering costs in future rates or of a future reduction in rates.</w:t>
      </w:r>
    </w:p>
    <w:p>
      <w:pPr>
        <w:spacing w:after="0" w:line="151" w:lineRule="exact"/>
        <w:rPr>
          <w:rFonts w:ascii="Times New Roman" w:cs="Times New Roman" w:eastAsia="Times New Roman" w:hAnsi="Times New Roman"/>
          <w:sz w:val="16"/>
          <w:szCs w:val="16"/>
          <w:color w:val="auto"/>
        </w:rPr>
      </w:pPr>
    </w:p>
    <w:p>
      <w:pPr>
        <w:ind w:left="520" w:right="20" w:hanging="512"/>
        <w:spacing w:after="0" w:line="259" w:lineRule="auto"/>
        <w:tabs>
          <w:tab w:leader="none" w:pos="520" w:val="left"/>
        </w:tabs>
        <w:numPr>
          <w:ilvl w:val="0"/>
          <w:numId w:val="47"/>
        </w:numPr>
        <w:rPr>
          <w:rFonts w:ascii="Times New Roman" w:cs="Times New Roman" w:eastAsia="Times New Roman" w:hAnsi="Times New Roman"/>
          <w:sz w:val="16"/>
          <w:szCs w:val="16"/>
          <w:color w:val="auto"/>
        </w:rPr>
      </w:pPr>
      <w:r>
        <w:rPr>
          <w:rFonts w:ascii="Arial" w:cs="Arial" w:eastAsia="Arial" w:hAnsi="Arial"/>
          <w:sz w:val="16"/>
          <w:szCs w:val="16"/>
          <w:color w:val="auto"/>
        </w:rPr>
        <w:t>We read relevant regulatory orders issued by the Commissions, filings made by the Company, and other publicly available information, as appropriate, to assess the likelihood of recovery in future rates or of a future reduction in rates based on precedents of the Commissions’ treatment of similar costs under similar circumstances. We evaluated the external information and compared it to the Company’s recorded regulatory asset and liability balances for completeness and for any evidence that might contradict management’s assertions.</w:t>
      </w:r>
    </w:p>
    <w:p>
      <w:pPr>
        <w:spacing w:after="0" w:line="150" w:lineRule="exact"/>
        <w:rPr>
          <w:rFonts w:ascii="Times New Roman" w:cs="Times New Roman" w:eastAsia="Times New Roman" w:hAnsi="Times New Roman"/>
          <w:sz w:val="16"/>
          <w:szCs w:val="16"/>
          <w:color w:val="auto"/>
        </w:rPr>
      </w:pPr>
    </w:p>
    <w:p>
      <w:pPr>
        <w:ind w:left="520" w:right="20" w:hanging="512"/>
        <w:spacing w:after="0" w:line="266" w:lineRule="auto"/>
        <w:tabs>
          <w:tab w:leader="none" w:pos="520" w:val="left"/>
        </w:tabs>
        <w:numPr>
          <w:ilvl w:val="0"/>
          <w:numId w:val="47"/>
        </w:numPr>
        <w:rPr>
          <w:rFonts w:ascii="Times New Roman" w:cs="Times New Roman" w:eastAsia="Times New Roman" w:hAnsi="Times New Roman"/>
          <w:sz w:val="16"/>
          <w:szCs w:val="16"/>
          <w:color w:val="auto"/>
        </w:rPr>
      </w:pPr>
      <w:r>
        <w:rPr>
          <w:rFonts w:ascii="Arial" w:cs="Arial" w:eastAsia="Arial" w:hAnsi="Arial"/>
          <w:sz w:val="16"/>
          <w:szCs w:val="16"/>
          <w:color w:val="auto"/>
        </w:rPr>
        <w:t>We obtained and evaluated an analysis from management regarding probability of recovery for regulatory assets or refund or future reduction in rates for regulatory liabilities not yet addressed in a regulatory order, as applicable, to assess management’s assertion that amounts are probable of recovery or of a future reduction in rates.</w:t>
      </w:r>
    </w:p>
    <w:p>
      <w:pPr>
        <w:spacing w:after="0" w:line="143" w:lineRule="exact"/>
        <w:rPr>
          <w:rFonts w:ascii="Times New Roman" w:cs="Times New Roman" w:eastAsia="Times New Roman" w:hAnsi="Times New Roman"/>
          <w:sz w:val="16"/>
          <w:szCs w:val="16"/>
          <w:color w:val="auto"/>
        </w:rPr>
      </w:pPr>
    </w:p>
    <w:p>
      <w:pPr>
        <w:ind w:left="520" w:right="620" w:hanging="512"/>
        <w:spacing w:after="0" w:line="285" w:lineRule="auto"/>
        <w:tabs>
          <w:tab w:leader="none" w:pos="520" w:val="left"/>
        </w:tabs>
        <w:numPr>
          <w:ilvl w:val="0"/>
          <w:numId w:val="47"/>
        </w:numPr>
        <w:rPr>
          <w:rFonts w:ascii="Times New Roman" w:cs="Times New Roman" w:eastAsia="Times New Roman" w:hAnsi="Times New Roman"/>
          <w:sz w:val="16"/>
          <w:szCs w:val="16"/>
          <w:color w:val="auto"/>
        </w:rPr>
      </w:pPr>
      <w:r>
        <w:rPr>
          <w:rFonts w:ascii="Arial" w:cs="Arial" w:eastAsia="Arial" w:hAnsi="Arial"/>
          <w:sz w:val="16"/>
          <w:szCs w:val="16"/>
          <w:color w:val="auto"/>
        </w:rPr>
        <w:t>We inspected minutes of the board of directors to identify any evidence that may contradict management’s assertions regarding probability of recovery or refunds. We also inquired of management regarding current year rate filings and new regulatory assets or liabilities.</w:t>
      </w:r>
    </w:p>
    <w:p>
      <w:pPr>
        <w:spacing w:after="0" w:line="129"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47"/>
        </w:numPr>
        <w:rPr>
          <w:rFonts w:ascii="Times New Roman" w:cs="Times New Roman" w:eastAsia="Times New Roman" w:hAnsi="Times New Roman"/>
          <w:sz w:val="16"/>
          <w:szCs w:val="16"/>
          <w:color w:val="auto"/>
        </w:rPr>
      </w:pPr>
      <w:r>
        <w:rPr>
          <w:rFonts w:ascii="Arial" w:cs="Arial" w:eastAsia="Arial" w:hAnsi="Arial"/>
          <w:sz w:val="16"/>
          <w:szCs w:val="16"/>
          <w:color w:val="auto"/>
        </w:rPr>
        <w:t>We evaluated the Company’s disclosures related to the impacts of rate regulation, including the balances recorded and regulatory developments.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Minneapolis, Minnesota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February 12, 2025</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2002.</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6" w:name="page57"/>
    <w:bookmarkEnd w:id="5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To the shareholders and the Board of Directors of Black Hills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Internal Control over Financial Reporting</w:t>
      </w:r>
    </w:p>
    <w:p>
      <w:pPr>
        <w:spacing w:after="0" w:line="221"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 xml:space="preserve">We have audited the internal control over financial reporting of Black Hills Corporation and subsidiaries (the "Company") as of December 31, 2024,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(COSO). In our opinion, the Company maintained, in all material respects, effective internal control over financial reporting as of December 31, 2024,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COSO.</w:t>
      </w:r>
    </w:p>
    <w:p>
      <w:pPr>
        <w:spacing w:after="0" w:line="178"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(PCAOB), the consolidated financial statements as of and for the year ended December 31, 2024, of the Company and our report dated February 12, 2025, expressed an unqualified opinion on those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221"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221"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76" w:lineRule="exact"/>
        <w:rPr>
          <w:sz w:val="20"/>
          <w:szCs w:val="20"/>
          <w:color w:val="auto"/>
        </w:rPr>
      </w:pPr>
    </w:p>
    <w:p>
      <w:pPr>
        <w:ind w:right="280"/>
        <w:spacing w:after="0" w:line="266"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Minneapolis, Minnesota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February 12, 2025</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INCOME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center"/>
              <w:ind w:right="139"/>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6"/>
                <w:szCs w:val="16"/>
                <w:color w:val="auto"/>
              </w:rPr>
            </w:pPr>
          </w:p>
        </w:tc>
        <w:tc>
          <w:tcPr>
            <w:tcW w:w="1320" w:type="dxa"/>
            <w:vAlign w:val="bottom"/>
          </w:tcPr>
          <w:p>
            <w:pPr>
              <w:jc w:val="center"/>
              <w:ind w:right="139"/>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6"/>
                <w:szCs w:val="16"/>
                <w:color w:val="auto"/>
              </w:rPr>
            </w:pPr>
          </w:p>
        </w:tc>
        <w:tc>
          <w:tcPr>
            <w:tcW w:w="1380" w:type="dxa"/>
            <w:vAlign w:val="bottom"/>
          </w:tcPr>
          <w:p>
            <w:pPr>
              <w:jc w:val="center"/>
              <w:ind w:right="199"/>
              <w:spacing w:after="0"/>
              <w:rPr>
                <w:sz w:val="20"/>
                <w:szCs w:val="20"/>
                <w:color w:val="auto"/>
              </w:rPr>
            </w:pPr>
            <w:r>
              <w:rPr>
                <w:rFonts w:ascii="Arial" w:cs="Arial" w:eastAsia="Arial" w:hAnsi="Arial"/>
                <w:sz w:val="16"/>
                <w:szCs w:val="16"/>
                <w:b w:val="1"/>
                <w:bCs w:val="1"/>
                <w:color w:val="auto"/>
              </w:rPr>
              <w:t>December 31,</w:t>
            </w:r>
          </w:p>
        </w:tc>
      </w:tr>
      <w:tr>
        <w:trPr>
          <w:trHeight w:val="203"/>
        </w:trPr>
        <w:tc>
          <w:tcPr>
            <w:tcW w:w="6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2023</w:t>
            </w: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r>
      <w:tr>
        <w:trPr>
          <w:trHeight w:val="183"/>
        </w:trPr>
        <w:tc>
          <w:tcPr>
            <w:tcW w:w="67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380" w:type="dxa"/>
            <w:vAlign w:val="bottom"/>
            <w:tcBorders>
              <w:bottom w:val="single" w:sz="8" w:color="auto"/>
            </w:tcBorders>
            <w:gridSpan w:val="5"/>
          </w:tcPr>
          <w:p>
            <w:pPr>
              <w:jc w:val="center"/>
              <w:ind w:right="159"/>
              <w:spacing w:after="0" w:line="183" w:lineRule="exact"/>
              <w:rPr>
                <w:sz w:val="20"/>
                <w:szCs w:val="20"/>
                <w:color w:val="auto"/>
              </w:rPr>
            </w:pPr>
            <w:r>
              <w:rPr>
                <w:rFonts w:ascii="Arial" w:cs="Arial" w:eastAsia="Arial" w:hAnsi="Arial"/>
                <w:sz w:val="16"/>
                <w:szCs w:val="16"/>
                <w:color w:val="auto"/>
              </w:rPr>
              <w:t>(in millions, except per share amounts)</w:t>
            </w:r>
          </w:p>
        </w:tc>
      </w:tr>
      <w:tr>
        <w:trPr>
          <w:trHeight w:val="183"/>
        </w:trPr>
        <w:tc>
          <w:tcPr>
            <w:tcW w:w="674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Revenue</w:t>
            </w:r>
          </w:p>
        </w:tc>
        <w:tc>
          <w:tcPr>
            <w:tcW w:w="1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2,127.7</w:t>
            </w:r>
          </w:p>
        </w:tc>
        <w:tc>
          <w:tcPr>
            <w:tcW w:w="1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2,331.3</w:t>
            </w:r>
          </w:p>
        </w:tc>
        <w:tc>
          <w:tcPr>
            <w:tcW w:w="1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2,551.8</w:t>
            </w:r>
          </w:p>
        </w:tc>
      </w:tr>
    </w:tbl>
    <w:p>
      <w:pPr>
        <w:spacing w:after="0" w:line="175" w:lineRule="exact"/>
        <w:rPr>
          <w:sz w:val="20"/>
          <w:szCs w:val="20"/>
          <w:color w:val="auto"/>
        </w:rPr>
      </w:pPr>
    </w:p>
    <w:p>
      <w:pPr>
        <w:sectPr>
          <w:pgSz w:w="11900" w:h="16838" w:orient="portrait"/>
          <w:cols w:equalWidth="0" w:num="1">
            <w:col w:w="11240"/>
          </w:cols>
          <w:pgMar w:left="320" w:top="125" w:right="339" w:bottom="1440" w:gutter="0" w:footer="0" w:header="0"/>
        </w:sectPr>
      </w:pPr>
    </w:p>
    <w:p>
      <w:pPr>
        <w:ind w:left="20"/>
        <w:spacing w:after="0"/>
        <w:rPr>
          <w:sz w:val="20"/>
          <w:szCs w:val="20"/>
          <w:color w:val="auto"/>
        </w:rPr>
      </w:pPr>
      <w:r>
        <w:rPr>
          <w:rFonts w:ascii="Arial" w:cs="Arial" w:eastAsia="Arial" w:hAnsi="Arial"/>
          <w:sz w:val="16"/>
          <w:szCs w:val="16"/>
          <w:color w:val="auto"/>
        </w:rPr>
        <w:t>Operating expenses: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6"/>
          <w:szCs w:val="16"/>
          <w:color w:val="auto"/>
        </w:rPr>
        <w:t>Fuel, purchased power and cost of natural gas sold</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color w:val="auto"/>
        </w:rPr>
        <w:t>Operations and maintenance</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Depreciation and amortization</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color w:val="auto"/>
        </w:rPr>
        <w:t>Taxes other than income taxes</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operating expenses</w:t>
      </w:r>
    </w:p>
    <w:p>
      <w:pPr>
        <w:spacing w:after="0" w:line="182" w:lineRule="exact"/>
        <w:rPr>
          <w:sz w:val="20"/>
          <w:szCs w:val="20"/>
          <w:color w:val="auto"/>
        </w:rPr>
      </w:pPr>
    </w:p>
    <w:p>
      <w:pPr>
        <w:ind w:left="20"/>
        <w:spacing w:after="0"/>
        <w:rPr>
          <w:sz w:val="20"/>
          <w:szCs w:val="20"/>
          <w:color w:val="auto"/>
        </w:rPr>
      </w:pPr>
      <w:r>
        <w:rPr>
          <w:rFonts w:ascii="Arial" w:cs="Arial" w:eastAsia="Arial" w:hAnsi="Arial"/>
          <w:sz w:val="16"/>
          <w:szCs w:val="16"/>
          <w:color w:val="auto"/>
        </w:rPr>
        <w:t>Operating income</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840" w:type="dxa"/>
            <w:vAlign w:val="bottom"/>
          </w:tcPr>
          <w:p>
            <w:pPr>
              <w:jc w:val="right"/>
              <w:ind w:right="399"/>
              <w:spacing w:after="0"/>
              <w:rPr>
                <w:sz w:val="20"/>
                <w:szCs w:val="20"/>
                <w:color w:val="auto"/>
              </w:rPr>
            </w:pPr>
            <w:r>
              <w:rPr>
                <w:rFonts w:ascii="Arial" w:cs="Arial" w:eastAsia="Arial" w:hAnsi="Arial"/>
                <w:sz w:val="16"/>
                <w:szCs w:val="16"/>
                <w:color w:val="auto"/>
              </w:rPr>
              <w:t>730.3</w:t>
            </w:r>
          </w:p>
        </w:tc>
        <w:tc>
          <w:tcPr>
            <w:tcW w:w="1500" w:type="dxa"/>
            <w:vAlign w:val="bottom"/>
          </w:tcPr>
          <w:p>
            <w:pPr>
              <w:jc w:val="right"/>
              <w:ind w:right="399"/>
              <w:spacing w:after="0"/>
              <w:rPr>
                <w:sz w:val="20"/>
                <w:szCs w:val="20"/>
                <w:color w:val="auto"/>
              </w:rPr>
            </w:pPr>
            <w:r>
              <w:rPr>
                <w:rFonts w:ascii="Arial" w:cs="Arial" w:eastAsia="Arial" w:hAnsi="Arial"/>
                <w:sz w:val="16"/>
                <w:szCs w:val="16"/>
                <w:color w:val="auto"/>
              </w:rPr>
              <w:t>982.9</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1,230.6</w:t>
            </w:r>
          </w:p>
        </w:tc>
      </w:tr>
      <w:tr>
        <w:trPr>
          <w:trHeight w:val="189"/>
        </w:trPr>
        <w:tc>
          <w:tcPr>
            <w:tcW w:w="1840" w:type="dxa"/>
            <w:vAlign w:val="bottom"/>
          </w:tcPr>
          <w:p>
            <w:pPr>
              <w:jc w:val="right"/>
              <w:ind w:right="399"/>
              <w:spacing w:after="0"/>
              <w:rPr>
                <w:sz w:val="20"/>
                <w:szCs w:val="20"/>
                <w:color w:val="auto"/>
              </w:rPr>
            </w:pPr>
            <w:r>
              <w:rPr>
                <w:rFonts w:ascii="Arial" w:cs="Arial" w:eastAsia="Arial" w:hAnsi="Arial"/>
                <w:sz w:val="16"/>
                <w:szCs w:val="16"/>
                <w:color w:val="auto"/>
              </w:rPr>
              <w:t>557.0</w:t>
            </w:r>
          </w:p>
        </w:tc>
        <w:tc>
          <w:tcPr>
            <w:tcW w:w="1500" w:type="dxa"/>
            <w:vAlign w:val="bottom"/>
          </w:tcPr>
          <w:p>
            <w:pPr>
              <w:jc w:val="right"/>
              <w:ind w:right="399"/>
              <w:spacing w:after="0"/>
              <w:rPr>
                <w:sz w:val="20"/>
                <w:szCs w:val="20"/>
                <w:color w:val="auto"/>
              </w:rPr>
            </w:pPr>
            <w:r>
              <w:rPr>
                <w:rFonts w:ascii="Arial" w:cs="Arial" w:eastAsia="Arial" w:hAnsi="Arial"/>
                <w:sz w:val="16"/>
                <w:szCs w:val="16"/>
                <w:color w:val="auto"/>
              </w:rPr>
              <w:t>552.0</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548.4</w:t>
            </w:r>
          </w:p>
        </w:tc>
      </w:tr>
      <w:tr>
        <w:trPr>
          <w:trHeight w:val="189"/>
        </w:trPr>
        <w:tc>
          <w:tcPr>
            <w:tcW w:w="1840" w:type="dxa"/>
            <w:vAlign w:val="bottom"/>
          </w:tcPr>
          <w:p>
            <w:pPr>
              <w:jc w:val="right"/>
              <w:ind w:right="399"/>
              <w:spacing w:after="0"/>
              <w:rPr>
                <w:sz w:val="20"/>
                <w:szCs w:val="20"/>
                <w:color w:val="auto"/>
              </w:rPr>
            </w:pPr>
            <w:r>
              <w:rPr>
                <w:rFonts w:ascii="Arial" w:cs="Arial" w:eastAsia="Arial" w:hAnsi="Arial"/>
                <w:sz w:val="16"/>
                <w:szCs w:val="16"/>
                <w:color w:val="auto"/>
              </w:rPr>
              <w:t>270.1</w:t>
            </w:r>
          </w:p>
        </w:tc>
        <w:tc>
          <w:tcPr>
            <w:tcW w:w="1500" w:type="dxa"/>
            <w:vAlign w:val="bottom"/>
          </w:tcPr>
          <w:p>
            <w:pPr>
              <w:jc w:val="right"/>
              <w:ind w:right="399"/>
              <w:spacing w:after="0"/>
              <w:rPr>
                <w:sz w:val="20"/>
                <w:szCs w:val="20"/>
                <w:color w:val="auto"/>
              </w:rPr>
            </w:pPr>
            <w:r>
              <w:rPr>
                <w:rFonts w:ascii="Arial" w:cs="Arial" w:eastAsia="Arial" w:hAnsi="Arial"/>
                <w:sz w:val="16"/>
                <w:szCs w:val="16"/>
                <w:color w:val="auto"/>
              </w:rPr>
              <w:t>256.8</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250.9</w:t>
            </w:r>
          </w:p>
        </w:tc>
      </w:tr>
      <w:tr>
        <w:trPr>
          <w:trHeight w:val="203"/>
        </w:trPr>
        <w:tc>
          <w:tcPr>
            <w:tcW w:w="18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67.2</w:t>
            </w:r>
          </w:p>
        </w:tc>
        <w:tc>
          <w:tcPr>
            <w:tcW w:w="15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66.9</w:t>
            </w: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66.7</w:t>
            </w:r>
          </w:p>
        </w:tc>
      </w:tr>
      <w:tr>
        <w:trPr>
          <w:trHeight w:val="208"/>
        </w:trPr>
        <w:tc>
          <w:tcPr>
            <w:tcW w:w="1840" w:type="dxa"/>
            <w:vAlign w:val="bottom"/>
          </w:tcPr>
          <w:p>
            <w:pPr>
              <w:jc w:val="right"/>
              <w:ind w:right="399"/>
              <w:spacing w:after="0"/>
              <w:rPr>
                <w:sz w:val="20"/>
                <w:szCs w:val="20"/>
                <w:color w:val="auto"/>
              </w:rPr>
            </w:pPr>
            <w:r>
              <w:rPr>
                <w:rFonts w:ascii="Arial" w:cs="Arial" w:eastAsia="Arial" w:hAnsi="Arial"/>
                <w:sz w:val="16"/>
                <w:szCs w:val="16"/>
                <w:color w:val="auto"/>
              </w:rPr>
              <w:t>1,624.6</w:t>
            </w:r>
          </w:p>
        </w:tc>
        <w:tc>
          <w:tcPr>
            <w:tcW w:w="1500" w:type="dxa"/>
            <w:vAlign w:val="bottom"/>
          </w:tcPr>
          <w:p>
            <w:pPr>
              <w:jc w:val="right"/>
              <w:ind w:right="399"/>
              <w:spacing w:after="0"/>
              <w:rPr>
                <w:sz w:val="20"/>
                <w:szCs w:val="20"/>
                <w:color w:val="auto"/>
              </w:rPr>
            </w:pPr>
            <w:r>
              <w:rPr>
                <w:rFonts w:ascii="Arial" w:cs="Arial" w:eastAsia="Arial" w:hAnsi="Arial"/>
                <w:sz w:val="16"/>
                <w:szCs w:val="16"/>
                <w:color w:val="auto"/>
              </w:rPr>
              <w:t>1,858.6</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2,096.6</w:t>
            </w:r>
          </w:p>
        </w:tc>
      </w:tr>
      <w:tr>
        <w:trPr>
          <w:trHeight w:val="352"/>
        </w:trPr>
        <w:tc>
          <w:tcPr>
            <w:tcW w:w="18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503.1</w:t>
            </w:r>
          </w:p>
        </w:tc>
        <w:tc>
          <w:tcPr>
            <w:tcW w:w="15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472.7</w:t>
            </w: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455.2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-856615</wp:posOffset>
            </wp:positionV>
            <wp:extent cx="7132320" cy="1200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-616585</wp:posOffset>
            </wp:positionV>
            <wp:extent cx="7132320" cy="1200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-368300</wp:posOffset>
            </wp:positionV>
            <wp:extent cx="7132320" cy="1200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-128270</wp:posOffset>
            </wp:positionV>
            <wp:extent cx="7132320" cy="1289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89" w:lineRule="exact"/>
        <w:rPr>
          <w:sz w:val="20"/>
          <w:szCs w:val="20"/>
          <w:color w:val="auto"/>
        </w:rPr>
      </w:pPr>
    </w:p>
    <w:p>
      <w:pPr>
        <w:sectPr>
          <w:pgSz w:w="11900" w:h="16838" w:orient="portrait"/>
          <w:cols w:equalWidth="0" w:num="2">
            <w:col w:w="6020" w:space="720"/>
            <w:col w:w="450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6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income (expense):</w:t>
            </w:r>
          </w:p>
        </w:tc>
        <w:tc>
          <w:tcPr>
            <w:tcW w:w="14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r>
      <w:tr>
        <w:trPr>
          <w:trHeight w:val="189"/>
        </w:trPr>
        <w:tc>
          <w:tcPr>
            <w:tcW w:w="6740" w:type="dxa"/>
            <w:vAlign w:val="bottom"/>
          </w:tcPr>
          <w:p>
            <w:pPr>
              <w:ind w:left="20"/>
              <w:spacing w:after="0"/>
              <w:rPr>
                <w:sz w:val="20"/>
                <w:szCs w:val="20"/>
                <w:color w:val="auto"/>
              </w:rPr>
            </w:pPr>
            <w:r>
              <w:rPr>
                <w:rFonts w:ascii="Arial" w:cs="Arial" w:eastAsia="Arial" w:hAnsi="Arial"/>
                <w:sz w:val="16"/>
                <w:szCs w:val="16"/>
                <w:color w:val="auto"/>
              </w:rPr>
              <w:t>Interest expense incurred net of amounts capitalized</w:t>
            </w:r>
          </w:p>
        </w:tc>
        <w:tc>
          <w:tcPr>
            <w:tcW w:w="1480" w:type="dxa"/>
            <w:vAlign w:val="bottom"/>
          </w:tcPr>
          <w:p>
            <w:pPr>
              <w:jc w:val="right"/>
              <w:spacing w:after="0"/>
              <w:rPr>
                <w:sz w:val="20"/>
                <w:szCs w:val="20"/>
                <w:color w:val="auto"/>
              </w:rPr>
            </w:pPr>
            <w:r>
              <w:rPr>
                <w:rFonts w:ascii="Arial" w:cs="Arial" w:eastAsia="Arial" w:hAnsi="Arial"/>
                <w:sz w:val="16"/>
                <w:szCs w:val="16"/>
                <w:color w:val="auto"/>
              </w:rPr>
              <w:t>(195.2 )</w:t>
            </w:r>
          </w:p>
        </w:tc>
        <w:tc>
          <w:tcPr>
            <w:tcW w:w="5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(180.0 )</w:t>
            </w:r>
          </w:p>
        </w:tc>
        <w:tc>
          <w:tcPr>
            <w:tcW w:w="5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(162.6 )</w:t>
            </w:r>
          </w:p>
        </w:tc>
      </w:tr>
      <w:tr>
        <w:trPr>
          <w:trHeight w:val="189"/>
        </w:trPr>
        <w:tc>
          <w:tcPr>
            <w:tcW w:w="6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income</w:t>
            </w:r>
          </w:p>
        </w:tc>
        <w:tc>
          <w:tcPr>
            <w:tcW w:w="1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13.5</w:t>
            </w:r>
          </w:p>
        </w:tc>
        <w:tc>
          <w:tcPr>
            <w:tcW w:w="52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12.1</w:t>
            </w:r>
          </w:p>
        </w:tc>
        <w:tc>
          <w:tcPr>
            <w:tcW w:w="52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1.6</w:t>
            </w:r>
          </w:p>
        </w:tc>
      </w:tr>
      <w:tr>
        <w:trPr>
          <w:trHeight w:val="189"/>
        </w:trPr>
        <w:tc>
          <w:tcPr>
            <w:tcW w:w="6740" w:type="dxa"/>
            <w:vAlign w:val="bottom"/>
          </w:tcPr>
          <w:p>
            <w:pPr>
              <w:ind w:left="20"/>
              <w:spacing w:after="0"/>
              <w:rPr>
                <w:sz w:val="20"/>
                <w:szCs w:val="20"/>
                <w:color w:val="auto"/>
              </w:rPr>
            </w:pPr>
            <w:r>
              <w:rPr>
                <w:rFonts w:ascii="Arial" w:cs="Arial" w:eastAsia="Arial" w:hAnsi="Arial"/>
                <w:sz w:val="16"/>
                <w:szCs w:val="16"/>
                <w:color w:val="auto"/>
              </w:rPr>
              <w:t>Other income (expense), net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(1.4 )</w:t>
            </w:r>
          </w:p>
        </w:tc>
        <w:tc>
          <w:tcPr>
            <w:tcW w:w="5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(3.2 )</w:t>
            </w:r>
          </w:p>
        </w:tc>
        <w:tc>
          <w:tcPr>
            <w:tcW w:w="5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1.8</w:t>
            </w:r>
          </w:p>
        </w:tc>
      </w:tr>
      <w:tr>
        <w:trPr>
          <w:trHeight w:val="183"/>
        </w:trPr>
        <w:tc>
          <w:tcPr>
            <w:tcW w:w="6740" w:type="dxa"/>
            <w:vAlign w:val="bottom"/>
            <w:tcBorders>
              <w:bottom w:val="single" w:sz="8" w:color="CFF0FC"/>
            </w:tcBorders>
            <w:shd w:val="clear" w:color="auto" w:fill="CFF0FC"/>
          </w:tcPr>
          <w:p>
            <w:pPr>
              <w:ind w:left="380"/>
              <w:spacing w:after="0" w:line="183" w:lineRule="exact"/>
              <w:rPr>
                <w:sz w:val="20"/>
                <w:szCs w:val="20"/>
                <w:color w:val="auto"/>
              </w:rPr>
            </w:pPr>
            <w:r>
              <w:rPr>
                <w:rFonts w:ascii="Arial" w:cs="Arial" w:eastAsia="Arial" w:hAnsi="Arial"/>
                <w:sz w:val="16"/>
                <w:szCs w:val="16"/>
                <w:color w:val="auto"/>
              </w:rPr>
              <w:t>Total other income (expense)</w:t>
            </w:r>
          </w:p>
        </w:tc>
        <w:tc>
          <w:tcPr>
            <w:tcW w:w="14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(183.1 )</w:t>
            </w:r>
          </w:p>
        </w:tc>
        <w:tc>
          <w:tcPr>
            <w:tcW w:w="52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(171.1 )</w:t>
            </w:r>
          </w:p>
        </w:tc>
        <w:tc>
          <w:tcPr>
            <w:tcW w:w="52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(159.2 )</w:t>
            </w:r>
          </w:p>
        </w:tc>
      </w:tr>
      <w:tr>
        <w:trPr>
          <w:trHeight w:val="183"/>
        </w:trPr>
        <w:tc>
          <w:tcPr>
            <w:tcW w:w="6740" w:type="dxa"/>
            <w:vAlign w:val="bottom"/>
          </w:tcPr>
          <w:p>
            <w:pPr>
              <w:ind w:left="20"/>
              <w:spacing w:after="0" w:line="183" w:lineRule="exact"/>
              <w:rPr>
                <w:sz w:val="20"/>
                <w:szCs w:val="20"/>
                <w:color w:val="auto"/>
              </w:rPr>
            </w:pPr>
            <w:r>
              <w:rPr>
                <w:rFonts w:ascii="Arial" w:cs="Arial" w:eastAsia="Arial" w:hAnsi="Arial"/>
                <w:sz w:val="16"/>
                <w:szCs w:val="16"/>
                <w:color w:val="auto"/>
              </w:rPr>
              <w:t>Income before income taxes</w:t>
            </w:r>
          </w:p>
        </w:tc>
        <w:tc>
          <w:tcPr>
            <w:tcW w:w="1480" w:type="dxa"/>
            <w:vAlign w:val="bottom"/>
          </w:tcPr>
          <w:p>
            <w:pPr>
              <w:jc w:val="right"/>
              <w:ind w:right="39"/>
              <w:spacing w:after="0" w:line="183" w:lineRule="exact"/>
              <w:rPr>
                <w:sz w:val="20"/>
                <w:szCs w:val="20"/>
                <w:color w:val="auto"/>
              </w:rPr>
            </w:pPr>
            <w:r>
              <w:rPr>
                <w:rFonts w:ascii="Arial" w:cs="Arial" w:eastAsia="Arial" w:hAnsi="Arial"/>
                <w:sz w:val="16"/>
                <w:szCs w:val="16"/>
                <w:color w:val="auto"/>
              </w:rPr>
              <w:t>320.0</w:t>
            </w:r>
          </w:p>
        </w:tc>
        <w:tc>
          <w:tcPr>
            <w:tcW w:w="520" w:type="dxa"/>
            <w:vAlign w:val="bottom"/>
          </w:tcPr>
          <w:p>
            <w:pPr>
              <w:spacing w:after="0"/>
              <w:rPr>
                <w:sz w:val="15"/>
                <w:szCs w:val="15"/>
                <w:color w:val="auto"/>
              </w:rPr>
            </w:pPr>
          </w:p>
        </w:tc>
        <w:tc>
          <w:tcPr>
            <w:tcW w:w="980" w:type="dxa"/>
            <w:vAlign w:val="bottom"/>
          </w:tcPr>
          <w:p>
            <w:pPr>
              <w:jc w:val="right"/>
              <w:ind w:right="39"/>
              <w:spacing w:after="0" w:line="183" w:lineRule="exact"/>
              <w:rPr>
                <w:sz w:val="20"/>
                <w:szCs w:val="20"/>
                <w:color w:val="auto"/>
              </w:rPr>
            </w:pPr>
            <w:r>
              <w:rPr>
                <w:rFonts w:ascii="Arial" w:cs="Arial" w:eastAsia="Arial" w:hAnsi="Arial"/>
                <w:sz w:val="16"/>
                <w:szCs w:val="16"/>
                <w:color w:val="auto"/>
              </w:rPr>
              <w:t>301.6</w:t>
            </w:r>
          </w:p>
        </w:tc>
        <w:tc>
          <w:tcPr>
            <w:tcW w:w="520" w:type="dxa"/>
            <w:vAlign w:val="bottom"/>
          </w:tcPr>
          <w:p>
            <w:pPr>
              <w:spacing w:after="0"/>
              <w:rPr>
                <w:sz w:val="15"/>
                <w:szCs w:val="15"/>
                <w:color w:val="auto"/>
              </w:rPr>
            </w:pPr>
          </w:p>
        </w:tc>
        <w:tc>
          <w:tcPr>
            <w:tcW w:w="1000" w:type="dxa"/>
            <w:vAlign w:val="bottom"/>
          </w:tcPr>
          <w:p>
            <w:pPr>
              <w:jc w:val="right"/>
              <w:ind w:right="59"/>
              <w:spacing w:after="0" w:line="183" w:lineRule="exact"/>
              <w:rPr>
                <w:sz w:val="20"/>
                <w:szCs w:val="20"/>
                <w:color w:val="auto"/>
              </w:rPr>
            </w:pPr>
            <w:r>
              <w:rPr>
                <w:rFonts w:ascii="Arial" w:cs="Arial" w:eastAsia="Arial" w:hAnsi="Arial"/>
                <w:sz w:val="16"/>
                <w:szCs w:val="16"/>
                <w:color w:val="auto"/>
              </w:rPr>
              <w:t>296.0</w:t>
            </w:r>
          </w:p>
        </w:tc>
      </w:tr>
      <w:tr>
        <w:trPr>
          <w:trHeight w:val="189"/>
        </w:trPr>
        <w:tc>
          <w:tcPr>
            <w:tcW w:w="6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Income tax (expense)</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(36.3 )</w:t>
            </w:r>
          </w:p>
        </w:tc>
        <w:tc>
          <w:tcPr>
            <w:tcW w:w="52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(25.6 )</w:t>
            </w:r>
          </w:p>
        </w:tc>
        <w:tc>
          <w:tcPr>
            <w:tcW w:w="52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(25.2 )</w:t>
            </w:r>
          </w:p>
        </w:tc>
      </w:tr>
      <w:tr>
        <w:trPr>
          <w:trHeight w:val="183"/>
        </w:trPr>
        <w:tc>
          <w:tcPr>
            <w:tcW w:w="6740" w:type="dxa"/>
            <w:vAlign w:val="bottom"/>
          </w:tcPr>
          <w:p>
            <w:pPr>
              <w:ind w:left="200"/>
              <w:spacing w:after="0" w:line="183" w:lineRule="exact"/>
              <w:rPr>
                <w:sz w:val="20"/>
                <w:szCs w:val="20"/>
                <w:color w:val="auto"/>
              </w:rPr>
            </w:pPr>
            <w:r>
              <w:rPr>
                <w:rFonts w:ascii="Arial" w:cs="Arial" w:eastAsia="Arial" w:hAnsi="Arial"/>
                <w:sz w:val="16"/>
                <w:szCs w:val="16"/>
                <w:color w:val="auto"/>
              </w:rPr>
              <w:t>Net income</w:t>
            </w:r>
          </w:p>
        </w:tc>
        <w:tc>
          <w:tcPr>
            <w:tcW w:w="1480" w:type="dxa"/>
            <w:vAlign w:val="bottom"/>
          </w:tcPr>
          <w:p>
            <w:pPr>
              <w:jc w:val="right"/>
              <w:ind w:right="39"/>
              <w:spacing w:after="0" w:line="183" w:lineRule="exact"/>
              <w:rPr>
                <w:sz w:val="20"/>
                <w:szCs w:val="20"/>
                <w:color w:val="auto"/>
              </w:rPr>
            </w:pPr>
            <w:r>
              <w:rPr>
                <w:rFonts w:ascii="Arial" w:cs="Arial" w:eastAsia="Arial" w:hAnsi="Arial"/>
                <w:sz w:val="16"/>
                <w:szCs w:val="16"/>
                <w:color w:val="auto"/>
              </w:rPr>
              <w:t>283.7</w:t>
            </w:r>
          </w:p>
        </w:tc>
        <w:tc>
          <w:tcPr>
            <w:tcW w:w="520" w:type="dxa"/>
            <w:vAlign w:val="bottom"/>
          </w:tcPr>
          <w:p>
            <w:pPr>
              <w:spacing w:after="0"/>
              <w:rPr>
                <w:sz w:val="15"/>
                <w:szCs w:val="15"/>
                <w:color w:val="auto"/>
              </w:rPr>
            </w:pPr>
          </w:p>
        </w:tc>
        <w:tc>
          <w:tcPr>
            <w:tcW w:w="980" w:type="dxa"/>
            <w:vAlign w:val="bottom"/>
          </w:tcPr>
          <w:p>
            <w:pPr>
              <w:jc w:val="right"/>
              <w:ind w:right="39"/>
              <w:spacing w:after="0" w:line="183" w:lineRule="exact"/>
              <w:rPr>
                <w:sz w:val="20"/>
                <w:szCs w:val="20"/>
                <w:color w:val="auto"/>
              </w:rPr>
            </w:pPr>
            <w:r>
              <w:rPr>
                <w:rFonts w:ascii="Arial" w:cs="Arial" w:eastAsia="Arial" w:hAnsi="Arial"/>
                <w:sz w:val="16"/>
                <w:szCs w:val="16"/>
                <w:color w:val="auto"/>
              </w:rPr>
              <w:t>276.0</w:t>
            </w:r>
          </w:p>
        </w:tc>
        <w:tc>
          <w:tcPr>
            <w:tcW w:w="520" w:type="dxa"/>
            <w:vAlign w:val="bottom"/>
          </w:tcPr>
          <w:p>
            <w:pPr>
              <w:spacing w:after="0"/>
              <w:rPr>
                <w:sz w:val="15"/>
                <w:szCs w:val="15"/>
                <w:color w:val="auto"/>
              </w:rPr>
            </w:pPr>
          </w:p>
        </w:tc>
        <w:tc>
          <w:tcPr>
            <w:tcW w:w="1000" w:type="dxa"/>
            <w:vAlign w:val="bottom"/>
          </w:tcPr>
          <w:p>
            <w:pPr>
              <w:jc w:val="right"/>
              <w:ind w:right="59"/>
              <w:spacing w:after="0" w:line="183" w:lineRule="exact"/>
              <w:rPr>
                <w:sz w:val="20"/>
                <w:szCs w:val="20"/>
                <w:color w:val="auto"/>
              </w:rPr>
            </w:pPr>
            <w:r>
              <w:rPr>
                <w:rFonts w:ascii="Arial" w:cs="Arial" w:eastAsia="Arial" w:hAnsi="Arial"/>
                <w:sz w:val="16"/>
                <w:szCs w:val="16"/>
                <w:color w:val="auto"/>
              </w:rPr>
              <w:t>270.8</w:t>
            </w:r>
          </w:p>
        </w:tc>
      </w:tr>
      <w:tr>
        <w:trPr>
          <w:trHeight w:val="189"/>
        </w:trPr>
        <w:tc>
          <w:tcPr>
            <w:tcW w:w="6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income attributable to non-controlling interest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(10.6 )</w:t>
            </w:r>
          </w:p>
        </w:tc>
        <w:tc>
          <w:tcPr>
            <w:tcW w:w="52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(13.8 )</w:t>
            </w:r>
          </w:p>
        </w:tc>
        <w:tc>
          <w:tcPr>
            <w:tcW w:w="52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(12.4 )</w:t>
            </w:r>
          </w:p>
        </w:tc>
      </w:tr>
      <w:tr>
        <w:trPr>
          <w:trHeight w:val="183"/>
        </w:trPr>
        <w:tc>
          <w:tcPr>
            <w:tcW w:w="6740" w:type="dxa"/>
            <w:vAlign w:val="bottom"/>
          </w:tcPr>
          <w:p>
            <w:pPr>
              <w:ind w:left="20"/>
              <w:spacing w:after="0" w:line="183" w:lineRule="exact"/>
              <w:rPr>
                <w:sz w:val="20"/>
                <w:szCs w:val="20"/>
                <w:color w:val="auto"/>
              </w:rPr>
            </w:pPr>
            <w:r>
              <w:rPr>
                <w:rFonts w:ascii="Arial" w:cs="Arial" w:eastAsia="Arial" w:hAnsi="Arial"/>
                <w:sz w:val="16"/>
                <w:szCs w:val="16"/>
                <w:color w:val="auto"/>
              </w:rPr>
              <w:t>Net income available for common stock</w:t>
            </w:r>
          </w:p>
        </w:tc>
        <w:tc>
          <w:tcPr>
            <w:tcW w:w="14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273.1</w:t>
            </w:r>
          </w:p>
        </w:tc>
        <w:tc>
          <w:tcPr>
            <w:tcW w:w="520" w:type="dxa"/>
            <w:vAlign w:val="bottom"/>
            <w:tcBorders>
              <w:bottom w:val="single" w:sz="8" w:color="auto"/>
            </w:tcBorders>
          </w:tcPr>
          <w:p>
            <w:pPr>
              <w:jc w:val="right"/>
              <w:ind w:right="319"/>
              <w:spacing w:after="0" w:line="183"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262.2</w:t>
            </w:r>
          </w:p>
        </w:tc>
        <w:tc>
          <w:tcPr>
            <w:tcW w:w="520" w:type="dxa"/>
            <w:vAlign w:val="bottom"/>
            <w:tcBorders>
              <w:bottom w:val="single" w:sz="8" w:color="auto"/>
            </w:tcBorders>
          </w:tcPr>
          <w:p>
            <w:pPr>
              <w:jc w:val="right"/>
              <w:ind w:right="319"/>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258.4</w:t>
            </w:r>
          </w:p>
        </w:tc>
      </w:tr>
      <w:tr>
        <w:trPr>
          <w:trHeight w:val="20"/>
        </w:trPr>
        <w:tc>
          <w:tcPr>
            <w:tcW w:w="67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70"/>
        </w:trPr>
        <w:tc>
          <w:tcPr>
            <w:tcW w:w="67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89"/>
        </w:trPr>
        <w:tc>
          <w:tcPr>
            <w:tcW w:w="6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Earnings per share of common stock:</w:t>
            </w:r>
          </w:p>
        </w:tc>
        <w:tc>
          <w:tcPr>
            <w:tcW w:w="14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r>
      <w:tr>
        <w:trPr>
          <w:trHeight w:val="189"/>
        </w:trPr>
        <w:tc>
          <w:tcPr>
            <w:tcW w:w="6740" w:type="dxa"/>
            <w:vAlign w:val="bottom"/>
          </w:tcPr>
          <w:p>
            <w:pPr>
              <w:ind w:left="20"/>
              <w:spacing w:after="0"/>
              <w:rPr>
                <w:sz w:val="20"/>
                <w:szCs w:val="20"/>
                <w:color w:val="auto"/>
              </w:rPr>
            </w:pPr>
            <w:r>
              <w:rPr>
                <w:rFonts w:ascii="Arial" w:cs="Arial" w:eastAsia="Arial" w:hAnsi="Arial"/>
                <w:sz w:val="16"/>
                <w:szCs w:val="16"/>
                <w:color w:val="auto"/>
              </w:rPr>
              <w:t>Earnings per share, Basic</w:t>
            </w:r>
          </w:p>
        </w:tc>
        <w:tc>
          <w:tcPr>
            <w:tcW w:w="1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3.91</w:t>
            </w:r>
          </w:p>
        </w:tc>
        <w:tc>
          <w:tcPr>
            <w:tcW w:w="5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3.91</w:t>
            </w: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3.98</w:t>
            </w:r>
          </w:p>
        </w:tc>
      </w:tr>
      <w:tr>
        <w:trPr>
          <w:trHeight w:val="20"/>
        </w:trPr>
        <w:tc>
          <w:tcPr>
            <w:tcW w:w="67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0"/>
        </w:trPr>
        <w:tc>
          <w:tcPr>
            <w:tcW w:w="6740" w:type="dxa"/>
            <w:vAlign w:val="bottom"/>
            <w:tcBorders>
              <w:bottom w:val="single" w:sz="8" w:color="CFF0FC"/>
            </w:tcBorders>
            <w:shd w:val="clear" w:color="auto" w:fill="CFF0FC"/>
          </w:tcPr>
          <w:p>
            <w:pPr>
              <w:ind w:left="20"/>
              <w:spacing w:after="0" w:line="170" w:lineRule="exact"/>
              <w:rPr>
                <w:sz w:val="20"/>
                <w:szCs w:val="20"/>
                <w:color w:val="auto"/>
              </w:rPr>
            </w:pPr>
            <w:r>
              <w:rPr>
                <w:rFonts w:ascii="Arial" w:cs="Arial" w:eastAsia="Arial" w:hAnsi="Arial"/>
                <w:sz w:val="16"/>
                <w:szCs w:val="16"/>
                <w:color w:val="auto"/>
              </w:rPr>
              <w:t>Earnings per share, Diluted</w:t>
            </w:r>
          </w:p>
        </w:tc>
        <w:tc>
          <w:tcPr>
            <w:tcW w:w="1480" w:type="dxa"/>
            <w:vAlign w:val="bottom"/>
            <w:tcBorders>
              <w:bottom w:val="single" w:sz="8" w:color="auto"/>
            </w:tcBorders>
            <w:shd w:val="clear" w:color="auto" w:fill="CFF0FC"/>
          </w:tcPr>
          <w:p>
            <w:pPr>
              <w:jc w:val="right"/>
              <w:ind w:right="39"/>
              <w:spacing w:after="0" w:line="170" w:lineRule="exact"/>
              <w:rPr>
                <w:sz w:val="20"/>
                <w:szCs w:val="20"/>
                <w:color w:val="auto"/>
              </w:rPr>
            </w:pPr>
            <w:r>
              <w:rPr>
                <w:rFonts w:ascii="Arial" w:cs="Arial" w:eastAsia="Arial" w:hAnsi="Arial"/>
                <w:sz w:val="16"/>
                <w:szCs w:val="16"/>
                <w:color w:val="auto"/>
              </w:rPr>
              <w:t>3.91</w:t>
            </w:r>
          </w:p>
        </w:tc>
        <w:tc>
          <w:tcPr>
            <w:tcW w:w="5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9"/>
              <w:spacing w:after="0" w:line="170" w:lineRule="exact"/>
              <w:rPr>
                <w:sz w:val="20"/>
                <w:szCs w:val="20"/>
                <w:color w:val="auto"/>
              </w:rPr>
            </w:pPr>
            <w:r>
              <w:rPr>
                <w:rFonts w:ascii="Arial" w:cs="Arial" w:eastAsia="Arial" w:hAnsi="Arial"/>
                <w:sz w:val="16"/>
                <w:szCs w:val="16"/>
                <w:color w:val="auto"/>
              </w:rPr>
              <w:t>3.91</w:t>
            </w:r>
          </w:p>
        </w:tc>
        <w:tc>
          <w:tcPr>
            <w:tcW w:w="520" w:type="dxa"/>
            <w:vAlign w:val="bottom"/>
            <w:tcBorders>
              <w:bottom w:val="single" w:sz="8" w:color="auto"/>
            </w:tcBorders>
            <w:shd w:val="clear" w:color="auto" w:fill="CFF0FC"/>
          </w:tcPr>
          <w:p>
            <w:pPr>
              <w:jc w:val="right"/>
              <w:ind w:right="319"/>
              <w:spacing w:after="0" w:line="170"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FF0FC"/>
          </w:tcPr>
          <w:p>
            <w:pPr>
              <w:jc w:val="right"/>
              <w:ind w:right="59"/>
              <w:spacing w:after="0" w:line="170" w:lineRule="exact"/>
              <w:rPr>
                <w:sz w:val="20"/>
                <w:szCs w:val="20"/>
                <w:color w:val="auto"/>
              </w:rPr>
            </w:pPr>
            <w:r>
              <w:rPr>
                <w:rFonts w:ascii="Arial" w:cs="Arial" w:eastAsia="Arial" w:hAnsi="Arial"/>
                <w:sz w:val="16"/>
                <w:szCs w:val="16"/>
                <w:color w:val="auto"/>
              </w:rPr>
              <w:t>3.97</w:t>
            </w:r>
          </w:p>
        </w:tc>
      </w:tr>
      <w:tr>
        <w:trPr>
          <w:trHeight w:val="169"/>
        </w:trPr>
        <w:tc>
          <w:tcPr>
            <w:tcW w:w="67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89"/>
        </w:trPr>
        <w:tc>
          <w:tcPr>
            <w:tcW w:w="6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14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r>
      <w:tr>
        <w:trPr>
          <w:trHeight w:val="189"/>
        </w:trPr>
        <w:tc>
          <w:tcPr>
            <w:tcW w:w="6740" w:type="dxa"/>
            <w:vAlign w:val="bottom"/>
          </w:tcPr>
          <w:p>
            <w:pPr>
              <w:ind w:left="200"/>
              <w:spacing w:after="0"/>
              <w:rPr>
                <w:sz w:val="20"/>
                <w:szCs w:val="20"/>
                <w:color w:val="auto"/>
              </w:rPr>
            </w:pPr>
            <w:r>
              <w:rPr>
                <w:rFonts w:ascii="Arial" w:cs="Arial" w:eastAsia="Arial" w:hAnsi="Arial"/>
                <w:sz w:val="16"/>
                <w:szCs w:val="16"/>
                <w:color w:val="auto"/>
              </w:rPr>
              <w:t>Basic</w:t>
            </w:r>
          </w:p>
        </w:tc>
        <w:tc>
          <w:tcPr>
            <w:tcW w:w="1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69.8</w:t>
            </w:r>
          </w:p>
        </w:tc>
        <w:tc>
          <w:tcPr>
            <w:tcW w:w="5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67.0</w:t>
            </w:r>
          </w:p>
        </w:tc>
        <w:tc>
          <w:tcPr>
            <w:tcW w:w="5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64.9</w:t>
            </w:r>
          </w:p>
        </w:tc>
      </w:tr>
      <w:tr>
        <w:trPr>
          <w:trHeight w:val="20"/>
        </w:trPr>
        <w:tc>
          <w:tcPr>
            <w:tcW w:w="67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0"/>
        </w:trPr>
        <w:tc>
          <w:tcPr>
            <w:tcW w:w="6740" w:type="dxa"/>
            <w:vAlign w:val="bottom"/>
            <w:tcBorders>
              <w:bottom w:val="single" w:sz="8" w:color="CFF0FC"/>
            </w:tcBorders>
            <w:shd w:val="clear" w:color="auto" w:fill="CFF0FC"/>
          </w:tcPr>
          <w:p>
            <w:pPr>
              <w:ind w:left="200"/>
              <w:spacing w:after="0" w:line="170" w:lineRule="exact"/>
              <w:rPr>
                <w:sz w:val="20"/>
                <w:szCs w:val="20"/>
                <w:color w:val="auto"/>
              </w:rPr>
            </w:pPr>
            <w:r>
              <w:rPr>
                <w:rFonts w:ascii="Arial" w:cs="Arial" w:eastAsia="Arial" w:hAnsi="Arial"/>
                <w:sz w:val="16"/>
                <w:szCs w:val="16"/>
                <w:color w:val="auto"/>
              </w:rPr>
              <w:t>Diluted</w:t>
            </w:r>
          </w:p>
        </w:tc>
        <w:tc>
          <w:tcPr>
            <w:tcW w:w="1480" w:type="dxa"/>
            <w:vAlign w:val="bottom"/>
            <w:tcBorders>
              <w:bottom w:val="single" w:sz="8" w:color="auto"/>
            </w:tcBorders>
            <w:shd w:val="clear" w:color="auto" w:fill="CFF0FC"/>
          </w:tcPr>
          <w:p>
            <w:pPr>
              <w:jc w:val="right"/>
              <w:ind w:right="39"/>
              <w:spacing w:after="0" w:line="170" w:lineRule="exact"/>
              <w:rPr>
                <w:sz w:val="20"/>
                <w:szCs w:val="20"/>
                <w:color w:val="auto"/>
              </w:rPr>
            </w:pPr>
            <w:r>
              <w:rPr>
                <w:rFonts w:ascii="Arial" w:cs="Arial" w:eastAsia="Arial" w:hAnsi="Arial"/>
                <w:sz w:val="16"/>
                <w:szCs w:val="16"/>
                <w:color w:val="auto"/>
              </w:rPr>
              <w:t>69.9</w:t>
            </w:r>
          </w:p>
        </w:tc>
        <w:tc>
          <w:tcPr>
            <w:tcW w:w="5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9"/>
              <w:spacing w:after="0" w:line="170" w:lineRule="exact"/>
              <w:rPr>
                <w:sz w:val="20"/>
                <w:szCs w:val="20"/>
                <w:color w:val="auto"/>
              </w:rPr>
            </w:pPr>
            <w:r>
              <w:rPr>
                <w:rFonts w:ascii="Arial" w:cs="Arial" w:eastAsia="Arial" w:hAnsi="Arial"/>
                <w:sz w:val="16"/>
                <w:szCs w:val="16"/>
                <w:color w:val="auto"/>
              </w:rPr>
              <w:t>67.1</w:t>
            </w:r>
          </w:p>
        </w:tc>
        <w:tc>
          <w:tcPr>
            <w:tcW w:w="5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59"/>
              <w:spacing w:after="0" w:line="170" w:lineRule="exact"/>
              <w:rPr>
                <w:sz w:val="20"/>
                <w:szCs w:val="20"/>
                <w:color w:val="auto"/>
              </w:rPr>
            </w:pPr>
            <w:r>
              <w:rPr>
                <w:rFonts w:ascii="Arial" w:cs="Arial" w:eastAsia="Arial" w:hAnsi="Arial"/>
                <w:sz w:val="16"/>
                <w:szCs w:val="16"/>
                <w:color w:val="auto"/>
              </w:rPr>
              <w:t>65.0</w:t>
            </w:r>
          </w:p>
        </w:tc>
      </w:tr>
    </w:tbl>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The accompanying </w:t>
      </w:r>
      <w:r>
        <w:rPr>
          <w:rFonts w:ascii="Arial" w:cs="Arial" w:eastAsia="Arial" w:hAnsi="Arial"/>
          <w:sz w:val="14"/>
          <w:szCs w:val="14"/>
          <w:u w:val="single" w:color="auto"/>
          <w:color w:val="0000FF"/>
        </w:rPr>
        <w:t>Notes to Consolidated Financial Statements</w:t>
      </w:r>
      <w:r>
        <w:rPr>
          <w:rFonts w:ascii="Arial" w:cs="Arial" w:eastAsia="Arial" w:hAnsi="Arial"/>
          <w:sz w:val="14"/>
          <w:szCs w:val="14"/>
          <w:color w:val="auto"/>
        </w:rPr>
        <w:t xml:space="preserve">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1778635</wp:posOffset>
            </wp:positionH>
            <wp:positionV relativeFrom="paragraph">
              <wp:posOffset>-1270</wp:posOffset>
            </wp:positionV>
            <wp:extent cx="177736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777365" cy="8255"/>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COMPREHENSIVE INCOME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ind w:right="199"/>
              <w:spacing w:after="0"/>
              <w:rPr>
                <w:sz w:val="20"/>
                <w:szCs w:val="20"/>
                <w:color w:val="auto"/>
              </w:rPr>
            </w:pPr>
            <w:r>
              <w:rPr>
                <w:rFonts w:ascii="Arial" w:cs="Arial" w:eastAsia="Arial" w:hAnsi="Arial"/>
                <w:sz w:val="16"/>
                <w:szCs w:val="16"/>
                <w:b w:val="1"/>
                <w:bCs w:val="1"/>
                <w:color w:val="auto"/>
                <w:w w:val="99"/>
              </w:rPr>
              <w:t>December 31,</w:t>
            </w:r>
          </w:p>
        </w:tc>
        <w:tc>
          <w:tcPr>
            <w:tcW w:w="120" w:type="dxa"/>
            <w:vAlign w:val="bottom"/>
          </w:tcPr>
          <w:p>
            <w:pPr>
              <w:spacing w:after="0"/>
              <w:rPr>
                <w:sz w:val="16"/>
                <w:szCs w:val="16"/>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w w:val="99"/>
              </w:rPr>
              <w:t>December 31,</w:t>
            </w:r>
          </w:p>
        </w:tc>
        <w:tc>
          <w:tcPr>
            <w:tcW w:w="140" w:type="dxa"/>
            <w:vAlign w:val="bottom"/>
          </w:tcPr>
          <w:p>
            <w:pPr>
              <w:spacing w:after="0"/>
              <w:rPr>
                <w:sz w:val="16"/>
                <w:szCs w:val="16"/>
                <w:color w:val="auto"/>
              </w:rPr>
            </w:pPr>
          </w:p>
        </w:tc>
        <w:tc>
          <w:tcPr>
            <w:tcW w:w="1340" w:type="dxa"/>
            <w:vAlign w:val="bottom"/>
          </w:tcPr>
          <w:p>
            <w:pPr>
              <w:jc w:val="right"/>
              <w:ind w:right="199"/>
              <w:spacing w:after="0"/>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203"/>
        </w:trPr>
        <w:tc>
          <w:tcPr>
            <w:tcW w:w="6140" w:type="dxa"/>
            <w:vAlign w:val="bottom"/>
            <w:tcBorders>
              <w:bottom w:val="single" w:sz="8" w:color="auto"/>
            </w:tcBorders>
          </w:tcPr>
          <w:p>
            <w:pPr>
              <w:ind w:left="3000"/>
              <w:spacing w:after="0"/>
              <w:rPr>
                <w:sz w:val="20"/>
                <w:szCs w:val="20"/>
                <w:color w:val="auto"/>
              </w:rPr>
            </w:pPr>
            <w:r>
              <w:rPr>
                <w:rFonts w:ascii="Arial" w:cs="Arial" w:eastAsia="Arial" w:hAnsi="Arial"/>
                <w:sz w:val="16"/>
                <w:szCs w:val="16"/>
                <w:b w:val="1"/>
                <w:bCs w:val="1"/>
                <w:color w:val="auto"/>
              </w:rPr>
              <w:t>Year ended</w:t>
            </w: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83"/>
        </w:trPr>
        <w:tc>
          <w:tcPr>
            <w:tcW w:w="6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279"/>
              <w:spacing w:after="0" w:line="183" w:lineRule="exact"/>
              <w:rPr>
                <w:sz w:val="20"/>
                <w:szCs w:val="20"/>
                <w:color w:val="auto"/>
              </w:rPr>
            </w:pPr>
            <w:r>
              <w:rPr>
                <w:rFonts w:ascii="Arial" w:cs="Arial" w:eastAsia="Arial" w:hAnsi="Arial"/>
                <w:sz w:val="16"/>
                <w:szCs w:val="16"/>
                <w:color w:val="auto"/>
              </w:rPr>
              <w:t>(in millions)</w:t>
            </w: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4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Net income</w:t>
            </w:r>
          </w:p>
        </w:tc>
        <w:tc>
          <w:tcPr>
            <w:tcW w:w="84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283.7</w:t>
            </w:r>
          </w:p>
        </w:tc>
        <w:tc>
          <w:tcPr>
            <w:tcW w:w="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3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276.0</w:t>
            </w:r>
          </w:p>
        </w:tc>
        <w:tc>
          <w:tcPr>
            <w:tcW w:w="1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270.8</w:t>
            </w:r>
          </w:p>
        </w:tc>
        <w:tc>
          <w:tcPr>
            <w:tcW w:w="0" w:type="dxa"/>
            <w:vAlign w:val="bottom"/>
          </w:tcPr>
          <w:p>
            <w:pPr>
              <w:spacing w:after="0"/>
              <w:rPr>
                <w:sz w:val="1"/>
                <w:szCs w:val="1"/>
                <w:color w:val="auto"/>
              </w:rPr>
            </w:pPr>
          </w:p>
        </w:tc>
      </w:tr>
      <w:tr>
        <w:trPr>
          <w:trHeight w:val="372"/>
        </w:trPr>
        <w:tc>
          <w:tcPr>
            <w:tcW w:w="614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7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6980" w:type="dxa"/>
            <w:vAlign w:val="bottom"/>
            <w:gridSpan w:val="3"/>
            <w:shd w:val="clear" w:color="auto" w:fill="CFF0FC"/>
          </w:tcPr>
          <w:p>
            <w:pPr>
              <w:ind w:left="380"/>
              <w:spacing w:after="0" w:line="175" w:lineRule="exact"/>
              <w:rPr>
                <w:sz w:val="20"/>
                <w:szCs w:val="20"/>
                <w:color w:val="auto"/>
              </w:rPr>
            </w:pPr>
            <w:r>
              <w:rPr>
                <w:rFonts w:ascii="Arial" w:cs="Arial" w:eastAsia="Arial" w:hAnsi="Arial"/>
                <w:sz w:val="16"/>
                <w:szCs w:val="16"/>
                <w:color w:val="auto"/>
              </w:rPr>
              <w:t>Benefit plan liability adjustments - net gain (loss) (net of tax of $(0.2), $0, and $(1.5),</w:t>
            </w:r>
          </w:p>
        </w:tc>
        <w:tc>
          <w:tcPr>
            <w:tcW w:w="1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1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respectively)</w:t>
            </w:r>
          </w:p>
        </w:tc>
        <w:tc>
          <w:tcPr>
            <w:tcW w:w="7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0.8</w:t>
            </w: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(0.3 )</w:t>
            </w:r>
          </w:p>
        </w:tc>
        <w:tc>
          <w:tcPr>
            <w:tcW w:w="14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175"/>
        </w:trPr>
        <w:tc>
          <w:tcPr>
            <w:tcW w:w="6140" w:type="dxa"/>
            <w:vAlign w:val="bottom"/>
          </w:tcPr>
          <w:p>
            <w:pPr>
              <w:ind w:left="380"/>
              <w:spacing w:after="0" w:line="175" w:lineRule="exact"/>
              <w:rPr>
                <w:sz w:val="20"/>
                <w:szCs w:val="20"/>
                <w:color w:val="auto"/>
              </w:rPr>
            </w:pPr>
            <w:r>
              <w:rPr>
                <w:rFonts w:ascii="Arial" w:cs="Arial" w:eastAsia="Arial" w:hAnsi="Arial"/>
                <w:sz w:val="16"/>
                <w:szCs w:val="16"/>
                <w:color w:val="auto"/>
              </w:rPr>
              <w:t>Reclassification adjustment of benefit plan liability - net loss (net of tax of $(0.1),</w:t>
            </w:r>
          </w:p>
        </w:tc>
        <w:tc>
          <w:tcPr>
            <w:tcW w:w="840" w:type="dxa"/>
            <w:vAlign w:val="bottom"/>
            <w:gridSpan w:val="2"/>
          </w:tcPr>
          <w:p>
            <w:pPr>
              <w:jc w:val="right"/>
              <w:ind w:right="179"/>
              <w:spacing w:after="0" w:line="175" w:lineRule="exact"/>
              <w:rPr>
                <w:sz w:val="20"/>
                <w:szCs w:val="20"/>
                <w:color w:val="auto"/>
              </w:rPr>
            </w:pPr>
            <w:r>
              <w:rPr>
                <w:rFonts w:ascii="Arial" w:cs="Arial" w:eastAsia="Arial" w:hAnsi="Arial"/>
                <w:sz w:val="16"/>
                <w:szCs w:val="16"/>
                <w:color w:val="auto"/>
              </w:rPr>
              <w:t>$0, and</w:t>
            </w: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140" w:type="dxa"/>
            <w:vAlign w:val="bottom"/>
          </w:tcPr>
          <w:p>
            <w:pPr>
              <w:ind w:left="380"/>
              <w:spacing w:after="0"/>
              <w:rPr>
                <w:sz w:val="20"/>
                <w:szCs w:val="20"/>
                <w:color w:val="auto"/>
              </w:rPr>
            </w:pPr>
            <w:r>
              <w:rPr>
                <w:rFonts w:ascii="Arial" w:cs="Arial" w:eastAsia="Arial" w:hAnsi="Arial"/>
                <w:sz w:val="16"/>
                <w:szCs w:val="16"/>
                <w:color w:val="auto"/>
              </w:rPr>
              <w:t>$(0.2), respectively)</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0.2</w:t>
            </w:r>
          </w:p>
        </w:tc>
        <w:tc>
          <w:tcPr>
            <w:tcW w:w="140" w:type="dxa"/>
            <w:vAlign w:val="bottom"/>
          </w:tcPr>
          <w:p>
            <w:pPr>
              <w:spacing w:after="0"/>
              <w:rPr>
                <w:sz w:val="17"/>
                <w:szCs w:val="17"/>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175"/>
        </w:trPr>
        <w:tc>
          <w:tcPr>
            <w:tcW w:w="6980" w:type="dxa"/>
            <w:vAlign w:val="bottom"/>
            <w:gridSpan w:val="3"/>
            <w:shd w:val="clear" w:color="auto" w:fill="CFF0FC"/>
          </w:tcPr>
          <w:p>
            <w:pPr>
              <w:ind w:left="380"/>
              <w:spacing w:after="0" w:line="175" w:lineRule="exact"/>
              <w:rPr>
                <w:sz w:val="20"/>
                <w:szCs w:val="20"/>
                <w:color w:val="auto"/>
              </w:rPr>
            </w:pPr>
            <w:r>
              <w:rPr>
                <w:rFonts w:ascii="Arial" w:cs="Arial" w:eastAsia="Arial" w:hAnsi="Arial"/>
                <w:sz w:val="16"/>
                <w:szCs w:val="16"/>
                <w:color w:val="auto"/>
              </w:rPr>
              <w:t>Reclassification adjustment of benefit plan liability - prior service cost (net of tax of $0, $0,</w:t>
            </w:r>
          </w:p>
        </w:tc>
        <w:tc>
          <w:tcPr>
            <w:tcW w:w="1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1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and $0, respectively)</w:t>
            </w:r>
          </w:p>
        </w:tc>
        <w:tc>
          <w:tcPr>
            <w:tcW w:w="7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189"/>
        </w:trPr>
        <w:tc>
          <w:tcPr>
            <w:tcW w:w="6140" w:type="dxa"/>
            <w:vAlign w:val="bottom"/>
          </w:tcPr>
          <w:p>
            <w:pPr>
              <w:ind w:left="200"/>
              <w:spacing w:after="0"/>
              <w:rPr>
                <w:sz w:val="20"/>
                <w:szCs w:val="20"/>
                <w:color w:val="auto"/>
              </w:rPr>
            </w:pPr>
            <w:r>
              <w:rPr>
                <w:rFonts w:ascii="Arial" w:cs="Arial" w:eastAsia="Arial" w:hAnsi="Arial"/>
                <w:sz w:val="16"/>
                <w:szCs w:val="16"/>
                <w:color w:val="auto"/>
              </w:rPr>
              <w:t>Derivative instruments designated as cash flow hedges:</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980" w:type="dxa"/>
            <w:vAlign w:val="bottom"/>
            <w:gridSpan w:val="3"/>
            <w:shd w:val="clear" w:color="auto" w:fill="CFF0FC"/>
          </w:tcPr>
          <w:p>
            <w:pPr>
              <w:ind w:left="380"/>
              <w:spacing w:after="0" w:line="175" w:lineRule="exact"/>
              <w:rPr>
                <w:sz w:val="20"/>
                <w:szCs w:val="20"/>
                <w:color w:val="auto"/>
              </w:rPr>
            </w:pPr>
            <w:r>
              <w:rPr>
                <w:rFonts w:ascii="Arial" w:cs="Arial" w:eastAsia="Arial" w:hAnsi="Arial"/>
                <w:sz w:val="16"/>
                <w:szCs w:val="16"/>
                <w:color w:val="auto"/>
              </w:rPr>
              <w:t>Reclassification of net realized (gains) losses on settled/amortized interest rate swaps</w:t>
            </w:r>
          </w:p>
        </w:tc>
        <w:tc>
          <w:tcPr>
            <w:tcW w:w="1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1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(net of tax of $(0.6), $(0.7), and $(0.7), respectively)</w:t>
            </w:r>
          </w:p>
        </w:tc>
        <w:tc>
          <w:tcPr>
            <w:tcW w:w="7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w:t>
            </w:r>
          </w:p>
        </w:tc>
        <w:tc>
          <w:tcPr>
            <w:tcW w:w="14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75"/>
        </w:trPr>
        <w:tc>
          <w:tcPr>
            <w:tcW w:w="6980" w:type="dxa"/>
            <w:vAlign w:val="bottom"/>
            <w:gridSpan w:val="3"/>
          </w:tcPr>
          <w:p>
            <w:pPr>
              <w:ind w:left="380"/>
              <w:spacing w:after="0" w:line="175" w:lineRule="exact"/>
              <w:rPr>
                <w:sz w:val="20"/>
                <w:szCs w:val="20"/>
                <w:color w:val="auto"/>
              </w:rPr>
            </w:pPr>
            <w:r>
              <w:rPr>
                <w:rFonts w:ascii="Arial" w:cs="Arial" w:eastAsia="Arial" w:hAnsi="Arial"/>
                <w:sz w:val="16"/>
                <w:szCs w:val="16"/>
                <w:color w:val="auto"/>
              </w:rPr>
              <w:t>Net unrealized gains (losses) on commodity derivatives (net of tax of $0.1, $1.1, and $0.2,</w:t>
            </w: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140" w:type="dxa"/>
            <w:vAlign w:val="bottom"/>
          </w:tcPr>
          <w:p>
            <w:pPr>
              <w:ind w:left="380"/>
              <w:spacing w:after="0"/>
              <w:rPr>
                <w:sz w:val="20"/>
                <w:szCs w:val="20"/>
                <w:color w:val="auto"/>
              </w:rPr>
            </w:pPr>
            <w:r>
              <w:rPr>
                <w:rFonts w:ascii="Arial" w:cs="Arial" w:eastAsia="Arial" w:hAnsi="Arial"/>
                <w:sz w:val="16"/>
                <w:szCs w:val="16"/>
                <w:color w:val="auto"/>
              </w:rPr>
              <w:t>respectively)</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(0.5 )</w:t>
            </w: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(3.6 )</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(0.6 )</w:t>
            </w:r>
          </w:p>
        </w:tc>
        <w:tc>
          <w:tcPr>
            <w:tcW w:w="0" w:type="dxa"/>
            <w:vAlign w:val="bottom"/>
          </w:tcPr>
          <w:p>
            <w:pPr>
              <w:spacing w:after="0"/>
              <w:rPr>
                <w:sz w:val="1"/>
                <w:szCs w:val="1"/>
                <w:color w:val="auto"/>
              </w:rPr>
            </w:pPr>
          </w:p>
        </w:tc>
      </w:tr>
      <w:tr>
        <w:trPr>
          <w:trHeight w:val="175"/>
        </w:trPr>
        <w:tc>
          <w:tcPr>
            <w:tcW w:w="6980" w:type="dxa"/>
            <w:vAlign w:val="bottom"/>
            <w:gridSpan w:val="3"/>
            <w:shd w:val="clear" w:color="auto" w:fill="CFF0FC"/>
          </w:tcPr>
          <w:p>
            <w:pPr>
              <w:ind w:left="380"/>
              <w:spacing w:after="0" w:line="175" w:lineRule="exact"/>
              <w:rPr>
                <w:sz w:val="20"/>
                <w:szCs w:val="20"/>
                <w:color w:val="auto"/>
              </w:rPr>
            </w:pPr>
            <w:r>
              <w:rPr>
                <w:rFonts w:ascii="Arial" w:cs="Arial" w:eastAsia="Arial" w:hAnsi="Arial"/>
                <w:sz w:val="16"/>
                <w:szCs w:val="16"/>
                <w:color w:val="auto"/>
              </w:rPr>
              <w:t>Reclassification of net realized (gains) losses on settled commodity derivatives (net of tax</w:t>
            </w:r>
          </w:p>
        </w:tc>
        <w:tc>
          <w:tcPr>
            <w:tcW w:w="134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FF0FC"/>
          </w:tcPr>
          <w:p>
            <w:pPr>
              <w:spacing w:after="0"/>
              <w:rPr>
                <w:sz w:val="15"/>
                <w:szCs w:val="15"/>
                <w:color w:val="auto"/>
              </w:rPr>
            </w:pPr>
          </w:p>
        </w:tc>
        <w:tc>
          <w:tcPr>
            <w:tcW w:w="132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2.3</w:t>
            </w:r>
          </w:p>
        </w:tc>
        <w:tc>
          <w:tcPr>
            <w:tcW w:w="140" w:type="dxa"/>
            <w:vAlign w:val="bottom"/>
            <w:shd w:val="clear" w:color="auto" w:fill="CFF0FC"/>
          </w:tcPr>
          <w:p>
            <w:pPr>
              <w:spacing w:after="0"/>
              <w:rPr>
                <w:sz w:val="15"/>
                <w:szCs w:val="15"/>
                <w:color w:val="auto"/>
              </w:rPr>
            </w:pPr>
          </w:p>
        </w:tc>
        <w:tc>
          <w:tcPr>
            <w:tcW w:w="13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190"/>
        </w:trPr>
        <w:tc>
          <w:tcPr>
            <w:tcW w:w="61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of $(0.8), $(0.7), and $0.7, respectively)</w:t>
            </w:r>
          </w:p>
        </w:tc>
        <w:tc>
          <w:tcPr>
            <w:tcW w:w="7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vMerge w:val="continue"/>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vMerge w:val="continue"/>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140" w:type="dxa"/>
            <w:vAlign w:val="bottom"/>
          </w:tcPr>
          <w:p>
            <w:pPr>
              <w:ind w:left="20"/>
              <w:spacing w:after="0" w:line="183" w:lineRule="exact"/>
              <w:rPr>
                <w:sz w:val="20"/>
                <w:szCs w:val="20"/>
                <w:color w:val="auto"/>
              </w:rPr>
            </w:pPr>
            <w:r>
              <w:rPr>
                <w:rFonts w:ascii="Arial" w:cs="Arial" w:eastAsia="Arial" w:hAnsi="Arial"/>
                <w:sz w:val="16"/>
                <w:szCs w:val="16"/>
                <w:color w:val="auto"/>
              </w:rPr>
              <w:t>Other comprehensive income (loss), net of tax</w:t>
            </w:r>
          </w:p>
        </w:tc>
        <w:tc>
          <w:tcPr>
            <w:tcW w:w="7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5.4</w:t>
            </w: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0.8</w:t>
            </w: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183"/>
        </w:trPr>
        <w:tc>
          <w:tcPr>
            <w:tcW w:w="6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Comprehensive income</w:t>
            </w:r>
          </w:p>
        </w:tc>
        <w:tc>
          <w:tcPr>
            <w:tcW w:w="7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289.1</w:t>
            </w: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276.8</w:t>
            </w: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275.3</w:t>
            </w:r>
          </w:p>
        </w:tc>
        <w:tc>
          <w:tcPr>
            <w:tcW w:w="0" w:type="dxa"/>
            <w:vAlign w:val="bottom"/>
          </w:tcPr>
          <w:p>
            <w:pPr>
              <w:spacing w:after="0"/>
              <w:rPr>
                <w:sz w:val="1"/>
                <w:szCs w:val="1"/>
                <w:color w:val="auto"/>
              </w:rPr>
            </w:pPr>
          </w:p>
        </w:tc>
      </w:tr>
      <w:tr>
        <w:trPr>
          <w:trHeight w:val="189"/>
        </w:trPr>
        <w:tc>
          <w:tcPr>
            <w:tcW w:w="6140" w:type="dxa"/>
            <w:vAlign w:val="bottom"/>
          </w:tcPr>
          <w:p>
            <w:pPr>
              <w:ind w:left="20"/>
              <w:spacing w:after="0"/>
              <w:rPr>
                <w:sz w:val="20"/>
                <w:szCs w:val="20"/>
                <w:color w:val="auto"/>
              </w:rPr>
            </w:pPr>
            <w:r>
              <w:rPr>
                <w:rFonts w:ascii="Arial" w:cs="Arial" w:eastAsia="Arial" w:hAnsi="Arial"/>
                <w:sz w:val="16"/>
                <w:szCs w:val="16"/>
                <w:color w:val="auto"/>
              </w:rPr>
              <w:t>Less: comprehensive income attributable to non-controlling interest</w:t>
            </w:r>
          </w:p>
        </w:tc>
        <w:tc>
          <w:tcPr>
            <w:tcW w:w="7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(10.6 )</w:t>
            </w: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(13.8 )</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(12.4 )</w:t>
            </w:r>
          </w:p>
        </w:tc>
        <w:tc>
          <w:tcPr>
            <w:tcW w:w="0" w:type="dxa"/>
            <w:vAlign w:val="bottom"/>
          </w:tcPr>
          <w:p>
            <w:pPr>
              <w:spacing w:after="0"/>
              <w:rPr>
                <w:sz w:val="1"/>
                <w:szCs w:val="1"/>
                <w:color w:val="auto"/>
              </w:rPr>
            </w:pPr>
          </w:p>
        </w:tc>
      </w:tr>
      <w:tr>
        <w:trPr>
          <w:trHeight w:val="223"/>
        </w:trPr>
        <w:tc>
          <w:tcPr>
            <w:tcW w:w="614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Comprehensive income available for common stock</w:t>
            </w:r>
          </w:p>
        </w:tc>
        <w:tc>
          <w:tcPr>
            <w:tcW w:w="7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278.5</w:t>
            </w:r>
          </w:p>
        </w:tc>
        <w:tc>
          <w:tcPr>
            <w:tcW w:w="1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263.0</w:t>
            </w:r>
          </w:p>
        </w:tc>
        <w:tc>
          <w:tcPr>
            <w:tcW w:w="1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262.9</w:t>
            </w:r>
          </w:p>
        </w:tc>
        <w:tc>
          <w:tcPr>
            <w:tcW w:w="0" w:type="dxa"/>
            <w:vAlign w:val="bottom"/>
          </w:tcPr>
          <w:p>
            <w:pPr>
              <w:spacing w:after="0"/>
              <w:rPr>
                <w:sz w:val="1"/>
                <w:szCs w:val="1"/>
                <w:color w:val="auto"/>
              </w:rPr>
            </w:pPr>
          </w:p>
        </w:tc>
      </w:tr>
    </w:tbl>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See </w:t>
      </w:r>
      <w:r>
        <w:rPr>
          <w:rFonts w:ascii="Arial" w:cs="Arial" w:eastAsia="Arial" w:hAnsi="Arial"/>
          <w:sz w:val="14"/>
          <w:szCs w:val="14"/>
          <w:u w:val="single" w:color="auto"/>
          <w:color w:val="0000FF"/>
        </w:rPr>
        <w:t>Note 11</w:t>
      </w:r>
      <w:r>
        <w:rPr>
          <w:rFonts w:ascii="Arial" w:cs="Arial" w:eastAsia="Arial" w:hAnsi="Arial"/>
          <w:sz w:val="14"/>
          <w:szCs w:val="14"/>
          <w:color w:val="auto"/>
        </w:rPr>
        <w:t xml:space="preserve"> for additional disclosures related to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2279015</wp:posOffset>
            </wp:positionH>
            <wp:positionV relativeFrom="paragraph">
              <wp:posOffset>-1270</wp:posOffset>
            </wp:positionV>
            <wp:extent cx="32004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20040" cy="8255"/>
                    </a:xfrm>
                    <a:prstGeom prst="rect">
                      <a:avLst/>
                    </a:prstGeom>
                    <a:noFill/>
                  </pic:spPr>
                </pic:pic>
              </a:graphicData>
            </a:graphic>
          </wp:anchor>
        </w:drawing>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The accompanying </w:t>
      </w:r>
      <w:r>
        <w:rPr>
          <w:rFonts w:ascii="Arial" w:cs="Arial" w:eastAsia="Arial" w:hAnsi="Arial"/>
          <w:sz w:val="14"/>
          <w:szCs w:val="14"/>
          <w:u w:val="single" w:color="auto"/>
          <w:color w:val="0000FF"/>
        </w:rPr>
        <w:t>Notes to Consolidated Financial Statements</w:t>
      </w:r>
      <w:r>
        <w:rPr>
          <w:rFonts w:ascii="Arial" w:cs="Arial" w:eastAsia="Arial" w:hAnsi="Arial"/>
          <w:sz w:val="14"/>
          <w:szCs w:val="14"/>
          <w:color w:val="auto"/>
        </w:rPr>
        <w:t xml:space="preserve">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1778635</wp:posOffset>
            </wp:positionH>
            <wp:positionV relativeFrom="paragraph">
              <wp:posOffset>-1270</wp:posOffset>
            </wp:positionV>
            <wp:extent cx="177736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777365" cy="8255"/>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60" w:type="dxa"/>
            <w:vAlign w:val="bottom"/>
            <w:gridSpan w:val="2"/>
          </w:tcPr>
          <w:p>
            <w:pPr>
              <w:jc w:val="right"/>
              <w:ind w:right="439"/>
              <w:spacing w:after="0"/>
              <w:rPr>
                <w:sz w:val="20"/>
                <w:szCs w:val="20"/>
                <w:color w:val="auto"/>
              </w:rPr>
            </w:pPr>
            <w:r>
              <w:rPr>
                <w:rFonts w:ascii="Arial" w:cs="Arial" w:eastAsia="Arial" w:hAnsi="Arial"/>
                <w:sz w:val="16"/>
                <w:szCs w:val="16"/>
                <w:b w:val="1"/>
                <w:bCs w:val="1"/>
                <w:color w:val="auto"/>
              </w:rPr>
              <w:t>As of</w:t>
            </w:r>
          </w:p>
        </w:tc>
        <w:tc>
          <w:tcPr>
            <w:tcW w:w="1060" w:type="dxa"/>
            <w:vAlign w:val="bottom"/>
          </w:tcPr>
          <w:p>
            <w:pPr>
              <w:spacing w:after="0"/>
              <w:rPr>
                <w:sz w:val="16"/>
                <w:szCs w:val="16"/>
                <w:color w:val="auto"/>
              </w:rPr>
            </w:pPr>
          </w:p>
        </w:tc>
      </w:tr>
      <w:tr>
        <w:trPr>
          <w:trHeight w:val="203"/>
        </w:trPr>
        <w:tc>
          <w:tcPr>
            <w:tcW w:w="2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72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6"/>
                <w:szCs w:val="16"/>
                <w:b w:val="1"/>
                <w:bCs w:val="1"/>
                <w:color w:val="auto"/>
              </w:rPr>
              <w:t>December 31, 2024</w:t>
            </w:r>
          </w:p>
        </w:tc>
        <w:tc>
          <w:tcPr>
            <w:tcW w:w="174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6"/>
                <w:szCs w:val="16"/>
                <w:b w:val="1"/>
                <w:bCs w:val="1"/>
                <w:color w:val="auto"/>
              </w:rPr>
              <w:t>December 31, 2023</w:t>
            </w:r>
          </w:p>
        </w:tc>
      </w:tr>
      <w:tr>
        <w:trPr>
          <w:trHeight w:val="183"/>
        </w:trPr>
        <w:tc>
          <w:tcPr>
            <w:tcW w:w="2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2"/>
          </w:tcPr>
          <w:p>
            <w:pPr>
              <w:jc w:val="right"/>
              <w:ind w:right="239"/>
              <w:spacing w:after="0" w:line="183" w:lineRule="exact"/>
              <w:rPr>
                <w:sz w:val="20"/>
                <w:szCs w:val="20"/>
                <w:color w:val="auto"/>
              </w:rPr>
            </w:pPr>
            <w:r>
              <w:rPr>
                <w:rFonts w:ascii="Arial" w:cs="Arial" w:eastAsia="Arial" w:hAnsi="Arial"/>
                <w:sz w:val="16"/>
                <w:szCs w:val="16"/>
                <w:color w:val="auto"/>
              </w:rPr>
              <w:t>(in millions)</w:t>
            </w:r>
          </w:p>
        </w:tc>
        <w:tc>
          <w:tcPr>
            <w:tcW w:w="1060" w:type="dxa"/>
            <w:vAlign w:val="bottom"/>
            <w:tcBorders>
              <w:bottom w:val="single" w:sz="8" w:color="auto"/>
            </w:tcBorders>
          </w:tcPr>
          <w:p>
            <w:pPr>
              <w:spacing w:after="0"/>
              <w:rPr>
                <w:sz w:val="15"/>
                <w:szCs w:val="15"/>
                <w:color w:val="auto"/>
              </w:rPr>
            </w:pPr>
          </w:p>
        </w:tc>
      </w:tr>
      <w:tr>
        <w:trPr>
          <w:trHeight w:val="183"/>
        </w:trPr>
        <w:tc>
          <w:tcPr>
            <w:tcW w:w="28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4820" w:type="dxa"/>
            <w:vAlign w:val="bottom"/>
            <w:gridSpan w:val="3"/>
            <w:shd w:val="clear" w:color="auto" w:fill="CFF0FC"/>
          </w:tcPr>
          <w:p>
            <w:pPr>
              <w:jc w:val="right"/>
              <w:ind w:right="4019"/>
              <w:spacing w:after="0" w:line="183" w:lineRule="exact"/>
              <w:rPr>
                <w:sz w:val="20"/>
                <w:szCs w:val="20"/>
                <w:color w:val="auto"/>
              </w:rPr>
            </w:pPr>
            <w:r>
              <w:rPr>
                <w:rFonts w:ascii="Arial" w:cs="Arial" w:eastAsia="Arial" w:hAnsi="Arial"/>
                <w:sz w:val="16"/>
                <w:szCs w:val="16"/>
                <w:b w:val="1"/>
                <w:bCs w:val="1"/>
                <w:color w:val="auto"/>
              </w:rPr>
              <w:t>ASSETS</w:t>
            </w:r>
          </w:p>
        </w:tc>
        <w:tc>
          <w:tcPr>
            <w:tcW w:w="11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r>
      <w:tr>
        <w:trPr>
          <w:trHeight w:val="189"/>
        </w:trPr>
        <w:tc>
          <w:tcPr>
            <w:tcW w:w="3500" w:type="dxa"/>
            <w:vAlign w:val="bottom"/>
            <w:gridSpan w:val="2"/>
          </w:tcPr>
          <w:p>
            <w:pPr>
              <w:ind w:left="20"/>
              <w:spacing w:after="0"/>
              <w:rPr>
                <w:sz w:val="20"/>
                <w:szCs w:val="20"/>
                <w:color w:val="auto"/>
              </w:rPr>
            </w:pPr>
            <w:r>
              <w:rPr>
                <w:rFonts w:ascii="Arial" w:cs="Arial" w:eastAsia="Arial" w:hAnsi="Arial"/>
                <w:sz w:val="16"/>
                <w:szCs w:val="16"/>
                <w:color w:val="auto"/>
              </w:rPr>
              <w:t>Current assets:</w:t>
            </w:r>
          </w:p>
        </w:tc>
        <w:tc>
          <w:tcPr>
            <w:tcW w:w="21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9"/>
        </w:trPr>
        <w:tc>
          <w:tcPr>
            <w:tcW w:w="350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Cash and cash equivalents</w:t>
            </w:r>
          </w:p>
        </w:tc>
        <w:tc>
          <w:tcPr>
            <w:tcW w:w="4820" w:type="dxa"/>
            <w:vAlign w:val="bottom"/>
            <w:gridSpan w:val="3"/>
            <w:shd w:val="clear" w:color="auto" w:fill="CFF0FC"/>
          </w:tcPr>
          <w:p>
            <w:pPr>
              <w:jc w:val="right"/>
              <w:ind w:right="3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16.1</w:t>
            </w:r>
          </w:p>
        </w:tc>
        <w:tc>
          <w:tcPr>
            <w:tcW w:w="680" w:type="dxa"/>
            <w:vAlign w:val="bottom"/>
            <w:shd w:val="clear" w:color="auto" w:fill="CFF0FC"/>
          </w:tcPr>
          <w:p>
            <w:pPr>
              <w:jc w:val="right"/>
              <w:ind w:right="47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86.6</w:t>
            </w:r>
          </w:p>
        </w:tc>
      </w:tr>
      <w:tr>
        <w:trPr>
          <w:trHeight w:val="189"/>
        </w:trPr>
        <w:tc>
          <w:tcPr>
            <w:tcW w:w="3500" w:type="dxa"/>
            <w:vAlign w:val="bottom"/>
            <w:gridSpan w:val="2"/>
          </w:tcPr>
          <w:p>
            <w:pPr>
              <w:ind w:left="200"/>
              <w:spacing w:after="0"/>
              <w:rPr>
                <w:sz w:val="20"/>
                <w:szCs w:val="20"/>
                <w:color w:val="auto"/>
              </w:rPr>
            </w:pPr>
            <w:r>
              <w:rPr>
                <w:rFonts w:ascii="Arial" w:cs="Arial" w:eastAsia="Arial" w:hAnsi="Arial"/>
                <w:sz w:val="16"/>
                <w:szCs w:val="16"/>
                <w:color w:val="auto"/>
              </w:rPr>
              <w:t>Restricted cash and equivalents</w:t>
            </w:r>
          </w:p>
        </w:tc>
        <w:tc>
          <w:tcPr>
            <w:tcW w:w="21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7.3</w:t>
            </w:r>
          </w:p>
        </w:tc>
        <w:tc>
          <w:tcPr>
            <w:tcW w:w="680" w:type="dxa"/>
            <w:vAlign w:val="bottom"/>
          </w:tcPr>
          <w:p>
            <w:pPr>
              <w:spacing w:after="0"/>
              <w:rPr>
                <w:sz w:val="16"/>
                <w:szCs w:val="16"/>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6.4</w:t>
            </w:r>
          </w:p>
        </w:tc>
      </w:tr>
      <w:tr>
        <w:trPr>
          <w:trHeight w:val="189"/>
        </w:trPr>
        <w:tc>
          <w:tcPr>
            <w:tcW w:w="350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Accounts receivable, net</w:t>
            </w:r>
          </w:p>
        </w:tc>
        <w:tc>
          <w:tcPr>
            <w:tcW w:w="2120" w:type="dxa"/>
            <w:vAlign w:val="bottom"/>
            <w:tcBorders>
              <w:right w:val="single" w:sz="8" w:color="CFF0FC"/>
            </w:tcBorders>
            <w:shd w:val="clear" w:color="auto" w:fill="CFF0FC"/>
          </w:tcPr>
          <w:p>
            <w:pPr>
              <w:spacing w:after="0"/>
              <w:rPr>
                <w:sz w:val="16"/>
                <w:szCs w:val="16"/>
                <w:color w:val="auto"/>
              </w:rPr>
            </w:pPr>
          </w:p>
        </w:tc>
        <w:tc>
          <w:tcPr>
            <w:tcW w:w="216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351.2</w:t>
            </w:r>
          </w:p>
        </w:tc>
        <w:tc>
          <w:tcPr>
            <w:tcW w:w="68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350.3</w:t>
            </w:r>
          </w:p>
        </w:tc>
      </w:tr>
      <w:tr>
        <w:trPr>
          <w:trHeight w:val="189"/>
        </w:trPr>
        <w:tc>
          <w:tcPr>
            <w:tcW w:w="3500" w:type="dxa"/>
            <w:vAlign w:val="bottom"/>
            <w:gridSpan w:val="2"/>
          </w:tcPr>
          <w:p>
            <w:pPr>
              <w:ind w:left="200"/>
              <w:spacing w:after="0"/>
              <w:rPr>
                <w:sz w:val="20"/>
                <w:szCs w:val="20"/>
                <w:color w:val="auto"/>
              </w:rPr>
            </w:pPr>
            <w:r>
              <w:rPr>
                <w:rFonts w:ascii="Arial" w:cs="Arial" w:eastAsia="Arial" w:hAnsi="Arial"/>
                <w:sz w:val="16"/>
                <w:szCs w:val="16"/>
                <w:color w:val="auto"/>
              </w:rPr>
              <w:t>Materials, supplies and fuel</w:t>
            </w:r>
          </w:p>
        </w:tc>
        <w:tc>
          <w:tcPr>
            <w:tcW w:w="21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153.9</w:t>
            </w:r>
          </w:p>
        </w:tc>
        <w:tc>
          <w:tcPr>
            <w:tcW w:w="680" w:type="dxa"/>
            <w:vAlign w:val="bottom"/>
          </w:tcPr>
          <w:p>
            <w:pPr>
              <w:spacing w:after="0"/>
              <w:rPr>
                <w:sz w:val="16"/>
                <w:szCs w:val="16"/>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160.9</w:t>
            </w:r>
          </w:p>
        </w:tc>
      </w:tr>
      <w:tr>
        <w:trPr>
          <w:trHeight w:val="189"/>
        </w:trPr>
        <w:tc>
          <w:tcPr>
            <w:tcW w:w="350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Income tax receivable, net</w:t>
            </w:r>
          </w:p>
        </w:tc>
        <w:tc>
          <w:tcPr>
            <w:tcW w:w="2120" w:type="dxa"/>
            <w:vAlign w:val="bottom"/>
            <w:tcBorders>
              <w:right w:val="single" w:sz="8" w:color="CFF0FC"/>
            </w:tcBorders>
            <w:shd w:val="clear" w:color="auto" w:fill="CFF0FC"/>
          </w:tcPr>
          <w:p>
            <w:pPr>
              <w:spacing w:after="0"/>
              <w:rPr>
                <w:sz w:val="16"/>
                <w:szCs w:val="16"/>
                <w:color w:val="auto"/>
              </w:rPr>
            </w:pPr>
          </w:p>
        </w:tc>
        <w:tc>
          <w:tcPr>
            <w:tcW w:w="216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19.8</w:t>
            </w:r>
          </w:p>
        </w:tc>
        <w:tc>
          <w:tcPr>
            <w:tcW w:w="68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18.5</w:t>
            </w:r>
          </w:p>
        </w:tc>
      </w:tr>
      <w:tr>
        <w:trPr>
          <w:trHeight w:val="189"/>
        </w:trPr>
        <w:tc>
          <w:tcPr>
            <w:tcW w:w="3500" w:type="dxa"/>
            <w:vAlign w:val="bottom"/>
            <w:gridSpan w:val="2"/>
          </w:tcPr>
          <w:p>
            <w:pPr>
              <w:ind w:left="200"/>
              <w:spacing w:after="0"/>
              <w:rPr>
                <w:sz w:val="20"/>
                <w:szCs w:val="20"/>
                <w:color w:val="auto"/>
              </w:rPr>
            </w:pPr>
            <w:r>
              <w:rPr>
                <w:rFonts w:ascii="Arial" w:cs="Arial" w:eastAsia="Arial" w:hAnsi="Arial"/>
                <w:sz w:val="16"/>
                <w:szCs w:val="16"/>
                <w:color w:val="auto"/>
              </w:rPr>
              <w:t>Regulatory assets, current</w:t>
            </w:r>
          </w:p>
        </w:tc>
        <w:tc>
          <w:tcPr>
            <w:tcW w:w="21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154.8</w:t>
            </w:r>
          </w:p>
        </w:tc>
        <w:tc>
          <w:tcPr>
            <w:tcW w:w="680" w:type="dxa"/>
            <w:vAlign w:val="bottom"/>
          </w:tcPr>
          <w:p>
            <w:pPr>
              <w:spacing w:after="0"/>
              <w:rPr>
                <w:sz w:val="16"/>
                <w:szCs w:val="16"/>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175.7</w:t>
            </w:r>
          </w:p>
        </w:tc>
      </w:tr>
      <w:tr>
        <w:trPr>
          <w:trHeight w:val="189"/>
        </w:trPr>
        <w:tc>
          <w:tcPr>
            <w:tcW w:w="350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6"/>
                <w:szCs w:val="16"/>
                <w:color w:val="auto"/>
              </w:rPr>
              <w:t>Other current assets</w:t>
            </w:r>
          </w:p>
        </w:tc>
        <w:tc>
          <w:tcPr>
            <w:tcW w:w="2120" w:type="dxa"/>
            <w:vAlign w:val="bottom"/>
            <w:tcBorders>
              <w:bottom w:val="single" w:sz="8" w:color="CFF0FC"/>
              <w:right w:val="single" w:sz="8" w:color="CFF0FC"/>
            </w:tcBorders>
            <w:shd w:val="clear" w:color="auto" w:fill="CFF0FC"/>
          </w:tcPr>
          <w:p>
            <w:pPr>
              <w:spacing w:after="0"/>
              <w:rPr>
                <w:sz w:val="16"/>
                <w:szCs w:val="16"/>
                <w:color w:val="auto"/>
              </w:rPr>
            </w:pPr>
          </w:p>
        </w:tc>
        <w:tc>
          <w:tcPr>
            <w:tcW w:w="2160" w:type="dxa"/>
            <w:vAlign w:val="bottom"/>
            <w:tcBorders>
              <w:bottom w:val="single" w:sz="8" w:color="CFF0FC"/>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39.2</w:t>
            </w:r>
          </w:p>
        </w:tc>
        <w:tc>
          <w:tcPr>
            <w:tcW w:w="68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28.2</w:t>
            </w:r>
          </w:p>
        </w:tc>
      </w:tr>
      <w:tr>
        <w:trPr>
          <w:trHeight w:val="183"/>
        </w:trPr>
        <w:tc>
          <w:tcPr>
            <w:tcW w:w="3500" w:type="dxa"/>
            <w:vAlign w:val="bottom"/>
            <w:gridSpan w:val="2"/>
          </w:tcPr>
          <w:p>
            <w:pPr>
              <w:ind w:left="380"/>
              <w:spacing w:after="0" w:line="183" w:lineRule="exact"/>
              <w:rPr>
                <w:sz w:val="20"/>
                <w:szCs w:val="20"/>
                <w:color w:val="auto"/>
              </w:rPr>
            </w:pPr>
            <w:r>
              <w:rPr>
                <w:rFonts w:ascii="Arial" w:cs="Arial" w:eastAsia="Arial" w:hAnsi="Arial"/>
                <w:sz w:val="16"/>
                <w:szCs w:val="16"/>
                <w:color w:val="auto"/>
              </w:rPr>
              <w:t>Total current assets</w:t>
            </w:r>
          </w:p>
        </w:tc>
        <w:tc>
          <w:tcPr>
            <w:tcW w:w="21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742.3</w:t>
            </w:r>
          </w:p>
        </w:tc>
        <w:tc>
          <w:tcPr>
            <w:tcW w:w="6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826.6</w:t>
            </w:r>
          </w:p>
        </w:tc>
      </w:tr>
      <w:tr>
        <w:trPr>
          <w:trHeight w:val="183"/>
        </w:trPr>
        <w:tc>
          <w:tcPr>
            <w:tcW w:w="28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120" w:type="dxa"/>
            <w:vAlign w:val="bottom"/>
            <w:tcBorders>
              <w:right w:val="single" w:sz="8" w:color="CFF0FC"/>
            </w:tcBorders>
            <w:shd w:val="clear" w:color="auto" w:fill="CFF0FC"/>
          </w:tcPr>
          <w:p>
            <w:pPr>
              <w:spacing w:after="0"/>
              <w:rPr>
                <w:sz w:val="15"/>
                <w:szCs w:val="15"/>
                <w:color w:val="auto"/>
              </w:rPr>
            </w:pPr>
          </w:p>
        </w:tc>
        <w:tc>
          <w:tcPr>
            <w:tcW w:w="21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r>
      <w:tr>
        <w:trPr>
          <w:trHeight w:val="189"/>
        </w:trPr>
        <w:tc>
          <w:tcPr>
            <w:tcW w:w="3500" w:type="dxa"/>
            <w:vAlign w:val="bottom"/>
            <w:gridSpan w:val="2"/>
          </w:tcPr>
          <w:p>
            <w:pPr>
              <w:ind w:left="20"/>
              <w:spacing w:after="0"/>
              <w:rPr>
                <w:sz w:val="20"/>
                <w:szCs w:val="20"/>
                <w:color w:val="auto"/>
              </w:rPr>
            </w:pPr>
            <w:r>
              <w:rPr>
                <w:rFonts w:ascii="Arial" w:cs="Arial" w:eastAsia="Arial" w:hAnsi="Arial"/>
                <w:sz w:val="16"/>
                <w:szCs w:val="16"/>
                <w:color w:val="auto"/>
              </w:rPr>
              <w:t>Property, plant and equipment</w:t>
            </w:r>
          </w:p>
        </w:tc>
        <w:tc>
          <w:tcPr>
            <w:tcW w:w="21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9,566.5</w:t>
            </w:r>
          </w:p>
        </w:tc>
        <w:tc>
          <w:tcPr>
            <w:tcW w:w="680" w:type="dxa"/>
            <w:vAlign w:val="bottom"/>
          </w:tcPr>
          <w:p>
            <w:pPr>
              <w:spacing w:after="0"/>
              <w:rPr>
                <w:sz w:val="16"/>
                <w:szCs w:val="16"/>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8,917.2</w:t>
            </w:r>
          </w:p>
        </w:tc>
      </w:tr>
      <w:tr>
        <w:trPr>
          <w:trHeight w:val="189"/>
        </w:trPr>
        <w:tc>
          <w:tcPr>
            <w:tcW w:w="350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6"/>
                <w:szCs w:val="16"/>
                <w:color w:val="auto"/>
              </w:rPr>
              <w:t>Less accumulated depreciation and depletion</w:t>
            </w:r>
          </w:p>
        </w:tc>
        <w:tc>
          <w:tcPr>
            <w:tcW w:w="2120" w:type="dxa"/>
            <w:vAlign w:val="bottom"/>
            <w:tcBorders>
              <w:bottom w:val="single" w:sz="8" w:color="CFF0FC"/>
              <w:right w:val="single" w:sz="8" w:color="CFF0FC"/>
            </w:tcBorders>
            <w:shd w:val="clear" w:color="auto" w:fill="CFF0FC"/>
          </w:tcPr>
          <w:p>
            <w:pPr>
              <w:spacing w:after="0"/>
              <w:rPr>
                <w:sz w:val="16"/>
                <w:szCs w:val="16"/>
                <w:color w:val="auto"/>
              </w:rPr>
            </w:pPr>
          </w:p>
        </w:tc>
        <w:tc>
          <w:tcPr>
            <w:tcW w:w="2160" w:type="dxa"/>
            <w:vAlign w:val="bottom"/>
            <w:tcBorders>
              <w:bottom w:val="single" w:sz="8" w:color="CFF0FC"/>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(1,936.6 )</w:t>
            </w:r>
          </w:p>
        </w:tc>
        <w:tc>
          <w:tcPr>
            <w:tcW w:w="68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(1,797.9 )</w:t>
            </w:r>
          </w:p>
        </w:tc>
      </w:tr>
      <w:tr>
        <w:trPr>
          <w:trHeight w:val="183"/>
        </w:trPr>
        <w:tc>
          <w:tcPr>
            <w:tcW w:w="3500" w:type="dxa"/>
            <w:vAlign w:val="bottom"/>
            <w:gridSpan w:val="2"/>
          </w:tcPr>
          <w:p>
            <w:pPr>
              <w:ind w:left="380"/>
              <w:spacing w:after="0" w:line="183" w:lineRule="exact"/>
              <w:rPr>
                <w:sz w:val="20"/>
                <w:szCs w:val="20"/>
                <w:color w:val="auto"/>
              </w:rPr>
            </w:pPr>
            <w:r>
              <w:rPr>
                <w:rFonts w:ascii="Arial" w:cs="Arial" w:eastAsia="Arial" w:hAnsi="Arial"/>
                <w:sz w:val="16"/>
                <w:szCs w:val="16"/>
                <w:color w:val="auto"/>
              </w:rPr>
              <w:t>Total property, plant and equipment, net</w:t>
            </w:r>
          </w:p>
        </w:tc>
        <w:tc>
          <w:tcPr>
            <w:tcW w:w="21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7,629.9</w:t>
            </w:r>
          </w:p>
        </w:tc>
        <w:tc>
          <w:tcPr>
            <w:tcW w:w="6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7,119.3</w:t>
            </w:r>
          </w:p>
        </w:tc>
      </w:tr>
      <w:tr>
        <w:trPr>
          <w:trHeight w:val="183"/>
        </w:trPr>
        <w:tc>
          <w:tcPr>
            <w:tcW w:w="28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120" w:type="dxa"/>
            <w:vAlign w:val="bottom"/>
            <w:tcBorders>
              <w:right w:val="single" w:sz="8" w:color="CFF0FC"/>
            </w:tcBorders>
            <w:shd w:val="clear" w:color="auto" w:fill="CFF0FC"/>
          </w:tcPr>
          <w:p>
            <w:pPr>
              <w:spacing w:after="0"/>
              <w:rPr>
                <w:sz w:val="15"/>
                <w:szCs w:val="15"/>
                <w:color w:val="auto"/>
              </w:rPr>
            </w:pPr>
          </w:p>
        </w:tc>
        <w:tc>
          <w:tcPr>
            <w:tcW w:w="21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r>
      <w:tr>
        <w:trPr>
          <w:trHeight w:val="189"/>
        </w:trPr>
        <w:tc>
          <w:tcPr>
            <w:tcW w:w="3500" w:type="dxa"/>
            <w:vAlign w:val="bottom"/>
            <w:gridSpan w:val="2"/>
          </w:tcPr>
          <w:p>
            <w:pPr>
              <w:ind w:left="20"/>
              <w:spacing w:after="0"/>
              <w:rPr>
                <w:sz w:val="20"/>
                <w:szCs w:val="20"/>
                <w:color w:val="auto"/>
              </w:rPr>
            </w:pPr>
            <w:r>
              <w:rPr>
                <w:rFonts w:ascii="Arial" w:cs="Arial" w:eastAsia="Arial" w:hAnsi="Arial"/>
                <w:sz w:val="16"/>
                <w:szCs w:val="16"/>
                <w:color w:val="auto"/>
              </w:rPr>
              <w:t>Other assets:</w:t>
            </w:r>
          </w:p>
        </w:tc>
        <w:tc>
          <w:tcPr>
            <w:tcW w:w="21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9"/>
        </w:trPr>
        <w:tc>
          <w:tcPr>
            <w:tcW w:w="350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Goodwill</w:t>
            </w:r>
          </w:p>
        </w:tc>
        <w:tc>
          <w:tcPr>
            <w:tcW w:w="2120" w:type="dxa"/>
            <w:vAlign w:val="bottom"/>
            <w:tcBorders>
              <w:right w:val="single" w:sz="8" w:color="CFF0FC"/>
            </w:tcBorders>
            <w:shd w:val="clear" w:color="auto" w:fill="CFF0FC"/>
          </w:tcPr>
          <w:p>
            <w:pPr>
              <w:spacing w:after="0"/>
              <w:rPr>
                <w:sz w:val="16"/>
                <w:szCs w:val="16"/>
                <w:color w:val="auto"/>
              </w:rPr>
            </w:pPr>
          </w:p>
        </w:tc>
        <w:tc>
          <w:tcPr>
            <w:tcW w:w="216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1,299.5</w:t>
            </w:r>
          </w:p>
        </w:tc>
        <w:tc>
          <w:tcPr>
            <w:tcW w:w="68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1,299.5</w:t>
            </w:r>
          </w:p>
        </w:tc>
      </w:tr>
      <w:tr>
        <w:trPr>
          <w:trHeight w:val="189"/>
        </w:trPr>
        <w:tc>
          <w:tcPr>
            <w:tcW w:w="3500" w:type="dxa"/>
            <w:vAlign w:val="bottom"/>
            <w:gridSpan w:val="2"/>
          </w:tcPr>
          <w:p>
            <w:pPr>
              <w:ind w:left="200"/>
              <w:spacing w:after="0"/>
              <w:rPr>
                <w:sz w:val="20"/>
                <w:szCs w:val="20"/>
                <w:color w:val="auto"/>
              </w:rPr>
            </w:pPr>
            <w:r>
              <w:rPr>
                <w:rFonts w:ascii="Arial" w:cs="Arial" w:eastAsia="Arial" w:hAnsi="Arial"/>
                <w:sz w:val="16"/>
                <w:szCs w:val="16"/>
                <w:color w:val="auto"/>
              </w:rPr>
              <w:t>Intangible assets, net</w:t>
            </w:r>
          </w:p>
        </w:tc>
        <w:tc>
          <w:tcPr>
            <w:tcW w:w="21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7.6</w:t>
            </w:r>
          </w:p>
        </w:tc>
        <w:tc>
          <w:tcPr>
            <w:tcW w:w="680" w:type="dxa"/>
            <w:vAlign w:val="bottom"/>
          </w:tcPr>
          <w:p>
            <w:pPr>
              <w:spacing w:after="0"/>
              <w:rPr>
                <w:sz w:val="16"/>
                <w:szCs w:val="16"/>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8.4</w:t>
            </w:r>
          </w:p>
        </w:tc>
      </w:tr>
      <w:tr>
        <w:trPr>
          <w:trHeight w:val="189"/>
        </w:trPr>
        <w:tc>
          <w:tcPr>
            <w:tcW w:w="350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Regulatory assets, non-current</w:t>
            </w:r>
          </w:p>
        </w:tc>
        <w:tc>
          <w:tcPr>
            <w:tcW w:w="2120" w:type="dxa"/>
            <w:vAlign w:val="bottom"/>
            <w:tcBorders>
              <w:right w:val="single" w:sz="8" w:color="CFF0FC"/>
            </w:tcBorders>
            <w:shd w:val="clear" w:color="auto" w:fill="CFF0FC"/>
          </w:tcPr>
          <w:p>
            <w:pPr>
              <w:spacing w:after="0"/>
              <w:rPr>
                <w:sz w:val="16"/>
                <w:szCs w:val="16"/>
                <w:color w:val="auto"/>
              </w:rPr>
            </w:pPr>
          </w:p>
        </w:tc>
        <w:tc>
          <w:tcPr>
            <w:tcW w:w="216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272.9</w:t>
            </w:r>
          </w:p>
        </w:tc>
        <w:tc>
          <w:tcPr>
            <w:tcW w:w="68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304.4</w:t>
            </w:r>
          </w:p>
        </w:tc>
      </w:tr>
      <w:tr>
        <w:trPr>
          <w:trHeight w:val="189"/>
        </w:trPr>
        <w:tc>
          <w:tcPr>
            <w:tcW w:w="3500" w:type="dxa"/>
            <w:vAlign w:val="bottom"/>
            <w:gridSpan w:val="2"/>
          </w:tcPr>
          <w:p>
            <w:pPr>
              <w:ind w:left="200"/>
              <w:spacing w:after="0"/>
              <w:rPr>
                <w:sz w:val="20"/>
                <w:szCs w:val="20"/>
                <w:color w:val="auto"/>
              </w:rPr>
            </w:pPr>
            <w:r>
              <w:rPr>
                <w:rFonts w:ascii="Arial" w:cs="Arial" w:eastAsia="Arial" w:hAnsi="Arial"/>
                <w:sz w:val="16"/>
                <w:szCs w:val="16"/>
                <w:color w:val="auto"/>
              </w:rPr>
              <w:t>Other assets, non-current</w:t>
            </w:r>
          </w:p>
        </w:tc>
        <w:tc>
          <w:tcPr>
            <w:tcW w:w="21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70.4</w:t>
            </w:r>
          </w:p>
        </w:tc>
        <w:tc>
          <w:tcPr>
            <w:tcW w:w="6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62.2</w:t>
            </w:r>
          </w:p>
        </w:tc>
      </w:tr>
      <w:tr>
        <w:trPr>
          <w:trHeight w:val="183"/>
        </w:trPr>
        <w:tc>
          <w:tcPr>
            <w:tcW w:w="3500" w:type="dxa"/>
            <w:vAlign w:val="bottom"/>
            <w:tcBorders>
              <w:bottom w:val="single" w:sz="8" w:color="CFF0FC"/>
            </w:tcBorders>
            <w:gridSpan w:val="2"/>
            <w:shd w:val="clear" w:color="auto" w:fill="CFF0FC"/>
          </w:tcPr>
          <w:p>
            <w:pPr>
              <w:ind w:left="380"/>
              <w:spacing w:after="0" w:line="183" w:lineRule="exact"/>
              <w:rPr>
                <w:sz w:val="20"/>
                <w:szCs w:val="20"/>
                <w:color w:val="auto"/>
              </w:rPr>
            </w:pPr>
            <w:r>
              <w:rPr>
                <w:rFonts w:ascii="Arial" w:cs="Arial" w:eastAsia="Arial" w:hAnsi="Arial"/>
                <w:sz w:val="16"/>
                <w:szCs w:val="16"/>
                <w:color w:val="auto"/>
              </w:rPr>
              <w:t>Total other assets, non-current</w:t>
            </w:r>
          </w:p>
        </w:tc>
        <w:tc>
          <w:tcPr>
            <w:tcW w:w="2120" w:type="dxa"/>
            <w:vAlign w:val="bottom"/>
            <w:tcBorders>
              <w:bottom w:val="single" w:sz="8" w:color="CFF0FC"/>
              <w:right w:val="single" w:sz="8" w:color="CFF0FC"/>
            </w:tcBorders>
            <w:shd w:val="clear" w:color="auto" w:fill="CFF0FC"/>
          </w:tcPr>
          <w:p>
            <w:pPr>
              <w:spacing w:after="0"/>
              <w:rPr>
                <w:sz w:val="15"/>
                <w:szCs w:val="15"/>
                <w:color w:val="auto"/>
              </w:rPr>
            </w:pPr>
          </w:p>
        </w:tc>
        <w:tc>
          <w:tcPr>
            <w:tcW w:w="216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1,650.4</w:t>
            </w:r>
          </w:p>
        </w:tc>
        <w:tc>
          <w:tcPr>
            <w:tcW w:w="68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1,674.5</w:t>
            </w:r>
          </w:p>
        </w:tc>
      </w:tr>
      <w:tr>
        <w:trPr>
          <w:trHeight w:val="182"/>
        </w:trPr>
        <w:tc>
          <w:tcPr>
            <w:tcW w:w="2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r>
      <w:tr>
        <w:trPr>
          <w:trHeight w:val="223"/>
        </w:trPr>
        <w:tc>
          <w:tcPr>
            <w:tcW w:w="3500" w:type="dxa"/>
            <w:vAlign w:val="bottom"/>
            <w:tcBorders>
              <w:bottom w:val="single" w:sz="8" w:color="CFF0FC"/>
            </w:tcBorders>
            <w:gridSpan w:val="2"/>
            <w:shd w:val="clear" w:color="auto" w:fill="CFF0FC"/>
          </w:tcPr>
          <w:p>
            <w:pPr>
              <w:ind w:left="20"/>
              <w:spacing w:after="0" w:line="183" w:lineRule="exact"/>
              <w:rPr>
                <w:sz w:val="20"/>
                <w:szCs w:val="20"/>
                <w:color w:val="auto"/>
              </w:rPr>
            </w:pPr>
            <w:r>
              <w:rPr>
                <w:rFonts w:ascii="Arial" w:cs="Arial" w:eastAsia="Arial" w:hAnsi="Arial"/>
                <w:sz w:val="16"/>
                <w:szCs w:val="16"/>
                <w:color w:val="auto"/>
              </w:rPr>
              <w:t>TOTAL ASSETS</w:t>
            </w:r>
          </w:p>
        </w:tc>
        <w:tc>
          <w:tcPr>
            <w:tcW w:w="4280" w:type="dxa"/>
            <w:vAlign w:val="bottom"/>
            <w:tcBorders>
              <w:bottom w:val="single" w:sz="8" w:color="CFF0FC"/>
            </w:tcBorders>
            <w:gridSpan w:val="2"/>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9"/>
              <w:spacing w:after="0" w:line="183" w:lineRule="exact"/>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10,022.6</w:t>
            </w:r>
          </w:p>
        </w:tc>
        <w:tc>
          <w:tcPr>
            <w:tcW w:w="680" w:type="dxa"/>
            <w:vAlign w:val="bottom"/>
            <w:tcBorders>
              <w:bottom w:val="single" w:sz="8" w:color="auto"/>
            </w:tcBorders>
            <w:shd w:val="clear" w:color="auto" w:fill="CFF0FC"/>
          </w:tcPr>
          <w:p>
            <w:pPr>
              <w:jc w:val="right"/>
              <w:ind w:right="479"/>
              <w:spacing w:after="0" w:line="183"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9,620.4</w:t>
            </w:r>
          </w:p>
        </w:tc>
      </w:tr>
      <w:tr>
        <w:trPr>
          <w:trHeight w:val="291"/>
        </w:trPr>
        <w:tc>
          <w:tcPr>
            <w:tcW w:w="10180" w:type="dxa"/>
            <w:vAlign w:val="bottom"/>
            <w:gridSpan w:val="7"/>
          </w:tcPr>
          <w:p>
            <w:pPr>
              <w:jc w:val="center"/>
              <w:ind w:left="979"/>
              <w:spacing w:after="0"/>
              <w:rPr>
                <w:sz w:val="20"/>
                <w:szCs w:val="20"/>
                <w:color w:val="auto"/>
              </w:rPr>
            </w:pPr>
            <w:r>
              <w:rPr>
                <w:rFonts w:ascii="Arial" w:cs="Arial" w:eastAsia="Arial" w:hAnsi="Arial"/>
                <w:sz w:val="14"/>
                <w:szCs w:val="14"/>
                <w:color w:val="auto"/>
              </w:rPr>
              <w:t xml:space="preserve">The accompanying </w:t>
            </w:r>
            <w:r>
              <w:rPr>
                <w:rFonts w:ascii="Arial" w:cs="Arial" w:eastAsia="Arial" w:hAnsi="Arial"/>
                <w:sz w:val="14"/>
                <w:szCs w:val="14"/>
                <w:color w:val="0000FF"/>
              </w:rPr>
              <w:t>Notes to Consolidated Financial Statements</w:t>
            </w:r>
            <w:r>
              <w:rPr>
                <w:rFonts w:ascii="Arial" w:cs="Arial" w:eastAsia="Arial" w:hAnsi="Arial"/>
                <w:sz w:val="14"/>
                <w:szCs w:val="14"/>
                <w:color w:val="auto"/>
              </w:rPr>
              <w:t xml:space="preserve"> are an integral part of these Consolidated Financial Statements.</w:t>
            </w:r>
          </w:p>
        </w:tc>
        <w:tc>
          <w:tcPr>
            <w:tcW w:w="1060" w:type="dxa"/>
            <w:vAlign w:val="bottom"/>
          </w:tcPr>
          <w:p>
            <w:pPr>
              <w:spacing w:after="0"/>
              <w:rPr>
                <w:sz w:val="24"/>
                <w:szCs w:val="24"/>
                <w:color w:val="auto"/>
              </w:rPr>
            </w:pPr>
          </w:p>
        </w:tc>
      </w:tr>
      <w:tr>
        <w:trPr>
          <w:trHeight w:val="20"/>
        </w:trPr>
        <w:tc>
          <w:tcPr>
            <w:tcW w:w="280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120" w:type="dxa"/>
            <w:vAlign w:val="bottom"/>
            <w:tcBorders>
              <w:right w:val="single" w:sz="8" w:color="0000EE"/>
            </w:tcBorders>
            <w:shd w:val="clear" w:color="auto" w:fill="0000FF"/>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10"/>
        </w:trPr>
        <w:tc>
          <w:tcPr>
            <w:tcW w:w="2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80" w:type="dxa"/>
            <w:vAlign w:val="bottom"/>
            <w:gridSpan w:val="2"/>
          </w:tcPr>
          <w:p>
            <w:pPr>
              <w:jc w:val="right"/>
              <w:ind w:right="2060"/>
              <w:spacing w:after="0"/>
              <w:rPr>
                <w:sz w:val="20"/>
                <w:szCs w:val="20"/>
                <w:color w:val="auto"/>
              </w:rPr>
            </w:pPr>
            <w:r>
              <w:rPr>
                <w:rFonts w:ascii="Arial" w:cs="Arial" w:eastAsia="Arial" w:hAnsi="Arial"/>
                <w:sz w:val="16"/>
                <w:szCs w:val="16"/>
                <w:color w:val="auto"/>
              </w:rPr>
              <w:t>60</w:t>
            </w: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751"/>
        </w:trPr>
        <w:tc>
          <w:tcPr>
            <w:tcW w:w="28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(Continued)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00" w:type="dxa"/>
            <w:vAlign w:val="bottom"/>
            <w:gridSpan w:val="2"/>
          </w:tcPr>
          <w:p>
            <w:pPr>
              <w:jc w:val="right"/>
              <w:ind w:right="399"/>
              <w:spacing w:after="0"/>
              <w:rPr>
                <w:sz w:val="20"/>
                <w:szCs w:val="20"/>
                <w:color w:val="auto"/>
              </w:rPr>
            </w:pPr>
            <w:r>
              <w:rPr>
                <w:rFonts w:ascii="Arial" w:cs="Arial" w:eastAsia="Arial" w:hAnsi="Arial"/>
                <w:sz w:val="16"/>
                <w:szCs w:val="16"/>
                <w:b w:val="1"/>
                <w:bCs w:val="1"/>
                <w:color w:val="auto"/>
              </w:rPr>
              <w:t>As of</w:t>
            </w:r>
          </w:p>
        </w:tc>
        <w:tc>
          <w:tcPr>
            <w:tcW w:w="1100" w:type="dxa"/>
            <w:vAlign w:val="bottom"/>
          </w:tcPr>
          <w:p>
            <w:pPr>
              <w:spacing w:after="0"/>
              <w:rPr>
                <w:sz w:val="16"/>
                <w:szCs w:val="16"/>
                <w:color w:val="auto"/>
              </w:rPr>
            </w:pPr>
          </w:p>
        </w:tc>
      </w:tr>
      <w:tr>
        <w:trPr>
          <w:trHeight w:val="203"/>
        </w:trPr>
        <w:tc>
          <w:tcPr>
            <w:tcW w:w="28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72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6"/>
                <w:szCs w:val="16"/>
                <w:b w:val="1"/>
                <w:bCs w:val="1"/>
                <w:color w:val="auto"/>
              </w:rPr>
              <w:t>December 31, 2024</w:t>
            </w:r>
          </w:p>
        </w:tc>
        <w:tc>
          <w:tcPr>
            <w:tcW w:w="174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6"/>
                <w:szCs w:val="16"/>
                <w:b w:val="1"/>
                <w:bCs w:val="1"/>
                <w:color w:val="auto"/>
              </w:rPr>
              <w:t>December 31, 2023</w:t>
            </w:r>
          </w:p>
        </w:tc>
      </w:tr>
      <w:tr>
        <w:trPr>
          <w:trHeight w:val="183"/>
        </w:trPr>
        <w:tc>
          <w:tcPr>
            <w:tcW w:w="28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3"/>
          </w:tcPr>
          <w:p>
            <w:pPr>
              <w:jc w:val="right"/>
              <w:ind w:right="459"/>
              <w:spacing w:after="0" w:line="183" w:lineRule="exact"/>
              <w:rPr>
                <w:sz w:val="20"/>
                <w:szCs w:val="20"/>
                <w:color w:val="auto"/>
              </w:rPr>
            </w:pPr>
            <w:r>
              <w:rPr>
                <w:rFonts w:ascii="Arial" w:cs="Arial" w:eastAsia="Arial" w:hAnsi="Arial"/>
                <w:sz w:val="16"/>
                <w:szCs w:val="16"/>
                <w:color w:val="auto"/>
              </w:rPr>
              <w:t>(in millions, except share amounts)</w:t>
            </w:r>
          </w:p>
        </w:tc>
      </w:tr>
      <w:tr>
        <w:trPr>
          <w:trHeight w:val="183"/>
        </w:trPr>
        <w:tc>
          <w:tcPr>
            <w:tcW w:w="2800" w:type="dxa"/>
            <w:vAlign w:val="bottom"/>
            <w:shd w:val="clear" w:color="auto" w:fill="CFF0FC"/>
          </w:tcPr>
          <w:p>
            <w:pPr>
              <w:spacing w:after="0"/>
              <w:rPr>
                <w:sz w:val="15"/>
                <w:szCs w:val="15"/>
                <w:color w:val="auto"/>
              </w:rPr>
            </w:pPr>
          </w:p>
        </w:tc>
        <w:tc>
          <w:tcPr>
            <w:tcW w:w="4980" w:type="dxa"/>
            <w:vAlign w:val="bottom"/>
            <w:gridSpan w:val="2"/>
            <w:shd w:val="clear" w:color="auto" w:fill="CFF0FC"/>
          </w:tcPr>
          <w:p>
            <w:pPr>
              <w:ind w:left="100"/>
              <w:spacing w:after="0" w:line="183" w:lineRule="exact"/>
              <w:rPr>
                <w:sz w:val="20"/>
                <w:szCs w:val="20"/>
                <w:color w:val="auto"/>
              </w:rPr>
            </w:pPr>
            <w:r>
              <w:rPr>
                <w:rFonts w:ascii="Arial" w:cs="Arial" w:eastAsia="Arial" w:hAnsi="Arial"/>
                <w:sz w:val="16"/>
                <w:szCs w:val="16"/>
                <w:b w:val="1"/>
                <w:bCs w:val="1"/>
                <w:color w:val="auto"/>
              </w:rPr>
              <w:t>LIABILITIES AND EQUITY</w:t>
            </w:r>
          </w:p>
        </w:tc>
        <w:tc>
          <w:tcPr>
            <w:tcW w:w="26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r>
      <w:tr>
        <w:trPr>
          <w:trHeight w:val="189"/>
        </w:trPr>
        <w:tc>
          <w:tcPr>
            <w:tcW w:w="7780" w:type="dxa"/>
            <w:vAlign w:val="bottom"/>
            <w:gridSpan w:val="3"/>
          </w:tcPr>
          <w:p>
            <w:pPr>
              <w:ind w:left="20"/>
              <w:spacing w:after="0"/>
              <w:rPr>
                <w:sz w:val="20"/>
                <w:szCs w:val="20"/>
                <w:color w:val="auto"/>
              </w:rPr>
            </w:pPr>
            <w:r>
              <w:rPr>
                <w:rFonts w:ascii="Arial" w:cs="Arial" w:eastAsia="Arial" w:hAnsi="Arial"/>
                <w:sz w:val="16"/>
                <w:szCs w:val="16"/>
                <w:color w:val="auto"/>
              </w:rPr>
              <w:t>Current liabilities:</w:t>
            </w: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9"/>
        </w:trPr>
        <w:tc>
          <w:tcPr>
            <w:tcW w:w="7780" w:type="dxa"/>
            <w:vAlign w:val="bottom"/>
            <w:gridSpan w:val="3"/>
            <w:shd w:val="clear" w:color="auto" w:fill="CFF0FC"/>
          </w:tcPr>
          <w:p>
            <w:pPr>
              <w:ind w:left="200"/>
              <w:spacing w:after="0"/>
              <w:rPr>
                <w:sz w:val="20"/>
                <w:szCs w:val="20"/>
                <w:color w:val="auto"/>
              </w:rPr>
            </w:pPr>
            <w:r>
              <w:rPr>
                <w:rFonts w:ascii="Arial" w:cs="Arial" w:eastAsia="Arial" w:hAnsi="Arial"/>
                <w:sz w:val="16"/>
                <w:szCs w:val="16"/>
                <w:color w:val="auto"/>
              </w:rPr>
              <w:t>Accounts payable</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229.1</w:t>
            </w:r>
          </w:p>
        </w:tc>
        <w:tc>
          <w:tcPr>
            <w:tcW w:w="640" w:type="dxa"/>
            <w:vAlign w:val="bottom"/>
            <w:shd w:val="clear" w:color="auto" w:fill="CFF0FC"/>
          </w:tcPr>
          <w:p>
            <w:pPr>
              <w:jc w:val="right"/>
              <w:ind w:right="4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186.4</w:t>
            </w:r>
          </w:p>
        </w:tc>
      </w:tr>
      <w:tr>
        <w:trPr>
          <w:trHeight w:val="189"/>
        </w:trPr>
        <w:tc>
          <w:tcPr>
            <w:tcW w:w="7780" w:type="dxa"/>
            <w:vAlign w:val="bottom"/>
            <w:gridSpan w:val="3"/>
          </w:tcPr>
          <w:p>
            <w:pPr>
              <w:ind w:left="200"/>
              <w:spacing w:after="0"/>
              <w:rPr>
                <w:sz w:val="20"/>
                <w:szCs w:val="20"/>
                <w:color w:val="auto"/>
              </w:rPr>
            </w:pPr>
            <w:r>
              <w:rPr>
                <w:rFonts w:ascii="Arial" w:cs="Arial" w:eastAsia="Arial" w:hAnsi="Arial"/>
                <w:sz w:val="16"/>
                <w:szCs w:val="16"/>
                <w:color w:val="auto"/>
              </w:rPr>
              <w:t>Accrued liabilities</w:t>
            </w:r>
          </w:p>
        </w:tc>
        <w:tc>
          <w:tcPr>
            <w:tcW w:w="260" w:type="dxa"/>
            <w:vAlign w:val="bottom"/>
          </w:tcPr>
          <w:p>
            <w:pPr>
              <w:spacing w:after="0"/>
              <w:rPr>
                <w:sz w:val="16"/>
                <w:szCs w:val="16"/>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302.2</w:t>
            </w:r>
          </w:p>
        </w:tc>
        <w:tc>
          <w:tcPr>
            <w:tcW w:w="640" w:type="dxa"/>
            <w:vAlign w:val="bottom"/>
          </w:tcPr>
          <w:p>
            <w:pPr>
              <w:spacing w:after="0"/>
              <w:rPr>
                <w:sz w:val="16"/>
                <w:szCs w:val="16"/>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293.3</w:t>
            </w:r>
          </w:p>
        </w:tc>
      </w:tr>
      <w:tr>
        <w:trPr>
          <w:trHeight w:val="189"/>
        </w:trPr>
        <w:tc>
          <w:tcPr>
            <w:tcW w:w="7780" w:type="dxa"/>
            <w:vAlign w:val="bottom"/>
            <w:gridSpan w:val="3"/>
            <w:shd w:val="clear" w:color="auto" w:fill="CFF0FC"/>
          </w:tcPr>
          <w:p>
            <w:pPr>
              <w:ind w:left="200"/>
              <w:spacing w:after="0"/>
              <w:rPr>
                <w:sz w:val="20"/>
                <w:szCs w:val="20"/>
                <w:color w:val="auto"/>
              </w:rPr>
            </w:pPr>
            <w:r>
              <w:rPr>
                <w:rFonts w:ascii="Arial" w:cs="Arial" w:eastAsia="Arial" w:hAnsi="Arial"/>
                <w:sz w:val="16"/>
                <w:szCs w:val="16"/>
                <w:color w:val="auto"/>
              </w:rPr>
              <w:t>Derivative liabilities, current</w:t>
            </w:r>
          </w:p>
        </w:tc>
        <w:tc>
          <w:tcPr>
            <w:tcW w:w="26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4.2</w:t>
            </w:r>
          </w:p>
        </w:tc>
        <w:tc>
          <w:tcPr>
            <w:tcW w:w="64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6.5</w:t>
            </w:r>
          </w:p>
        </w:tc>
      </w:tr>
      <w:tr>
        <w:trPr>
          <w:trHeight w:val="189"/>
        </w:trPr>
        <w:tc>
          <w:tcPr>
            <w:tcW w:w="7780" w:type="dxa"/>
            <w:vAlign w:val="bottom"/>
            <w:gridSpan w:val="3"/>
          </w:tcPr>
          <w:p>
            <w:pPr>
              <w:ind w:left="200"/>
              <w:spacing w:after="0"/>
              <w:rPr>
                <w:sz w:val="20"/>
                <w:szCs w:val="20"/>
                <w:color w:val="auto"/>
              </w:rPr>
            </w:pPr>
            <w:r>
              <w:rPr>
                <w:rFonts w:ascii="Arial" w:cs="Arial" w:eastAsia="Arial" w:hAnsi="Arial"/>
                <w:sz w:val="16"/>
                <w:szCs w:val="16"/>
                <w:color w:val="auto"/>
              </w:rPr>
              <w:t>Regulatory liabilities, current</w:t>
            </w:r>
          </w:p>
        </w:tc>
        <w:tc>
          <w:tcPr>
            <w:tcW w:w="260" w:type="dxa"/>
            <w:vAlign w:val="bottom"/>
          </w:tcPr>
          <w:p>
            <w:pPr>
              <w:spacing w:after="0"/>
              <w:rPr>
                <w:sz w:val="16"/>
                <w:szCs w:val="16"/>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94.1</w:t>
            </w:r>
          </w:p>
        </w:tc>
        <w:tc>
          <w:tcPr>
            <w:tcW w:w="640" w:type="dxa"/>
            <w:vAlign w:val="bottom"/>
          </w:tcPr>
          <w:p>
            <w:pPr>
              <w:spacing w:after="0"/>
              <w:rPr>
                <w:sz w:val="16"/>
                <w:szCs w:val="16"/>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98.9</w:t>
            </w:r>
          </w:p>
        </w:tc>
      </w:tr>
      <w:tr>
        <w:trPr>
          <w:trHeight w:val="189"/>
        </w:trPr>
        <w:tc>
          <w:tcPr>
            <w:tcW w:w="7780" w:type="dxa"/>
            <w:vAlign w:val="bottom"/>
            <w:gridSpan w:val="3"/>
            <w:shd w:val="clear" w:color="auto" w:fill="CFF0FC"/>
          </w:tcPr>
          <w:p>
            <w:pPr>
              <w:ind w:left="200"/>
              <w:spacing w:after="0"/>
              <w:rPr>
                <w:sz w:val="20"/>
                <w:szCs w:val="20"/>
                <w:color w:val="auto"/>
              </w:rPr>
            </w:pPr>
            <w:r>
              <w:rPr>
                <w:rFonts w:ascii="Arial" w:cs="Arial" w:eastAsia="Arial" w:hAnsi="Arial"/>
                <w:sz w:val="16"/>
                <w:szCs w:val="16"/>
                <w:color w:val="auto"/>
              </w:rPr>
              <w:t>Notes payable</w:t>
            </w:r>
          </w:p>
        </w:tc>
        <w:tc>
          <w:tcPr>
            <w:tcW w:w="26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133.8</w:t>
            </w:r>
          </w:p>
        </w:tc>
        <w:tc>
          <w:tcPr>
            <w:tcW w:w="64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r>
      <w:tr>
        <w:trPr>
          <w:trHeight w:val="189"/>
        </w:trPr>
        <w:tc>
          <w:tcPr>
            <w:tcW w:w="7780" w:type="dxa"/>
            <w:vAlign w:val="bottom"/>
            <w:gridSpan w:val="3"/>
          </w:tcPr>
          <w:p>
            <w:pPr>
              <w:ind w:left="200"/>
              <w:spacing w:after="0"/>
              <w:rPr>
                <w:sz w:val="20"/>
                <w:szCs w:val="20"/>
                <w:color w:val="auto"/>
              </w:rPr>
            </w:pPr>
            <w:r>
              <w:rPr>
                <w:rFonts w:ascii="Arial" w:cs="Arial" w:eastAsia="Arial" w:hAnsi="Arial"/>
                <w:sz w:val="16"/>
                <w:szCs w:val="16"/>
                <w:color w:val="auto"/>
              </w:rPr>
              <w:t>Current maturities of long-term debt</w:t>
            </w: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600.0</w:t>
            </w:r>
          </w:p>
        </w:tc>
      </w:tr>
      <w:tr>
        <w:trPr>
          <w:trHeight w:val="183"/>
        </w:trPr>
        <w:tc>
          <w:tcPr>
            <w:tcW w:w="7780" w:type="dxa"/>
            <w:vAlign w:val="bottom"/>
            <w:tcBorders>
              <w:bottom w:val="single" w:sz="8" w:color="CFF0FC"/>
            </w:tcBorders>
            <w:gridSpan w:val="3"/>
            <w:shd w:val="clear" w:color="auto" w:fill="CFF0FC"/>
          </w:tcPr>
          <w:p>
            <w:pPr>
              <w:ind w:left="380"/>
              <w:spacing w:after="0" w:line="183" w:lineRule="exact"/>
              <w:rPr>
                <w:sz w:val="20"/>
                <w:szCs w:val="20"/>
                <w:color w:val="auto"/>
              </w:rPr>
            </w:pPr>
            <w:r>
              <w:rPr>
                <w:rFonts w:ascii="Arial" w:cs="Arial" w:eastAsia="Arial" w:hAnsi="Arial"/>
                <w:sz w:val="16"/>
                <w:szCs w:val="16"/>
                <w:color w:val="auto"/>
              </w:rPr>
              <w:t>Total current liabilities</w:t>
            </w:r>
          </w:p>
        </w:tc>
        <w:tc>
          <w:tcPr>
            <w:tcW w:w="26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763.4</w:t>
            </w:r>
          </w:p>
        </w:tc>
        <w:tc>
          <w:tcPr>
            <w:tcW w:w="64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1,185.1</w:t>
            </w:r>
          </w:p>
        </w:tc>
      </w:tr>
      <w:tr>
        <w:trPr>
          <w:trHeight w:val="183"/>
        </w:trPr>
        <w:tc>
          <w:tcPr>
            <w:tcW w:w="28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9"/>
        </w:trPr>
        <w:tc>
          <w:tcPr>
            <w:tcW w:w="778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6"/>
                <w:szCs w:val="16"/>
                <w:color w:val="auto"/>
              </w:rPr>
              <w:t>Long-term debt, net of current maturities</w:t>
            </w:r>
          </w:p>
        </w:tc>
        <w:tc>
          <w:tcPr>
            <w:tcW w:w="26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4,250.2</w:t>
            </w:r>
          </w:p>
        </w:tc>
        <w:tc>
          <w:tcPr>
            <w:tcW w:w="64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3,801.2</w:t>
            </w:r>
          </w:p>
        </w:tc>
      </w:tr>
      <w:tr>
        <w:trPr>
          <w:trHeight w:val="183"/>
        </w:trPr>
        <w:tc>
          <w:tcPr>
            <w:tcW w:w="28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9"/>
        </w:trPr>
        <w:tc>
          <w:tcPr>
            <w:tcW w:w="778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Deferred credits and other liabilities:</w:t>
            </w:r>
          </w:p>
        </w:tc>
        <w:tc>
          <w:tcPr>
            <w:tcW w:w="26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r>
      <w:tr>
        <w:trPr>
          <w:trHeight w:val="189"/>
        </w:trPr>
        <w:tc>
          <w:tcPr>
            <w:tcW w:w="7780" w:type="dxa"/>
            <w:vAlign w:val="bottom"/>
            <w:gridSpan w:val="3"/>
          </w:tcPr>
          <w:p>
            <w:pPr>
              <w:ind w:left="200"/>
              <w:spacing w:after="0"/>
              <w:rPr>
                <w:sz w:val="20"/>
                <w:szCs w:val="20"/>
                <w:color w:val="auto"/>
              </w:rPr>
            </w:pPr>
            <w:r>
              <w:rPr>
                <w:rFonts w:ascii="Arial" w:cs="Arial" w:eastAsia="Arial" w:hAnsi="Arial"/>
                <w:sz w:val="16"/>
                <w:szCs w:val="16"/>
                <w:color w:val="auto"/>
              </w:rPr>
              <w:t>Deferred income tax liabilities, net</w:t>
            </w:r>
          </w:p>
        </w:tc>
        <w:tc>
          <w:tcPr>
            <w:tcW w:w="260" w:type="dxa"/>
            <w:vAlign w:val="bottom"/>
          </w:tcPr>
          <w:p>
            <w:pPr>
              <w:spacing w:after="0"/>
              <w:rPr>
                <w:sz w:val="16"/>
                <w:szCs w:val="16"/>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625.1</w:t>
            </w:r>
          </w:p>
        </w:tc>
        <w:tc>
          <w:tcPr>
            <w:tcW w:w="640" w:type="dxa"/>
            <w:vAlign w:val="bottom"/>
          </w:tcPr>
          <w:p>
            <w:pPr>
              <w:spacing w:after="0"/>
              <w:rPr>
                <w:sz w:val="16"/>
                <w:szCs w:val="16"/>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548.0</w:t>
            </w:r>
          </w:p>
        </w:tc>
      </w:tr>
      <w:tr>
        <w:trPr>
          <w:trHeight w:val="189"/>
        </w:trPr>
        <w:tc>
          <w:tcPr>
            <w:tcW w:w="7780" w:type="dxa"/>
            <w:vAlign w:val="bottom"/>
            <w:gridSpan w:val="3"/>
            <w:shd w:val="clear" w:color="auto" w:fill="CFF0FC"/>
          </w:tcPr>
          <w:p>
            <w:pPr>
              <w:ind w:left="200"/>
              <w:spacing w:after="0"/>
              <w:rPr>
                <w:sz w:val="20"/>
                <w:szCs w:val="20"/>
                <w:color w:val="auto"/>
              </w:rPr>
            </w:pPr>
            <w:r>
              <w:rPr>
                <w:rFonts w:ascii="Arial" w:cs="Arial" w:eastAsia="Arial" w:hAnsi="Arial"/>
                <w:sz w:val="16"/>
                <w:szCs w:val="16"/>
                <w:color w:val="auto"/>
              </w:rPr>
              <w:t>Regulatory liabilities, non-current</w:t>
            </w:r>
          </w:p>
        </w:tc>
        <w:tc>
          <w:tcPr>
            <w:tcW w:w="26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474.6</w:t>
            </w:r>
          </w:p>
        </w:tc>
        <w:tc>
          <w:tcPr>
            <w:tcW w:w="64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467.7</w:t>
            </w:r>
          </w:p>
        </w:tc>
      </w:tr>
      <w:tr>
        <w:trPr>
          <w:trHeight w:val="189"/>
        </w:trPr>
        <w:tc>
          <w:tcPr>
            <w:tcW w:w="7780" w:type="dxa"/>
            <w:vAlign w:val="bottom"/>
            <w:gridSpan w:val="3"/>
          </w:tcPr>
          <w:p>
            <w:pPr>
              <w:ind w:left="200"/>
              <w:spacing w:after="0"/>
              <w:rPr>
                <w:sz w:val="20"/>
                <w:szCs w:val="20"/>
                <w:color w:val="auto"/>
              </w:rPr>
            </w:pPr>
            <w:r>
              <w:rPr>
                <w:rFonts w:ascii="Arial" w:cs="Arial" w:eastAsia="Arial" w:hAnsi="Arial"/>
                <w:sz w:val="16"/>
                <w:szCs w:val="16"/>
                <w:color w:val="auto"/>
              </w:rPr>
              <w:t>Benefit plan liabilities</w:t>
            </w:r>
          </w:p>
        </w:tc>
        <w:tc>
          <w:tcPr>
            <w:tcW w:w="260" w:type="dxa"/>
            <w:vAlign w:val="bottom"/>
          </w:tcPr>
          <w:p>
            <w:pPr>
              <w:spacing w:after="0"/>
              <w:rPr>
                <w:sz w:val="16"/>
                <w:szCs w:val="16"/>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122.9</w:t>
            </w:r>
          </w:p>
        </w:tc>
        <w:tc>
          <w:tcPr>
            <w:tcW w:w="640" w:type="dxa"/>
            <w:vAlign w:val="bottom"/>
          </w:tcPr>
          <w:p>
            <w:pPr>
              <w:spacing w:after="0"/>
              <w:rPr>
                <w:sz w:val="16"/>
                <w:szCs w:val="16"/>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123.9</w:t>
            </w:r>
          </w:p>
        </w:tc>
      </w:tr>
      <w:tr>
        <w:trPr>
          <w:trHeight w:val="189"/>
        </w:trPr>
        <w:tc>
          <w:tcPr>
            <w:tcW w:w="7780" w:type="dxa"/>
            <w:vAlign w:val="bottom"/>
            <w:tcBorders>
              <w:bottom w:val="single" w:sz="8" w:color="CFF0FC"/>
            </w:tcBorders>
            <w:gridSpan w:val="3"/>
            <w:shd w:val="clear" w:color="auto" w:fill="CFF0FC"/>
          </w:tcPr>
          <w:p>
            <w:pPr>
              <w:ind w:left="200"/>
              <w:spacing w:after="0"/>
              <w:rPr>
                <w:sz w:val="20"/>
                <w:szCs w:val="20"/>
                <w:color w:val="auto"/>
              </w:rPr>
            </w:pPr>
            <w:r>
              <w:rPr>
                <w:rFonts w:ascii="Arial" w:cs="Arial" w:eastAsia="Arial" w:hAnsi="Arial"/>
                <w:sz w:val="16"/>
                <w:szCs w:val="16"/>
                <w:color w:val="auto"/>
              </w:rPr>
              <w:t>Other deferred credits and other liabilities</w:t>
            </w:r>
          </w:p>
        </w:tc>
        <w:tc>
          <w:tcPr>
            <w:tcW w:w="26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201.2</w:t>
            </w:r>
          </w:p>
        </w:tc>
        <w:tc>
          <w:tcPr>
            <w:tcW w:w="64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188.7</w:t>
            </w:r>
          </w:p>
        </w:tc>
      </w:tr>
      <w:tr>
        <w:trPr>
          <w:trHeight w:val="183"/>
        </w:trPr>
        <w:tc>
          <w:tcPr>
            <w:tcW w:w="7780" w:type="dxa"/>
            <w:vAlign w:val="bottom"/>
            <w:gridSpan w:val="3"/>
          </w:tcPr>
          <w:p>
            <w:pPr>
              <w:ind w:left="380"/>
              <w:spacing w:after="0" w:line="183" w:lineRule="exact"/>
              <w:rPr>
                <w:sz w:val="20"/>
                <w:szCs w:val="20"/>
                <w:color w:val="auto"/>
              </w:rPr>
            </w:pPr>
            <w:r>
              <w:rPr>
                <w:rFonts w:ascii="Arial" w:cs="Arial" w:eastAsia="Arial" w:hAnsi="Arial"/>
                <w:sz w:val="16"/>
                <w:szCs w:val="16"/>
                <w:color w:val="auto"/>
              </w:rPr>
              <w:t>Total deferred credits and other liabilities</w:t>
            </w: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1,423.8</w:t>
            </w:r>
          </w:p>
        </w:tc>
        <w:tc>
          <w:tcPr>
            <w:tcW w:w="6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1,328.3</w:t>
            </w:r>
          </w:p>
        </w:tc>
      </w:tr>
      <w:tr>
        <w:trPr>
          <w:trHeight w:val="183"/>
        </w:trPr>
        <w:tc>
          <w:tcPr>
            <w:tcW w:w="2800" w:type="dxa"/>
            <w:vAlign w:val="bottom"/>
            <w:shd w:val="clear" w:color="auto" w:fill="CFF0FC"/>
          </w:tcPr>
          <w:p>
            <w:pPr>
              <w:spacing w:after="0"/>
              <w:rPr>
                <w:sz w:val="15"/>
                <w:szCs w:val="15"/>
                <w:color w:val="auto"/>
              </w:rPr>
            </w:pPr>
          </w:p>
        </w:tc>
        <w:tc>
          <w:tcPr>
            <w:tcW w:w="2820" w:type="dxa"/>
            <w:vAlign w:val="bottom"/>
            <w:tcBorders>
              <w:right w:val="single" w:sz="8" w:color="CFF0FC"/>
            </w:tcBorders>
            <w:shd w:val="clear" w:color="auto" w:fill="CFF0FC"/>
          </w:tcPr>
          <w:p>
            <w:pPr>
              <w:spacing w:after="0"/>
              <w:rPr>
                <w:sz w:val="15"/>
                <w:szCs w:val="15"/>
                <w:color w:val="auto"/>
              </w:rPr>
            </w:pPr>
          </w:p>
        </w:tc>
        <w:tc>
          <w:tcPr>
            <w:tcW w:w="2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r>
      <w:tr>
        <w:trPr>
          <w:trHeight w:val="189"/>
        </w:trPr>
        <w:tc>
          <w:tcPr>
            <w:tcW w:w="7780" w:type="dxa"/>
            <w:vAlign w:val="bottom"/>
            <w:gridSpan w:val="3"/>
          </w:tcPr>
          <w:p>
            <w:pPr>
              <w:ind w:left="20"/>
              <w:spacing w:after="0"/>
              <w:rPr>
                <w:sz w:val="20"/>
                <w:szCs w:val="20"/>
                <w:color w:val="auto"/>
              </w:rPr>
            </w:pPr>
            <w:r>
              <w:rPr>
                <w:rFonts w:ascii="Arial" w:cs="Arial" w:eastAsia="Arial" w:hAnsi="Arial"/>
                <w:sz w:val="16"/>
                <w:szCs w:val="16"/>
                <w:color w:val="auto"/>
              </w:rPr>
              <w:t>Commitments, contingencies and guarantees (Note 3)</w:t>
            </w: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9"/>
        </w:trPr>
        <w:tc>
          <w:tcPr>
            <w:tcW w:w="2800" w:type="dxa"/>
            <w:vAlign w:val="bottom"/>
            <w:shd w:val="clear" w:color="auto" w:fill="CFF0FC"/>
          </w:tcPr>
          <w:p>
            <w:pPr>
              <w:spacing w:after="0"/>
              <w:rPr>
                <w:sz w:val="16"/>
                <w:szCs w:val="16"/>
                <w:color w:val="auto"/>
              </w:rPr>
            </w:pPr>
          </w:p>
        </w:tc>
        <w:tc>
          <w:tcPr>
            <w:tcW w:w="2820" w:type="dxa"/>
            <w:vAlign w:val="bottom"/>
            <w:tcBorders>
              <w:right w:val="single" w:sz="8" w:color="CFF0FC"/>
            </w:tcBorders>
            <w:shd w:val="clear" w:color="auto" w:fill="CFF0FC"/>
          </w:tcPr>
          <w:p>
            <w:pPr>
              <w:spacing w:after="0"/>
              <w:rPr>
                <w:sz w:val="16"/>
                <w:szCs w:val="16"/>
                <w:color w:val="auto"/>
              </w:rPr>
            </w:pPr>
          </w:p>
        </w:tc>
        <w:tc>
          <w:tcPr>
            <w:tcW w:w="2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r>
      <w:tr>
        <w:trPr>
          <w:trHeight w:val="189"/>
        </w:trPr>
        <w:tc>
          <w:tcPr>
            <w:tcW w:w="7780" w:type="dxa"/>
            <w:vAlign w:val="bottom"/>
            <w:gridSpan w:val="3"/>
          </w:tcPr>
          <w:p>
            <w:pPr>
              <w:ind w:left="20"/>
              <w:spacing w:after="0"/>
              <w:rPr>
                <w:sz w:val="20"/>
                <w:szCs w:val="20"/>
                <w:color w:val="auto"/>
              </w:rPr>
            </w:pPr>
            <w:r>
              <w:rPr>
                <w:rFonts w:ascii="Arial" w:cs="Arial" w:eastAsia="Arial" w:hAnsi="Arial"/>
                <w:sz w:val="16"/>
                <w:szCs w:val="16"/>
                <w:color w:val="auto"/>
              </w:rPr>
              <w:t>Equity:</w:t>
            </w: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9"/>
        </w:trPr>
        <w:tc>
          <w:tcPr>
            <w:tcW w:w="778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Stockholders’ equity -</w:t>
            </w:r>
          </w:p>
        </w:tc>
        <w:tc>
          <w:tcPr>
            <w:tcW w:w="26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r>
      <w:tr>
        <w:trPr>
          <w:trHeight w:val="175"/>
        </w:trPr>
        <w:tc>
          <w:tcPr>
            <w:tcW w:w="7780" w:type="dxa"/>
            <w:vAlign w:val="bottom"/>
            <w:gridSpan w:val="3"/>
          </w:tcPr>
          <w:p>
            <w:pPr>
              <w:ind w:left="200"/>
              <w:spacing w:after="0" w:line="175" w:lineRule="exact"/>
              <w:rPr>
                <w:sz w:val="20"/>
                <w:szCs w:val="20"/>
                <w:color w:val="auto"/>
              </w:rPr>
            </w:pPr>
            <w:r>
              <w:rPr>
                <w:rFonts w:ascii="Arial" w:cs="Arial" w:eastAsia="Arial" w:hAnsi="Arial"/>
                <w:sz w:val="16"/>
                <w:szCs w:val="16"/>
                <w:color w:val="auto"/>
              </w:rPr>
              <w:t>Common stock $1.00 par value; 100,000,000 shares authorized; issued: 71,676,756 and 68,265,042,</w:t>
            </w:r>
          </w:p>
        </w:tc>
        <w:tc>
          <w:tcPr>
            <w:tcW w:w="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3"/>
        </w:trPr>
        <w:tc>
          <w:tcPr>
            <w:tcW w:w="7780" w:type="dxa"/>
            <w:vAlign w:val="bottom"/>
            <w:gridSpan w:val="3"/>
          </w:tcPr>
          <w:p>
            <w:pPr>
              <w:ind w:left="200"/>
              <w:spacing w:after="0"/>
              <w:rPr>
                <w:sz w:val="20"/>
                <w:szCs w:val="20"/>
                <w:color w:val="auto"/>
              </w:rPr>
            </w:pPr>
            <w:r>
              <w:rPr>
                <w:rFonts w:ascii="Arial" w:cs="Arial" w:eastAsia="Arial" w:hAnsi="Arial"/>
                <w:sz w:val="16"/>
                <w:szCs w:val="16"/>
                <w:color w:val="auto"/>
              </w:rPr>
              <w:t>respectively</w:t>
            </w:r>
          </w:p>
        </w:tc>
        <w:tc>
          <w:tcPr>
            <w:tcW w:w="260" w:type="dxa"/>
            <w:vAlign w:val="bottom"/>
          </w:tcPr>
          <w:p>
            <w:pPr>
              <w:spacing w:after="0"/>
              <w:rPr>
                <w:sz w:val="17"/>
                <w:szCs w:val="17"/>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71.7</w:t>
            </w:r>
          </w:p>
        </w:tc>
        <w:tc>
          <w:tcPr>
            <w:tcW w:w="64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68.3</w:t>
            </w:r>
          </w:p>
        </w:tc>
      </w:tr>
      <w:tr>
        <w:trPr>
          <w:trHeight w:val="189"/>
        </w:trPr>
        <w:tc>
          <w:tcPr>
            <w:tcW w:w="7780" w:type="dxa"/>
            <w:vAlign w:val="bottom"/>
            <w:gridSpan w:val="3"/>
            <w:shd w:val="clear" w:color="auto" w:fill="CFF0FC"/>
          </w:tcPr>
          <w:p>
            <w:pPr>
              <w:ind w:left="200"/>
              <w:spacing w:after="0"/>
              <w:rPr>
                <w:sz w:val="20"/>
                <w:szCs w:val="20"/>
                <w:color w:val="auto"/>
              </w:rPr>
            </w:pPr>
            <w:r>
              <w:rPr>
                <w:rFonts w:ascii="Arial" w:cs="Arial" w:eastAsia="Arial" w:hAnsi="Arial"/>
                <w:sz w:val="16"/>
                <w:szCs w:val="16"/>
                <w:color w:val="auto"/>
              </w:rPr>
              <w:t>Additional paid-in capital</w:t>
            </w:r>
          </w:p>
        </w:tc>
        <w:tc>
          <w:tcPr>
            <w:tcW w:w="26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2,193.4</w:t>
            </w:r>
          </w:p>
        </w:tc>
        <w:tc>
          <w:tcPr>
            <w:tcW w:w="64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2,007.7</w:t>
            </w:r>
          </w:p>
        </w:tc>
      </w:tr>
      <w:tr>
        <w:trPr>
          <w:trHeight w:val="189"/>
        </w:trPr>
        <w:tc>
          <w:tcPr>
            <w:tcW w:w="7780" w:type="dxa"/>
            <w:vAlign w:val="bottom"/>
            <w:gridSpan w:val="3"/>
          </w:tcPr>
          <w:p>
            <w:pPr>
              <w:ind w:left="200"/>
              <w:spacing w:after="0"/>
              <w:rPr>
                <w:sz w:val="20"/>
                <w:szCs w:val="20"/>
                <w:color w:val="auto"/>
              </w:rPr>
            </w:pPr>
            <w:r>
              <w:rPr>
                <w:rFonts w:ascii="Arial" w:cs="Arial" w:eastAsia="Arial" w:hAnsi="Arial"/>
                <w:sz w:val="16"/>
                <w:szCs w:val="16"/>
                <w:color w:val="auto"/>
              </w:rPr>
              <w:t>Retained earnings</w:t>
            </w:r>
          </w:p>
        </w:tc>
        <w:tc>
          <w:tcPr>
            <w:tcW w:w="260" w:type="dxa"/>
            <w:vAlign w:val="bottom"/>
          </w:tcPr>
          <w:p>
            <w:pPr>
              <w:spacing w:after="0"/>
              <w:rPr>
                <w:sz w:val="16"/>
                <w:szCs w:val="16"/>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1,249.1</w:t>
            </w:r>
          </w:p>
        </w:tc>
        <w:tc>
          <w:tcPr>
            <w:tcW w:w="640" w:type="dxa"/>
            <w:vAlign w:val="bottom"/>
          </w:tcPr>
          <w:p>
            <w:pPr>
              <w:spacing w:after="0"/>
              <w:rPr>
                <w:sz w:val="16"/>
                <w:szCs w:val="16"/>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1,158.2</w:t>
            </w:r>
          </w:p>
        </w:tc>
      </w:tr>
      <w:tr>
        <w:trPr>
          <w:trHeight w:val="189"/>
        </w:trPr>
        <w:tc>
          <w:tcPr>
            <w:tcW w:w="7780" w:type="dxa"/>
            <w:vAlign w:val="bottom"/>
            <w:gridSpan w:val="3"/>
            <w:shd w:val="clear" w:color="auto" w:fill="CFF0FC"/>
          </w:tcPr>
          <w:p>
            <w:pPr>
              <w:ind w:left="200"/>
              <w:spacing w:after="0"/>
              <w:rPr>
                <w:sz w:val="20"/>
                <w:szCs w:val="20"/>
                <w:color w:val="auto"/>
              </w:rPr>
            </w:pPr>
            <w:r>
              <w:rPr>
                <w:rFonts w:ascii="Arial" w:cs="Arial" w:eastAsia="Arial" w:hAnsi="Arial"/>
                <w:sz w:val="16"/>
                <w:szCs w:val="16"/>
                <w:color w:val="auto"/>
              </w:rPr>
              <w:t>Treasury stock at cost - 56,608 and 68,073, respectively</w:t>
            </w:r>
          </w:p>
        </w:tc>
        <w:tc>
          <w:tcPr>
            <w:tcW w:w="26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(3.3 )</w:t>
            </w:r>
          </w:p>
        </w:tc>
        <w:tc>
          <w:tcPr>
            <w:tcW w:w="64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(4.1 )</w:t>
            </w:r>
          </w:p>
        </w:tc>
      </w:tr>
      <w:tr>
        <w:trPr>
          <w:trHeight w:val="189"/>
        </w:trPr>
        <w:tc>
          <w:tcPr>
            <w:tcW w:w="7780" w:type="dxa"/>
            <w:vAlign w:val="bottom"/>
            <w:gridSpan w:val="3"/>
          </w:tcPr>
          <w:p>
            <w:pPr>
              <w:ind w:left="200"/>
              <w:spacing w:after="0"/>
              <w:rPr>
                <w:sz w:val="20"/>
                <w:szCs w:val="20"/>
                <w:color w:val="auto"/>
              </w:rPr>
            </w:pPr>
            <w:r>
              <w:rPr>
                <w:rFonts w:ascii="Arial" w:cs="Arial" w:eastAsia="Arial" w:hAnsi="Arial"/>
                <w:sz w:val="16"/>
                <w:szCs w:val="16"/>
                <w:color w:val="auto"/>
              </w:rPr>
              <w:t>Accumulated other comprehensive income (loss)</w:t>
            </w: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(9.4 )</w:t>
            </w:r>
          </w:p>
        </w:tc>
        <w:tc>
          <w:tcPr>
            <w:tcW w:w="6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(14.8 )</w:t>
            </w:r>
          </w:p>
        </w:tc>
      </w:tr>
      <w:tr>
        <w:trPr>
          <w:trHeight w:val="183"/>
        </w:trPr>
        <w:tc>
          <w:tcPr>
            <w:tcW w:w="7780" w:type="dxa"/>
            <w:vAlign w:val="bottom"/>
            <w:gridSpan w:val="3"/>
            <w:shd w:val="clear" w:color="auto" w:fill="CFF0FC"/>
          </w:tcPr>
          <w:p>
            <w:pPr>
              <w:ind w:left="380"/>
              <w:spacing w:after="0" w:line="183" w:lineRule="exact"/>
              <w:rPr>
                <w:sz w:val="20"/>
                <w:szCs w:val="20"/>
                <w:color w:val="auto"/>
              </w:rPr>
            </w:pPr>
            <w:r>
              <w:rPr>
                <w:rFonts w:ascii="Arial" w:cs="Arial" w:eastAsia="Arial" w:hAnsi="Arial"/>
                <w:sz w:val="16"/>
                <w:szCs w:val="16"/>
                <w:color w:val="auto"/>
              </w:rPr>
              <w:t>Total stockholders’ equity</w:t>
            </w:r>
          </w:p>
        </w:tc>
        <w:tc>
          <w:tcPr>
            <w:tcW w:w="26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3,501.5</w:t>
            </w:r>
          </w:p>
        </w:tc>
        <w:tc>
          <w:tcPr>
            <w:tcW w:w="64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3,215.3</w:t>
            </w:r>
          </w:p>
        </w:tc>
      </w:tr>
      <w:tr>
        <w:trPr>
          <w:trHeight w:val="189"/>
        </w:trPr>
        <w:tc>
          <w:tcPr>
            <w:tcW w:w="7780" w:type="dxa"/>
            <w:vAlign w:val="bottom"/>
            <w:gridSpan w:val="3"/>
          </w:tcPr>
          <w:p>
            <w:pPr>
              <w:ind w:left="20"/>
              <w:spacing w:after="0"/>
              <w:rPr>
                <w:sz w:val="20"/>
                <w:szCs w:val="20"/>
                <w:color w:val="auto"/>
              </w:rPr>
            </w:pPr>
            <w:r>
              <w:rPr>
                <w:rFonts w:ascii="Arial" w:cs="Arial" w:eastAsia="Arial" w:hAnsi="Arial"/>
                <w:sz w:val="16"/>
                <w:szCs w:val="16"/>
                <w:color w:val="auto"/>
              </w:rPr>
              <w:t>Non-controlling interest</w:t>
            </w: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83.7</w:t>
            </w:r>
          </w:p>
        </w:tc>
        <w:tc>
          <w:tcPr>
            <w:tcW w:w="6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90.5</w:t>
            </w:r>
          </w:p>
        </w:tc>
      </w:tr>
      <w:tr>
        <w:trPr>
          <w:trHeight w:val="183"/>
        </w:trPr>
        <w:tc>
          <w:tcPr>
            <w:tcW w:w="7780" w:type="dxa"/>
            <w:vAlign w:val="bottom"/>
            <w:tcBorders>
              <w:bottom w:val="single" w:sz="8" w:color="CFF0FC"/>
            </w:tcBorders>
            <w:gridSpan w:val="3"/>
            <w:shd w:val="clear" w:color="auto" w:fill="CFF0FC"/>
          </w:tcPr>
          <w:p>
            <w:pPr>
              <w:ind w:left="380"/>
              <w:spacing w:after="0" w:line="183" w:lineRule="exact"/>
              <w:rPr>
                <w:sz w:val="20"/>
                <w:szCs w:val="20"/>
                <w:color w:val="auto"/>
              </w:rPr>
            </w:pPr>
            <w:r>
              <w:rPr>
                <w:rFonts w:ascii="Arial" w:cs="Arial" w:eastAsia="Arial" w:hAnsi="Arial"/>
                <w:sz w:val="16"/>
                <w:szCs w:val="16"/>
                <w:color w:val="auto"/>
              </w:rPr>
              <w:t>Total equity</w:t>
            </w:r>
          </w:p>
        </w:tc>
        <w:tc>
          <w:tcPr>
            <w:tcW w:w="26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3,585.2</w:t>
            </w:r>
          </w:p>
        </w:tc>
        <w:tc>
          <w:tcPr>
            <w:tcW w:w="64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3,305.8</w:t>
            </w:r>
          </w:p>
        </w:tc>
      </w:tr>
      <w:tr>
        <w:trPr>
          <w:trHeight w:val="183"/>
        </w:trPr>
        <w:tc>
          <w:tcPr>
            <w:tcW w:w="28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r>
        <w:trPr>
          <w:trHeight w:val="223"/>
        </w:trPr>
        <w:tc>
          <w:tcPr>
            <w:tcW w:w="7780" w:type="dxa"/>
            <w:vAlign w:val="bottom"/>
            <w:tcBorders>
              <w:bottom w:val="single" w:sz="8" w:color="CFF0FC"/>
            </w:tcBorders>
            <w:gridSpan w:val="3"/>
            <w:shd w:val="clear" w:color="auto" w:fill="CFF0FC"/>
          </w:tcPr>
          <w:p>
            <w:pPr>
              <w:ind w:left="20"/>
              <w:spacing w:after="0" w:line="183" w:lineRule="exact"/>
              <w:rPr>
                <w:sz w:val="20"/>
                <w:szCs w:val="20"/>
                <w:color w:val="auto"/>
              </w:rPr>
            </w:pPr>
            <w:r>
              <w:rPr>
                <w:rFonts w:ascii="Arial" w:cs="Arial" w:eastAsia="Arial" w:hAnsi="Arial"/>
                <w:sz w:val="16"/>
                <w:szCs w:val="16"/>
                <w:color w:val="auto"/>
              </w:rPr>
              <w:t>TOTAL LIABILITIES AND TOTAL EQUITY</w:t>
            </w:r>
          </w:p>
        </w:tc>
        <w:tc>
          <w:tcPr>
            <w:tcW w:w="260" w:type="dxa"/>
            <w:vAlign w:val="bottom"/>
            <w:tcBorders>
              <w:bottom w:val="single" w:sz="8" w:color="auto"/>
            </w:tcBorders>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10,022.6</w:t>
            </w:r>
          </w:p>
        </w:tc>
        <w:tc>
          <w:tcPr>
            <w:tcW w:w="640" w:type="dxa"/>
            <w:vAlign w:val="bottom"/>
            <w:tcBorders>
              <w:bottom w:val="single" w:sz="8" w:color="auto"/>
            </w:tcBorders>
            <w:shd w:val="clear" w:color="auto" w:fill="CFF0FC"/>
          </w:tcPr>
          <w:p>
            <w:pPr>
              <w:jc w:val="right"/>
              <w:ind w:right="439"/>
              <w:spacing w:after="0" w:line="183"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9,620.4</w:t>
            </w:r>
          </w:p>
        </w:tc>
      </w:tr>
      <w:tr>
        <w:trPr>
          <w:trHeight w:val="291"/>
        </w:trPr>
        <w:tc>
          <w:tcPr>
            <w:tcW w:w="10140" w:type="dxa"/>
            <w:vAlign w:val="bottom"/>
            <w:gridSpan w:val="6"/>
          </w:tcPr>
          <w:p>
            <w:pPr>
              <w:jc w:val="center"/>
              <w:ind w:left="1019"/>
              <w:spacing w:after="0"/>
              <w:rPr>
                <w:sz w:val="20"/>
                <w:szCs w:val="20"/>
                <w:color w:val="auto"/>
              </w:rPr>
            </w:pPr>
            <w:r>
              <w:rPr>
                <w:rFonts w:ascii="Arial" w:cs="Arial" w:eastAsia="Arial" w:hAnsi="Arial"/>
                <w:sz w:val="14"/>
                <w:szCs w:val="14"/>
                <w:color w:val="auto"/>
              </w:rPr>
              <w:t xml:space="preserve">The accompanying </w:t>
            </w:r>
            <w:r>
              <w:rPr>
                <w:rFonts w:ascii="Arial" w:cs="Arial" w:eastAsia="Arial" w:hAnsi="Arial"/>
                <w:sz w:val="14"/>
                <w:szCs w:val="14"/>
                <w:color w:val="0000FF"/>
              </w:rPr>
              <w:t>Notes to Consolidated Financial Statements</w:t>
            </w:r>
            <w:r>
              <w:rPr>
                <w:rFonts w:ascii="Arial" w:cs="Arial" w:eastAsia="Arial" w:hAnsi="Arial"/>
                <w:sz w:val="14"/>
                <w:szCs w:val="14"/>
                <w:color w:val="auto"/>
              </w:rPr>
              <w:t xml:space="preserve"> are an integral part of these Consolidated Financial Statements.</w:t>
            </w:r>
          </w:p>
        </w:tc>
        <w:tc>
          <w:tcPr>
            <w:tcW w:w="1100" w:type="dxa"/>
            <w:vAlign w:val="bottom"/>
          </w:tcPr>
          <w:p>
            <w:pPr>
              <w:spacing w:after="0"/>
              <w:rPr>
                <w:sz w:val="24"/>
                <w:szCs w:val="24"/>
                <w:color w:val="auto"/>
              </w:rPr>
            </w:pPr>
          </w:p>
        </w:tc>
      </w:tr>
      <w:tr>
        <w:trPr>
          <w:trHeight w:val="20"/>
        </w:trPr>
        <w:tc>
          <w:tcPr>
            <w:tcW w:w="2800" w:type="dxa"/>
            <w:vAlign w:val="bottom"/>
          </w:tcPr>
          <w:p>
            <w:pPr>
              <w:spacing w:after="0" w:line="20" w:lineRule="exact"/>
              <w:rPr>
                <w:sz w:val="1"/>
                <w:szCs w:val="1"/>
                <w:color w:val="auto"/>
              </w:rPr>
            </w:pPr>
          </w:p>
        </w:tc>
        <w:tc>
          <w:tcPr>
            <w:tcW w:w="2820" w:type="dxa"/>
            <w:vAlign w:val="bottom"/>
            <w:tcBorders>
              <w:right w:val="single" w:sz="8" w:color="0000EE"/>
            </w:tcBorders>
            <w:shd w:val="clear" w:color="auto" w:fill="0000FF"/>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10"/>
        </w:trPr>
        <w:tc>
          <w:tcPr>
            <w:tcW w:w="2800" w:type="dxa"/>
            <w:vAlign w:val="bottom"/>
          </w:tcPr>
          <w:p>
            <w:pPr>
              <w:spacing w:after="0"/>
              <w:rPr>
                <w:sz w:val="24"/>
                <w:szCs w:val="24"/>
                <w:color w:val="auto"/>
              </w:rPr>
            </w:pPr>
          </w:p>
        </w:tc>
        <w:tc>
          <w:tcPr>
            <w:tcW w:w="4980" w:type="dxa"/>
            <w:vAlign w:val="bottom"/>
            <w:gridSpan w:val="2"/>
          </w:tcPr>
          <w:p>
            <w:pPr>
              <w:jc w:val="right"/>
              <w:ind w:right="2060"/>
              <w:spacing w:after="0"/>
              <w:rPr>
                <w:sz w:val="20"/>
                <w:szCs w:val="20"/>
                <w:color w:val="auto"/>
              </w:rPr>
            </w:pPr>
            <w:r>
              <w:rPr>
                <w:rFonts w:ascii="Arial" w:cs="Arial" w:eastAsia="Arial" w:hAnsi="Arial"/>
                <w:sz w:val="16"/>
                <w:szCs w:val="16"/>
                <w:color w:val="auto"/>
              </w:rPr>
              <w:t>61</w:t>
            </w: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752"/>
        </w:trPr>
        <w:tc>
          <w:tcPr>
            <w:tcW w:w="280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w w:val="99"/>
              </w:rPr>
              <w:t>December 31,</w:t>
            </w:r>
          </w:p>
        </w:tc>
        <w:tc>
          <w:tcPr>
            <w:tcW w:w="120" w:type="dxa"/>
            <w:vAlign w:val="bottom"/>
          </w:tcPr>
          <w:p>
            <w:pPr>
              <w:spacing w:after="0"/>
              <w:rPr>
                <w:sz w:val="16"/>
                <w:szCs w:val="16"/>
                <w:color w:val="auto"/>
              </w:rPr>
            </w:pPr>
          </w:p>
        </w:tc>
        <w:tc>
          <w:tcPr>
            <w:tcW w:w="1320" w:type="dxa"/>
            <w:vAlign w:val="bottom"/>
          </w:tcPr>
          <w:p>
            <w:pPr>
              <w:jc w:val="center"/>
              <w:ind w:right="179"/>
              <w:spacing w:after="0"/>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6"/>
                <w:szCs w:val="16"/>
                <w:color w:val="auto"/>
              </w:rPr>
            </w:pPr>
          </w:p>
        </w:tc>
        <w:tc>
          <w:tcPr>
            <w:tcW w:w="1340" w:type="dxa"/>
            <w:vAlign w:val="bottom"/>
          </w:tcPr>
          <w:p>
            <w:pPr>
              <w:jc w:val="right"/>
              <w:ind w:right="199"/>
              <w:spacing w:after="0"/>
              <w:rPr>
                <w:sz w:val="20"/>
                <w:szCs w:val="20"/>
                <w:color w:val="auto"/>
              </w:rPr>
            </w:pPr>
            <w:r>
              <w:rPr>
                <w:rFonts w:ascii="Arial" w:cs="Arial" w:eastAsia="Arial" w:hAnsi="Arial"/>
                <w:sz w:val="16"/>
                <w:szCs w:val="16"/>
                <w:b w:val="1"/>
                <w:bCs w:val="1"/>
                <w:color w:val="auto"/>
                <w:w w:val="99"/>
              </w:rPr>
              <w:t>December 31,</w:t>
            </w:r>
          </w:p>
        </w:tc>
      </w:tr>
      <w:tr>
        <w:trPr>
          <w:trHeight w:val="203"/>
        </w:trPr>
        <w:tc>
          <w:tcPr>
            <w:tcW w:w="6900" w:type="dxa"/>
            <w:vAlign w:val="bottom"/>
          </w:tcPr>
          <w:p>
            <w:pPr>
              <w:ind w:left="20"/>
              <w:spacing w:after="0"/>
              <w:rPr>
                <w:sz w:val="20"/>
                <w:szCs w:val="20"/>
                <w:color w:val="auto"/>
              </w:rPr>
            </w:pPr>
            <w:r>
              <w:rPr>
                <w:rFonts w:ascii="Arial" w:cs="Arial" w:eastAsia="Arial" w:hAnsi="Arial"/>
                <w:sz w:val="16"/>
                <w:szCs w:val="16"/>
                <w:b w:val="1"/>
                <w:bCs w:val="1"/>
                <w:color w:val="auto"/>
              </w:rPr>
              <w:t>Year ended</w:t>
            </w: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r>
      <w:tr>
        <w:trPr>
          <w:trHeight w:val="183"/>
        </w:trPr>
        <w:tc>
          <w:tcPr>
            <w:tcW w:w="69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39"/>
              <w:spacing w:after="0" w:line="183" w:lineRule="exact"/>
              <w:rPr>
                <w:sz w:val="20"/>
                <w:szCs w:val="20"/>
                <w:color w:val="auto"/>
              </w:rPr>
            </w:pPr>
            <w:r>
              <w:rPr>
                <w:rFonts w:ascii="Arial" w:cs="Arial" w:eastAsia="Arial" w:hAnsi="Arial"/>
                <w:sz w:val="16"/>
                <w:szCs w:val="16"/>
                <w:color w:val="auto"/>
              </w:rPr>
              <w:t>(in millions)</w:t>
            </w: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r>
      <w:tr>
        <w:trPr>
          <w:trHeight w:val="183"/>
        </w:trPr>
        <w:tc>
          <w:tcPr>
            <w:tcW w:w="690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Operating activities:</w:t>
            </w:r>
          </w:p>
        </w:tc>
        <w:tc>
          <w:tcPr>
            <w:tcW w:w="1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r>
      <w:tr>
        <w:trPr>
          <w:trHeight w:val="189"/>
        </w:trPr>
        <w:tc>
          <w:tcPr>
            <w:tcW w:w="69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283.7</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276.0</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270.8</w:t>
            </w:r>
          </w:p>
        </w:tc>
      </w:tr>
      <w:tr>
        <w:trPr>
          <w:trHeight w:val="189"/>
        </w:trPr>
        <w:tc>
          <w:tcPr>
            <w:tcW w:w="69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r>
      <w:tr>
        <w:trPr>
          <w:trHeight w:val="189"/>
        </w:trPr>
        <w:tc>
          <w:tcPr>
            <w:tcW w:w="6900" w:type="dxa"/>
            <w:vAlign w:val="bottom"/>
          </w:tcPr>
          <w:p>
            <w:pPr>
              <w:ind w:left="300"/>
              <w:spacing w:after="0"/>
              <w:rPr>
                <w:sz w:val="20"/>
                <w:szCs w:val="20"/>
                <w:color w:val="auto"/>
              </w:rPr>
            </w:pPr>
            <w:r>
              <w:rPr>
                <w:rFonts w:ascii="Arial" w:cs="Arial" w:eastAsia="Arial" w:hAnsi="Arial"/>
                <w:sz w:val="16"/>
                <w:szCs w:val="16"/>
                <w:color w:val="auto"/>
              </w:rPr>
              <w:t>Depreciation and amortization</w:t>
            </w:r>
          </w:p>
        </w:tc>
        <w:tc>
          <w:tcPr>
            <w:tcW w:w="12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270.1</w:t>
            </w:r>
          </w:p>
        </w:tc>
        <w:tc>
          <w:tcPr>
            <w:tcW w:w="12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256.8</w:t>
            </w:r>
          </w:p>
        </w:tc>
        <w:tc>
          <w:tcPr>
            <w:tcW w:w="120" w:type="dxa"/>
            <w:vAlign w:val="bottom"/>
          </w:tcPr>
          <w:p>
            <w:pPr>
              <w:spacing w:after="0"/>
              <w:rPr>
                <w:sz w:val="16"/>
                <w:szCs w:val="16"/>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250.9</w:t>
            </w:r>
          </w:p>
        </w:tc>
      </w:tr>
      <w:tr>
        <w:trPr>
          <w:trHeight w:val="189"/>
        </w:trPr>
        <w:tc>
          <w:tcPr>
            <w:tcW w:w="6900" w:type="dxa"/>
            <w:vAlign w:val="bottom"/>
            <w:shd w:val="clear" w:color="auto" w:fill="CFF0FC"/>
          </w:tcPr>
          <w:p>
            <w:pPr>
              <w:ind w:left="300"/>
              <w:spacing w:after="0"/>
              <w:rPr>
                <w:sz w:val="20"/>
                <w:szCs w:val="20"/>
                <w:color w:val="auto"/>
              </w:rPr>
            </w:pPr>
            <w:r>
              <w:rPr>
                <w:rFonts w:ascii="Arial" w:cs="Arial" w:eastAsia="Arial" w:hAnsi="Arial"/>
                <w:sz w:val="16"/>
                <w:szCs w:val="16"/>
                <w:color w:val="auto"/>
              </w:rPr>
              <w:t>Deferred financing cost amortization</w:t>
            </w: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10.7</w:t>
            </w: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10.1</w:t>
            </w:r>
          </w:p>
        </w:tc>
        <w:tc>
          <w:tcPr>
            <w:tcW w:w="12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9.8</w:t>
            </w:r>
          </w:p>
        </w:tc>
      </w:tr>
      <w:tr>
        <w:trPr>
          <w:trHeight w:val="189"/>
        </w:trPr>
        <w:tc>
          <w:tcPr>
            <w:tcW w:w="6900" w:type="dxa"/>
            <w:vAlign w:val="bottom"/>
          </w:tcPr>
          <w:p>
            <w:pPr>
              <w:ind w:left="300"/>
              <w:spacing w:after="0"/>
              <w:rPr>
                <w:sz w:val="20"/>
                <w:szCs w:val="20"/>
                <w:color w:val="auto"/>
              </w:rPr>
            </w:pPr>
            <w:r>
              <w:rPr>
                <w:rFonts w:ascii="Arial" w:cs="Arial" w:eastAsia="Arial" w:hAnsi="Arial"/>
                <w:sz w:val="16"/>
                <w:szCs w:val="16"/>
                <w:color w:val="auto"/>
              </w:rPr>
              <w:t>Stock compensation</w:t>
            </w:r>
          </w:p>
        </w:tc>
        <w:tc>
          <w:tcPr>
            <w:tcW w:w="12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16"/>
                <w:szCs w:val="16"/>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8.6</w:t>
            </w:r>
          </w:p>
        </w:tc>
      </w:tr>
      <w:tr>
        <w:trPr>
          <w:trHeight w:val="189"/>
        </w:trPr>
        <w:tc>
          <w:tcPr>
            <w:tcW w:w="6900" w:type="dxa"/>
            <w:vAlign w:val="bottom"/>
            <w:shd w:val="clear" w:color="auto" w:fill="CFF0FC"/>
          </w:tcPr>
          <w:p>
            <w:pPr>
              <w:ind w:left="300"/>
              <w:spacing w:after="0"/>
              <w:rPr>
                <w:sz w:val="20"/>
                <w:szCs w:val="20"/>
                <w:color w:val="auto"/>
              </w:rPr>
            </w:pPr>
            <w:r>
              <w:rPr>
                <w:rFonts w:ascii="Arial" w:cs="Arial" w:eastAsia="Arial" w:hAnsi="Arial"/>
                <w:sz w:val="16"/>
                <w:szCs w:val="16"/>
                <w:color w:val="auto"/>
              </w:rPr>
              <w:t>Deferred income taxes</w:t>
            </w: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52.0</w:t>
            </w: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25.4</w:t>
            </w:r>
          </w:p>
        </w:tc>
        <w:tc>
          <w:tcPr>
            <w:tcW w:w="12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25.6</w:t>
            </w:r>
          </w:p>
        </w:tc>
      </w:tr>
      <w:tr>
        <w:trPr>
          <w:trHeight w:val="189"/>
        </w:trPr>
        <w:tc>
          <w:tcPr>
            <w:tcW w:w="6900" w:type="dxa"/>
            <w:vAlign w:val="bottom"/>
          </w:tcPr>
          <w:p>
            <w:pPr>
              <w:ind w:left="300"/>
              <w:spacing w:after="0"/>
              <w:rPr>
                <w:sz w:val="20"/>
                <w:szCs w:val="20"/>
                <w:color w:val="auto"/>
              </w:rPr>
            </w:pPr>
            <w:r>
              <w:rPr>
                <w:rFonts w:ascii="Arial" w:cs="Arial" w:eastAsia="Arial" w:hAnsi="Arial"/>
                <w:sz w:val="16"/>
                <w:szCs w:val="16"/>
                <w:color w:val="auto"/>
              </w:rPr>
              <w:t>Employee benefit plans</w:t>
            </w:r>
          </w:p>
        </w:tc>
        <w:tc>
          <w:tcPr>
            <w:tcW w:w="12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16"/>
                <w:szCs w:val="16"/>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5.5</w:t>
            </w:r>
          </w:p>
        </w:tc>
      </w:tr>
      <w:tr>
        <w:trPr>
          <w:trHeight w:val="189"/>
        </w:trPr>
        <w:tc>
          <w:tcPr>
            <w:tcW w:w="6900" w:type="dxa"/>
            <w:vAlign w:val="bottom"/>
            <w:shd w:val="clear" w:color="auto" w:fill="CFF0FC"/>
          </w:tcPr>
          <w:p>
            <w:pPr>
              <w:ind w:left="300"/>
              <w:spacing w:after="0"/>
              <w:rPr>
                <w:sz w:val="20"/>
                <w:szCs w:val="20"/>
                <w:color w:val="auto"/>
              </w:rPr>
            </w:pPr>
            <w:r>
              <w:rPr>
                <w:rFonts w:ascii="Arial" w:cs="Arial" w:eastAsia="Arial" w:hAnsi="Arial"/>
                <w:sz w:val="16"/>
                <w:szCs w:val="16"/>
                <w:color w:val="auto"/>
              </w:rPr>
              <w:t>Other adjustments, net</w:t>
            </w: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(4.1 )</w:t>
            </w: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(4.7 )</w:t>
            </w:r>
          </w:p>
        </w:tc>
      </w:tr>
      <w:tr>
        <w:trPr>
          <w:trHeight w:val="189"/>
        </w:trPr>
        <w:tc>
          <w:tcPr>
            <w:tcW w:w="6900" w:type="dxa"/>
            <w:vAlign w:val="bottom"/>
          </w:tcPr>
          <w:p>
            <w:pPr>
              <w:ind w:left="120"/>
              <w:spacing w:after="0"/>
              <w:rPr>
                <w:sz w:val="20"/>
                <w:szCs w:val="20"/>
                <w:color w:val="auto"/>
              </w:rPr>
            </w:pPr>
            <w:r>
              <w:rPr>
                <w:rFonts w:ascii="Arial" w:cs="Arial" w:eastAsia="Arial" w:hAnsi="Arial"/>
                <w:sz w:val="16"/>
                <w:szCs w:val="16"/>
                <w:color w:val="auto"/>
              </w:rPr>
              <w:t>Change in certain operating assets and liabilities:</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9"/>
        </w:trPr>
        <w:tc>
          <w:tcPr>
            <w:tcW w:w="6900" w:type="dxa"/>
            <w:vAlign w:val="bottom"/>
            <w:shd w:val="clear" w:color="auto" w:fill="CFF0FC"/>
          </w:tcPr>
          <w:p>
            <w:pPr>
              <w:ind w:left="300"/>
              <w:spacing w:after="0"/>
              <w:rPr>
                <w:sz w:val="20"/>
                <w:szCs w:val="20"/>
                <w:color w:val="auto"/>
              </w:rPr>
            </w:pPr>
            <w:r>
              <w:rPr>
                <w:rFonts w:ascii="Arial" w:cs="Arial" w:eastAsia="Arial" w:hAnsi="Arial"/>
                <w:sz w:val="16"/>
                <w:szCs w:val="16"/>
                <w:color w:val="auto"/>
              </w:rPr>
              <w:t>Materials, supplies and fuel</w:t>
            </w: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13.2</w:t>
            </w: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51.4</w:t>
            </w:r>
          </w:p>
        </w:tc>
        <w:tc>
          <w:tcPr>
            <w:tcW w:w="12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(75.4 )</w:t>
            </w:r>
          </w:p>
        </w:tc>
      </w:tr>
      <w:tr>
        <w:trPr>
          <w:trHeight w:val="189"/>
        </w:trPr>
        <w:tc>
          <w:tcPr>
            <w:tcW w:w="6900" w:type="dxa"/>
            <w:vAlign w:val="bottom"/>
          </w:tcPr>
          <w:p>
            <w:pPr>
              <w:ind w:left="300"/>
              <w:spacing w:after="0"/>
              <w:rPr>
                <w:sz w:val="20"/>
                <w:szCs w:val="20"/>
                <w:color w:val="auto"/>
              </w:rPr>
            </w:pPr>
            <w:r>
              <w:rPr>
                <w:rFonts w:ascii="Arial" w:cs="Arial" w:eastAsia="Arial" w:hAnsi="Arial"/>
                <w:sz w:val="16"/>
                <w:szCs w:val="16"/>
                <w:color w:val="auto"/>
              </w:rPr>
              <w:t>Accounts receivable and other current assets</w:t>
            </w: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(25.7 )</w:t>
            </w:r>
          </w:p>
        </w:tc>
        <w:tc>
          <w:tcPr>
            <w:tcW w:w="12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204.5</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(184.5 )</w:t>
            </w:r>
          </w:p>
        </w:tc>
      </w:tr>
      <w:tr>
        <w:trPr>
          <w:trHeight w:val="189"/>
        </w:trPr>
        <w:tc>
          <w:tcPr>
            <w:tcW w:w="6900" w:type="dxa"/>
            <w:vAlign w:val="bottom"/>
            <w:shd w:val="clear" w:color="auto" w:fill="CFF0FC"/>
          </w:tcPr>
          <w:p>
            <w:pPr>
              <w:ind w:left="300"/>
              <w:spacing w:after="0"/>
              <w:rPr>
                <w:sz w:val="20"/>
                <w:szCs w:val="20"/>
                <w:color w:val="auto"/>
              </w:rPr>
            </w:pPr>
            <w:r>
              <w:rPr>
                <w:rFonts w:ascii="Arial" w:cs="Arial" w:eastAsia="Arial" w:hAnsi="Arial"/>
                <w:sz w:val="16"/>
                <w:szCs w:val="16"/>
                <w:color w:val="auto"/>
              </w:rPr>
              <w:t>Accounts payable and other current liabilities</w:t>
            </w: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28.8</w:t>
            </w: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(109.9 )</w:t>
            </w:r>
          </w:p>
        </w:tc>
        <w:tc>
          <w:tcPr>
            <w:tcW w:w="12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89.4</w:t>
            </w:r>
          </w:p>
        </w:tc>
      </w:tr>
      <w:tr>
        <w:trPr>
          <w:trHeight w:val="189"/>
        </w:trPr>
        <w:tc>
          <w:tcPr>
            <w:tcW w:w="6900" w:type="dxa"/>
            <w:vAlign w:val="bottom"/>
          </w:tcPr>
          <w:p>
            <w:pPr>
              <w:ind w:left="300"/>
              <w:spacing w:after="0"/>
              <w:rPr>
                <w:sz w:val="20"/>
                <w:szCs w:val="20"/>
                <w:color w:val="auto"/>
              </w:rPr>
            </w:pPr>
            <w:r>
              <w:rPr>
                <w:rFonts w:ascii="Arial" w:cs="Arial" w:eastAsia="Arial" w:hAnsi="Arial"/>
                <w:sz w:val="16"/>
                <w:szCs w:val="16"/>
                <w:color w:val="auto"/>
              </w:rPr>
              <w:t>Regulatory assets</w:t>
            </w:r>
          </w:p>
        </w:tc>
        <w:tc>
          <w:tcPr>
            <w:tcW w:w="12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90.0</w:t>
            </w:r>
          </w:p>
        </w:tc>
        <w:tc>
          <w:tcPr>
            <w:tcW w:w="12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236.8</w:t>
            </w:r>
          </w:p>
        </w:tc>
        <w:tc>
          <w:tcPr>
            <w:tcW w:w="120" w:type="dxa"/>
            <w:vAlign w:val="bottom"/>
          </w:tcPr>
          <w:p>
            <w:pPr>
              <w:spacing w:after="0"/>
              <w:rPr>
                <w:sz w:val="16"/>
                <w:szCs w:val="16"/>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203.9</w:t>
            </w:r>
          </w:p>
        </w:tc>
      </w:tr>
      <w:tr>
        <w:trPr>
          <w:trHeight w:val="189"/>
        </w:trPr>
        <w:tc>
          <w:tcPr>
            <w:tcW w:w="69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Other operating activities, net</w:t>
            </w:r>
          </w:p>
        </w:tc>
        <w:tc>
          <w:tcPr>
            <w:tcW w:w="12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(21.2 )</w:t>
            </w:r>
          </w:p>
        </w:tc>
        <w:tc>
          <w:tcPr>
            <w:tcW w:w="12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(27.9 )</w:t>
            </w:r>
          </w:p>
        </w:tc>
        <w:tc>
          <w:tcPr>
            <w:tcW w:w="12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(15.1 )</w:t>
            </w:r>
          </w:p>
        </w:tc>
      </w:tr>
      <w:tr>
        <w:trPr>
          <w:trHeight w:val="183"/>
        </w:trPr>
        <w:tc>
          <w:tcPr>
            <w:tcW w:w="6900" w:type="dxa"/>
            <w:vAlign w:val="bottom"/>
          </w:tcPr>
          <w:p>
            <w:pPr>
              <w:ind w:left="20"/>
              <w:spacing w:after="0" w:line="183" w:lineRule="exact"/>
              <w:rPr>
                <w:sz w:val="20"/>
                <w:szCs w:val="20"/>
                <w:color w:val="auto"/>
              </w:rPr>
            </w:pPr>
            <w:r>
              <w:rPr>
                <w:rFonts w:ascii="Arial" w:cs="Arial" w:eastAsia="Arial" w:hAnsi="Arial"/>
                <w:sz w:val="16"/>
                <w:szCs w:val="16"/>
                <w:color w:val="auto"/>
              </w:rPr>
              <w:t>Net cash provided by operating activities</w:t>
            </w:r>
          </w:p>
        </w:tc>
        <w:tc>
          <w:tcPr>
            <w:tcW w:w="120" w:type="dxa"/>
            <w:vAlign w:val="bottom"/>
          </w:tcPr>
          <w:p>
            <w:pPr>
              <w:spacing w:after="0"/>
              <w:rPr>
                <w:sz w:val="15"/>
                <w:szCs w:val="15"/>
                <w:color w:val="auto"/>
              </w:rPr>
            </w:pPr>
          </w:p>
        </w:tc>
        <w:tc>
          <w:tcPr>
            <w:tcW w:w="13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719.3</w:t>
            </w:r>
          </w:p>
        </w:tc>
        <w:tc>
          <w:tcPr>
            <w:tcW w:w="120" w:type="dxa"/>
            <w:vAlign w:val="bottom"/>
          </w:tcPr>
          <w:p>
            <w:pPr>
              <w:spacing w:after="0"/>
              <w:rPr>
                <w:sz w:val="15"/>
                <w:szCs w:val="15"/>
                <w:color w:val="auto"/>
              </w:rPr>
            </w:pPr>
          </w:p>
        </w:tc>
        <w:tc>
          <w:tcPr>
            <w:tcW w:w="13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944.4</w:t>
            </w:r>
          </w:p>
        </w:tc>
        <w:tc>
          <w:tcPr>
            <w:tcW w:w="120" w:type="dxa"/>
            <w:vAlign w:val="bottom"/>
          </w:tcPr>
          <w:p>
            <w:pPr>
              <w:spacing w:after="0"/>
              <w:rPr>
                <w:sz w:val="15"/>
                <w:szCs w:val="15"/>
                <w:color w:val="auto"/>
              </w:rPr>
            </w:pPr>
          </w:p>
        </w:tc>
        <w:tc>
          <w:tcPr>
            <w:tcW w:w="1340" w:type="dxa"/>
            <w:vAlign w:val="bottom"/>
          </w:tcPr>
          <w:p>
            <w:pPr>
              <w:jc w:val="right"/>
              <w:ind w:right="59"/>
              <w:spacing w:after="0" w:line="183" w:lineRule="exact"/>
              <w:rPr>
                <w:sz w:val="20"/>
                <w:szCs w:val="20"/>
                <w:color w:val="auto"/>
              </w:rPr>
            </w:pPr>
            <w:r>
              <w:rPr>
                <w:rFonts w:ascii="Arial" w:cs="Arial" w:eastAsia="Arial" w:hAnsi="Arial"/>
                <w:sz w:val="16"/>
                <w:szCs w:val="16"/>
                <w:color w:val="auto"/>
              </w:rPr>
              <w:t>584.8</w:t>
            </w:r>
          </w:p>
        </w:tc>
      </w:tr>
      <w:tr>
        <w:trPr>
          <w:trHeight w:val="189"/>
        </w:trPr>
        <w:tc>
          <w:tcPr>
            <w:tcW w:w="6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r>
      <w:tr>
        <w:trPr>
          <w:trHeight w:val="189"/>
        </w:trPr>
        <w:tc>
          <w:tcPr>
            <w:tcW w:w="6900" w:type="dxa"/>
            <w:vAlign w:val="bottom"/>
          </w:tcPr>
          <w:p>
            <w:pPr>
              <w:ind w:left="20"/>
              <w:spacing w:after="0"/>
              <w:rPr>
                <w:sz w:val="20"/>
                <w:szCs w:val="20"/>
                <w:color w:val="auto"/>
              </w:rPr>
            </w:pPr>
            <w:r>
              <w:rPr>
                <w:rFonts w:ascii="Arial" w:cs="Arial" w:eastAsia="Arial" w:hAnsi="Arial"/>
                <w:sz w:val="16"/>
                <w:szCs w:val="16"/>
                <w:color w:val="auto"/>
              </w:rPr>
              <w:t>Investing activities:</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9"/>
        </w:trPr>
        <w:tc>
          <w:tcPr>
            <w:tcW w:w="69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Property, plant and equipment additions</w:t>
            </w: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(744.2 )</w:t>
            </w: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(555.6 )</w:t>
            </w:r>
          </w:p>
        </w:tc>
        <w:tc>
          <w:tcPr>
            <w:tcW w:w="12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(604.4 )</w:t>
            </w:r>
          </w:p>
        </w:tc>
      </w:tr>
      <w:tr>
        <w:trPr>
          <w:trHeight w:val="189"/>
        </w:trPr>
        <w:tc>
          <w:tcPr>
            <w:tcW w:w="6900" w:type="dxa"/>
            <w:vAlign w:val="bottom"/>
          </w:tcPr>
          <w:p>
            <w:pPr>
              <w:ind w:left="120"/>
              <w:spacing w:after="0"/>
              <w:rPr>
                <w:sz w:val="20"/>
                <w:szCs w:val="20"/>
                <w:color w:val="auto"/>
              </w:rPr>
            </w:pPr>
            <w:r>
              <w:rPr>
                <w:rFonts w:ascii="Arial" w:cs="Arial" w:eastAsia="Arial" w:hAnsi="Arial"/>
                <w:sz w:val="16"/>
                <w:szCs w:val="16"/>
                <w:color w:val="auto"/>
              </w:rPr>
              <w:t>Other investing activities</w:t>
            </w: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(1.8 )</w:t>
            </w: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18.9</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0.5</w:t>
            </w:r>
          </w:p>
        </w:tc>
      </w:tr>
      <w:tr>
        <w:trPr>
          <w:trHeight w:val="183"/>
        </w:trPr>
        <w:tc>
          <w:tcPr>
            <w:tcW w:w="690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Net cash (used in) investing activities</w:t>
            </w:r>
          </w:p>
        </w:tc>
        <w:tc>
          <w:tcPr>
            <w:tcW w:w="1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(746.0 )</w:t>
            </w:r>
          </w:p>
        </w:tc>
        <w:tc>
          <w:tcPr>
            <w:tcW w:w="1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(536.7 )</w:t>
            </w:r>
          </w:p>
        </w:tc>
        <w:tc>
          <w:tcPr>
            <w:tcW w:w="1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(603.9 )</w:t>
            </w:r>
          </w:p>
        </w:tc>
      </w:tr>
      <w:tr>
        <w:trPr>
          <w:trHeight w:val="189"/>
        </w:trPr>
        <w:tc>
          <w:tcPr>
            <w:tcW w:w="6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9"/>
        </w:trPr>
        <w:tc>
          <w:tcPr>
            <w:tcW w:w="6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Financing activities:</w:t>
            </w: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r>
      <w:tr>
        <w:trPr>
          <w:trHeight w:val="189"/>
        </w:trPr>
        <w:tc>
          <w:tcPr>
            <w:tcW w:w="6900" w:type="dxa"/>
            <w:vAlign w:val="bottom"/>
          </w:tcPr>
          <w:p>
            <w:pPr>
              <w:ind w:left="120"/>
              <w:spacing w:after="0"/>
              <w:rPr>
                <w:sz w:val="20"/>
                <w:szCs w:val="20"/>
                <w:color w:val="auto"/>
              </w:rPr>
            </w:pPr>
            <w:r>
              <w:rPr>
                <w:rFonts w:ascii="Arial" w:cs="Arial" w:eastAsia="Arial" w:hAnsi="Arial"/>
                <w:sz w:val="16"/>
                <w:szCs w:val="16"/>
                <w:color w:val="auto"/>
              </w:rPr>
              <w:t>Dividends paid on common stock</w:t>
            </w: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(182.3 )</w:t>
            </w: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(168.1 )</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(156.7 )</w:t>
            </w:r>
          </w:p>
        </w:tc>
      </w:tr>
      <w:tr>
        <w:trPr>
          <w:trHeight w:val="189"/>
        </w:trPr>
        <w:tc>
          <w:tcPr>
            <w:tcW w:w="69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Common stock issued</w:t>
            </w: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181.4</w:t>
            </w: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118.3</w:t>
            </w:r>
          </w:p>
        </w:tc>
        <w:tc>
          <w:tcPr>
            <w:tcW w:w="12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90.1</w:t>
            </w:r>
          </w:p>
        </w:tc>
      </w:tr>
      <w:tr>
        <w:trPr>
          <w:trHeight w:val="189"/>
        </w:trPr>
        <w:tc>
          <w:tcPr>
            <w:tcW w:w="6900" w:type="dxa"/>
            <w:vAlign w:val="bottom"/>
          </w:tcPr>
          <w:p>
            <w:pPr>
              <w:ind w:left="120"/>
              <w:spacing w:after="0"/>
              <w:rPr>
                <w:sz w:val="20"/>
                <w:szCs w:val="20"/>
                <w:color w:val="auto"/>
              </w:rPr>
            </w:pPr>
            <w:r>
              <w:rPr>
                <w:rFonts w:ascii="Arial" w:cs="Arial" w:eastAsia="Arial" w:hAnsi="Arial"/>
                <w:sz w:val="16"/>
                <w:szCs w:val="16"/>
                <w:color w:val="auto"/>
              </w:rPr>
              <w:t>Net borrowings (payments) of Revolving Credit Facility and CP Program</w:t>
            </w:r>
          </w:p>
        </w:tc>
        <w:tc>
          <w:tcPr>
            <w:tcW w:w="12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133.8</w:t>
            </w: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(535.6 )</w:t>
            </w:r>
          </w:p>
        </w:tc>
        <w:tc>
          <w:tcPr>
            <w:tcW w:w="120" w:type="dxa"/>
            <w:vAlign w:val="bottom"/>
          </w:tcPr>
          <w:p>
            <w:pPr>
              <w:spacing w:after="0"/>
              <w:rPr>
                <w:sz w:val="16"/>
                <w:szCs w:val="16"/>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115.4</w:t>
            </w:r>
          </w:p>
        </w:tc>
      </w:tr>
      <w:tr>
        <w:trPr>
          <w:trHeight w:val="189"/>
        </w:trPr>
        <w:tc>
          <w:tcPr>
            <w:tcW w:w="69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Long-term debt - issuance</w:t>
            </w: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450.0</w:t>
            </w: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800.0</w:t>
            </w:r>
          </w:p>
        </w:tc>
        <w:tc>
          <w:tcPr>
            <w:tcW w:w="12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r>
      <w:tr>
        <w:trPr>
          <w:trHeight w:val="189"/>
        </w:trPr>
        <w:tc>
          <w:tcPr>
            <w:tcW w:w="6900" w:type="dxa"/>
            <w:vAlign w:val="bottom"/>
          </w:tcPr>
          <w:p>
            <w:pPr>
              <w:ind w:left="120"/>
              <w:spacing w:after="0"/>
              <w:rPr>
                <w:sz w:val="20"/>
                <w:szCs w:val="20"/>
                <w:color w:val="auto"/>
              </w:rPr>
            </w:pPr>
            <w:r>
              <w:rPr>
                <w:rFonts w:ascii="Arial" w:cs="Arial" w:eastAsia="Arial" w:hAnsi="Arial"/>
                <w:sz w:val="16"/>
                <w:szCs w:val="16"/>
                <w:color w:val="auto"/>
              </w:rPr>
              <w:t>Long-term debt - repayments</w:t>
            </w: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(600.0 )</w:t>
            </w: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(525.0 )</w:t>
            </w:r>
          </w:p>
        </w:tc>
        <w:tc>
          <w:tcPr>
            <w:tcW w:w="120" w:type="dxa"/>
            <w:vAlign w:val="bottom"/>
          </w:tcPr>
          <w:p>
            <w:pPr>
              <w:spacing w:after="0"/>
              <w:rPr>
                <w:sz w:val="16"/>
                <w:szCs w:val="16"/>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189"/>
        </w:trPr>
        <w:tc>
          <w:tcPr>
            <w:tcW w:w="69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Distributions to non-controlling interests</w:t>
            </w: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(17.4 )</w:t>
            </w: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(18.3 )</w:t>
            </w:r>
          </w:p>
        </w:tc>
        <w:tc>
          <w:tcPr>
            <w:tcW w:w="12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(17.4 )</w:t>
            </w:r>
          </w:p>
        </w:tc>
      </w:tr>
      <w:tr>
        <w:trPr>
          <w:trHeight w:val="189"/>
        </w:trPr>
        <w:tc>
          <w:tcPr>
            <w:tcW w:w="6900" w:type="dxa"/>
            <w:vAlign w:val="bottom"/>
          </w:tcPr>
          <w:p>
            <w:pPr>
              <w:ind w:left="120"/>
              <w:spacing w:after="0"/>
              <w:rPr>
                <w:sz w:val="20"/>
                <w:szCs w:val="20"/>
                <w:color w:val="auto"/>
              </w:rPr>
            </w:pPr>
            <w:r>
              <w:rPr>
                <w:rFonts w:ascii="Arial" w:cs="Arial" w:eastAsia="Arial" w:hAnsi="Arial"/>
                <w:sz w:val="16"/>
                <w:szCs w:val="16"/>
                <w:color w:val="auto"/>
              </w:rPr>
              <w:t>Other financing activities</w:t>
            </w: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(8.4 )</w:t>
            </w: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(13.0 )</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0.9</w:t>
            </w:r>
          </w:p>
        </w:tc>
      </w:tr>
      <w:tr>
        <w:trPr>
          <w:trHeight w:val="183"/>
        </w:trPr>
        <w:tc>
          <w:tcPr>
            <w:tcW w:w="690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Net cash provided by (used in) financing activities</w:t>
            </w:r>
          </w:p>
        </w:tc>
        <w:tc>
          <w:tcPr>
            <w:tcW w:w="1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(42.9 )</w:t>
            </w:r>
          </w:p>
        </w:tc>
        <w:tc>
          <w:tcPr>
            <w:tcW w:w="1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(341.7 )</w:t>
            </w:r>
          </w:p>
        </w:tc>
        <w:tc>
          <w:tcPr>
            <w:tcW w:w="12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32.3</w:t>
            </w:r>
          </w:p>
        </w:tc>
      </w:tr>
      <w:tr>
        <w:trPr>
          <w:trHeight w:val="189"/>
        </w:trPr>
        <w:tc>
          <w:tcPr>
            <w:tcW w:w="6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9"/>
        </w:trPr>
        <w:tc>
          <w:tcPr>
            <w:tcW w:w="69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Net change in cash, restricted cash and cash equivalents</w:t>
            </w: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(69.6 )</w:t>
            </w: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66.0</w:t>
            </w:r>
          </w:p>
        </w:tc>
        <w:tc>
          <w:tcPr>
            <w:tcW w:w="12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13.2</w:t>
            </w:r>
          </w:p>
        </w:tc>
      </w:tr>
      <w:tr>
        <w:trPr>
          <w:trHeight w:val="189"/>
        </w:trPr>
        <w:tc>
          <w:tcPr>
            <w:tcW w:w="6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9"/>
        </w:trPr>
        <w:tc>
          <w:tcPr>
            <w:tcW w:w="6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restricted cash and cash equivalents beginning of year</w:t>
            </w:r>
          </w:p>
        </w:tc>
        <w:tc>
          <w:tcPr>
            <w:tcW w:w="12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93.0</w:t>
            </w:r>
          </w:p>
        </w:tc>
        <w:tc>
          <w:tcPr>
            <w:tcW w:w="12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27.0</w:t>
            </w:r>
          </w:p>
        </w:tc>
        <w:tc>
          <w:tcPr>
            <w:tcW w:w="12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13.8</w:t>
            </w:r>
          </w:p>
        </w:tc>
      </w:tr>
      <w:tr>
        <w:trPr>
          <w:trHeight w:val="183"/>
        </w:trPr>
        <w:tc>
          <w:tcPr>
            <w:tcW w:w="6900" w:type="dxa"/>
            <w:vAlign w:val="bottom"/>
          </w:tcPr>
          <w:p>
            <w:pPr>
              <w:ind w:left="20"/>
              <w:spacing w:after="0" w:line="183" w:lineRule="exact"/>
              <w:rPr>
                <w:sz w:val="20"/>
                <w:szCs w:val="20"/>
                <w:color w:val="auto"/>
              </w:rPr>
            </w:pPr>
            <w:r>
              <w:rPr>
                <w:rFonts w:ascii="Arial" w:cs="Arial" w:eastAsia="Arial" w:hAnsi="Arial"/>
                <w:sz w:val="16"/>
                <w:szCs w:val="16"/>
                <w:color w:val="auto"/>
              </w:rPr>
              <w:t>Cash, restricted cash and cash equivalents end of year</w:t>
            </w:r>
          </w:p>
        </w:tc>
        <w:tc>
          <w:tcPr>
            <w:tcW w:w="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23.4</w:t>
            </w:r>
          </w:p>
        </w:tc>
        <w:tc>
          <w:tcPr>
            <w:tcW w:w="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93.0</w:t>
            </w:r>
          </w:p>
        </w:tc>
        <w:tc>
          <w:tcPr>
            <w:tcW w:w="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27.0</w:t>
            </w:r>
          </w:p>
        </w:tc>
      </w:tr>
      <w:tr>
        <w:trPr>
          <w:trHeight w:val="20"/>
        </w:trPr>
        <w:tc>
          <w:tcPr>
            <w:tcW w:w="6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70"/>
        </w:trPr>
        <w:tc>
          <w:tcPr>
            <w:tcW w:w="6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r>
      <w:tr>
        <w:trPr>
          <w:trHeight w:val="189"/>
        </w:trPr>
        <w:tc>
          <w:tcPr>
            <w:tcW w:w="6900" w:type="dxa"/>
            <w:vAlign w:val="bottom"/>
          </w:tcPr>
          <w:p>
            <w:pPr>
              <w:ind w:left="20"/>
              <w:spacing w:after="0"/>
              <w:rPr>
                <w:sz w:val="20"/>
                <w:szCs w:val="20"/>
                <w:color w:val="auto"/>
              </w:rPr>
            </w:pPr>
            <w:r>
              <w:rPr>
                <w:rFonts w:ascii="Arial" w:cs="Arial" w:eastAsia="Arial" w:hAnsi="Arial"/>
                <w:sz w:val="16"/>
                <w:szCs w:val="16"/>
                <w:color w:val="auto"/>
              </w:rPr>
              <w:t>Supplemental cash flow information:</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9"/>
        </w:trPr>
        <w:tc>
          <w:tcPr>
            <w:tcW w:w="69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Cash (paid) received during the period:</w:t>
            </w: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r>
      <w:tr>
        <w:trPr>
          <w:trHeight w:val="189"/>
        </w:trPr>
        <w:tc>
          <w:tcPr>
            <w:tcW w:w="6900" w:type="dxa"/>
            <w:vAlign w:val="bottom"/>
          </w:tcPr>
          <w:p>
            <w:pPr>
              <w:ind w:left="200"/>
              <w:spacing w:after="0"/>
              <w:rPr>
                <w:sz w:val="20"/>
                <w:szCs w:val="20"/>
                <w:color w:val="auto"/>
              </w:rPr>
            </w:pPr>
            <w:r>
              <w:rPr>
                <w:rFonts w:ascii="Arial" w:cs="Arial" w:eastAsia="Arial" w:hAnsi="Arial"/>
                <w:sz w:val="16"/>
                <w:szCs w:val="16"/>
                <w:color w:val="auto"/>
              </w:rPr>
              <w:t>Interest (net of amounts capitalized)</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(174.4 ) $</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(157.3 ) $</w:t>
            </w:r>
          </w:p>
        </w:tc>
        <w:tc>
          <w:tcPr>
            <w:tcW w:w="1340" w:type="dxa"/>
            <w:vAlign w:val="bottom"/>
          </w:tcPr>
          <w:p>
            <w:pPr>
              <w:jc w:val="right"/>
              <w:spacing w:after="0"/>
              <w:rPr>
                <w:sz w:val="20"/>
                <w:szCs w:val="20"/>
                <w:color w:val="auto"/>
              </w:rPr>
            </w:pPr>
            <w:r>
              <w:rPr>
                <w:rFonts w:ascii="Arial" w:cs="Arial" w:eastAsia="Arial" w:hAnsi="Arial"/>
                <w:sz w:val="16"/>
                <w:szCs w:val="16"/>
                <w:color w:val="auto"/>
              </w:rPr>
              <w:t>(152.5 )</w:t>
            </w:r>
          </w:p>
        </w:tc>
      </w:tr>
      <w:tr>
        <w:trPr>
          <w:trHeight w:val="189"/>
        </w:trPr>
        <w:tc>
          <w:tcPr>
            <w:tcW w:w="69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Income taxes net of transferred tax credits (Note 15)</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14.4</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(1.0 ) $</w:t>
            </w: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0.8</w:t>
            </w:r>
          </w:p>
        </w:tc>
      </w:tr>
      <w:tr>
        <w:trPr>
          <w:trHeight w:val="189"/>
        </w:trPr>
        <w:tc>
          <w:tcPr>
            <w:tcW w:w="6900" w:type="dxa"/>
            <w:vAlign w:val="bottom"/>
          </w:tcPr>
          <w:p>
            <w:pPr>
              <w:ind w:left="120"/>
              <w:spacing w:after="0"/>
              <w:rPr>
                <w:sz w:val="20"/>
                <w:szCs w:val="20"/>
                <w:color w:val="auto"/>
              </w:rPr>
            </w:pPr>
            <w:r>
              <w:rPr>
                <w:rFonts w:ascii="Arial" w:cs="Arial" w:eastAsia="Arial" w:hAnsi="Arial"/>
                <w:sz w:val="16"/>
                <w:szCs w:val="16"/>
                <w:color w:val="auto"/>
              </w:rPr>
              <w:t>Non-cash investing and financing activities:</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9"/>
        </w:trPr>
        <w:tc>
          <w:tcPr>
            <w:tcW w:w="69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Accrued property, plant and equipment purchases at December 31</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80.2</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52.4</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59.3</w:t>
            </w:r>
          </w:p>
        </w:tc>
      </w:tr>
      <w:tr>
        <w:trPr>
          <w:trHeight w:val="215"/>
        </w:trPr>
        <w:tc>
          <w:tcPr>
            <w:tcW w:w="6900" w:type="dxa"/>
            <w:vAlign w:val="bottom"/>
          </w:tcPr>
          <w:p>
            <w:pPr>
              <w:ind w:left="200"/>
              <w:spacing w:after="0"/>
              <w:rPr>
                <w:sz w:val="20"/>
                <w:szCs w:val="20"/>
                <w:color w:val="auto"/>
              </w:rPr>
            </w:pPr>
            <w:r>
              <w:rPr>
                <w:rFonts w:ascii="Arial" w:cs="Arial" w:eastAsia="Arial" w:hAnsi="Arial"/>
                <w:sz w:val="16"/>
                <w:szCs w:val="16"/>
                <w:color w:val="auto"/>
              </w:rPr>
              <w:t>Increase in capitalized assets associated with asset retirement obligations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0.4</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3.8</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14.0</w:t>
            </w: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The accompanying </w:t>
      </w:r>
      <w:r>
        <w:rPr>
          <w:rFonts w:ascii="Arial" w:cs="Arial" w:eastAsia="Arial" w:hAnsi="Arial"/>
          <w:sz w:val="14"/>
          <w:szCs w:val="14"/>
          <w:u w:val="single" w:color="auto"/>
          <w:color w:val="0000FF"/>
        </w:rPr>
        <w:t>Notes to Consolidated Financial Statements</w:t>
      </w:r>
      <w:r>
        <w:rPr>
          <w:rFonts w:ascii="Arial" w:cs="Arial" w:eastAsia="Arial" w:hAnsi="Arial"/>
          <w:sz w:val="14"/>
          <w:szCs w:val="14"/>
          <w:color w:val="auto"/>
        </w:rPr>
        <w:t xml:space="preserve">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1778635</wp:posOffset>
            </wp:positionH>
            <wp:positionV relativeFrom="paragraph">
              <wp:posOffset>-1270</wp:posOffset>
            </wp:positionV>
            <wp:extent cx="177736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777365" cy="8890"/>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EQUITY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20" w:type="dxa"/>
            <w:vAlign w:val="bottom"/>
          </w:tcPr>
          <w:p>
            <w:pPr>
              <w:spacing w:after="0"/>
              <w:rPr>
                <w:sz w:val="14"/>
                <w:szCs w:val="14"/>
                <w:color w:val="auto"/>
              </w:rPr>
            </w:pPr>
          </w:p>
        </w:tc>
        <w:tc>
          <w:tcPr>
            <w:tcW w:w="1760" w:type="dxa"/>
            <w:vAlign w:val="bottom"/>
            <w:gridSpan w:val="3"/>
          </w:tcPr>
          <w:p>
            <w:pPr>
              <w:jc w:val="right"/>
              <w:ind w:right="348"/>
              <w:spacing w:after="0"/>
              <w:rPr>
                <w:sz w:val="20"/>
                <w:szCs w:val="20"/>
                <w:color w:val="auto"/>
              </w:rPr>
            </w:pPr>
            <w:r>
              <w:rPr>
                <w:rFonts w:ascii="Arial" w:cs="Arial" w:eastAsia="Arial" w:hAnsi="Arial"/>
                <w:sz w:val="14"/>
                <w:szCs w:val="14"/>
                <w:b w:val="1"/>
                <w:bCs w:val="1"/>
                <w:color w:val="auto"/>
              </w:rPr>
              <w:t>Common Stock</w:t>
            </w:r>
          </w:p>
        </w:tc>
        <w:tc>
          <w:tcPr>
            <w:tcW w:w="1820" w:type="dxa"/>
            <w:vAlign w:val="bottom"/>
            <w:gridSpan w:val="4"/>
          </w:tcPr>
          <w:p>
            <w:pPr>
              <w:jc w:val="right"/>
              <w:ind w:right="448"/>
              <w:spacing w:after="0"/>
              <w:rPr>
                <w:sz w:val="20"/>
                <w:szCs w:val="20"/>
                <w:color w:val="auto"/>
              </w:rPr>
            </w:pPr>
            <w:r>
              <w:rPr>
                <w:rFonts w:ascii="Arial" w:cs="Arial" w:eastAsia="Arial" w:hAnsi="Arial"/>
                <w:sz w:val="14"/>
                <w:szCs w:val="14"/>
                <w:b w:val="1"/>
                <w:bCs w:val="1"/>
                <w:color w:val="auto"/>
              </w:rPr>
              <w:t>Treasury Stock</w:t>
            </w: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46"/>
        </w:trPr>
        <w:tc>
          <w:tcPr>
            <w:tcW w:w="292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0" w:type="dxa"/>
            <w:vAlign w:val="bottom"/>
            <w:gridSpan w:val="2"/>
          </w:tcPr>
          <w:p>
            <w:pPr>
              <w:jc w:val="center"/>
              <w:ind w:right="68"/>
              <w:spacing w:after="0" w:line="147" w:lineRule="exact"/>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jc w:val="center"/>
              <w:ind w:right="208"/>
              <w:spacing w:after="0" w:line="147" w:lineRule="exact"/>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62"/>
        </w:trPr>
        <w:tc>
          <w:tcPr>
            <w:tcW w:w="2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208"/>
              <w:spacing w:after="0"/>
              <w:rPr>
                <w:sz w:val="20"/>
                <w:szCs w:val="20"/>
                <w:color w:val="auto"/>
              </w:rPr>
            </w:pPr>
            <w:r>
              <w:rPr>
                <w:rFonts w:ascii="Arial" w:cs="Arial" w:eastAsia="Arial" w:hAnsi="Arial"/>
                <w:sz w:val="14"/>
                <w:szCs w:val="14"/>
                <w:b w:val="1"/>
                <w:bCs w:val="1"/>
                <w:color w:val="auto"/>
              </w:rPr>
              <w:t>Paid in</w:t>
            </w:r>
          </w:p>
        </w:tc>
        <w:tc>
          <w:tcPr>
            <w:tcW w:w="14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4"/>
                <w:szCs w:val="14"/>
                <w:color w:val="auto"/>
              </w:rPr>
            </w:pPr>
          </w:p>
        </w:tc>
        <w:tc>
          <w:tcPr>
            <w:tcW w:w="1660" w:type="dxa"/>
            <w:vAlign w:val="bottom"/>
            <w:gridSpan w:val="2"/>
          </w:tcPr>
          <w:p>
            <w:pPr>
              <w:jc w:val="center"/>
              <w:ind w:left="528"/>
              <w:spacing w:after="0"/>
              <w:rPr>
                <w:sz w:val="20"/>
                <w:szCs w:val="20"/>
                <w:color w:val="auto"/>
              </w:rPr>
            </w:pPr>
            <w:r>
              <w:rPr>
                <w:rFonts w:ascii="Arial" w:cs="Arial" w:eastAsia="Arial" w:hAnsi="Arial"/>
                <w:sz w:val="14"/>
                <w:szCs w:val="14"/>
                <w:b w:val="1"/>
                <w:bCs w:val="1"/>
                <w:color w:val="auto"/>
              </w:rPr>
              <w:t>controlling</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1"/>
        </w:trPr>
        <w:tc>
          <w:tcPr>
            <w:tcW w:w="2920" w:type="dxa"/>
            <w:vAlign w:val="bottom"/>
          </w:tcPr>
          <w:p>
            <w:pPr>
              <w:spacing w:after="0"/>
              <w:rPr>
                <w:sz w:val="14"/>
                <w:szCs w:val="14"/>
                <w:color w:val="auto"/>
              </w:rPr>
            </w:pPr>
          </w:p>
        </w:tc>
        <w:tc>
          <w:tcPr>
            <w:tcW w:w="9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Shares</w:t>
            </w: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96"/>
              </w:rPr>
              <w:t>Value</w:t>
            </w:r>
          </w:p>
        </w:tc>
        <w:tc>
          <w:tcPr>
            <w:tcW w:w="8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348"/>
              <w:spacing w:after="0"/>
              <w:rPr>
                <w:sz w:val="20"/>
                <w:szCs w:val="20"/>
                <w:color w:val="auto"/>
              </w:rPr>
            </w:pPr>
            <w:r>
              <w:rPr>
                <w:rFonts w:ascii="Arial" w:cs="Arial" w:eastAsia="Arial" w:hAnsi="Arial"/>
                <w:sz w:val="14"/>
                <w:szCs w:val="14"/>
                <w:b w:val="1"/>
                <w:bCs w:val="1"/>
                <w:color w:val="auto"/>
              </w:rPr>
              <w:t>Value</w:t>
            </w:r>
          </w:p>
        </w:tc>
        <w:tc>
          <w:tcPr>
            <w:tcW w:w="86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rPr>
              <w:t>Capital</w:t>
            </w: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Earnings</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AOCI</w:t>
            </w:r>
          </w:p>
        </w:tc>
        <w:tc>
          <w:tcPr>
            <w:tcW w:w="80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Interest</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Total</w:t>
            </w:r>
          </w:p>
        </w:tc>
      </w:tr>
      <w:tr>
        <w:trPr>
          <w:trHeight w:val="156"/>
        </w:trPr>
        <w:tc>
          <w:tcPr>
            <w:tcW w:w="292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5"/>
          </w:tcPr>
          <w:p>
            <w:pPr>
              <w:jc w:val="right"/>
              <w:ind w:right="188"/>
              <w:spacing w:after="0" w:line="155" w:lineRule="exact"/>
              <w:rPr>
                <w:sz w:val="20"/>
                <w:szCs w:val="20"/>
                <w:color w:val="auto"/>
              </w:rPr>
            </w:pPr>
            <w:r>
              <w:rPr>
                <w:rFonts w:ascii="Arial" w:cs="Arial" w:eastAsia="Arial" w:hAnsi="Arial"/>
                <w:sz w:val="14"/>
                <w:szCs w:val="14"/>
                <w:color w:val="auto"/>
              </w:rPr>
              <w:t>(in millions except share amounts)</w:t>
            </w: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r>
      <w:tr>
        <w:trPr>
          <w:trHeight w:val="155"/>
        </w:trPr>
        <w:tc>
          <w:tcPr>
            <w:tcW w:w="2920" w:type="dxa"/>
            <w:vAlign w:val="bottom"/>
            <w:shd w:val="clear" w:color="auto" w:fill="CFF0FC"/>
          </w:tcPr>
          <w:p>
            <w:pPr>
              <w:ind w:left="20"/>
              <w:spacing w:after="0" w:line="155" w:lineRule="exact"/>
              <w:rPr>
                <w:sz w:val="20"/>
                <w:szCs w:val="20"/>
                <w:color w:val="auto"/>
              </w:rPr>
            </w:pPr>
            <w:r>
              <w:rPr>
                <w:rFonts w:ascii="Arial" w:cs="Arial" w:eastAsia="Arial" w:hAnsi="Arial"/>
                <w:sz w:val="14"/>
                <w:szCs w:val="14"/>
                <w:b w:val="1"/>
                <w:bCs w:val="1"/>
                <w:color w:val="auto"/>
              </w:rPr>
              <w:t>Balance at December 31, 2021</w:t>
            </w:r>
          </w:p>
        </w:tc>
        <w:tc>
          <w:tcPr>
            <w:tcW w:w="980" w:type="dxa"/>
            <w:vAlign w:val="bottom"/>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64,793,095</w:t>
            </w:r>
          </w:p>
        </w:tc>
        <w:tc>
          <w:tcPr>
            <w:tcW w:w="1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64.8</w:t>
            </w:r>
          </w:p>
        </w:tc>
        <w:tc>
          <w:tcPr>
            <w:tcW w:w="86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54,078</w:t>
            </w:r>
          </w:p>
        </w:tc>
        <w:tc>
          <w:tcPr>
            <w:tcW w:w="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(3.5 ) $</w:t>
            </w:r>
          </w:p>
        </w:tc>
        <w:tc>
          <w:tcPr>
            <w:tcW w:w="86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1,783.4</w:t>
            </w:r>
          </w:p>
        </w:tc>
        <w:tc>
          <w:tcPr>
            <w:tcW w:w="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962.4</w:t>
            </w:r>
          </w:p>
        </w:tc>
        <w:tc>
          <w:tcPr>
            <w:tcW w:w="1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(20.1 ) $</w:t>
            </w:r>
          </w:p>
        </w:tc>
        <w:tc>
          <w:tcPr>
            <w:tcW w:w="80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100.0</w:t>
            </w:r>
          </w:p>
        </w:tc>
        <w:tc>
          <w:tcPr>
            <w:tcW w:w="200" w:type="dxa"/>
            <w:vAlign w:val="bottom"/>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2,887.0</w:t>
            </w:r>
          </w:p>
        </w:tc>
      </w:tr>
      <w:tr>
        <w:trPr>
          <w:trHeight w:val="162"/>
        </w:trPr>
        <w:tc>
          <w:tcPr>
            <w:tcW w:w="29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258.4</w:t>
            </w:r>
          </w:p>
        </w:tc>
        <w:tc>
          <w:tcPr>
            <w:tcW w:w="1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12.4</w:t>
            </w:r>
          </w:p>
        </w:tc>
        <w:tc>
          <w:tcPr>
            <w:tcW w:w="2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270.8</w:t>
            </w:r>
          </w:p>
        </w:tc>
      </w:tr>
      <w:tr>
        <w:trPr>
          <w:trHeight w:val="162"/>
        </w:trPr>
        <w:tc>
          <w:tcPr>
            <w:tcW w:w="292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comprehensive income, net of tax</w:t>
            </w:r>
          </w:p>
        </w:tc>
        <w:tc>
          <w:tcPr>
            <w:tcW w:w="9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4.5</w:t>
            </w: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4.5</w:t>
            </w:r>
          </w:p>
        </w:tc>
      </w:tr>
      <w:tr>
        <w:trPr>
          <w:trHeight w:val="153"/>
        </w:trPr>
        <w:tc>
          <w:tcPr>
            <w:tcW w:w="2920" w:type="dxa"/>
            <w:vAlign w:val="bottom"/>
          </w:tcPr>
          <w:p>
            <w:pPr>
              <w:ind w:left="20"/>
              <w:spacing w:after="0" w:line="153" w:lineRule="exact"/>
              <w:rPr>
                <w:sz w:val="20"/>
                <w:szCs w:val="20"/>
                <w:color w:val="auto"/>
              </w:rPr>
            </w:pPr>
            <w:r>
              <w:rPr>
                <w:rFonts w:ascii="Arial" w:cs="Arial" w:eastAsia="Arial" w:hAnsi="Arial"/>
                <w:sz w:val="14"/>
                <w:szCs w:val="14"/>
                <w:color w:val="auto"/>
              </w:rPr>
              <w:t>Dividends on common stock ($2.41 per</w:t>
            </w: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71"/>
        </w:trPr>
        <w:tc>
          <w:tcPr>
            <w:tcW w:w="2920" w:type="dxa"/>
            <w:vAlign w:val="bottom"/>
          </w:tcPr>
          <w:p>
            <w:pPr>
              <w:ind w:left="20"/>
              <w:spacing w:after="0"/>
              <w:rPr>
                <w:sz w:val="20"/>
                <w:szCs w:val="20"/>
                <w:color w:val="auto"/>
              </w:rPr>
            </w:pPr>
            <w:r>
              <w:rPr>
                <w:rFonts w:ascii="Arial" w:cs="Arial" w:eastAsia="Arial" w:hAnsi="Arial"/>
                <w:sz w:val="14"/>
                <w:szCs w:val="14"/>
                <w:color w:val="auto"/>
              </w:rPr>
              <w:t>share)</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(156.7 )</w:t>
            </w:r>
          </w:p>
        </w:tc>
        <w:tc>
          <w:tcPr>
            <w:tcW w:w="1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(156.7 )</w:t>
            </w:r>
          </w:p>
        </w:tc>
      </w:tr>
      <w:tr>
        <w:trPr>
          <w:trHeight w:val="162"/>
        </w:trPr>
        <w:tc>
          <w:tcPr>
            <w:tcW w:w="29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Share-based compensation</w:t>
            </w:r>
          </w:p>
        </w:tc>
        <w:tc>
          <w:tcPr>
            <w:tcW w:w="9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39,546</w:t>
            </w: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(17,352 )</w:t>
            </w: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1.1</w:t>
            </w: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10.5</w:t>
            </w: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11.6</w:t>
            </w:r>
          </w:p>
        </w:tc>
      </w:tr>
      <w:tr>
        <w:trPr>
          <w:trHeight w:val="162"/>
        </w:trPr>
        <w:tc>
          <w:tcPr>
            <w:tcW w:w="2920" w:type="dxa"/>
            <w:vAlign w:val="bottom"/>
          </w:tcPr>
          <w:p>
            <w:pPr>
              <w:ind w:left="20"/>
              <w:spacing w:after="0"/>
              <w:rPr>
                <w:sz w:val="20"/>
                <w:szCs w:val="20"/>
                <w:color w:val="auto"/>
              </w:rPr>
            </w:pPr>
            <w:r>
              <w:rPr>
                <w:rFonts w:ascii="Arial" w:cs="Arial" w:eastAsia="Arial" w:hAnsi="Arial"/>
                <w:sz w:val="14"/>
                <w:szCs w:val="14"/>
                <w:color w:val="auto"/>
              </w:rPr>
              <w:t>Issuance of common stock</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1,307,755</w:t>
            </w:r>
          </w:p>
        </w:tc>
        <w:tc>
          <w:tcPr>
            <w:tcW w:w="16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1.3</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89.9</w:t>
            </w:r>
          </w:p>
        </w:tc>
        <w:tc>
          <w:tcPr>
            <w:tcW w:w="14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91.2</w:t>
            </w:r>
          </w:p>
        </w:tc>
      </w:tr>
      <w:tr>
        <w:trPr>
          <w:trHeight w:val="162"/>
        </w:trPr>
        <w:tc>
          <w:tcPr>
            <w:tcW w:w="29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costs</w:t>
            </w:r>
          </w:p>
        </w:tc>
        <w:tc>
          <w:tcPr>
            <w:tcW w:w="9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(1.1 )</w:t>
            </w: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(1.1 )</w:t>
            </w:r>
          </w:p>
        </w:tc>
      </w:tr>
      <w:tr>
        <w:trPr>
          <w:trHeight w:val="162"/>
        </w:trPr>
        <w:tc>
          <w:tcPr>
            <w:tcW w:w="2920" w:type="dxa"/>
            <w:vAlign w:val="bottom"/>
          </w:tcPr>
          <w:p>
            <w:pPr>
              <w:ind w:left="20"/>
              <w:spacing w:after="0"/>
              <w:rPr>
                <w:sz w:val="20"/>
                <w:szCs w:val="20"/>
                <w:color w:val="auto"/>
              </w:rPr>
            </w:pPr>
            <w:r>
              <w:rPr>
                <w:rFonts w:ascii="Arial" w:cs="Arial" w:eastAsia="Arial" w:hAnsi="Arial"/>
                <w:sz w:val="14"/>
                <w:szCs w:val="14"/>
                <w:color w:val="auto"/>
              </w:rPr>
              <w:t>Distributions to non-controlling interest</w:t>
            </w: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(17.4 )</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(17.4 )</w:t>
            </w:r>
          </w:p>
        </w:tc>
      </w:tr>
      <w:tr>
        <w:trPr>
          <w:trHeight w:val="155"/>
        </w:trPr>
        <w:tc>
          <w:tcPr>
            <w:tcW w:w="2920" w:type="dxa"/>
            <w:vAlign w:val="bottom"/>
            <w:shd w:val="clear" w:color="auto" w:fill="CFF0FC"/>
          </w:tcPr>
          <w:p>
            <w:pPr>
              <w:ind w:left="20"/>
              <w:spacing w:after="0" w:line="155" w:lineRule="exact"/>
              <w:rPr>
                <w:sz w:val="20"/>
                <w:szCs w:val="20"/>
                <w:color w:val="auto"/>
              </w:rPr>
            </w:pPr>
            <w:r>
              <w:rPr>
                <w:rFonts w:ascii="Arial" w:cs="Arial" w:eastAsia="Arial" w:hAnsi="Arial"/>
                <w:sz w:val="14"/>
                <w:szCs w:val="14"/>
                <w:b w:val="1"/>
                <w:bCs w:val="1"/>
                <w:color w:val="auto"/>
              </w:rPr>
              <w:t>Balance at December 31, 2022</w:t>
            </w:r>
          </w:p>
        </w:tc>
        <w:tc>
          <w:tcPr>
            <w:tcW w:w="980" w:type="dxa"/>
            <w:vAlign w:val="bottom"/>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66,140,396</w:t>
            </w:r>
          </w:p>
        </w:tc>
        <w:tc>
          <w:tcPr>
            <w:tcW w:w="1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66.1</w:t>
            </w:r>
          </w:p>
        </w:tc>
        <w:tc>
          <w:tcPr>
            <w:tcW w:w="86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36,726</w:t>
            </w:r>
          </w:p>
        </w:tc>
        <w:tc>
          <w:tcPr>
            <w:tcW w:w="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(2.4 ) $</w:t>
            </w:r>
          </w:p>
        </w:tc>
        <w:tc>
          <w:tcPr>
            <w:tcW w:w="86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1,882.7</w:t>
            </w:r>
          </w:p>
        </w:tc>
        <w:tc>
          <w:tcPr>
            <w:tcW w:w="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1,064.1</w:t>
            </w:r>
          </w:p>
        </w:tc>
        <w:tc>
          <w:tcPr>
            <w:tcW w:w="1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(15.6 ) $</w:t>
            </w:r>
          </w:p>
        </w:tc>
        <w:tc>
          <w:tcPr>
            <w:tcW w:w="80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95.0</w:t>
            </w:r>
          </w:p>
        </w:tc>
        <w:tc>
          <w:tcPr>
            <w:tcW w:w="200" w:type="dxa"/>
            <w:vAlign w:val="bottom"/>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3,089.9</w:t>
            </w:r>
          </w:p>
        </w:tc>
      </w:tr>
      <w:tr>
        <w:trPr>
          <w:trHeight w:val="162"/>
        </w:trPr>
        <w:tc>
          <w:tcPr>
            <w:tcW w:w="29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262.2</w:t>
            </w:r>
          </w:p>
        </w:tc>
        <w:tc>
          <w:tcPr>
            <w:tcW w:w="1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13.8</w:t>
            </w:r>
          </w:p>
        </w:tc>
        <w:tc>
          <w:tcPr>
            <w:tcW w:w="2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276.0</w:t>
            </w:r>
          </w:p>
        </w:tc>
      </w:tr>
      <w:tr>
        <w:trPr>
          <w:trHeight w:val="162"/>
        </w:trPr>
        <w:tc>
          <w:tcPr>
            <w:tcW w:w="292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comprehensive income, net of tax</w:t>
            </w:r>
          </w:p>
        </w:tc>
        <w:tc>
          <w:tcPr>
            <w:tcW w:w="9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0.8</w:t>
            </w: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0.8</w:t>
            </w:r>
          </w:p>
        </w:tc>
      </w:tr>
      <w:tr>
        <w:trPr>
          <w:trHeight w:val="153"/>
        </w:trPr>
        <w:tc>
          <w:tcPr>
            <w:tcW w:w="2920" w:type="dxa"/>
            <w:vAlign w:val="bottom"/>
          </w:tcPr>
          <w:p>
            <w:pPr>
              <w:ind w:left="20"/>
              <w:spacing w:after="0" w:line="153" w:lineRule="exact"/>
              <w:rPr>
                <w:sz w:val="20"/>
                <w:szCs w:val="20"/>
                <w:color w:val="auto"/>
              </w:rPr>
            </w:pPr>
            <w:r>
              <w:rPr>
                <w:rFonts w:ascii="Arial" w:cs="Arial" w:eastAsia="Arial" w:hAnsi="Arial"/>
                <w:sz w:val="14"/>
                <w:szCs w:val="14"/>
                <w:color w:val="auto"/>
              </w:rPr>
              <w:t>Dividends on common stock ($2.50 per</w:t>
            </w: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71"/>
        </w:trPr>
        <w:tc>
          <w:tcPr>
            <w:tcW w:w="2920" w:type="dxa"/>
            <w:vAlign w:val="bottom"/>
          </w:tcPr>
          <w:p>
            <w:pPr>
              <w:ind w:left="20"/>
              <w:spacing w:after="0"/>
              <w:rPr>
                <w:sz w:val="20"/>
                <w:szCs w:val="20"/>
                <w:color w:val="auto"/>
              </w:rPr>
            </w:pPr>
            <w:r>
              <w:rPr>
                <w:rFonts w:ascii="Arial" w:cs="Arial" w:eastAsia="Arial" w:hAnsi="Arial"/>
                <w:sz w:val="14"/>
                <w:szCs w:val="14"/>
                <w:color w:val="auto"/>
              </w:rPr>
              <w:t>share)</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(168.1 )</w:t>
            </w:r>
          </w:p>
        </w:tc>
        <w:tc>
          <w:tcPr>
            <w:tcW w:w="1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(168.1 )</w:t>
            </w:r>
          </w:p>
        </w:tc>
      </w:tr>
      <w:tr>
        <w:trPr>
          <w:trHeight w:val="162"/>
        </w:trPr>
        <w:tc>
          <w:tcPr>
            <w:tcW w:w="29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Share-based compensation</w:t>
            </w:r>
          </w:p>
        </w:tc>
        <w:tc>
          <w:tcPr>
            <w:tcW w:w="9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93,257</w:t>
            </w: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0.1</w:t>
            </w: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31,347</w:t>
            </w: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(1.7 )</w:t>
            </w: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8.8</w:t>
            </w: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7.2</w:t>
            </w:r>
          </w:p>
        </w:tc>
      </w:tr>
      <w:tr>
        <w:trPr>
          <w:trHeight w:val="162"/>
        </w:trPr>
        <w:tc>
          <w:tcPr>
            <w:tcW w:w="2920" w:type="dxa"/>
            <w:vAlign w:val="bottom"/>
          </w:tcPr>
          <w:p>
            <w:pPr>
              <w:ind w:left="20"/>
              <w:spacing w:after="0"/>
              <w:rPr>
                <w:sz w:val="20"/>
                <w:szCs w:val="20"/>
                <w:color w:val="auto"/>
              </w:rPr>
            </w:pPr>
            <w:r>
              <w:rPr>
                <w:rFonts w:ascii="Arial" w:cs="Arial" w:eastAsia="Arial" w:hAnsi="Arial"/>
                <w:sz w:val="14"/>
                <w:szCs w:val="14"/>
                <w:color w:val="auto"/>
              </w:rPr>
              <w:t>Issuance of common stock</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2,031,389</w:t>
            </w:r>
          </w:p>
        </w:tc>
        <w:tc>
          <w:tcPr>
            <w:tcW w:w="16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2.1</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117.9</w:t>
            </w:r>
          </w:p>
        </w:tc>
        <w:tc>
          <w:tcPr>
            <w:tcW w:w="14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120.0</w:t>
            </w:r>
          </w:p>
        </w:tc>
      </w:tr>
      <w:tr>
        <w:trPr>
          <w:trHeight w:val="162"/>
        </w:trPr>
        <w:tc>
          <w:tcPr>
            <w:tcW w:w="29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costs</w:t>
            </w:r>
          </w:p>
        </w:tc>
        <w:tc>
          <w:tcPr>
            <w:tcW w:w="9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(1.7 )</w:t>
            </w: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(1.7 )</w:t>
            </w:r>
          </w:p>
        </w:tc>
      </w:tr>
      <w:tr>
        <w:trPr>
          <w:trHeight w:val="162"/>
        </w:trPr>
        <w:tc>
          <w:tcPr>
            <w:tcW w:w="2920" w:type="dxa"/>
            <w:vAlign w:val="bottom"/>
          </w:tcPr>
          <w:p>
            <w:pPr>
              <w:ind w:left="20"/>
              <w:spacing w:after="0"/>
              <w:rPr>
                <w:sz w:val="20"/>
                <w:szCs w:val="20"/>
                <w:color w:val="auto"/>
              </w:rPr>
            </w:pPr>
            <w:r>
              <w:rPr>
                <w:rFonts w:ascii="Arial" w:cs="Arial" w:eastAsia="Arial" w:hAnsi="Arial"/>
                <w:sz w:val="14"/>
                <w:szCs w:val="14"/>
                <w:color w:val="auto"/>
              </w:rPr>
              <w:t>Distributions to non-controlling interest</w:t>
            </w: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(18.3 )</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(18.3 )</w:t>
            </w:r>
          </w:p>
        </w:tc>
      </w:tr>
      <w:tr>
        <w:trPr>
          <w:trHeight w:val="156"/>
        </w:trPr>
        <w:tc>
          <w:tcPr>
            <w:tcW w:w="2920" w:type="dxa"/>
            <w:vAlign w:val="bottom"/>
            <w:shd w:val="clear" w:color="auto" w:fill="CFF0FC"/>
          </w:tcPr>
          <w:p>
            <w:pPr>
              <w:ind w:left="20"/>
              <w:spacing w:after="0" w:line="155" w:lineRule="exact"/>
              <w:rPr>
                <w:sz w:val="20"/>
                <w:szCs w:val="20"/>
                <w:color w:val="auto"/>
              </w:rPr>
            </w:pPr>
            <w:r>
              <w:rPr>
                <w:rFonts w:ascii="Arial" w:cs="Arial" w:eastAsia="Arial" w:hAnsi="Arial"/>
                <w:sz w:val="14"/>
                <w:szCs w:val="14"/>
                <w:b w:val="1"/>
                <w:bCs w:val="1"/>
                <w:color w:val="auto"/>
              </w:rPr>
              <w:t>Balance at December 31, 2023</w:t>
            </w:r>
          </w:p>
        </w:tc>
        <w:tc>
          <w:tcPr>
            <w:tcW w:w="980" w:type="dxa"/>
            <w:vAlign w:val="bottom"/>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68,265,042</w:t>
            </w:r>
          </w:p>
        </w:tc>
        <w:tc>
          <w:tcPr>
            <w:tcW w:w="1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68.3</w:t>
            </w:r>
          </w:p>
        </w:tc>
        <w:tc>
          <w:tcPr>
            <w:tcW w:w="86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68,073</w:t>
            </w:r>
          </w:p>
        </w:tc>
        <w:tc>
          <w:tcPr>
            <w:tcW w:w="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(4.1 ) $</w:t>
            </w:r>
          </w:p>
        </w:tc>
        <w:tc>
          <w:tcPr>
            <w:tcW w:w="86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2,007.7</w:t>
            </w:r>
          </w:p>
        </w:tc>
        <w:tc>
          <w:tcPr>
            <w:tcW w:w="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1,158.2</w:t>
            </w:r>
          </w:p>
        </w:tc>
        <w:tc>
          <w:tcPr>
            <w:tcW w:w="1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(14.8 ) $</w:t>
            </w:r>
          </w:p>
        </w:tc>
        <w:tc>
          <w:tcPr>
            <w:tcW w:w="80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90.5</w:t>
            </w:r>
          </w:p>
        </w:tc>
        <w:tc>
          <w:tcPr>
            <w:tcW w:w="200" w:type="dxa"/>
            <w:vAlign w:val="bottom"/>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3,305.8</w:t>
            </w:r>
          </w:p>
        </w:tc>
      </w:tr>
      <w:tr>
        <w:trPr>
          <w:trHeight w:val="162"/>
        </w:trPr>
        <w:tc>
          <w:tcPr>
            <w:tcW w:w="29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273.1</w:t>
            </w:r>
          </w:p>
        </w:tc>
        <w:tc>
          <w:tcPr>
            <w:tcW w:w="1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10.6</w:t>
            </w:r>
          </w:p>
        </w:tc>
        <w:tc>
          <w:tcPr>
            <w:tcW w:w="2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283.7</w:t>
            </w:r>
          </w:p>
        </w:tc>
      </w:tr>
      <w:tr>
        <w:trPr>
          <w:trHeight w:val="162"/>
        </w:trPr>
        <w:tc>
          <w:tcPr>
            <w:tcW w:w="292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comprehensive income, net of tax</w:t>
            </w:r>
          </w:p>
        </w:tc>
        <w:tc>
          <w:tcPr>
            <w:tcW w:w="9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5.4</w:t>
            </w: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5.4</w:t>
            </w:r>
          </w:p>
        </w:tc>
      </w:tr>
      <w:tr>
        <w:trPr>
          <w:trHeight w:val="153"/>
        </w:trPr>
        <w:tc>
          <w:tcPr>
            <w:tcW w:w="2920" w:type="dxa"/>
            <w:vAlign w:val="bottom"/>
          </w:tcPr>
          <w:p>
            <w:pPr>
              <w:ind w:left="20"/>
              <w:spacing w:after="0" w:line="153" w:lineRule="exact"/>
              <w:rPr>
                <w:sz w:val="20"/>
                <w:szCs w:val="20"/>
                <w:color w:val="auto"/>
              </w:rPr>
            </w:pPr>
            <w:r>
              <w:rPr>
                <w:rFonts w:ascii="Arial" w:cs="Arial" w:eastAsia="Arial" w:hAnsi="Arial"/>
                <w:sz w:val="14"/>
                <w:szCs w:val="14"/>
                <w:color w:val="auto"/>
              </w:rPr>
              <w:t>Dividends on common stock ($2.60 per</w:t>
            </w: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71"/>
        </w:trPr>
        <w:tc>
          <w:tcPr>
            <w:tcW w:w="2920" w:type="dxa"/>
            <w:vAlign w:val="bottom"/>
          </w:tcPr>
          <w:p>
            <w:pPr>
              <w:ind w:left="20"/>
              <w:spacing w:after="0"/>
              <w:rPr>
                <w:sz w:val="20"/>
                <w:szCs w:val="20"/>
                <w:color w:val="auto"/>
              </w:rPr>
            </w:pPr>
            <w:r>
              <w:rPr>
                <w:rFonts w:ascii="Arial" w:cs="Arial" w:eastAsia="Arial" w:hAnsi="Arial"/>
                <w:sz w:val="14"/>
                <w:szCs w:val="14"/>
                <w:color w:val="auto"/>
              </w:rPr>
              <w:t>share)</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(182.3 )</w:t>
            </w:r>
          </w:p>
        </w:tc>
        <w:tc>
          <w:tcPr>
            <w:tcW w:w="1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(182.3 )</w:t>
            </w:r>
          </w:p>
        </w:tc>
      </w:tr>
      <w:tr>
        <w:trPr>
          <w:trHeight w:val="162"/>
        </w:trPr>
        <w:tc>
          <w:tcPr>
            <w:tcW w:w="29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Share-based compensation</w:t>
            </w:r>
          </w:p>
        </w:tc>
        <w:tc>
          <w:tcPr>
            <w:tcW w:w="9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113,824</w:t>
            </w: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0.1</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(11,465 )</w:t>
            </w: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0.8</w:t>
            </w: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7.6</w:t>
            </w: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0.1</w:t>
            </w: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8.6</w:t>
            </w:r>
          </w:p>
        </w:tc>
      </w:tr>
      <w:tr>
        <w:trPr>
          <w:trHeight w:val="162"/>
        </w:trPr>
        <w:tc>
          <w:tcPr>
            <w:tcW w:w="2920" w:type="dxa"/>
            <w:vAlign w:val="bottom"/>
          </w:tcPr>
          <w:p>
            <w:pPr>
              <w:ind w:left="20"/>
              <w:spacing w:after="0"/>
              <w:rPr>
                <w:sz w:val="20"/>
                <w:szCs w:val="20"/>
                <w:color w:val="auto"/>
              </w:rPr>
            </w:pPr>
            <w:r>
              <w:rPr>
                <w:rFonts w:ascii="Arial" w:cs="Arial" w:eastAsia="Arial" w:hAnsi="Arial"/>
                <w:sz w:val="14"/>
                <w:szCs w:val="14"/>
                <w:color w:val="auto"/>
              </w:rPr>
              <w:t>Issuance of common stock</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3,297,890</w:t>
            </w:r>
          </w:p>
        </w:tc>
        <w:tc>
          <w:tcPr>
            <w:tcW w:w="16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3.3</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180.1</w:t>
            </w:r>
          </w:p>
        </w:tc>
        <w:tc>
          <w:tcPr>
            <w:tcW w:w="14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183.4</w:t>
            </w:r>
          </w:p>
        </w:tc>
      </w:tr>
      <w:tr>
        <w:trPr>
          <w:trHeight w:val="162"/>
        </w:trPr>
        <w:tc>
          <w:tcPr>
            <w:tcW w:w="29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costs</w:t>
            </w:r>
          </w:p>
        </w:tc>
        <w:tc>
          <w:tcPr>
            <w:tcW w:w="9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(2.0 )</w:t>
            </w: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(2.0 )</w:t>
            </w:r>
          </w:p>
        </w:tc>
      </w:tr>
      <w:tr>
        <w:trPr>
          <w:trHeight w:val="162"/>
        </w:trPr>
        <w:tc>
          <w:tcPr>
            <w:tcW w:w="2920" w:type="dxa"/>
            <w:vAlign w:val="bottom"/>
          </w:tcPr>
          <w:p>
            <w:pPr>
              <w:ind w:left="20"/>
              <w:spacing w:after="0"/>
              <w:rPr>
                <w:sz w:val="20"/>
                <w:szCs w:val="20"/>
                <w:color w:val="auto"/>
              </w:rPr>
            </w:pPr>
            <w:r>
              <w:rPr>
                <w:rFonts w:ascii="Arial" w:cs="Arial" w:eastAsia="Arial" w:hAnsi="Arial"/>
                <w:sz w:val="14"/>
                <w:szCs w:val="14"/>
                <w:color w:val="auto"/>
              </w:rPr>
              <w:t>Distributions to non-controlling interest</w:t>
            </w: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(17.4 )</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(17.4 )</w:t>
            </w:r>
          </w:p>
        </w:tc>
      </w:tr>
      <w:tr>
        <w:trPr>
          <w:trHeight w:val="195"/>
        </w:trPr>
        <w:tc>
          <w:tcPr>
            <w:tcW w:w="2920" w:type="dxa"/>
            <w:vAlign w:val="bottom"/>
            <w:tcBorders>
              <w:bottom w:val="single" w:sz="8" w:color="CFF0FC"/>
            </w:tcBorders>
            <w:shd w:val="clear" w:color="auto" w:fill="CFF0FC"/>
          </w:tcPr>
          <w:p>
            <w:pPr>
              <w:ind w:left="20"/>
              <w:spacing w:after="0" w:line="155" w:lineRule="exact"/>
              <w:rPr>
                <w:sz w:val="20"/>
                <w:szCs w:val="20"/>
                <w:color w:val="auto"/>
              </w:rPr>
            </w:pPr>
            <w:r>
              <w:rPr>
                <w:rFonts w:ascii="Arial" w:cs="Arial" w:eastAsia="Arial" w:hAnsi="Arial"/>
                <w:sz w:val="14"/>
                <w:szCs w:val="14"/>
                <w:b w:val="1"/>
                <w:bCs w:val="1"/>
                <w:color w:val="auto"/>
              </w:rPr>
              <w:t>Balance at December 31, 2024</w:t>
            </w:r>
          </w:p>
        </w:tc>
        <w:tc>
          <w:tcPr>
            <w:tcW w:w="98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71,676,756</w:t>
            </w:r>
          </w:p>
        </w:tc>
        <w:tc>
          <w:tcPr>
            <w:tcW w:w="1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71.7</w:t>
            </w:r>
          </w:p>
        </w:tc>
        <w:tc>
          <w:tcPr>
            <w:tcW w:w="8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56,608</w:t>
            </w:r>
          </w:p>
        </w:tc>
        <w:tc>
          <w:tcPr>
            <w:tcW w:w="1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(3.3 ) $</w:t>
            </w:r>
          </w:p>
        </w:tc>
        <w:tc>
          <w:tcPr>
            <w:tcW w:w="8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2,193.4</w:t>
            </w:r>
          </w:p>
        </w:tc>
        <w:tc>
          <w:tcPr>
            <w:tcW w:w="1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1,249.1</w:t>
            </w:r>
          </w:p>
        </w:tc>
        <w:tc>
          <w:tcPr>
            <w:tcW w:w="1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(9.4 ) $</w:t>
            </w:r>
          </w:p>
        </w:tc>
        <w:tc>
          <w:tcPr>
            <w:tcW w:w="8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83.7</w:t>
            </w:r>
          </w:p>
        </w:tc>
        <w:tc>
          <w:tcPr>
            <w:tcW w:w="20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3,585.2</w:t>
            </w:r>
          </w:p>
        </w:tc>
      </w:tr>
    </w:tbl>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The accompanying </w:t>
      </w:r>
      <w:r>
        <w:rPr>
          <w:rFonts w:ascii="Arial" w:cs="Arial" w:eastAsia="Arial" w:hAnsi="Arial"/>
          <w:sz w:val="14"/>
          <w:szCs w:val="14"/>
          <w:u w:val="single" w:color="auto"/>
          <w:color w:val="0000FF"/>
        </w:rPr>
        <w:t>Notes to Consolidated Financial Statements</w:t>
      </w:r>
      <w:r>
        <w:rPr>
          <w:rFonts w:ascii="Arial" w:cs="Arial" w:eastAsia="Arial" w:hAnsi="Arial"/>
          <w:sz w:val="14"/>
          <w:szCs w:val="14"/>
          <w:color w:val="auto"/>
        </w:rPr>
        <w:t xml:space="preserve">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1753235</wp:posOffset>
            </wp:positionH>
            <wp:positionV relativeFrom="paragraph">
              <wp:posOffset>-1270</wp:posOffset>
            </wp:positionV>
            <wp:extent cx="180276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802765" cy="8890"/>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BLACK HILLS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December 31, 2024, 2023, and 2022</w:t>
      </w:r>
    </w:p>
    <w:p>
      <w:pPr>
        <w:spacing w:after="0" w:line="178" w:lineRule="exact"/>
        <w:rPr>
          <w:sz w:val="20"/>
          <w:szCs w:val="20"/>
          <w:color w:val="auto"/>
        </w:rPr>
      </w:pPr>
    </w:p>
    <w:p>
      <w:pPr>
        <w:ind w:right="5580" w:firstLine="8"/>
        <w:spacing w:after="0" w:line="493" w:lineRule="auto"/>
        <w:tabs>
          <w:tab w:leader="none" w:pos="243" w:val="left"/>
        </w:tabs>
        <w:numPr>
          <w:ilvl w:val="0"/>
          <w:numId w:val="48"/>
        </w:numPr>
        <w:rPr>
          <w:rFonts w:ascii="Arial" w:cs="Arial" w:eastAsia="Arial" w:hAnsi="Arial"/>
          <w:sz w:val="16"/>
          <w:szCs w:val="16"/>
          <w:b w:val="1"/>
          <w:bCs w:val="1"/>
          <w:color w:val="auto"/>
        </w:rPr>
      </w:pPr>
      <w:r>
        <w:rPr>
          <w:rFonts w:ascii="Arial" w:cs="Arial" w:eastAsia="Arial" w:hAnsi="Arial"/>
          <w:sz w:val="16"/>
          <w:szCs w:val="16"/>
          <w:b w:val="1"/>
          <w:bCs w:val="1"/>
          <w:color w:val="auto"/>
        </w:rPr>
        <w:t>BUSINESS DESCRIPTION AND SIGNIFICANT ACCOUNTING POLICIES Business Description</w:t>
      </w:r>
    </w:p>
    <w:p>
      <w:pPr>
        <w:ind w:right="120"/>
        <w:spacing w:after="0" w:line="266" w:lineRule="auto"/>
        <w:rPr>
          <w:sz w:val="20"/>
          <w:szCs w:val="20"/>
          <w:color w:val="auto"/>
        </w:rPr>
      </w:pPr>
      <w:r>
        <w:rPr>
          <w:rFonts w:ascii="Arial" w:cs="Arial" w:eastAsia="Arial" w:hAnsi="Arial"/>
          <w:sz w:val="16"/>
          <w:szCs w:val="16"/>
          <w:color w:val="auto"/>
        </w:rPr>
        <w:t>Black Hills Corporation is a customer-focused, growth-oriented utility company headquartered in Rapid City, South Dakota. We are a holding company that, through our subsidiaries, conducts our operations through the following reportable segments: Electric Utilities and Gas Utilities. Certain unallocated corporate expenses that support our operating segments are presented as Corporate and Other.</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Estimates and Basis of Presentation</w:t>
      </w:r>
    </w:p>
    <w:p>
      <w:pPr>
        <w:spacing w:after="0" w:line="194"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certain assets and liabilities and disclosure of contingent assets and liabilities at the date of the financial statements and the reported amounts of revenues and expenses during the reporting period. Changes in facts and circumstances or additional information may result in revised estimates and actual results could differ materially from those estimates.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Principles of Consolidation</w:t>
      </w:r>
    </w:p>
    <w:p>
      <w:pPr>
        <w:spacing w:after="0" w:line="194"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The consolidated financial statements include the accounts of Black Hills Corporation and its wholly-owned and majority-owned and controlled subsidiaries. Furthermore, VIEs in which the Company has an ownership interest and is the primary beneficiary, thus controlling the VIE, have been consolidated. All intercompany balances and transactions have been eliminated in consolidation.</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We use the proportionate consolidation method to account for our ownership interest in any jointly-owned facility. See </w:t>
      </w:r>
      <w:r>
        <w:rPr>
          <w:rFonts w:ascii="Arial" w:cs="Arial" w:eastAsia="Arial" w:hAnsi="Arial"/>
          <w:sz w:val="16"/>
          <w:szCs w:val="16"/>
          <w:u w:val="single" w:color="auto"/>
          <w:color w:val="0000FF"/>
        </w:rPr>
        <w:t>Note 6</w:t>
      </w:r>
      <w:r>
        <w:rPr>
          <w:rFonts w:ascii="Arial" w:cs="Arial" w:eastAsia="Arial" w:hAnsi="Arial"/>
          <w:sz w:val="16"/>
          <w:szCs w:val="16"/>
          <w:color w:val="auto"/>
        </w:rPr>
        <w:t xml:space="preserve">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5368925</wp:posOffset>
            </wp:positionH>
            <wp:positionV relativeFrom="paragraph">
              <wp:posOffset>-4445</wp:posOffset>
            </wp:positionV>
            <wp:extent cx="30289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Non-controlling Interests</w:t>
      </w:r>
    </w:p>
    <w:p>
      <w:pPr>
        <w:spacing w:after="0" w:line="194"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We account for changes in our controlling interests of subsidiaries according to ASC 810</w:t>
      </w:r>
      <w:r>
        <w:rPr>
          <w:rFonts w:ascii="Arial" w:cs="Arial" w:eastAsia="Arial" w:hAnsi="Arial"/>
          <w:sz w:val="16"/>
          <w:szCs w:val="16"/>
          <w:i w:val="1"/>
          <w:iCs w:val="1"/>
          <w:color w:val="auto"/>
        </w:rPr>
        <w:t>, Consolidation.</w:t>
      </w:r>
      <w:r>
        <w:rPr>
          <w:rFonts w:ascii="Arial" w:cs="Arial" w:eastAsia="Arial" w:hAnsi="Arial"/>
          <w:sz w:val="16"/>
          <w:szCs w:val="16"/>
          <w:color w:val="auto"/>
        </w:rPr>
        <w:t xml:space="preserve"> ASC 810 requires that the Company record such changes as equity transactions, recording no gain or loss on such a sale. GAAP requires that non-controlling interests in subsidiaries and affiliates be reported in the equity section of a company’s balance sheet. In addition, the amounts attributable to the non-controlling interest net income (loss) of those subsidiaries are reported separately in the consolidated statements of income and comprehensive income. See </w:t>
      </w:r>
      <w:r>
        <w:rPr>
          <w:rFonts w:ascii="Arial" w:cs="Arial" w:eastAsia="Arial" w:hAnsi="Arial"/>
          <w:sz w:val="16"/>
          <w:szCs w:val="16"/>
          <w:u w:val="single" w:color="auto"/>
          <w:color w:val="0000FF"/>
        </w:rPr>
        <w:t>Note 12</w:t>
      </w:r>
      <w:r>
        <w:rPr>
          <w:rFonts w:ascii="Arial" w:cs="Arial" w:eastAsia="Arial" w:hAnsi="Arial"/>
          <w:sz w:val="16"/>
          <w:szCs w:val="16"/>
          <w:color w:val="auto"/>
        </w:rPr>
        <w:t xml:space="preserve">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-31750</wp:posOffset>
            </wp:positionV>
            <wp:extent cx="36004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Variable Interest Entities</w:t>
      </w:r>
    </w:p>
    <w:p>
      <w:pPr>
        <w:spacing w:after="0" w:line="194"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We evaluate arrangements and contracts with other entities to determine if they are VIEs and if we are the primary beneficiary. GAAP provides a framework for identifying VIEs and determining when a company should include the assets, liabilities, non-controlling interest, and results of activities of a VIE in its consolidated financial statements.</w:t>
      </w:r>
    </w:p>
    <w:p>
      <w:pPr>
        <w:spacing w:after="0" w:line="144"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A VIE should be consolidated if a party with an ownership, contractual or other financial interest in the VIE (a variable interest holder) has the power to direct the VIE’s most significant activities and the obligation to absorb losses or right to receive benefits of the VIE that could be significant to the VIE. A variable interest holder that consolidates the VIE is called the primary beneficiary. Upon consolidation, the primary beneficiary generally must initially record all of the VIE’s assets, liabilities, and non-controlling interests at fair value and subsequently account for the VIE as if it were consolidated.</w:t>
      </w:r>
    </w:p>
    <w:p>
      <w:pPr>
        <w:spacing w:after="0" w:line="151"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 xml:space="preserve">Our evaluation of whether our interest qualifies as the primary beneficiary of a VIE involves significant judgments, estimates and assumptions and includes a qualitative analysis of the activities that most significantly impact the VIE’s economic performance and whether the Company has the power to direct those activities, the design of the entity, the rights of the parties and the purpose of the arrangement. Black Hills Colorado IPP is a VIE. See </w:t>
      </w:r>
      <w:r>
        <w:rPr>
          <w:rFonts w:ascii="Arial" w:cs="Arial" w:eastAsia="Arial" w:hAnsi="Arial"/>
          <w:sz w:val="16"/>
          <w:szCs w:val="16"/>
          <w:u w:val="single" w:color="auto"/>
          <w:color w:val="0000FF"/>
        </w:rPr>
        <w:t>Note 12</w:t>
      </w:r>
      <w:r>
        <w:rPr>
          <w:rFonts w:ascii="Arial" w:cs="Arial" w:eastAsia="Arial" w:hAnsi="Arial"/>
          <w:sz w:val="16"/>
          <w:szCs w:val="16"/>
          <w:color w:val="auto"/>
        </w:rPr>
        <w:t xml:space="preserve">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6089015</wp:posOffset>
            </wp:positionH>
            <wp:positionV relativeFrom="paragraph">
              <wp:posOffset>-151765</wp:posOffset>
            </wp:positionV>
            <wp:extent cx="36004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Cash Equivalents and Restricted Cash</w:t>
      </w:r>
    </w:p>
    <w:p>
      <w:pPr>
        <w:spacing w:after="0" w:line="194" w:lineRule="exact"/>
        <w:rPr>
          <w:sz w:val="20"/>
          <w:szCs w:val="20"/>
          <w:color w:val="auto"/>
        </w:rPr>
      </w:pPr>
    </w:p>
    <w:p>
      <w:pPr>
        <w:ind w:right="220"/>
        <w:spacing w:after="0" w:line="256" w:lineRule="auto"/>
        <w:rPr>
          <w:sz w:val="20"/>
          <w:szCs w:val="20"/>
          <w:color w:val="auto"/>
        </w:rPr>
      </w:pPr>
      <w:r>
        <w:rPr>
          <w:rFonts w:ascii="Arial" w:cs="Arial" w:eastAsia="Arial" w:hAnsi="Arial"/>
          <w:sz w:val="16"/>
          <w:szCs w:val="16"/>
          <w:color w:val="auto"/>
        </w:rPr>
        <w:t>We consider all highly liquid investments with an original maturity of three months or less to be cash and cash equivalents. We maintain cash accounts for various specified purposes, which are classified as restricted cash.</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Recognition</w:t>
      </w:r>
    </w:p>
    <w:p>
      <w:pPr>
        <w:spacing w:after="0" w:line="194"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Our revenue contracts generally provide for performance obligations that are fulfilled and transfer control to customers over time, represent a series of distinct services that are substantially the same, involve the same pattern of transfer to the customer and provide a right to consideration from our customers in an amount that corresponds directly with the value to the customer for the performance completed to date. Therefore, we recognize revenue in the amount to which we have a right to invoice. Our primary types of revenue contracts are:</w:t>
      </w:r>
    </w:p>
    <w:p>
      <w:pPr>
        <w:spacing w:after="0" w:line="151" w:lineRule="exact"/>
        <w:rPr>
          <w:sz w:val="20"/>
          <w:szCs w:val="20"/>
          <w:color w:val="auto"/>
        </w:rPr>
      </w:pPr>
    </w:p>
    <w:p>
      <w:pPr>
        <w:ind w:left="1020" w:right="40" w:hanging="503"/>
        <w:spacing w:after="0" w:line="253" w:lineRule="auto"/>
        <w:tabs>
          <w:tab w:leader="none" w:pos="1020" w:val="left"/>
        </w:tabs>
        <w:numPr>
          <w:ilvl w:val="0"/>
          <w:numId w:val="49"/>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Regulated natural gas and electric utility services tariffs</w:t>
      </w:r>
      <w:r>
        <w:rPr>
          <w:rFonts w:ascii="Arial" w:cs="Arial" w:eastAsia="Arial" w:hAnsi="Arial"/>
          <w:sz w:val="16"/>
          <w:szCs w:val="16"/>
          <w:color w:val="auto"/>
        </w:rPr>
        <w:t xml:space="preserve"> - Our Utilities have regulated operations, as defined by ASC 980, </w:t>
      </w:r>
      <w:r>
        <w:rPr>
          <w:rFonts w:ascii="Arial" w:cs="Arial" w:eastAsia="Arial" w:hAnsi="Arial"/>
          <w:sz w:val="16"/>
          <w:szCs w:val="16"/>
          <w:i w:val="1"/>
          <w:iCs w:val="1"/>
          <w:color w:val="auto"/>
        </w:rPr>
        <w:t>Regulated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Operations, </w:t>
      </w:r>
      <w:r>
        <w:rPr>
          <w:rFonts w:ascii="Arial" w:cs="Arial" w:eastAsia="Arial" w:hAnsi="Arial"/>
          <w:sz w:val="16"/>
          <w:szCs w:val="16"/>
          <w:color w:val="auto"/>
        </w:rPr>
        <w:t>that provide services to regulated customers under tariff rates, charges, terms, and conditions of service and prices determined by</w:t>
      </w:r>
      <w:r>
        <w:rPr>
          <w:rFonts w:ascii="Arial" w:cs="Arial" w:eastAsia="Arial" w:hAnsi="Arial"/>
          <w:sz w:val="16"/>
          <w:szCs w:val="16"/>
          <w:i w:val="1"/>
          <w:iCs w:val="1"/>
          <w:color w:val="auto"/>
        </w:rPr>
        <w:t xml:space="preserve"> </w:t>
      </w:r>
      <w:r>
        <w:rPr>
          <w:rFonts w:ascii="Arial" w:cs="Arial" w:eastAsia="Arial" w:hAnsi="Arial"/>
          <w:sz w:val="16"/>
          <w:szCs w:val="16"/>
          <w:color w:val="auto"/>
        </w:rPr>
        <w:t>the jurisdictional regulators designated for our service territories. Our regulated services primarily encompass single performance obligations for delivery of either commodity natural gas, commodity electricity, natural gas transportation, or electric transmission services. These service revenues are variable based on quantities delivered, influenced by seasonal business and weather patterns. Tariffs are only permitted to be changed through a rate-setting process involving the state or federal regulatory commissions to establish contractual rates between the utility and its customers. All of our Utilities’ regulated sales are subject to regulatory-approved tariffs.</w:t>
      </w:r>
    </w:p>
    <w:p>
      <w:pPr>
        <w:spacing w:after="0" w:line="153" w:lineRule="exact"/>
        <w:rPr>
          <w:rFonts w:ascii="Times New Roman" w:cs="Times New Roman" w:eastAsia="Times New Roman" w:hAnsi="Times New Roman"/>
          <w:sz w:val="16"/>
          <w:szCs w:val="16"/>
          <w:color w:val="auto"/>
        </w:rPr>
      </w:pPr>
    </w:p>
    <w:p>
      <w:pPr>
        <w:ind w:left="1020" w:right="40" w:hanging="503"/>
        <w:spacing w:after="0" w:line="252" w:lineRule="auto"/>
        <w:tabs>
          <w:tab w:leader="none" w:pos="1020" w:val="left"/>
        </w:tabs>
        <w:numPr>
          <w:ilvl w:val="0"/>
          <w:numId w:val="49"/>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Power sales agreements</w:t>
      </w:r>
      <w:r>
        <w:rPr>
          <w:rFonts w:ascii="Arial" w:cs="Arial" w:eastAsia="Arial" w:hAnsi="Arial"/>
          <w:sz w:val="16"/>
          <w:szCs w:val="16"/>
          <w:color w:val="auto"/>
        </w:rPr>
        <w:t xml:space="preserve"> - Our Electric Utilities segment has long-term wholesale power sales agreements with other load-serving entities, including affiliates, for the sale of excess power from owned generating units. These agreements include a combination of “take or pay” arrangements, where the customer is obligated to pay for the energy regardless of whether it actually takes delivery, as well as “requirements only” arrangements, where the customer is only obligated to pay for the energy the customer needs. In addition to these long-term contracts, we also sell excess energy to other load-serving entities on a short-term basis. The pricing for all of these arrangements is included in the executed contracts or confirmations, reflecting the standalone selling price and is variable based on energy delivered. Certain energy sale and purchase transactions with the same counterparty and at the same delivery point are netted to reflect the economic substance of the arrangement.</w:t>
      </w:r>
    </w:p>
    <w:p>
      <w:pPr>
        <w:spacing w:after="0" w:line="348"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 majority of our revenue contracts are based on variable quantities delivered. Typically, our customers are billed monthly with payment due within 20 days. Any fixed consideration contracts with an expected duration of one year or more are immaterial to our consolidated revenues. Variable consideration in the form of discounts, rebates, credits, price concessions, incentives, performance bonuses, penalties, or other similar items are not material for our revenue contracts. We are the principal in our revenue contracts, as we have control over the services prior to those services being transferred to the customer.</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Revenue Not in Scope of ASC 606</w:t>
      </w:r>
    </w:p>
    <w:p>
      <w:pPr>
        <w:spacing w:after="0" w:line="194"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 xml:space="preserve">Other revenues included in the tables in </w:t>
      </w:r>
      <w:r>
        <w:rPr>
          <w:rFonts w:ascii="Arial" w:cs="Arial" w:eastAsia="Arial" w:hAnsi="Arial"/>
          <w:sz w:val="16"/>
          <w:szCs w:val="16"/>
          <w:u w:val="single" w:color="auto"/>
          <w:color w:val="0000FF"/>
        </w:rPr>
        <w:t>Note 4</w:t>
      </w:r>
      <w:r>
        <w:rPr>
          <w:rFonts w:ascii="Arial" w:cs="Arial" w:eastAsia="Arial" w:hAnsi="Arial"/>
          <w:sz w:val="16"/>
          <w:szCs w:val="16"/>
          <w:color w:val="auto"/>
        </w:rPr>
        <w:t xml:space="preserve"> include our revenue accounted for under separate accounting guidance, including lease revenue under ASC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derivative revenue under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and alternative revenue programs revenue under ASC 980, </w:t>
      </w:r>
      <w:r>
        <w:rPr>
          <w:rFonts w:ascii="Arial" w:cs="Arial" w:eastAsia="Arial" w:hAnsi="Arial"/>
          <w:sz w:val="16"/>
          <w:szCs w:val="16"/>
          <w:i w:val="1"/>
          <w:iCs w:val="1"/>
          <w:color w:val="auto"/>
        </w:rPr>
        <w:t>Regulated</w:t>
      </w:r>
      <w:r>
        <w:rPr>
          <w:rFonts w:ascii="Arial" w:cs="Arial" w:eastAsia="Arial" w:hAnsi="Arial"/>
          <w:sz w:val="16"/>
          <w:szCs w:val="16"/>
          <w:color w:val="auto"/>
        </w:rPr>
        <w:t xml:space="preserve"> </w:t>
      </w:r>
      <w:r>
        <w:rPr>
          <w:rFonts w:ascii="Arial" w:cs="Arial" w:eastAsia="Arial" w:hAnsi="Arial"/>
          <w:sz w:val="16"/>
          <w:szCs w:val="16"/>
          <w:i w:val="1"/>
          <w:iCs w:val="1"/>
          <w:color w:val="auto"/>
        </w:rPr>
        <w:t>Operations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1846580</wp:posOffset>
            </wp:positionH>
            <wp:positionV relativeFrom="paragraph">
              <wp:posOffset>-155575</wp:posOffset>
            </wp:positionV>
            <wp:extent cx="30289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02895" cy="8890"/>
                    </a:xfrm>
                    <a:prstGeom prst="rect">
                      <a:avLst/>
                    </a:prstGeom>
                    <a:noFill/>
                  </pic:spPr>
                </pic:pic>
              </a:graphicData>
            </a:graphic>
          </wp:anchor>
        </w:drawing>
      </w: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Significant Judgments and Estimates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Unbilled Revenue</w:t>
      </w:r>
    </w:p>
    <w:p>
      <w:pPr>
        <w:spacing w:after="0" w:line="192"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To the extent that deliveries have occurred, but a bill has not been issued, our Utilities accrue an estimate of the revenue since the latest billing. This estimate is calculated based upon several factors including billings through the last billing cycle in a month and prices in effect in our jurisdictions. Each month, the estimated unbilled revenue amounts are trued-up and recorded in Accounts receivable, net on the accompanying Consolidated Balance Sheets.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Contract Balances</w:t>
      </w:r>
    </w:p>
    <w:p>
      <w:pPr>
        <w:spacing w:after="0" w:line="192"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The nature of substantially all of our revenue contracts provides an unconditional right to consideration upon service delivery. Customer billings (and subsequent customer payments of those bills) occur after service delivery. Therefore, customer contract assets or liabilities do not exist. The unconditional right to consideration is represented by the balance in our Accounts receivable, which is further discussed below.</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4</w:t>
      </w:r>
      <w:r>
        <w:rPr>
          <w:rFonts w:ascii="Arial" w:cs="Arial" w:eastAsia="Arial" w:hAnsi="Arial"/>
          <w:sz w:val="16"/>
          <w:szCs w:val="16"/>
          <w:color w:val="auto"/>
        </w:rPr>
        <w:t xml:space="preserve">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-4445</wp:posOffset>
            </wp:positionV>
            <wp:extent cx="30289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Accounts Receivable and Allowance for Credit Losses</w:t>
      </w:r>
    </w:p>
    <w:p>
      <w:pPr>
        <w:spacing w:after="0" w:line="194"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Accounts receivable are stated at billed and estimated unbilled amounts, net of allowance for credit losses, and do not bear interest. We maintain an allowance for credit losses which reflects our estimate of uncollectible trade receivables. We regularly review our trade receivable allowance by considering such factors as historical experience, credit worthiness, the age of the receivable balances, and current economic conditions that may affect collectability.</w:t>
      </w:r>
    </w:p>
    <w:p>
      <w:pPr>
        <w:spacing w:after="0" w:line="144"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In specific cases where we are aware of a customer’s inability or reluctance to pay, we record an allowance for credit losses to reduce the net receivable balance to the amount we reasonably expect to collect. However, if circumstances change, our estimate of the recoverability of accounts receivable could be affected. Circumstances which could affect our estimates include, but are not limited to, customer credit issues, expected losses, the level of commodity prices, customer deposits, and general economic conditions. Accounts are written off once they are deemed to be uncollectible or the time allowed for dispute under the contract has expired.</w:t>
      </w:r>
    </w:p>
    <w:p>
      <w:pPr>
        <w:spacing w:after="0" w:line="153" w:lineRule="exact"/>
        <w:rPr>
          <w:sz w:val="20"/>
          <w:szCs w:val="20"/>
          <w:color w:val="auto"/>
        </w:rPr>
      </w:pPr>
    </w:p>
    <w:p>
      <w:pPr>
        <w:jc w:val="both"/>
        <w:ind w:right="220"/>
        <w:spacing w:after="0" w:line="266" w:lineRule="auto"/>
        <w:rPr>
          <w:sz w:val="20"/>
          <w:szCs w:val="20"/>
          <w:color w:val="auto"/>
        </w:rPr>
      </w:pPr>
      <w:r>
        <w:rPr>
          <w:rFonts w:ascii="Arial" w:cs="Arial" w:eastAsia="Arial" w:hAnsi="Arial"/>
          <w:sz w:val="16"/>
          <w:szCs w:val="16"/>
          <w:color w:val="auto"/>
        </w:rPr>
        <w:t>We utilize master netting agreements which consist of an agreement between two parties who have multiple contracts with each other that provide for the net settlement of all contracts in the event of default on or termination of any one contract. When the right of setoff exists, accounting standards permit the netting of receivables and payables under a legally enforceable master netting agreement between counterparties.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Following is a summary of accounts receivable as of December 31: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0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2024</w:t>
            </w: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gridSpan w:val="3"/>
          </w:tcPr>
          <w:p>
            <w:pPr>
              <w:jc w:val="right"/>
              <w:ind w:right="1299"/>
              <w:spacing w:after="0" w:line="183" w:lineRule="exact"/>
              <w:rPr>
                <w:sz w:val="20"/>
                <w:szCs w:val="20"/>
                <w:color w:val="auto"/>
              </w:rPr>
            </w:pPr>
            <w:r>
              <w:rPr>
                <w:rFonts w:ascii="Arial" w:cs="Arial" w:eastAsia="Arial" w:hAnsi="Arial"/>
                <w:sz w:val="16"/>
                <w:szCs w:val="16"/>
                <w:color w:val="auto"/>
              </w:rPr>
              <w:t>(in millions)</w:t>
            </w:r>
          </w:p>
        </w:tc>
        <w:tc>
          <w:tcPr>
            <w:tcW w:w="0" w:type="dxa"/>
            <w:vAlign w:val="bottom"/>
          </w:tcPr>
          <w:p>
            <w:pPr>
              <w:spacing w:after="0"/>
              <w:rPr>
                <w:sz w:val="1"/>
                <w:szCs w:val="1"/>
                <w:color w:val="auto"/>
              </w:rPr>
            </w:pPr>
          </w:p>
        </w:tc>
      </w:tr>
      <w:tr>
        <w:trPr>
          <w:trHeight w:val="183"/>
        </w:trPr>
        <w:tc>
          <w:tcPr>
            <w:tcW w:w="2760" w:type="dxa"/>
            <w:vAlign w:val="bottom"/>
            <w:gridSpan w:val="2"/>
            <w:shd w:val="clear" w:color="auto" w:fill="CFF0FC"/>
          </w:tcPr>
          <w:p>
            <w:pPr>
              <w:ind w:left="20"/>
              <w:spacing w:after="0" w:line="183" w:lineRule="exact"/>
              <w:rPr>
                <w:sz w:val="20"/>
                <w:szCs w:val="20"/>
                <w:color w:val="auto"/>
              </w:rPr>
            </w:pPr>
            <w:r>
              <w:rPr>
                <w:rFonts w:ascii="Arial" w:cs="Arial" w:eastAsia="Arial" w:hAnsi="Arial"/>
                <w:sz w:val="16"/>
                <w:szCs w:val="16"/>
                <w:color w:val="auto"/>
              </w:rPr>
              <w:t>Billed Accounts Receivable</w:t>
            </w:r>
          </w:p>
        </w:tc>
        <w:tc>
          <w:tcPr>
            <w:tcW w:w="3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6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7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260"/>
              <w:spacing w:after="0" w:line="183" w:lineRule="exact"/>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201.5</w:t>
            </w:r>
          </w:p>
        </w:tc>
        <w:tc>
          <w:tcPr>
            <w:tcW w:w="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58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198.5</w:t>
            </w:r>
          </w:p>
        </w:tc>
        <w:tc>
          <w:tcPr>
            <w:tcW w:w="0" w:type="dxa"/>
            <w:vAlign w:val="bottom"/>
          </w:tcPr>
          <w:p>
            <w:pPr>
              <w:spacing w:after="0"/>
              <w:rPr>
                <w:sz w:val="1"/>
                <w:szCs w:val="1"/>
                <w:color w:val="auto"/>
              </w:rPr>
            </w:pPr>
          </w:p>
        </w:tc>
      </w:tr>
      <w:tr>
        <w:trPr>
          <w:trHeight w:val="189"/>
        </w:trPr>
        <w:tc>
          <w:tcPr>
            <w:tcW w:w="2760" w:type="dxa"/>
            <w:vAlign w:val="bottom"/>
            <w:gridSpan w:val="2"/>
          </w:tcPr>
          <w:p>
            <w:pPr>
              <w:ind w:left="20"/>
              <w:spacing w:after="0"/>
              <w:rPr>
                <w:sz w:val="20"/>
                <w:szCs w:val="20"/>
                <w:color w:val="auto"/>
              </w:rPr>
            </w:pPr>
            <w:r>
              <w:rPr>
                <w:rFonts w:ascii="Arial" w:cs="Arial" w:eastAsia="Arial" w:hAnsi="Arial"/>
                <w:sz w:val="16"/>
                <w:szCs w:val="16"/>
                <w:color w:val="auto"/>
              </w:rPr>
              <w:t>Unbilled Revenue</w:t>
            </w: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151.8</w:t>
            </w:r>
          </w:p>
        </w:tc>
        <w:tc>
          <w:tcPr>
            <w:tcW w:w="160" w:type="dxa"/>
            <w:vAlign w:val="bottom"/>
          </w:tcPr>
          <w:p>
            <w:pPr>
              <w:spacing w:after="0"/>
              <w:rPr>
                <w:sz w:val="16"/>
                <w:szCs w:val="16"/>
                <w:color w:val="auto"/>
              </w:rPr>
            </w:pPr>
          </w:p>
        </w:tc>
        <w:tc>
          <w:tcPr>
            <w:tcW w:w="1580" w:type="dxa"/>
            <w:vAlign w:val="bottom"/>
          </w:tcPr>
          <w:p>
            <w:pPr>
              <w:jc w:val="right"/>
              <w:ind w:right="59"/>
              <w:spacing w:after="0"/>
              <w:rPr>
                <w:sz w:val="20"/>
                <w:szCs w:val="20"/>
                <w:color w:val="auto"/>
              </w:rPr>
            </w:pPr>
            <w:r>
              <w:rPr>
                <w:rFonts w:ascii="Arial" w:cs="Arial" w:eastAsia="Arial" w:hAnsi="Arial"/>
                <w:sz w:val="16"/>
                <w:szCs w:val="16"/>
                <w:color w:val="auto"/>
              </w:rPr>
              <w:t>154.0</w:t>
            </w:r>
          </w:p>
        </w:tc>
        <w:tc>
          <w:tcPr>
            <w:tcW w:w="0" w:type="dxa"/>
            <w:vAlign w:val="bottom"/>
          </w:tcPr>
          <w:p>
            <w:pPr>
              <w:spacing w:after="0"/>
              <w:rPr>
                <w:sz w:val="1"/>
                <w:szCs w:val="1"/>
                <w:color w:val="auto"/>
              </w:rPr>
            </w:pPr>
          </w:p>
        </w:tc>
      </w:tr>
      <w:tr>
        <w:trPr>
          <w:trHeight w:val="189"/>
        </w:trPr>
        <w:tc>
          <w:tcPr>
            <w:tcW w:w="27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Less Allowance for Credit Losses</w:t>
            </w:r>
          </w:p>
        </w:tc>
        <w:tc>
          <w:tcPr>
            <w:tcW w:w="32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CFF0FC"/>
            </w:tcBorders>
            <w:shd w:val="clear" w:color="auto" w:fill="CFF0FC"/>
          </w:tcPr>
          <w:p>
            <w:pPr>
              <w:spacing w:after="0"/>
              <w:rPr>
                <w:sz w:val="16"/>
                <w:szCs w:val="16"/>
                <w:color w:val="auto"/>
              </w:rPr>
            </w:pPr>
          </w:p>
        </w:tc>
        <w:tc>
          <w:tcPr>
            <w:tcW w:w="162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176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(2.1 )</w:t>
            </w:r>
          </w:p>
        </w:tc>
        <w:tc>
          <w:tcPr>
            <w:tcW w:w="160" w:type="dxa"/>
            <w:vAlign w:val="bottom"/>
            <w:tcBorders>
              <w:bottom w:val="single" w:sz="8" w:color="auto"/>
            </w:tcBorders>
            <w:shd w:val="clear" w:color="auto" w:fill="CFF0FC"/>
          </w:tcPr>
          <w:p>
            <w:pPr>
              <w:spacing w:after="0"/>
              <w:rPr>
                <w:sz w:val="16"/>
                <w:szCs w:val="16"/>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(2.2 )</w:t>
            </w:r>
          </w:p>
        </w:tc>
        <w:tc>
          <w:tcPr>
            <w:tcW w:w="0" w:type="dxa"/>
            <w:vAlign w:val="bottom"/>
          </w:tcPr>
          <w:p>
            <w:pPr>
              <w:spacing w:after="0"/>
              <w:rPr>
                <w:sz w:val="1"/>
                <w:szCs w:val="1"/>
                <w:color w:val="auto"/>
              </w:rPr>
            </w:pPr>
          </w:p>
        </w:tc>
      </w:tr>
      <w:tr>
        <w:trPr>
          <w:trHeight w:val="183"/>
        </w:trPr>
        <w:tc>
          <w:tcPr>
            <w:tcW w:w="2760" w:type="dxa"/>
            <w:vAlign w:val="bottom"/>
            <w:gridSpan w:val="2"/>
          </w:tcPr>
          <w:p>
            <w:pPr>
              <w:ind w:left="20"/>
              <w:spacing w:after="0" w:line="183" w:lineRule="exact"/>
              <w:rPr>
                <w:sz w:val="20"/>
                <w:szCs w:val="20"/>
                <w:color w:val="auto"/>
              </w:rPr>
            </w:pPr>
            <w:r>
              <w:rPr>
                <w:rFonts w:ascii="Arial" w:cs="Arial" w:eastAsia="Arial" w:hAnsi="Arial"/>
                <w:sz w:val="16"/>
                <w:szCs w:val="16"/>
                <w:color w:val="auto"/>
              </w:rPr>
              <w:t>Accounts Receivable, net</w:t>
            </w: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gridSpan w:val="2"/>
          </w:tcPr>
          <w:p>
            <w:pPr>
              <w:jc w:val="right"/>
              <w:ind w:right="260"/>
              <w:spacing w:after="0" w:line="183" w:lineRule="exact"/>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line="183" w:lineRule="exact"/>
              <w:rPr>
                <w:sz w:val="20"/>
                <w:szCs w:val="20"/>
                <w:color w:val="auto"/>
              </w:rPr>
            </w:pPr>
            <w:r>
              <w:rPr>
                <w:rFonts w:ascii="Arial" w:cs="Arial" w:eastAsia="Arial" w:hAnsi="Arial"/>
                <w:sz w:val="16"/>
                <w:szCs w:val="16"/>
                <w:color w:val="auto"/>
              </w:rPr>
              <w:t>351.2</w:t>
            </w:r>
          </w:p>
        </w:tc>
        <w:tc>
          <w:tcPr>
            <w:tcW w:w="16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580" w:type="dxa"/>
            <w:vAlign w:val="bottom"/>
          </w:tcPr>
          <w:p>
            <w:pPr>
              <w:jc w:val="right"/>
              <w:ind w:right="59"/>
              <w:spacing w:after="0" w:line="183" w:lineRule="exact"/>
              <w:rPr>
                <w:sz w:val="20"/>
                <w:szCs w:val="20"/>
                <w:color w:val="auto"/>
              </w:rPr>
            </w:pPr>
            <w:r>
              <w:rPr>
                <w:rFonts w:ascii="Arial" w:cs="Arial" w:eastAsia="Arial" w:hAnsi="Arial"/>
                <w:sz w:val="16"/>
                <w:szCs w:val="16"/>
                <w:color w:val="auto"/>
              </w:rPr>
              <w:t>350.3</w:t>
            </w:r>
          </w:p>
        </w:tc>
        <w:tc>
          <w:tcPr>
            <w:tcW w:w="0" w:type="dxa"/>
            <w:vAlign w:val="bottom"/>
          </w:tcPr>
          <w:p>
            <w:pPr>
              <w:spacing w:after="0"/>
              <w:rPr>
                <w:sz w:val="1"/>
                <w:szCs w:val="1"/>
                <w:color w:val="auto"/>
              </w:rPr>
            </w:pPr>
          </w:p>
        </w:tc>
      </w:tr>
      <w:tr>
        <w:trPr>
          <w:trHeight w:val="20"/>
        </w:trPr>
        <w:tc>
          <w:tcPr>
            <w:tcW w:w="7140" w:type="dxa"/>
            <w:vAlign w:val="bottom"/>
            <w:gridSpan w:val="7"/>
            <w:vMerge w:val="restart"/>
          </w:tcPr>
          <w:p>
            <w:pPr>
              <w:spacing w:after="0"/>
              <w:rPr>
                <w:sz w:val="20"/>
                <w:szCs w:val="20"/>
                <w:color w:val="auto"/>
              </w:rPr>
            </w:pPr>
            <w:r>
              <w:rPr>
                <w:rFonts w:ascii="Arial" w:cs="Arial" w:eastAsia="Arial" w:hAnsi="Arial"/>
                <w:sz w:val="16"/>
                <w:szCs w:val="16"/>
                <w:color w:val="auto"/>
              </w:rPr>
              <w:t>Changes to allowance for credit losses for the years ended December 31, were as follows:</w:t>
            </w: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140" w:type="dxa"/>
            <w:vAlign w:val="bottom"/>
            <w:gridSpan w:val="7"/>
            <w:vMerge w:val="continue"/>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10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20" w:type="dxa"/>
            <w:vAlign w:val="bottom"/>
          </w:tcPr>
          <w:p>
            <w:pPr>
              <w:jc w:val="right"/>
              <w:ind w:right="559"/>
              <w:spacing w:after="0"/>
              <w:rPr>
                <w:sz w:val="20"/>
                <w:szCs w:val="20"/>
                <w:color w:val="auto"/>
              </w:rPr>
            </w:pPr>
            <w:r>
              <w:rPr>
                <w:rFonts w:ascii="Arial" w:cs="Arial" w:eastAsia="Arial" w:hAnsi="Arial"/>
                <w:sz w:val="16"/>
                <w:szCs w:val="16"/>
                <w:b w:val="1"/>
                <w:bCs w:val="1"/>
                <w:color w:val="auto"/>
              </w:rPr>
              <w:t>Additions</w:t>
            </w:r>
          </w:p>
        </w:tc>
        <w:tc>
          <w:tcPr>
            <w:tcW w:w="2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1680" w:type="dxa"/>
            <w:vAlign w:val="bottom"/>
          </w:tcPr>
          <w:p>
            <w:pPr>
              <w:jc w:val="right"/>
              <w:ind w:right="219"/>
              <w:spacing w:after="0"/>
              <w:rPr>
                <w:sz w:val="20"/>
                <w:szCs w:val="20"/>
                <w:color w:val="auto"/>
              </w:rPr>
            </w:pPr>
            <w:r>
              <w:rPr>
                <w:rFonts w:ascii="Arial" w:cs="Arial" w:eastAsia="Arial" w:hAnsi="Arial"/>
                <w:sz w:val="16"/>
                <w:szCs w:val="16"/>
                <w:b w:val="1"/>
                <w:bCs w:val="1"/>
                <w:color w:val="auto"/>
              </w:rPr>
              <w:t>Balance at</w:t>
            </w:r>
          </w:p>
        </w:tc>
        <w:tc>
          <w:tcPr>
            <w:tcW w:w="320" w:type="dxa"/>
            <w:vAlign w:val="bottom"/>
          </w:tcPr>
          <w:p>
            <w:pPr>
              <w:spacing w:after="0"/>
              <w:rPr>
                <w:sz w:val="16"/>
                <w:szCs w:val="16"/>
                <w:color w:val="auto"/>
              </w:rPr>
            </w:pPr>
          </w:p>
        </w:tc>
        <w:tc>
          <w:tcPr>
            <w:tcW w:w="202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Charged to Costs and</w:t>
            </w:r>
          </w:p>
        </w:tc>
        <w:tc>
          <w:tcPr>
            <w:tcW w:w="280" w:type="dxa"/>
            <w:vAlign w:val="bottom"/>
          </w:tcPr>
          <w:p>
            <w:pPr>
              <w:spacing w:after="0"/>
              <w:rPr>
                <w:sz w:val="16"/>
                <w:szCs w:val="16"/>
                <w:color w:val="auto"/>
              </w:rPr>
            </w:pPr>
          </w:p>
        </w:tc>
        <w:tc>
          <w:tcPr>
            <w:tcW w:w="1760" w:type="dxa"/>
            <w:vAlign w:val="bottom"/>
          </w:tcPr>
          <w:p>
            <w:pPr>
              <w:jc w:val="center"/>
              <w:ind w:right="199"/>
              <w:spacing w:after="0"/>
              <w:rPr>
                <w:sz w:val="20"/>
                <w:szCs w:val="20"/>
                <w:color w:val="auto"/>
              </w:rPr>
            </w:pPr>
            <w:r>
              <w:rPr>
                <w:rFonts w:ascii="Arial" w:cs="Arial" w:eastAsia="Arial" w:hAnsi="Arial"/>
                <w:sz w:val="16"/>
                <w:szCs w:val="16"/>
                <w:b w:val="1"/>
                <w:bCs w:val="1"/>
                <w:color w:val="auto"/>
              </w:rPr>
              <w:t>Recoveries and</w:t>
            </w:r>
          </w:p>
        </w:tc>
        <w:tc>
          <w:tcPr>
            <w:tcW w:w="240" w:type="dxa"/>
            <w:vAlign w:val="bottom"/>
          </w:tcPr>
          <w:p>
            <w:pPr>
              <w:spacing w:after="0"/>
              <w:rPr>
                <w:sz w:val="16"/>
                <w:szCs w:val="16"/>
                <w:color w:val="auto"/>
              </w:rPr>
            </w:pPr>
          </w:p>
        </w:tc>
        <w:tc>
          <w:tcPr>
            <w:tcW w:w="2120" w:type="dxa"/>
            <w:vAlign w:val="bottom"/>
            <w:gridSpan w:val="3"/>
          </w:tcPr>
          <w:p>
            <w:pPr>
              <w:jc w:val="right"/>
              <w:ind w:right="739"/>
              <w:spacing w:after="0"/>
              <w:rPr>
                <w:sz w:val="20"/>
                <w:szCs w:val="20"/>
                <w:color w:val="auto"/>
              </w:rPr>
            </w:pPr>
            <w:r>
              <w:rPr>
                <w:rFonts w:ascii="Arial" w:cs="Arial" w:eastAsia="Arial" w:hAnsi="Arial"/>
                <w:sz w:val="16"/>
                <w:szCs w:val="16"/>
                <w:b w:val="1"/>
                <w:bCs w:val="1"/>
                <w:color w:val="auto"/>
              </w:rPr>
              <w:t>Write-offs and</w:t>
            </w:r>
          </w:p>
        </w:tc>
        <w:tc>
          <w:tcPr>
            <w:tcW w:w="160" w:type="dxa"/>
            <w:vAlign w:val="bottom"/>
          </w:tcPr>
          <w:p>
            <w:pPr>
              <w:spacing w:after="0"/>
              <w:rPr>
                <w:sz w:val="16"/>
                <w:szCs w:val="16"/>
                <w:color w:val="auto"/>
              </w:rPr>
            </w:pPr>
          </w:p>
        </w:tc>
        <w:tc>
          <w:tcPr>
            <w:tcW w:w="1580" w:type="dxa"/>
            <w:vAlign w:val="bottom"/>
          </w:tcPr>
          <w:p>
            <w:pPr>
              <w:jc w:val="right"/>
              <w:ind w:right="579"/>
              <w:spacing w:after="0"/>
              <w:rPr>
                <w:sz w:val="20"/>
                <w:szCs w:val="20"/>
                <w:color w:val="auto"/>
              </w:rPr>
            </w:pPr>
            <w:r>
              <w:rPr>
                <w:rFonts w:ascii="Arial" w:cs="Arial" w:eastAsia="Arial" w:hAnsi="Arial"/>
                <w:sz w:val="16"/>
                <w:szCs w:val="16"/>
                <w:b w:val="1"/>
                <w:bCs w:val="1"/>
                <w:color w:val="auto"/>
              </w:rPr>
              <w:t>Balance at</w:t>
            </w:r>
          </w:p>
        </w:tc>
        <w:tc>
          <w:tcPr>
            <w:tcW w:w="0" w:type="dxa"/>
            <w:vAlign w:val="bottom"/>
          </w:tcPr>
          <w:p>
            <w:pPr>
              <w:spacing w:after="0"/>
              <w:rPr>
                <w:sz w:val="1"/>
                <w:szCs w:val="1"/>
                <w:color w:val="auto"/>
              </w:rPr>
            </w:pPr>
          </w:p>
        </w:tc>
      </w:tr>
      <w:tr>
        <w:trPr>
          <w:trHeight w:val="203"/>
        </w:trPr>
        <w:tc>
          <w:tcPr>
            <w:tcW w:w="10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Beginning of Year</w:t>
            </w:r>
          </w:p>
        </w:tc>
        <w:tc>
          <w:tcPr>
            <w:tcW w:w="3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Expenses</w:t>
            </w:r>
          </w:p>
        </w:tc>
        <w:tc>
          <w:tcPr>
            <w:tcW w:w="2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Other Additions</w:t>
            </w:r>
          </w:p>
        </w:tc>
        <w:tc>
          <w:tcPr>
            <w:tcW w:w="24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6"/>
                <w:szCs w:val="16"/>
                <w:b w:val="1"/>
                <w:bCs w:val="1"/>
                <w:color w:val="auto"/>
              </w:rPr>
              <w:t>Other Deductions</w:t>
            </w: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End of Year</w:t>
            </w: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center"/>
              <w:ind w:right="219"/>
              <w:spacing w:after="0" w:line="183" w:lineRule="exact"/>
              <w:rPr>
                <w:sz w:val="20"/>
                <w:szCs w:val="20"/>
                <w:color w:val="auto"/>
              </w:rPr>
            </w:pPr>
            <w:r>
              <w:rPr>
                <w:rFonts w:ascii="Arial" w:cs="Arial" w:eastAsia="Arial" w:hAnsi="Arial"/>
                <w:sz w:val="16"/>
                <w:szCs w:val="16"/>
                <w:color w:val="auto"/>
              </w:rPr>
              <w:t>(in millions)</w:t>
            </w:r>
          </w:p>
        </w:tc>
        <w:tc>
          <w:tcPr>
            <w:tcW w:w="2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2024</w:t>
            </w:r>
          </w:p>
        </w:tc>
        <w:tc>
          <w:tcPr>
            <w:tcW w:w="1680" w:type="dxa"/>
            <w:vAlign w:val="bottom"/>
            <w:shd w:val="clear" w:color="auto" w:fill="CFF0FC"/>
          </w:tcPr>
          <w:p>
            <w:pPr>
              <w:jc w:val="right"/>
              <w:ind w:right="1479"/>
              <w:spacing w:after="0" w:line="183" w:lineRule="exact"/>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98"/>
              </w:rPr>
              <w:t>2.2</w:t>
            </w:r>
          </w:p>
        </w:tc>
        <w:tc>
          <w:tcPr>
            <w:tcW w:w="400" w:type="dxa"/>
            <w:vAlign w:val="bottom"/>
            <w:shd w:val="clear" w:color="auto" w:fill="CFF0FC"/>
          </w:tcPr>
          <w:p>
            <w:pPr>
              <w:jc w:val="right"/>
              <w:ind w:right="159"/>
              <w:spacing w:after="0" w:line="183" w:lineRule="exact"/>
              <w:rPr>
                <w:sz w:val="20"/>
                <w:szCs w:val="20"/>
                <w:color w:val="auto"/>
              </w:rPr>
            </w:pPr>
            <w:r>
              <w:rPr>
                <w:rFonts w:ascii="Arial" w:cs="Arial" w:eastAsia="Arial" w:hAnsi="Arial"/>
                <w:sz w:val="16"/>
                <w:szCs w:val="16"/>
                <w:color w:val="auto"/>
              </w:rPr>
              <w:t>$</w:t>
            </w:r>
          </w:p>
        </w:tc>
        <w:tc>
          <w:tcPr>
            <w:tcW w:w="16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5.6</w:t>
            </w:r>
          </w:p>
        </w:tc>
        <w:tc>
          <w:tcPr>
            <w:tcW w:w="2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7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4.2</w:t>
            </w:r>
          </w:p>
        </w:tc>
        <w:tc>
          <w:tcPr>
            <w:tcW w:w="2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60" w:type="dxa"/>
            <w:vAlign w:val="bottom"/>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(9.9 ) $</w:t>
            </w:r>
          </w:p>
        </w:tc>
        <w:tc>
          <w:tcPr>
            <w:tcW w:w="160" w:type="dxa"/>
            <w:vAlign w:val="bottom"/>
            <w:shd w:val="clear" w:color="auto" w:fill="CFF0FC"/>
          </w:tcPr>
          <w:p>
            <w:pPr>
              <w:spacing w:after="0"/>
              <w:rPr>
                <w:sz w:val="15"/>
                <w:szCs w:val="15"/>
                <w:color w:val="auto"/>
              </w:rPr>
            </w:pPr>
          </w:p>
        </w:tc>
        <w:tc>
          <w:tcPr>
            <w:tcW w:w="158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89"/>
        </w:trPr>
        <w:tc>
          <w:tcPr>
            <w:tcW w:w="1080" w:type="dxa"/>
            <w:vAlign w:val="bottom"/>
          </w:tcPr>
          <w:p>
            <w:pPr>
              <w:ind w:left="20"/>
              <w:spacing w:after="0"/>
              <w:rPr>
                <w:sz w:val="20"/>
                <w:szCs w:val="20"/>
                <w:color w:val="auto"/>
              </w:rPr>
            </w:pPr>
            <w:r>
              <w:rPr>
                <w:rFonts w:ascii="Arial" w:cs="Arial" w:eastAsia="Arial" w:hAnsi="Arial"/>
                <w:sz w:val="16"/>
                <w:szCs w:val="16"/>
                <w:color w:val="auto"/>
              </w:rPr>
              <w:t>2023</w:t>
            </w:r>
          </w:p>
        </w:tc>
        <w:tc>
          <w:tcPr>
            <w:tcW w:w="1680" w:type="dxa"/>
            <w:vAlign w:val="bottom"/>
          </w:tcPr>
          <w:p>
            <w:pPr>
              <w:jc w:val="right"/>
              <w:ind w:right="1479"/>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w w:val="98"/>
              </w:rPr>
              <w:t>3.0</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8.7</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4.1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(13.6 ) $</w:t>
            </w:r>
          </w:p>
        </w:tc>
        <w:tc>
          <w:tcPr>
            <w:tcW w:w="160" w:type="dxa"/>
            <w:vAlign w:val="bottom"/>
          </w:tcPr>
          <w:p>
            <w:pPr>
              <w:spacing w:after="0"/>
              <w:rPr>
                <w:sz w:val="16"/>
                <w:szCs w:val="16"/>
                <w:color w:val="auto"/>
              </w:rPr>
            </w:pPr>
          </w:p>
        </w:tc>
        <w:tc>
          <w:tcPr>
            <w:tcW w:w="1580" w:type="dxa"/>
            <w:vAlign w:val="bottom"/>
          </w:tcPr>
          <w:p>
            <w:pPr>
              <w:jc w:val="right"/>
              <w:ind w:right="59"/>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89"/>
        </w:trPr>
        <w:tc>
          <w:tcPr>
            <w:tcW w:w="1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2022</w:t>
            </w:r>
          </w:p>
        </w:tc>
        <w:tc>
          <w:tcPr>
            <w:tcW w:w="1680" w:type="dxa"/>
            <w:vAlign w:val="bottom"/>
            <w:shd w:val="clear" w:color="auto" w:fill="CFF0FC"/>
          </w:tcPr>
          <w:p>
            <w:pPr>
              <w:jc w:val="right"/>
              <w:ind w:right="1479"/>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2.1</w:t>
            </w:r>
          </w:p>
        </w:tc>
        <w:tc>
          <w:tcPr>
            <w:tcW w:w="40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w:t>
            </w:r>
          </w:p>
        </w:tc>
        <w:tc>
          <w:tcPr>
            <w:tcW w:w="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(11.7 ) $</w:t>
            </w:r>
          </w:p>
        </w:tc>
        <w:tc>
          <w:tcPr>
            <w:tcW w:w="160" w:type="dxa"/>
            <w:vAlign w:val="bottom"/>
            <w:shd w:val="clear" w:color="auto" w:fill="CFF0FC"/>
          </w:tcPr>
          <w:p>
            <w:pPr>
              <w:spacing w:after="0"/>
              <w:rPr>
                <w:sz w:val="16"/>
                <w:szCs w:val="16"/>
                <w:color w:val="auto"/>
              </w:rPr>
            </w:pPr>
          </w:p>
        </w:tc>
        <w:tc>
          <w:tcPr>
            <w:tcW w:w="15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Materials, Supplies, and Fuel</w:t>
      </w:r>
    </w:p>
    <w:p>
      <w:pPr>
        <w:spacing w:after="0" w:line="194"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Materials and supplies represent parts and supplies for our business operations. Fuel represents diesel oil and gas used by our electric generating facilities to produce power. Natural gas in storage primarily represents gas purchased for use by our gas customers. All of our Materials, supplies, and fuel are recorded using the weighted-average cost method and are valued at the lower-of-cost or net realizable value. The value of our natural gas in storage fluctuates with seasonal volume requirements of our business and the commodity price of natural gas.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amounts by major classification are included in Materials, supplies, and fuel on the accompanying Consolidated Balance Sheets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80" w:type="dxa"/>
            <w:vAlign w:val="bottom"/>
          </w:tcPr>
          <w:p>
            <w:pPr>
              <w:spacing w:after="0"/>
              <w:rPr>
                <w:sz w:val="17"/>
                <w:szCs w:val="17"/>
                <w:color w:val="auto"/>
              </w:rPr>
            </w:pPr>
          </w:p>
        </w:tc>
        <w:tc>
          <w:tcPr>
            <w:tcW w:w="21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2024</w:t>
            </w:r>
          </w:p>
        </w:tc>
        <w:tc>
          <w:tcPr>
            <w:tcW w:w="9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tcPr>
          <w:p>
            <w:pPr>
              <w:jc w:val="right"/>
              <w:ind w:right="1399"/>
              <w:spacing w:after="0"/>
              <w:rPr>
                <w:sz w:val="20"/>
                <w:szCs w:val="20"/>
                <w:color w:val="auto"/>
              </w:rPr>
            </w:pPr>
            <w:r>
              <w:rPr>
                <w:rFonts w:ascii="Arial" w:cs="Arial" w:eastAsia="Arial" w:hAnsi="Arial"/>
                <w:sz w:val="16"/>
                <w:szCs w:val="16"/>
                <w:b w:val="1"/>
                <w:bCs w:val="1"/>
                <w:color w:val="auto"/>
              </w:rPr>
              <w:t>2023</w:t>
            </w:r>
          </w:p>
        </w:tc>
      </w:tr>
      <w:tr>
        <w:trPr>
          <w:trHeight w:val="183"/>
        </w:trPr>
        <w:tc>
          <w:tcPr>
            <w:tcW w:w="4880" w:type="dxa"/>
            <w:vAlign w:val="bottom"/>
          </w:tcPr>
          <w:p>
            <w:pPr>
              <w:spacing w:after="0"/>
              <w:rPr>
                <w:sz w:val="15"/>
                <w:szCs w:val="15"/>
                <w:color w:val="auto"/>
              </w:rPr>
            </w:pPr>
          </w:p>
        </w:tc>
        <w:tc>
          <w:tcPr>
            <w:tcW w:w="21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2"/>
          </w:tcPr>
          <w:p>
            <w:pPr>
              <w:jc w:val="right"/>
              <w:ind w:right="419"/>
              <w:spacing w:after="0" w:line="183" w:lineRule="exact"/>
              <w:rPr>
                <w:sz w:val="20"/>
                <w:szCs w:val="20"/>
                <w:color w:val="auto"/>
              </w:rPr>
            </w:pPr>
            <w:r>
              <w:rPr>
                <w:rFonts w:ascii="Arial" w:cs="Arial" w:eastAsia="Arial" w:hAnsi="Arial"/>
                <w:sz w:val="16"/>
                <w:szCs w:val="16"/>
                <w:color w:val="auto"/>
              </w:rPr>
              <w:t>(in millions)</w:t>
            </w:r>
          </w:p>
        </w:tc>
        <w:tc>
          <w:tcPr>
            <w:tcW w:w="2340" w:type="dxa"/>
            <w:vAlign w:val="bottom"/>
            <w:tcBorders>
              <w:bottom w:val="single" w:sz="8" w:color="auto"/>
            </w:tcBorders>
          </w:tcPr>
          <w:p>
            <w:pPr>
              <w:spacing w:after="0"/>
              <w:rPr>
                <w:sz w:val="15"/>
                <w:szCs w:val="15"/>
                <w:color w:val="auto"/>
              </w:rPr>
            </w:pPr>
          </w:p>
        </w:tc>
      </w:tr>
      <w:tr>
        <w:trPr>
          <w:trHeight w:val="183"/>
        </w:trPr>
        <w:tc>
          <w:tcPr>
            <w:tcW w:w="488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Materials and supplies</w:t>
            </w:r>
          </w:p>
        </w:tc>
        <w:tc>
          <w:tcPr>
            <w:tcW w:w="2180" w:type="dxa"/>
            <w:vAlign w:val="bottom"/>
            <w:shd w:val="clear" w:color="auto" w:fill="CFF0FC"/>
          </w:tcPr>
          <w:p>
            <w:pPr>
              <w:jc w:val="right"/>
              <w:ind w:right="1999"/>
              <w:spacing w:after="0" w:line="183" w:lineRule="exact"/>
              <w:rPr>
                <w:sz w:val="20"/>
                <w:szCs w:val="20"/>
                <w:color w:val="auto"/>
              </w:rPr>
            </w:pPr>
            <w:r>
              <w:rPr>
                <w:rFonts w:ascii="Arial" w:cs="Arial" w:eastAsia="Arial" w:hAnsi="Arial"/>
                <w:sz w:val="16"/>
                <w:szCs w:val="16"/>
                <w:color w:val="auto"/>
                <w:w w:val="89"/>
              </w:rPr>
              <w:t>$</w:t>
            </w:r>
          </w:p>
        </w:tc>
        <w:tc>
          <w:tcPr>
            <w:tcW w:w="9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106.1</w:t>
            </w:r>
          </w:p>
        </w:tc>
        <w:tc>
          <w:tcPr>
            <w:tcW w:w="900" w:type="dxa"/>
            <w:vAlign w:val="bottom"/>
            <w:shd w:val="clear" w:color="auto" w:fill="CFF0FC"/>
          </w:tcPr>
          <w:p>
            <w:pPr>
              <w:jc w:val="right"/>
              <w:ind w:right="659"/>
              <w:spacing w:after="0" w:line="183" w:lineRule="exact"/>
              <w:rPr>
                <w:sz w:val="20"/>
                <w:szCs w:val="20"/>
                <w:color w:val="auto"/>
              </w:rPr>
            </w:pPr>
            <w:r>
              <w:rPr>
                <w:rFonts w:ascii="Arial" w:cs="Arial" w:eastAsia="Arial" w:hAnsi="Arial"/>
                <w:sz w:val="16"/>
                <w:szCs w:val="16"/>
                <w:color w:val="auto"/>
              </w:rPr>
              <w:t>$</w:t>
            </w:r>
          </w:p>
        </w:tc>
        <w:tc>
          <w:tcPr>
            <w:tcW w:w="234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105.9</w:t>
            </w:r>
          </w:p>
        </w:tc>
      </w:tr>
      <w:tr>
        <w:trPr>
          <w:trHeight w:val="189"/>
        </w:trPr>
        <w:tc>
          <w:tcPr>
            <w:tcW w:w="4880" w:type="dxa"/>
            <w:vAlign w:val="bottom"/>
          </w:tcPr>
          <w:p>
            <w:pPr>
              <w:ind w:left="20"/>
              <w:spacing w:after="0"/>
              <w:rPr>
                <w:sz w:val="20"/>
                <w:szCs w:val="20"/>
                <w:color w:val="auto"/>
              </w:rPr>
            </w:pPr>
            <w:r>
              <w:rPr>
                <w:rFonts w:ascii="Arial" w:cs="Arial" w:eastAsia="Arial" w:hAnsi="Arial"/>
                <w:sz w:val="16"/>
                <w:szCs w:val="16"/>
                <w:color w:val="auto"/>
              </w:rPr>
              <w:t>Fuel</w:t>
            </w:r>
          </w:p>
        </w:tc>
        <w:tc>
          <w:tcPr>
            <w:tcW w:w="2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7.5</w:t>
            </w:r>
          </w:p>
        </w:tc>
        <w:tc>
          <w:tcPr>
            <w:tcW w:w="900" w:type="dxa"/>
            <w:vAlign w:val="bottom"/>
          </w:tcPr>
          <w:p>
            <w:pPr>
              <w:spacing w:after="0"/>
              <w:rPr>
                <w:sz w:val="16"/>
                <w:szCs w:val="16"/>
                <w:color w:val="auto"/>
              </w:rPr>
            </w:pPr>
          </w:p>
        </w:tc>
        <w:tc>
          <w:tcPr>
            <w:tcW w:w="2340" w:type="dxa"/>
            <w:vAlign w:val="bottom"/>
          </w:tcPr>
          <w:p>
            <w:pPr>
              <w:jc w:val="right"/>
              <w:ind w:right="59"/>
              <w:spacing w:after="0"/>
              <w:rPr>
                <w:sz w:val="20"/>
                <w:szCs w:val="20"/>
                <w:color w:val="auto"/>
              </w:rPr>
            </w:pPr>
            <w:r>
              <w:rPr>
                <w:rFonts w:ascii="Arial" w:cs="Arial" w:eastAsia="Arial" w:hAnsi="Arial"/>
                <w:sz w:val="16"/>
                <w:szCs w:val="16"/>
                <w:color w:val="auto"/>
              </w:rPr>
              <w:t>7.7</w:t>
            </w:r>
          </w:p>
        </w:tc>
      </w:tr>
      <w:tr>
        <w:trPr>
          <w:trHeight w:val="189"/>
        </w:trPr>
        <w:tc>
          <w:tcPr>
            <w:tcW w:w="4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Natural gas in storage</w:t>
            </w:r>
          </w:p>
        </w:tc>
        <w:tc>
          <w:tcPr>
            <w:tcW w:w="218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40.3</w:t>
            </w:r>
          </w:p>
        </w:tc>
        <w:tc>
          <w:tcPr>
            <w:tcW w:w="900" w:type="dxa"/>
            <w:vAlign w:val="bottom"/>
            <w:tcBorders>
              <w:bottom w:val="single" w:sz="8" w:color="auto"/>
            </w:tcBorders>
            <w:shd w:val="clear" w:color="auto" w:fill="CFF0FC"/>
          </w:tcPr>
          <w:p>
            <w:pPr>
              <w:spacing w:after="0"/>
              <w:rPr>
                <w:sz w:val="16"/>
                <w:szCs w:val="16"/>
                <w:color w:val="auto"/>
              </w:rPr>
            </w:pPr>
          </w:p>
        </w:tc>
        <w:tc>
          <w:tcPr>
            <w:tcW w:w="23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47.3</w:t>
            </w:r>
          </w:p>
        </w:tc>
      </w:tr>
      <w:tr>
        <w:trPr>
          <w:trHeight w:val="183"/>
        </w:trPr>
        <w:tc>
          <w:tcPr>
            <w:tcW w:w="4880" w:type="dxa"/>
            <w:vAlign w:val="bottom"/>
          </w:tcPr>
          <w:p>
            <w:pPr>
              <w:ind w:left="20"/>
              <w:spacing w:after="0" w:line="183" w:lineRule="exact"/>
              <w:rPr>
                <w:sz w:val="20"/>
                <w:szCs w:val="20"/>
                <w:color w:val="auto"/>
              </w:rPr>
            </w:pPr>
            <w:r>
              <w:rPr>
                <w:rFonts w:ascii="Arial" w:cs="Arial" w:eastAsia="Arial" w:hAnsi="Arial"/>
                <w:sz w:val="16"/>
                <w:szCs w:val="16"/>
                <w:color w:val="auto"/>
              </w:rPr>
              <w:t>Total materials, supplies, and fuel</w:t>
            </w:r>
          </w:p>
        </w:tc>
        <w:tc>
          <w:tcPr>
            <w:tcW w:w="2180" w:type="dxa"/>
            <w:vAlign w:val="bottom"/>
            <w:tcBorders>
              <w:bottom w:val="single" w:sz="8" w:color="auto"/>
            </w:tcBorders>
          </w:tcPr>
          <w:p>
            <w:pPr>
              <w:jc w:val="right"/>
              <w:ind w:right="1999"/>
              <w:spacing w:after="0" w:line="183" w:lineRule="exact"/>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153.9</w:t>
            </w:r>
          </w:p>
        </w:tc>
        <w:tc>
          <w:tcPr>
            <w:tcW w:w="900" w:type="dxa"/>
            <w:vAlign w:val="bottom"/>
            <w:tcBorders>
              <w:bottom w:val="single" w:sz="8" w:color="auto"/>
            </w:tcBorders>
          </w:tcPr>
          <w:p>
            <w:pPr>
              <w:jc w:val="right"/>
              <w:ind w:right="659"/>
              <w:spacing w:after="0" w:line="183" w:lineRule="exact"/>
              <w:rPr>
                <w:sz w:val="20"/>
                <w:szCs w:val="20"/>
                <w:color w:val="auto"/>
              </w:rPr>
            </w:pPr>
            <w:r>
              <w:rPr>
                <w:rFonts w:ascii="Arial" w:cs="Arial" w:eastAsia="Arial" w:hAnsi="Arial"/>
                <w:sz w:val="16"/>
                <w:szCs w:val="16"/>
                <w:color w:val="auto"/>
              </w:rPr>
              <w:t>$</w:t>
            </w:r>
          </w:p>
        </w:tc>
        <w:tc>
          <w:tcPr>
            <w:tcW w:w="234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160.9</w:t>
            </w:r>
          </w:p>
        </w:tc>
      </w:tr>
      <w:tr>
        <w:trPr>
          <w:trHeight w:val="20"/>
        </w:trPr>
        <w:tc>
          <w:tcPr>
            <w:tcW w:w="488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Property, Plant, and Equipment</w:t>
      </w:r>
    </w:p>
    <w:p>
      <w:pPr>
        <w:spacing w:after="0" w:line="194"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Property, plant, and equipment are stated at cost, which includes construction-related direct labor and material costs, indirect construction costs including labor and related costs of departments associated with supporting construction activities, and AFUDC. Additions to and significant replacements of property are charged to property, plant, and equipment at cost. We also classify our Cushion Gas as Property, plant, and equipment. Ordinary repairs and maintenance of property, except as allowed under rate regulations, are expensed as incurred.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auto"/>
        </w:rPr>
        <w:t>We receive CIACs from third parties that are generally intended to defray all or a portion of the costs for certain capital projects. Such CIAC costs are recorded as a reduction to Property, plant, and equipment.</w:t>
      </w:r>
    </w:p>
    <w:p>
      <w:pPr>
        <w:spacing w:after="0" w:line="129"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The cost of regulated utility property, plant, and equipment retired, or otherwise disposed in the ordinary course of business, less salvage plus retirement costs, is charged to accumulated depreciation. Estimated removal costs related to our regulated properties that do not have legal retirement obligations are reclassified from accumulated depreciation and reflected as regulatory liabilities. Retirement or disposal of all other operating assets which result in gains or losses are recognized within Operations and maintenance expense.</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5</w:t>
      </w:r>
      <w:r>
        <w:rPr>
          <w:rFonts w:ascii="Arial" w:cs="Arial" w:eastAsia="Arial" w:hAnsi="Arial"/>
          <w:sz w:val="16"/>
          <w:szCs w:val="16"/>
          <w:color w:val="auto"/>
        </w:rPr>
        <w:t xml:space="preserve">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-4445</wp:posOffset>
            </wp:positionV>
            <wp:extent cx="30289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Depreciation</w:t>
      </w:r>
    </w:p>
    <w:p>
      <w:pPr>
        <w:spacing w:after="0" w:line="192"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Depreciation provisions for property, plant, and equipment are generally computed on a straight-line basis based on the applicable estimated service life of the various classes of property. The composite depreciation method is applied to regulated utility property. Depreciation studies are conducted periodically to update composite rates and are approved by state utility commissions and/or the FERC when required. Capitalized mining costs and coal leases are amortized on a unit-of-production method based on volumes produced and estimated reserves. For certain non-regulated power plant components, depreciation is computed on a unit-of-production methodology based on plant hours run.</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AFUDC</w:t>
      </w:r>
    </w:p>
    <w:p>
      <w:pPr>
        <w:spacing w:after="0" w:line="192"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Included in the cost of regulated construction projects is AFUDC, when applicable, which represents the approximate composite cost of borrowed funds and a return on equity used to finance a regulated utility project. The following table presents AFUDC amounts for the years ended December 31:</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80" w:type="dxa"/>
            <w:vAlign w:val="bottom"/>
          </w:tcPr>
          <w:p>
            <w:pPr>
              <w:spacing w:after="0"/>
              <w:rPr>
                <w:sz w:val="17"/>
                <w:szCs w:val="17"/>
                <w:color w:val="auto"/>
              </w:rPr>
            </w:pPr>
          </w:p>
        </w:tc>
        <w:tc>
          <w:tcPr>
            <w:tcW w:w="5740" w:type="dxa"/>
            <w:vAlign w:val="bottom"/>
            <w:tcBorders>
              <w:bottom w:val="single" w:sz="8" w:color="auto"/>
            </w:tcBorders>
          </w:tcPr>
          <w:p>
            <w:pPr>
              <w:ind w:left="1800"/>
              <w:spacing w:after="0"/>
              <w:rPr>
                <w:sz w:val="20"/>
                <w:szCs w:val="20"/>
                <w:color w:val="auto"/>
              </w:rPr>
            </w:pPr>
            <w:r>
              <w:rPr>
                <w:rFonts w:ascii="Arial" w:cs="Arial" w:eastAsia="Arial" w:hAnsi="Arial"/>
                <w:sz w:val="16"/>
                <w:szCs w:val="16"/>
                <w:b w:val="1"/>
                <w:bCs w:val="1"/>
                <w:color w:val="auto"/>
              </w:rPr>
              <w:t>Income Statement Location</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2024</w:t>
            </w: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r>
      <w:tr>
        <w:trPr>
          <w:trHeight w:val="183"/>
        </w:trPr>
        <w:tc>
          <w:tcPr>
            <w:tcW w:w="198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rPr>
              <w:t>(in millions)</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183"/>
        </w:trPr>
        <w:tc>
          <w:tcPr>
            <w:tcW w:w="198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AFUDC Debt</w:t>
            </w:r>
          </w:p>
        </w:tc>
        <w:tc>
          <w:tcPr>
            <w:tcW w:w="574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Interest expense incurred, net of amounts capitalized</w:t>
            </w:r>
          </w:p>
        </w:tc>
        <w:tc>
          <w:tcPr>
            <w:tcW w:w="2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8.7</w:t>
            </w:r>
          </w:p>
        </w:tc>
        <w:tc>
          <w:tcPr>
            <w:tcW w:w="1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6.0</w:t>
            </w:r>
          </w:p>
        </w:tc>
        <w:tc>
          <w:tcPr>
            <w:tcW w:w="2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5.6</w:t>
            </w:r>
          </w:p>
        </w:tc>
      </w:tr>
      <w:tr>
        <w:trPr>
          <w:trHeight w:val="215"/>
        </w:trPr>
        <w:tc>
          <w:tcPr>
            <w:tcW w:w="1980" w:type="dxa"/>
            <w:vAlign w:val="bottom"/>
          </w:tcPr>
          <w:p>
            <w:pPr>
              <w:ind w:left="20"/>
              <w:spacing w:after="0"/>
              <w:rPr>
                <w:sz w:val="20"/>
                <w:szCs w:val="20"/>
                <w:color w:val="auto"/>
              </w:rPr>
            </w:pPr>
            <w:r>
              <w:rPr>
                <w:rFonts w:ascii="Arial" w:cs="Arial" w:eastAsia="Arial" w:hAnsi="Arial"/>
                <w:sz w:val="16"/>
                <w:szCs w:val="16"/>
                <w:color w:val="auto"/>
              </w:rPr>
              <w:t>AFUDC Equity</w:t>
            </w:r>
          </w:p>
        </w:tc>
        <w:tc>
          <w:tcPr>
            <w:tcW w:w="5740" w:type="dxa"/>
            <w:vAlign w:val="bottom"/>
          </w:tcPr>
          <w:p>
            <w:pPr>
              <w:ind w:left="20"/>
              <w:spacing w:after="0"/>
              <w:rPr>
                <w:sz w:val="20"/>
                <w:szCs w:val="20"/>
                <w:color w:val="auto"/>
              </w:rPr>
            </w:pPr>
            <w:r>
              <w:rPr>
                <w:rFonts w:ascii="Arial" w:cs="Arial" w:eastAsia="Arial" w:hAnsi="Arial"/>
                <w:sz w:val="16"/>
                <w:szCs w:val="16"/>
                <w:color w:val="auto"/>
              </w:rPr>
              <w:t>Other income (expense), net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0.4</w:t>
            </w:r>
          </w:p>
        </w:tc>
        <w:tc>
          <w:tcPr>
            <w:tcW w:w="280" w:type="dxa"/>
            <w:vAlign w:val="bottom"/>
          </w:tcPr>
          <w:p>
            <w:pPr>
              <w:spacing w:after="0"/>
              <w:rPr>
                <w:sz w:val="18"/>
                <w:szCs w:val="18"/>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0.6</w:t>
            </w:r>
          </w:p>
        </w:tc>
      </w:tr>
    </w:tbl>
    <w:p>
      <w:pPr>
        <w:spacing w:after="0" w:line="149"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We also capitalize interest, when applicable, on undeveloped leasehold costs and certain non-regulated construction projects. In addition, asset retirement costs associated with tangible long-lived regulated utility assets are recognized as liabilities with an increase to the carrying amounts of the related long-lived regulated utility assets in the period incurred. The amounts capitalized are included in Property, plant, and equipment on the accompanying Consolidated Balance Sheets.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 Retirement Obligations</w:t>
      </w:r>
    </w:p>
    <w:p>
      <w:pPr>
        <w:spacing w:after="0" w:line="194"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Accounting standards for AROs associated with long-lived assets require that the present value of retirement costs for which we have a legal obligation be recorded as liabilities with an equivalent amount added to the asset cost and depreciated over an appropriate period. The associated ARO accretion expense for our non-regulated operations, and regulated operations without a corresponding recovery mechanism, is included within Depreciation, depletion and amortization on the accompanying Consolidated Statements of Income. The accounting for the obligation for regulated operations with a regulatory mechanism has no income statement impact due to the deferral of the adjustments through the establishment of a regulatory asset or a regulatory liability.</w:t>
      </w:r>
    </w:p>
    <w:p>
      <w:pPr>
        <w:spacing w:after="0" w:line="153"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 xml:space="preserve">We initially record liabilities for the present value of retirement costs for which we have a legal obligation, with an equivalent amount added to the asset cost. The asset is then depreciated or depleted over the appropriate useful life and the liability is accreted over time by applying an interest method of allocation. Any difference in the actual cost of the settlement of the liability and the recorded amount is recognized as a gain or loss in the results of operations at the time of settlement for our non-regulated operations. See </w:t>
      </w:r>
      <w:r>
        <w:rPr>
          <w:rFonts w:ascii="Arial" w:cs="Arial" w:eastAsia="Arial" w:hAnsi="Arial"/>
          <w:sz w:val="16"/>
          <w:szCs w:val="16"/>
          <w:u w:val="single" w:color="auto"/>
          <w:color w:val="0000FF"/>
        </w:rPr>
        <w:t>Note 7</w:t>
      </w:r>
      <w:r>
        <w:rPr>
          <w:rFonts w:ascii="Arial" w:cs="Arial" w:eastAsia="Arial" w:hAnsi="Arial"/>
          <w:sz w:val="16"/>
          <w:szCs w:val="16"/>
          <w:color w:val="auto"/>
        </w:rPr>
        <w:t xml:space="preserve">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2583815</wp:posOffset>
            </wp:positionH>
            <wp:positionV relativeFrom="paragraph">
              <wp:posOffset>-31750</wp:posOffset>
            </wp:positionV>
            <wp:extent cx="30289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02895" cy="8890"/>
                    </a:xfrm>
                    <a:prstGeom prst="rect">
                      <a:avLst/>
                    </a:prstGeom>
                    <a:noFill/>
                  </pic:spPr>
                </pic:pic>
              </a:graphicData>
            </a:graphic>
          </wp:anchor>
        </w:drawing>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Goodwill and Intangible Assets</w:t>
      </w:r>
    </w:p>
    <w:p>
      <w:pPr>
        <w:spacing w:after="0" w:line="194"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auto"/>
        </w:rPr>
        <w:t>Goodwill and intangible assets with indefinite lives are not amortized, but the carrying values are reviewed upon an indicator of impairment or at least annually. Intangible assets with a finite life are amortized over their estimated useful lives.</w:t>
      </w:r>
    </w:p>
    <w:p>
      <w:pPr>
        <w:spacing w:after="0" w:line="129"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We perform a goodwill impairment test on an annual basis or upon the occurrence of events or changes in circumstances that indicate that the asset might be impaired. Our annual goodwill impairment testing date is as of October 1, which aligns our testing date with our financial planning process.</w:t>
      </w:r>
    </w:p>
    <w:p>
      <w:pPr>
        <w:spacing w:after="0" w:line="129"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The Company has determined that the reporting units for its goodwill impairment test are its operating segments, or components of an operating segment.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Our goodwill impairment analysis includes an income approach and a market approach to estimate the fair value of our reporting units. These valuations require significant judgments, including, but not limited to: 1) estimates of future cash flows, based on our internal five-year business plans and adjusted as appropriate for our view of market participant assumptions, with long range cash flows estimated using a terminal value calculation; 2) estimates of long-term growth rates for our businesses; 3) the determination of an appropriate weighted-average cost of capital or discount rate; and 4) the utilization of market information such as recent sales transactions for comparable assets within the utility and energy industries.</w:t>
      </w:r>
    </w:p>
    <w:p>
      <w:pPr>
        <w:spacing w:after="0" w:line="153"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We believe that goodwill reflects the inherent value of the relatively stable, long-lived cash flows of our Utilities businesses, considering the regulatory environment, and the long-lived cash flow and rate base growth opportunities at our Utilities, and those businesses vertically integrated. Goodwill amounts have not changed since 2016.</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2024, and 2023, Goodwill balances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Electric Utilities</w:t>
            </w:r>
          </w:p>
        </w:tc>
        <w:tc>
          <w:tcPr>
            <w:tcW w:w="5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center"/>
              <w:ind w:right="439"/>
              <w:spacing w:after="0"/>
              <w:rPr>
                <w:sz w:val="20"/>
                <w:szCs w:val="20"/>
                <w:color w:val="auto"/>
              </w:rPr>
            </w:pPr>
            <w:r>
              <w:rPr>
                <w:rFonts w:ascii="Arial" w:cs="Arial" w:eastAsia="Arial" w:hAnsi="Arial"/>
                <w:sz w:val="16"/>
                <w:szCs w:val="16"/>
                <w:b w:val="1"/>
                <w:bCs w:val="1"/>
                <w:color w:val="auto"/>
              </w:rPr>
              <w:t>Gas Utilities</w:t>
            </w:r>
          </w:p>
        </w:tc>
        <w:tc>
          <w:tcPr>
            <w:tcW w:w="66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Total</w:t>
            </w:r>
          </w:p>
        </w:tc>
      </w:tr>
      <w:tr>
        <w:trPr>
          <w:trHeight w:val="183"/>
        </w:trPr>
        <w:tc>
          <w:tcPr>
            <w:tcW w:w="32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jc w:val="center"/>
              <w:ind w:right="399"/>
              <w:spacing w:after="0" w:line="183" w:lineRule="exact"/>
              <w:rPr>
                <w:sz w:val="20"/>
                <w:szCs w:val="20"/>
                <w:color w:val="auto"/>
              </w:rPr>
            </w:pPr>
            <w:r>
              <w:rPr>
                <w:rFonts w:ascii="Arial" w:cs="Arial" w:eastAsia="Arial" w:hAnsi="Arial"/>
                <w:sz w:val="16"/>
                <w:szCs w:val="16"/>
                <w:color w:val="auto"/>
              </w:rPr>
              <w:t>(in millions)</w:t>
            </w:r>
          </w:p>
        </w:tc>
        <w:tc>
          <w:tcPr>
            <w:tcW w:w="66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spacing w:after="0"/>
              <w:rPr>
                <w:sz w:val="15"/>
                <w:szCs w:val="15"/>
                <w:color w:val="auto"/>
              </w:rPr>
            </w:pPr>
          </w:p>
        </w:tc>
      </w:tr>
      <w:tr>
        <w:trPr>
          <w:trHeight w:val="223"/>
        </w:trPr>
        <w:tc>
          <w:tcPr>
            <w:tcW w:w="324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Goodwill</w:t>
            </w:r>
          </w:p>
        </w:tc>
        <w:tc>
          <w:tcPr>
            <w:tcW w:w="400" w:type="dxa"/>
            <w:vAlign w:val="bottom"/>
            <w:tcBorders>
              <w:bottom w:val="single" w:sz="8" w:color="auto"/>
            </w:tcBorders>
            <w:shd w:val="clear" w:color="auto" w:fill="CFF0FC"/>
          </w:tcPr>
          <w:p>
            <w:pPr>
              <w:jc w:val="right"/>
              <w:ind w:right="199"/>
              <w:spacing w:after="0" w:line="183" w:lineRule="exact"/>
              <w:rPr>
                <w:sz w:val="20"/>
                <w:szCs w:val="20"/>
                <w:color w:val="auto"/>
              </w:rPr>
            </w:pPr>
            <w:r>
              <w:rPr>
                <w:rFonts w:ascii="Arial" w:cs="Arial" w:eastAsia="Arial" w:hAnsi="Arial"/>
                <w:sz w:val="16"/>
                <w:szCs w:val="16"/>
                <w:color w:val="auto"/>
              </w:rPr>
              <w:t>$</w:t>
            </w:r>
          </w:p>
        </w:tc>
        <w:tc>
          <w:tcPr>
            <w:tcW w:w="22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257.3</w:t>
            </w:r>
          </w:p>
        </w:tc>
        <w:tc>
          <w:tcPr>
            <w:tcW w:w="520" w:type="dxa"/>
            <w:vAlign w:val="bottom"/>
            <w:tcBorders>
              <w:bottom w:val="single" w:sz="8" w:color="auto"/>
            </w:tcBorders>
            <w:shd w:val="clear" w:color="auto" w:fill="CFF0FC"/>
          </w:tcPr>
          <w:p>
            <w:pPr>
              <w:jc w:val="right"/>
              <w:ind w:right="259"/>
              <w:spacing w:after="0" w:line="183" w:lineRule="exact"/>
              <w:rPr>
                <w:sz w:val="20"/>
                <w:szCs w:val="20"/>
                <w:color w:val="auto"/>
              </w:rPr>
            </w:pPr>
            <w:r>
              <w:rPr>
                <w:rFonts w:ascii="Arial" w:cs="Arial" w:eastAsia="Arial" w:hAnsi="Arial"/>
                <w:sz w:val="16"/>
                <w:szCs w:val="16"/>
                <w:color w:val="auto"/>
              </w:rPr>
              <w:t>$</w:t>
            </w:r>
          </w:p>
        </w:tc>
        <w:tc>
          <w:tcPr>
            <w:tcW w:w="21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1,042.2</w:t>
            </w:r>
          </w:p>
        </w:tc>
        <w:tc>
          <w:tcPr>
            <w:tcW w:w="660" w:type="dxa"/>
            <w:vAlign w:val="bottom"/>
            <w:tcBorders>
              <w:bottom w:val="single" w:sz="8" w:color="auto"/>
            </w:tcBorders>
            <w:shd w:val="clear" w:color="auto" w:fill="CFF0FC"/>
          </w:tcPr>
          <w:p>
            <w:pPr>
              <w:jc w:val="right"/>
              <w:ind w:right="399"/>
              <w:spacing w:after="0" w:line="183" w:lineRule="exact"/>
              <w:rPr>
                <w:sz w:val="20"/>
                <w:szCs w:val="20"/>
                <w:color w:val="auto"/>
              </w:rPr>
            </w:pPr>
            <w:r>
              <w:rPr>
                <w:rFonts w:ascii="Arial" w:cs="Arial" w:eastAsia="Arial" w:hAnsi="Arial"/>
                <w:sz w:val="16"/>
                <w:szCs w:val="16"/>
                <w:color w:val="auto"/>
              </w:rPr>
              <w:t>$</w:t>
            </w:r>
          </w:p>
        </w:tc>
        <w:tc>
          <w:tcPr>
            <w:tcW w:w="208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1,299.5</w:t>
            </w:r>
          </w:p>
        </w:tc>
      </w:tr>
    </w:tbl>
    <w:p>
      <w:pPr>
        <w:spacing w:after="0" w:line="175" w:lineRule="exact"/>
        <w:rPr>
          <w:sz w:val="20"/>
          <w:szCs w:val="20"/>
          <w:color w:val="auto"/>
        </w:rPr>
      </w:pPr>
    </w:p>
    <w:p>
      <w:pPr>
        <w:ind w:right="320"/>
        <w:spacing w:after="0" w:line="266" w:lineRule="auto"/>
        <w:rPr>
          <w:sz w:val="20"/>
          <w:szCs w:val="20"/>
          <w:color w:val="auto"/>
        </w:rPr>
      </w:pPr>
      <w:r>
        <w:rPr>
          <w:rFonts w:ascii="Arial" w:cs="Arial" w:eastAsia="Arial" w:hAnsi="Arial"/>
          <w:sz w:val="16"/>
          <w:szCs w:val="16"/>
          <w:color w:val="auto"/>
        </w:rPr>
        <w:t>Our intangible assets represent contract intangibles, easements, rights-of-way, customer listings, and trademarks. The finite-lived intangible assets are amortized using a straight-line method based on estimated useful lives; these assets are currently being amortized from 1 years to 17 years. Changes to intangible assets for the years ended December 31, were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2024</w:t>
            </w:r>
          </w:p>
        </w:tc>
        <w:tc>
          <w:tcPr>
            <w:tcW w:w="6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2023</w:t>
            </w:r>
          </w:p>
        </w:tc>
        <w:tc>
          <w:tcPr>
            <w:tcW w:w="4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2022</w:t>
            </w:r>
          </w:p>
        </w:tc>
      </w:tr>
      <w:tr>
        <w:trPr>
          <w:trHeight w:val="183"/>
        </w:trPr>
        <w:tc>
          <w:tcPr>
            <w:tcW w:w="33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539"/>
              <w:spacing w:after="0" w:line="183" w:lineRule="exact"/>
              <w:rPr>
                <w:sz w:val="20"/>
                <w:szCs w:val="20"/>
                <w:color w:val="auto"/>
              </w:rPr>
            </w:pPr>
            <w:r>
              <w:rPr>
                <w:rFonts w:ascii="Arial" w:cs="Arial" w:eastAsia="Arial" w:hAnsi="Arial"/>
                <w:sz w:val="16"/>
                <w:szCs w:val="16"/>
                <w:color w:val="auto"/>
              </w:rPr>
              <w:t>(in millions)</w:t>
            </w:r>
          </w:p>
        </w:tc>
        <w:tc>
          <w:tcPr>
            <w:tcW w:w="4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r>
      <w:tr>
        <w:trPr>
          <w:trHeight w:val="183"/>
        </w:trPr>
        <w:tc>
          <w:tcPr>
            <w:tcW w:w="5280" w:type="dxa"/>
            <w:vAlign w:val="bottom"/>
            <w:gridSpan w:val="2"/>
            <w:shd w:val="clear" w:color="auto" w:fill="CFF0FC"/>
          </w:tcPr>
          <w:p>
            <w:pPr>
              <w:ind w:left="20"/>
              <w:spacing w:after="0" w:line="183" w:lineRule="exact"/>
              <w:rPr>
                <w:sz w:val="20"/>
                <w:szCs w:val="20"/>
                <w:color w:val="auto"/>
              </w:rPr>
            </w:pPr>
            <w:r>
              <w:rPr>
                <w:rFonts w:ascii="Arial" w:cs="Arial" w:eastAsia="Arial" w:hAnsi="Arial"/>
                <w:sz w:val="16"/>
                <w:szCs w:val="16"/>
                <w:color w:val="auto"/>
              </w:rPr>
              <w:t>Intangible assets, net, beginning balance</w:t>
            </w:r>
          </w:p>
        </w:tc>
        <w:tc>
          <w:tcPr>
            <w:tcW w:w="1340" w:type="dxa"/>
            <w:vAlign w:val="bottom"/>
            <w:shd w:val="clear" w:color="auto" w:fill="CFF0FC"/>
          </w:tcPr>
          <w:p>
            <w:pPr>
              <w:jc w:val="right"/>
              <w:ind w:right="1139"/>
              <w:spacing w:after="0" w:line="183" w:lineRule="exact"/>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8.4</w:t>
            </w:r>
          </w:p>
        </w:tc>
        <w:tc>
          <w:tcPr>
            <w:tcW w:w="320" w:type="dxa"/>
            <w:vAlign w:val="bottom"/>
            <w:shd w:val="clear" w:color="auto" w:fill="CFF0FC"/>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166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9.6</w:t>
            </w:r>
          </w:p>
        </w:tc>
        <w:tc>
          <w:tcPr>
            <w:tcW w:w="440" w:type="dxa"/>
            <w:vAlign w:val="bottom"/>
            <w:shd w:val="clear" w:color="auto" w:fill="CFF0FC"/>
          </w:tcPr>
          <w:p>
            <w:pPr>
              <w:jc w:val="right"/>
              <w:ind w:right="239"/>
              <w:spacing w:after="0" w:line="183" w:lineRule="exact"/>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10.8</w:t>
            </w:r>
          </w:p>
        </w:tc>
      </w:tr>
      <w:tr>
        <w:trPr>
          <w:trHeight w:val="189"/>
        </w:trPr>
        <w:tc>
          <w:tcPr>
            <w:tcW w:w="5280" w:type="dxa"/>
            <w:vAlign w:val="bottom"/>
            <w:gridSpan w:val="2"/>
          </w:tcPr>
          <w:p>
            <w:pPr>
              <w:ind w:left="20"/>
              <w:spacing w:after="0"/>
              <w:rPr>
                <w:sz w:val="20"/>
                <w:szCs w:val="20"/>
                <w:color w:val="auto"/>
              </w:rPr>
            </w:pPr>
            <w:r>
              <w:rPr>
                <w:rFonts w:ascii="Arial" w:cs="Arial" w:eastAsia="Arial" w:hAnsi="Arial"/>
                <w:sz w:val="16"/>
                <w:szCs w:val="16"/>
                <w:color w:val="auto"/>
              </w:rPr>
              <w:t>Additions</w:t>
            </w:r>
          </w:p>
        </w:tc>
        <w:tc>
          <w:tcPr>
            <w:tcW w:w="1340" w:type="dxa"/>
            <w:vAlign w:val="bottom"/>
          </w:tcPr>
          <w:p>
            <w:pPr>
              <w:spacing w:after="0"/>
              <w:rPr>
                <w:sz w:val="16"/>
                <w:szCs w:val="16"/>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0.3</w:t>
            </w:r>
          </w:p>
        </w:tc>
        <w:tc>
          <w:tcPr>
            <w:tcW w:w="320" w:type="dxa"/>
            <w:vAlign w:val="bottom"/>
          </w:tcPr>
          <w:p>
            <w:pPr>
              <w:spacing w:after="0"/>
              <w:rPr>
                <w:sz w:val="16"/>
                <w:szCs w:val="16"/>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6"/>
                <w:szCs w:val="16"/>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189"/>
        </w:trPr>
        <w:tc>
          <w:tcPr>
            <w:tcW w:w="5280" w:type="dxa"/>
            <w:vAlign w:val="bottom"/>
            <w:tcBorders>
              <w:bottom w:val="single" w:sz="8" w:color="CFF0FC"/>
            </w:tcBorders>
            <w:gridSpan w:val="2"/>
            <w:shd w:val="clear" w:color="auto" w:fill="CFF0FC"/>
          </w:tcPr>
          <w:p>
            <w:pPr>
              <w:ind w:left="20"/>
              <w:spacing w:after="0" w:line="189" w:lineRule="exact"/>
              <w:rPr>
                <w:sz w:val="20"/>
                <w:szCs w:val="20"/>
                <w:color w:val="auto"/>
              </w:rPr>
            </w:pPr>
            <w:r>
              <w:rPr>
                <w:rFonts w:ascii="Arial" w:cs="Arial" w:eastAsia="Arial" w:hAnsi="Arial"/>
                <w:sz w:val="16"/>
                <w:szCs w:val="16"/>
                <w:color w:val="auto"/>
              </w:rPr>
              <w:t xml:space="preserve">Amortization expense </w:t>
            </w:r>
            <w:r>
              <w:rPr>
                <w:rFonts w:ascii="Arial" w:cs="Arial" w:eastAsia="Arial" w:hAnsi="Arial"/>
                <w:sz w:val="21"/>
                <w:szCs w:val="21"/>
                <w:color w:val="auto"/>
                <w:vertAlign w:val="superscript"/>
              </w:rPr>
              <w:t>(a)</w:t>
            </w:r>
          </w:p>
        </w:tc>
        <w:tc>
          <w:tcPr>
            <w:tcW w:w="1340" w:type="dxa"/>
            <w:vAlign w:val="bottom"/>
            <w:tcBorders>
              <w:bottom w:val="single" w:sz="8" w:color="auto"/>
            </w:tcBorders>
            <w:shd w:val="clear" w:color="auto" w:fill="CFF0FC"/>
          </w:tcPr>
          <w:p>
            <w:pPr>
              <w:spacing w:after="0"/>
              <w:rPr>
                <w:sz w:val="16"/>
                <w:szCs w:val="16"/>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(1.1 )</w:t>
            </w:r>
          </w:p>
        </w:tc>
        <w:tc>
          <w:tcPr>
            <w:tcW w:w="320" w:type="dxa"/>
            <w:vAlign w:val="bottom"/>
            <w:tcBorders>
              <w:bottom w:val="single" w:sz="8" w:color="auto"/>
            </w:tcBorders>
            <w:shd w:val="clear" w:color="auto" w:fill="CFF0FC"/>
          </w:tcPr>
          <w:p>
            <w:pPr>
              <w:spacing w:after="0"/>
              <w:rPr>
                <w:sz w:val="16"/>
                <w:szCs w:val="16"/>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(1.2 )</w:t>
            </w:r>
          </w:p>
        </w:tc>
        <w:tc>
          <w:tcPr>
            <w:tcW w:w="440" w:type="dxa"/>
            <w:vAlign w:val="bottom"/>
            <w:tcBorders>
              <w:bottom w:val="single" w:sz="8" w:color="auto"/>
            </w:tcBorders>
            <w:shd w:val="clear" w:color="auto" w:fill="CFF0FC"/>
          </w:tcPr>
          <w:p>
            <w:pPr>
              <w:spacing w:after="0"/>
              <w:rPr>
                <w:sz w:val="16"/>
                <w:szCs w:val="16"/>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(1.2 )</w:t>
            </w:r>
          </w:p>
        </w:tc>
      </w:tr>
      <w:tr>
        <w:trPr>
          <w:trHeight w:val="183"/>
        </w:trPr>
        <w:tc>
          <w:tcPr>
            <w:tcW w:w="5280" w:type="dxa"/>
            <w:vAlign w:val="bottom"/>
            <w:gridSpan w:val="2"/>
          </w:tcPr>
          <w:p>
            <w:pPr>
              <w:ind w:left="20"/>
              <w:spacing w:after="0" w:line="183" w:lineRule="exact"/>
              <w:rPr>
                <w:sz w:val="20"/>
                <w:szCs w:val="20"/>
                <w:color w:val="auto"/>
              </w:rPr>
            </w:pPr>
            <w:r>
              <w:rPr>
                <w:rFonts w:ascii="Arial" w:cs="Arial" w:eastAsia="Arial" w:hAnsi="Arial"/>
                <w:sz w:val="16"/>
                <w:szCs w:val="16"/>
                <w:color w:val="auto"/>
              </w:rPr>
              <w:t>Intangible assets, net, ending balance</w:t>
            </w:r>
          </w:p>
        </w:tc>
        <w:tc>
          <w:tcPr>
            <w:tcW w:w="1340" w:type="dxa"/>
            <w:vAlign w:val="bottom"/>
            <w:tcBorders>
              <w:bottom w:val="single" w:sz="8" w:color="auto"/>
            </w:tcBorders>
          </w:tcPr>
          <w:p>
            <w:pPr>
              <w:jc w:val="right"/>
              <w:ind w:right="1139"/>
              <w:spacing w:after="0" w:line="183" w:lineRule="exact"/>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7.6</w:t>
            </w:r>
          </w:p>
        </w:tc>
        <w:tc>
          <w:tcPr>
            <w:tcW w:w="32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8.4</w:t>
            </w:r>
          </w:p>
        </w:tc>
        <w:tc>
          <w:tcPr>
            <w:tcW w:w="440" w:type="dxa"/>
            <w:vAlign w:val="bottom"/>
            <w:tcBorders>
              <w:bottom w:val="single" w:sz="8" w:color="auto"/>
            </w:tcBorders>
          </w:tcPr>
          <w:p>
            <w:pPr>
              <w:jc w:val="right"/>
              <w:ind w:right="239"/>
              <w:spacing w:after="0" w:line="183" w:lineRule="exact"/>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9.6</w:t>
            </w:r>
          </w:p>
        </w:tc>
      </w:tr>
      <w:tr>
        <w:trPr>
          <w:trHeight w:val="20"/>
        </w:trPr>
        <w:tc>
          <w:tcPr>
            <w:tcW w:w="33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16"/>
        </w:trPr>
        <w:tc>
          <w:tcPr>
            <w:tcW w:w="3380" w:type="dxa"/>
            <w:vAlign w:val="bottom"/>
            <w:tcBorders>
              <w:bottom w:val="single" w:sz="8" w:color="auto"/>
            </w:tcBorders>
          </w:tcPr>
          <w:p>
            <w:pPr>
              <w:spacing w:after="0"/>
              <w:rPr>
                <w:sz w:val="10"/>
                <w:szCs w:val="10"/>
                <w:color w:val="auto"/>
              </w:rPr>
            </w:pPr>
          </w:p>
        </w:tc>
        <w:tc>
          <w:tcPr>
            <w:tcW w:w="19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60" w:type="dxa"/>
            <w:vAlign w:val="bottom"/>
          </w:tcPr>
          <w:p>
            <w:pPr>
              <w:spacing w:after="0"/>
              <w:rPr>
                <w:sz w:val="10"/>
                <w:szCs w:val="10"/>
                <w:color w:val="auto"/>
              </w:rPr>
            </w:pPr>
          </w:p>
        </w:tc>
      </w:tr>
    </w:tbl>
    <w:p>
      <w:pPr>
        <w:spacing w:after="0" w:line="31" w:lineRule="exact"/>
        <w:rPr>
          <w:sz w:val="20"/>
          <w:szCs w:val="20"/>
          <w:color w:val="auto"/>
        </w:rPr>
      </w:pPr>
    </w:p>
    <w:p>
      <w:pPr>
        <w:ind w:left="520" w:hanging="512"/>
        <w:spacing w:after="0"/>
        <w:tabs>
          <w:tab w:leader="none" w:pos="5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Amortization expense for existing intangible assets is expected to be $1.2 million for each year of the next five years.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Accrued Liabilities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amounts by major classification are included in Accrued liabilities on the accompanying Consolidated Balance Sheets as of December 31: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140" w:type="dxa"/>
            <w:vAlign w:val="bottom"/>
          </w:tcPr>
          <w:p>
            <w:pPr>
              <w:spacing w:after="0"/>
              <w:rPr>
                <w:sz w:val="17"/>
                <w:szCs w:val="17"/>
                <w:color w:val="auto"/>
              </w:rPr>
            </w:pPr>
          </w:p>
        </w:tc>
        <w:tc>
          <w:tcPr>
            <w:tcW w:w="1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2024</w:t>
            </w:r>
          </w:p>
        </w:tc>
        <w:tc>
          <w:tcPr>
            <w:tcW w:w="6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2023</w:t>
            </w:r>
          </w:p>
        </w:tc>
      </w:tr>
      <w:tr>
        <w:trPr>
          <w:trHeight w:val="183"/>
        </w:trPr>
        <w:tc>
          <w:tcPr>
            <w:tcW w:w="714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right"/>
              <w:ind w:right="139"/>
              <w:spacing w:after="0" w:line="183" w:lineRule="exact"/>
              <w:rPr>
                <w:sz w:val="20"/>
                <w:szCs w:val="20"/>
                <w:color w:val="auto"/>
              </w:rPr>
            </w:pPr>
            <w:r>
              <w:rPr>
                <w:rFonts w:ascii="Arial" w:cs="Arial" w:eastAsia="Arial" w:hAnsi="Arial"/>
                <w:sz w:val="16"/>
                <w:szCs w:val="16"/>
                <w:color w:val="auto"/>
              </w:rPr>
              <w:t>(in millions)</w:t>
            </w:r>
          </w:p>
        </w:tc>
        <w:tc>
          <w:tcPr>
            <w:tcW w:w="1480" w:type="dxa"/>
            <w:vAlign w:val="bottom"/>
            <w:tcBorders>
              <w:bottom w:val="single" w:sz="8" w:color="auto"/>
            </w:tcBorders>
          </w:tcPr>
          <w:p>
            <w:pPr>
              <w:spacing w:after="0"/>
              <w:rPr>
                <w:sz w:val="15"/>
                <w:szCs w:val="15"/>
                <w:color w:val="auto"/>
              </w:rPr>
            </w:pPr>
          </w:p>
        </w:tc>
      </w:tr>
      <w:tr>
        <w:trPr>
          <w:trHeight w:val="182"/>
        </w:trPr>
        <w:tc>
          <w:tcPr>
            <w:tcW w:w="714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Accrued employee compensation, benefits and withholdings</w:t>
            </w:r>
          </w:p>
        </w:tc>
        <w:tc>
          <w:tcPr>
            <w:tcW w:w="1320" w:type="dxa"/>
            <w:vAlign w:val="bottom"/>
            <w:shd w:val="clear" w:color="auto" w:fill="CFF0FC"/>
          </w:tcPr>
          <w:p>
            <w:pPr>
              <w:jc w:val="right"/>
              <w:ind w:right="1139"/>
              <w:spacing w:after="0" w:line="183" w:lineRule="exact"/>
              <w:rPr>
                <w:sz w:val="20"/>
                <w:szCs w:val="20"/>
                <w:color w:val="auto"/>
              </w:rPr>
            </w:pPr>
            <w:r>
              <w:rPr>
                <w:rFonts w:ascii="Arial" w:cs="Arial" w:eastAsia="Arial" w:hAnsi="Arial"/>
                <w:sz w:val="16"/>
                <w:szCs w:val="16"/>
                <w:color w:val="auto"/>
                <w:w w:val="89"/>
              </w:rPr>
              <w:t>$</w:t>
            </w:r>
          </w:p>
        </w:tc>
        <w:tc>
          <w:tcPr>
            <w:tcW w:w="6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85.5</w:t>
            </w:r>
          </w:p>
        </w:tc>
        <w:tc>
          <w:tcPr>
            <w:tcW w:w="640" w:type="dxa"/>
            <w:vAlign w:val="bottom"/>
            <w:shd w:val="clear" w:color="auto" w:fill="CFF0FC"/>
          </w:tcPr>
          <w:p>
            <w:pPr>
              <w:jc w:val="right"/>
              <w:ind w:right="379"/>
              <w:spacing w:after="0" w:line="183" w:lineRule="exact"/>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74.8</w:t>
            </w:r>
          </w:p>
        </w:tc>
      </w:tr>
      <w:tr>
        <w:trPr>
          <w:trHeight w:val="189"/>
        </w:trPr>
        <w:tc>
          <w:tcPr>
            <w:tcW w:w="7140" w:type="dxa"/>
            <w:vAlign w:val="bottom"/>
          </w:tcPr>
          <w:p>
            <w:pPr>
              <w:ind w:left="20"/>
              <w:spacing w:after="0"/>
              <w:rPr>
                <w:sz w:val="20"/>
                <w:szCs w:val="20"/>
                <w:color w:val="auto"/>
              </w:rPr>
            </w:pPr>
            <w:r>
              <w:rPr>
                <w:rFonts w:ascii="Arial" w:cs="Arial" w:eastAsia="Arial" w:hAnsi="Arial"/>
                <w:sz w:val="16"/>
                <w:szCs w:val="16"/>
                <w:color w:val="auto"/>
              </w:rPr>
              <w:t>Accrued property taxes</w:t>
            </w:r>
          </w:p>
        </w:tc>
        <w:tc>
          <w:tcPr>
            <w:tcW w:w="13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54.7</w:t>
            </w:r>
          </w:p>
        </w:tc>
        <w:tc>
          <w:tcPr>
            <w:tcW w:w="640" w:type="dxa"/>
            <w:vAlign w:val="bottom"/>
          </w:tcPr>
          <w:p>
            <w:pPr>
              <w:spacing w:after="0"/>
              <w:rPr>
                <w:sz w:val="16"/>
                <w:szCs w:val="16"/>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52.7</w:t>
            </w:r>
          </w:p>
        </w:tc>
      </w:tr>
      <w:tr>
        <w:trPr>
          <w:trHeight w:val="189"/>
        </w:trPr>
        <w:tc>
          <w:tcPr>
            <w:tcW w:w="7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Customer deposits and prepayments</w:t>
            </w:r>
          </w:p>
        </w:tc>
        <w:tc>
          <w:tcPr>
            <w:tcW w:w="132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55.6</w:t>
            </w:r>
          </w:p>
        </w:tc>
        <w:tc>
          <w:tcPr>
            <w:tcW w:w="640" w:type="dxa"/>
            <w:vAlign w:val="bottom"/>
            <w:shd w:val="clear" w:color="auto" w:fill="CFF0FC"/>
          </w:tcPr>
          <w:p>
            <w:pPr>
              <w:spacing w:after="0"/>
              <w:rPr>
                <w:sz w:val="16"/>
                <w:szCs w:val="16"/>
                <w:color w:val="auto"/>
              </w:rPr>
            </w:pPr>
          </w:p>
        </w:tc>
        <w:tc>
          <w:tcPr>
            <w:tcW w:w="14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76.0</w:t>
            </w:r>
          </w:p>
        </w:tc>
      </w:tr>
      <w:tr>
        <w:trPr>
          <w:trHeight w:val="189"/>
        </w:trPr>
        <w:tc>
          <w:tcPr>
            <w:tcW w:w="7140" w:type="dxa"/>
            <w:vAlign w:val="bottom"/>
          </w:tcPr>
          <w:p>
            <w:pPr>
              <w:ind w:left="20"/>
              <w:spacing w:after="0"/>
              <w:rPr>
                <w:sz w:val="20"/>
                <w:szCs w:val="20"/>
                <w:color w:val="auto"/>
              </w:rPr>
            </w:pPr>
            <w:r>
              <w:rPr>
                <w:rFonts w:ascii="Arial" w:cs="Arial" w:eastAsia="Arial" w:hAnsi="Arial"/>
                <w:sz w:val="16"/>
                <w:szCs w:val="16"/>
                <w:color w:val="auto"/>
              </w:rPr>
              <w:t>Accrued interest</w:t>
            </w:r>
          </w:p>
        </w:tc>
        <w:tc>
          <w:tcPr>
            <w:tcW w:w="13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56.4</w:t>
            </w:r>
          </w:p>
        </w:tc>
        <w:tc>
          <w:tcPr>
            <w:tcW w:w="640" w:type="dxa"/>
            <w:vAlign w:val="bottom"/>
          </w:tcPr>
          <w:p>
            <w:pPr>
              <w:spacing w:after="0"/>
              <w:rPr>
                <w:sz w:val="16"/>
                <w:szCs w:val="16"/>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46.3</w:t>
            </w:r>
          </w:p>
        </w:tc>
      </w:tr>
      <w:tr>
        <w:trPr>
          <w:trHeight w:val="189"/>
        </w:trPr>
        <w:tc>
          <w:tcPr>
            <w:tcW w:w="7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(none of which is individually significant)</w:t>
            </w:r>
          </w:p>
        </w:tc>
        <w:tc>
          <w:tcPr>
            <w:tcW w:w="1320" w:type="dxa"/>
            <w:vAlign w:val="bottom"/>
            <w:tcBorders>
              <w:bottom w:val="single" w:sz="8" w:color="auto"/>
            </w:tcBorders>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50.0</w:t>
            </w:r>
          </w:p>
        </w:tc>
        <w:tc>
          <w:tcPr>
            <w:tcW w:w="640" w:type="dxa"/>
            <w:vAlign w:val="bottom"/>
            <w:tcBorders>
              <w:bottom w:val="single" w:sz="8" w:color="auto"/>
            </w:tcBorders>
            <w:shd w:val="clear" w:color="auto" w:fill="CFF0FC"/>
          </w:tcPr>
          <w:p>
            <w:pPr>
              <w:spacing w:after="0"/>
              <w:rPr>
                <w:sz w:val="16"/>
                <w:szCs w:val="16"/>
                <w:color w:val="auto"/>
              </w:rPr>
            </w:pPr>
          </w:p>
        </w:tc>
        <w:tc>
          <w:tcPr>
            <w:tcW w:w="14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43.5</w:t>
            </w:r>
          </w:p>
        </w:tc>
      </w:tr>
      <w:tr>
        <w:trPr>
          <w:trHeight w:val="183"/>
        </w:trPr>
        <w:tc>
          <w:tcPr>
            <w:tcW w:w="7140" w:type="dxa"/>
            <w:vAlign w:val="bottom"/>
          </w:tcPr>
          <w:p>
            <w:pPr>
              <w:ind w:left="20"/>
              <w:spacing w:after="0" w:line="183" w:lineRule="exact"/>
              <w:rPr>
                <w:sz w:val="20"/>
                <w:szCs w:val="20"/>
                <w:color w:val="auto"/>
              </w:rPr>
            </w:pPr>
            <w:r>
              <w:rPr>
                <w:rFonts w:ascii="Arial" w:cs="Arial" w:eastAsia="Arial" w:hAnsi="Arial"/>
                <w:sz w:val="16"/>
                <w:szCs w:val="16"/>
                <w:color w:val="auto"/>
              </w:rPr>
              <w:t>Total accrued liabilities</w:t>
            </w:r>
          </w:p>
        </w:tc>
        <w:tc>
          <w:tcPr>
            <w:tcW w:w="1320" w:type="dxa"/>
            <w:vAlign w:val="bottom"/>
            <w:tcBorders>
              <w:bottom w:val="single" w:sz="8" w:color="auto"/>
            </w:tcBorders>
          </w:tcPr>
          <w:p>
            <w:pPr>
              <w:jc w:val="right"/>
              <w:ind w:right="1139"/>
              <w:spacing w:after="0" w:line="183" w:lineRule="exact"/>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302.2</w:t>
            </w:r>
          </w:p>
        </w:tc>
        <w:tc>
          <w:tcPr>
            <w:tcW w:w="640" w:type="dxa"/>
            <w:vAlign w:val="bottom"/>
            <w:tcBorders>
              <w:bottom w:val="single" w:sz="8" w:color="auto"/>
            </w:tcBorders>
          </w:tcPr>
          <w:p>
            <w:pPr>
              <w:jc w:val="right"/>
              <w:ind w:right="379"/>
              <w:spacing w:after="0" w:line="183" w:lineRule="exact"/>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293.3</w:t>
            </w:r>
          </w:p>
        </w:tc>
      </w:tr>
      <w:tr>
        <w:trPr>
          <w:trHeight w:val="20"/>
        </w:trPr>
        <w:tc>
          <w:tcPr>
            <w:tcW w:w="71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Measurements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Financial Instruments</w:t>
      </w:r>
    </w:p>
    <w:p>
      <w:pPr>
        <w:spacing w:after="0" w:line="194"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We use the following fair value hierarchy for determining inputs for our financial instruments. Our assets and liabilities for financial instruments are classified and disclosed in one of the following fair value categories: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Level 1</w:t>
      </w:r>
      <w:r>
        <w:rPr>
          <w:rFonts w:ascii="Arial" w:cs="Arial" w:eastAsia="Arial" w:hAnsi="Arial"/>
          <w:sz w:val="16"/>
          <w:szCs w:val="16"/>
          <w:color w:val="auto"/>
        </w:rPr>
        <w:t xml:space="preserve"> — Unadjusted quoted prices available in active markets that are accessible at the measurement date for identical unrestricted assets or liabilities.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Level 1 instruments primarily consist of highly liquid and actively traded financial instruments with quoted pricing information on an ongoing basis.</w:t>
      </w:r>
    </w:p>
    <w:p>
      <w:pPr>
        <w:spacing w:after="0" w:line="178"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u w:val="single" w:color="auto"/>
          <w:color w:val="auto"/>
        </w:rPr>
        <w:t>Level 2</w:t>
      </w:r>
      <w:r>
        <w:rPr>
          <w:rFonts w:ascii="Arial" w:cs="Arial" w:eastAsia="Arial" w:hAnsi="Arial"/>
          <w:sz w:val="16"/>
          <w:szCs w:val="16"/>
          <w:color w:val="auto"/>
        </w:rPr>
        <w:t xml:space="preserve"> — Pricing inputs include quoted prices for identical or similar assets and liabilities in active markets other than quoted prices in Level 1, quoted prices for identical or similar assets or liabilities in markets that are not active, inputs other than quoted prices that are observable for the asset or liability and inputs that are derived principally from or corroborated by observable market data by correlation or other means.</w:t>
      </w:r>
    </w:p>
    <w:p>
      <w:pPr>
        <w:spacing w:after="0" w:line="144"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u w:val="single" w:color="auto"/>
          <w:color w:val="auto"/>
        </w:rPr>
        <w:t>Level 3</w:t>
      </w:r>
      <w:r>
        <w:rPr>
          <w:rFonts w:ascii="Arial" w:cs="Arial" w:eastAsia="Arial" w:hAnsi="Arial"/>
          <w:sz w:val="16"/>
          <w:szCs w:val="16"/>
          <w:color w:val="auto"/>
        </w:rPr>
        <w:t xml:space="preserve"> — Pricing inputs are generally less observable from objective sources. These inputs reflect management’s best estimate of fair value using its own assumptions about the assumptions a market participant would use in pricing the asset or liability.</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Assets and liabilities are classified in their entirety based on the lowest level of input that is significant to the fair value measurement. Our assessment of the significance of a particular input to the fair value measurement requires judgment and may affect the placement within the fair value hierarchy levels. We record transfers, if necessary, between levels at the end of the reporting period for all of our financial instruments.</w:t>
      </w:r>
    </w:p>
    <w:p>
      <w:pPr>
        <w:spacing w:after="0" w:line="144"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Transfers into Level 3, if any, occur when significant inputs used to value the derivative instruments become less observable, such as a significant decrease in the frequency and volume in which the instrument is traded, negatively impacting the availability of observable pricing inputs. Transfers out of Level 3, if any, occur when the significant inputs become more observable, such as when the time between the valuation date and the delivery date of a transaction becomes shorter, positively impacting the availability of observable pricing inputs.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Valuation Methodologies for Derivatives</w:t>
      </w:r>
    </w:p>
    <w:p>
      <w:pPr>
        <w:spacing w:after="0" w:line="194"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wholesale electric energy and natural gas commodity contracts for our Utilities are valued using the market approach and include forward strip pricing at liquid delivery points, exchange-traded futures, options, basis swaps and over-the-counter swaps and options (Level 2). For exchange-traded futures, options and basis swap assets and liabilities, fair value was derived using broker quotes validated by the exchange settlement pricing for the applicable contract. For over-the-counter instruments, the fair value is obtained by utilizing a nationally recognized service that obtains observable inputs to compute the fair value, which we validate by comparing our valuation with the counterparty. The fair value of these swaps includes a credit valuation adjustment based on the credit spreads of the counterparties when we are in an unrealized gain position or on our own credit spread when we are in an unrealized loss position.</w:t>
      </w: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Notes 10</w:t>
      </w:r>
      <w:r>
        <w:rPr>
          <w:rFonts w:ascii="Arial" w:cs="Arial" w:eastAsia="Arial" w:hAnsi="Arial"/>
          <w:sz w:val="16"/>
          <w:szCs w:val="16"/>
          <w:color w:val="auto"/>
        </w:rPr>
        <w:t xml:space="preserve"> and </w:t>
      </w:r>
      <w:r>
        <w:rPr>
          <w:rFonts w:ascii="Arial" w:cs="Arial" w:eastAsia="Arial" w:hAnsi="Arial"/>
          <w:sz w:val="16"/>
          <w:szCs w:val="16"/>
          <w:u w:val="single" w:color="auto"/>
          <w:color w:val="0000FF"/>
        </w:rPr>
        <w:t>13</w:t>
      </w:r>
      <w:r>
        <w:rPr>
          <w:rFonts w:ascii="Arial" w:cs="Arial" w:eastAsia="Arial" w:hAnsi="Arial"/>
          <w:sz w:val="16"/>
          <w:szCs w:val="16"/>
          <w:color w:val="auto"/>
        </w:rPr>
        <w:t xml:space="preserve">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-4445</wp:posOffset>
            </wp:positionV>
            <wp:extent cx="4114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11480" cy="8255"/>
                    </a:xfrm>
                    <a:prstGeom prst="rect">
                      <a:avLst/>
                    </a:prstGeom>
                    <a:noFill/>
                  </pic:spPr>
                </pic:pic>
              </a:graphicData>
            </a:graphic>
          </wp:anchor>
        </w:drawing>
        <w:drawing>
          <wp:anchor simplePos="0" relativeHeight="251657728" behindDoc="1" locked="0" layoutInCell="0" allowOverlap="1">
            <wp:simplePos x="0" y="0"/>
            <wp:positionH relativeFrom="column">
              <wp:posOffset>857250</wp:posOffset>
            </wp:positionH>
            <wp:positionV relativeFrom="paragraph">
              <wp:posOffset>-4445</wp:posOffset>
            </wp:positionV>
            <wp:extent cx="11430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Derivatives and Hedging Activities</w:t>
      </w:r>
    </w:p>
    <w:p>
      <w:pPr>
        <w:spacing w:after="0" w:line="194"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All our derivatives are measured at fair value and recognized as either assets or liabilities on the Consolidated Balance Sheets, except for derivative contracts that qualify for and are elected under the normal purchase and normal sales exception. Normal purchases and normal sales are contracts where physical delivery is probable, quantities are expected to be used or sold in the normal course of business over a reasonable amount of time and pricing is clearly and closely related to the asset being purchased or sold. Normal purchase and sales contracts are recognized when the underlying physical transaction is completed under the accrual basis of accounting.</w:t>
      </w:r>
    </w:p>
    <w:p>
      <w:pPr>
        <w:spacing w:after="0" w:line="153"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 xml:space="preserve">In addition, certain derivative contracts approved by regulatory authorities are either recovered or refunded through customer rates. Any changes in the fair value of these approved derivative contracts are deferred as a regulatory asset or regulatory liability pursuant to ASC 980, </w:t>
      </w:r>
      <w:r>
        <w:rPr>
          <w:rFonts w:ascii="Arial" w:cs="Arial" w:eastAsia="Arial" w:hAnsi="Arial"/>
          <w:sz w:val="16"/>
          <w:szCs w:val="16"/>
          <w:i w:val="1"/>
          <w:iCs w:val="1"/>
          <w:color w:val="auto"/>
        </w:rPr>
        <w:t>Regulated Operations</w:t>
      </w:r>
      <w:r>
        <w:rPr>
          <w:rFonts w:ascii="Arial" w:cs="Arial" w:eastAsia="Arial" w:hAnsi="Arial"/>
          <w:sz w:val="16"/>
          <w:szCs w:val="16"/>
          <w:color w:val="auto"/>
        </w:rPr>
        <w:t>.</w:t>
      </w:r>
    </w:p>
    <w:p>
      <w:pPr>
        <w:spacing w:after="0" w:line="129"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We also have some derivatives that qualify for hedge accounting and are designated as cash flow hedges. The gain or loss on these designated derivatives is deferred in AOCI and reclassified into earnings when the corresponding hedged transaction is recognized in earnings. Changes in the fair value of all other derivative contracts are recognized in earnings.</w:t>
      </w:r>
    </w:p>
    <w:p>
      <w:pPr>
        <w:spacing w:after="0" w:line="144"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We utilize master netting agreements which consist of an agreement between two parties who have multiple contracts with each other that provide for the net settlement of all contracts in the event of default on or termination of any one contract. When the right of setoff exists, accounting standards permit the netting of receivables and payables under a legally enforceable master netting agreement between counterparties. Accounting standards also permit offsetting of fair value amounts recognized for the right to reclaim, or the obligation to return, cash collateral against fair value amounts recognized for derivative instruments executed with the same counterparty. We reflect the offsetting of net derivative positions with fair value amounts for cash collateral with the same counterparty when a legal right of setoff exists. Therefore, the gross amounts are not indicative of either our actual credit or net economic exposures.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The cash impacts of settled derivatives are recorded as operating activities on the Consolidated Statements of Cash Flows.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Notes 9</w:t>
      </w:r>
      <w:r>
        <w:rPr>
          <w:rFonts w:ascii="Arial" w:cs="Arial" w:eastAsia="Arial" w:hAnsi="Arial"/>
          <w:sz w:val="16"/>
          <w:szCs w:val="16"/>
          <w:color w:val="auto"/>
        </w:rPr>
        <w:t xml:space="preserve">, </w:t>
      </w:r>
      <w:r>
        <w:rPr>
          <w:rFonts w:ascii="Arial" w:cs="Arial" w:eastAsia="Arial" w:hAnsi="Arial"/>
          <w:sz w:val="16"/>
          <w:szCs w:val="16"/>
          <w:u w:val="single" w:color="auto"/>
          <w:color w:val="0000FF"/>
        </w:rPr>
        <w:t>10,</w:t>
      </w:r>
      <w:r>
        <w:rPr>
          <w:rFonts w:ascii="Arial" w:cs="Arial" w:eastAsia="Arial" w:hAnsi="Arial"/>
          <w:sz w:val="16"/>
          <w:szCs w:val="16"/>
          <w:color w:val="auto"/>
        </w:rPr>
        <w:t xml:space="preserve"> and </w:t>
      </w:r>
      <w:r>
        <w:rPr>
          <w:rFonts w:ascii="Arial" w:cs="Arial" w:eastAsia="Arial" w:hAnsi="Arial"/>
          <w:sz w:val="16"/>
          <w:szCs w:val="16"/>
          <w:u w:val="single" w:color="auto"/>
          <w:color w:val="0000FF"/>
        </w:rPr>
        <w:t>11</w:t>
      </w:r>
      <w:r>
        <w:rPr>
          <w:rFonts w:ascii="Arial" w:cs="Arial" w:eastAsia="Arial" w:hAnsi="Arial"/>
          <w:sz w:val="16"/>
          <w:szCs w:val="16"/>
          <w:color w:val="auto"/>
        </w:rPr>
        <w:t xml:space="preserve">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-4445</wp:posOffset>
            </wp:positionV>
            <wp:extent cx="89725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97255" cy="8255"/>
                    </a:xfrm>
                    <a:prstGeom prst="rect">
                      <a:avLst/>
                    </a:prstGeom>
                    <a:noFill/>
                  </pic:spPr>
                </pic:pic>
              </a:graphicData>
            </a:graphic>
          </wp:anchor>
        </w:drawing>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9" w:name="page70"/>
    <w:bookmarkEnd w:id="6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Debt Discounts, Premiums, and Deferred Financing Costs</w:t>
      </w:r>
    </w:p>
    <w:p>
      <w:pPr>
        <w:spacing w:after="0" w:line="194"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 xml:space="preserve">Deferred financing costs include loan origination fees, underwriter fees, legal fees, and other costs directly attributable to the issuance of debt. Debt discounts, premiums, and deferred financing costs are amortized over the estimated useful life of the related debt. Unamortized discounts, premiums, and deferred financing costs are presented on the balance sheet as an adjustment to the related debt liabilities. See </w:t>
      </w:r>
      <w:r>
        <w:rPr>
          <w:rFonts w:ascii="Arial" w:cs="Arial" w:eastAsia="Arial" w:hAnsi="Arial"/>
          <w:sz w:val="16"/>
          <w:szCs w:val="16"/>
          <w:u w:val="single" w:color="auto"/>
          <w:color w:val="0000FF"/>
        </w:rPr>
        <w:t>Note 8</w:t>
      </w:r>
      <w:r>
        <w:rPr>
          <w:rFonts w:ascii="Arial" w:cs="Arial" w:eastAsia="Arial" w:hAnsi="Arial"/>
          <w:sz w:val="16"/>
          <w:szCs w:val="16"/>
          <w:color w:val="auto"/>
        </w:rPr>
        <w:t xml:space="preserve">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5100320</wp:posOffset>
            </wp:positionH>
            <wp:positionV relativeFrom="paragraph">
              <wp:posOffset>-36195</wp:posOffset>
            </wp:positionV>
            <wp:extent cx="30289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Accounting</w:t>
      </w:r>
    </w:p>
    <w:p>
      <w:pPr>
        <w:spacing w:after="0" w:line="194"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Our regulated Utilities are subject to cost-of-service regulation and earnings oversight from federal and state regulatory commissions. Our Utilities account for income and expense items in accordance with accounting standards for regulated operations. These accounting policies differ in some respects from those used by our non-regulated businesses. Under these regulated operations accounting standards:</w:t>
      </w:r>
    </w:p>
    <w:p>
      <w:pPr>
        <w:spacing w:after="0" w:line="144" w:lineRule="exact"/>
        <w:rPr>
          <w:sz w:val="20"/>
          <w:szCs w:val="20"/>
          <w:color w:val="auto"/>
        </w:rPr>
      </w:pPr>
    </w:p>
    <w:p>
      <w:pPr>
        <w:ind w:left="1020" w:right="560" w:hanging="503"/>
        <w:spacing w:after="0" w:line="285" w:lineRule="auto"/>
        <w:tabs>
          <w:tab w:leader="none" w:pos="1020" w:val="left"/>
        </w:tabs>
        <w:numPr>
          <w:ilvl w:val="0"/>
          <w:numId w:val="51"/>
        </w:numPr>
        <w:rPr>
          <w:rFonts w:ascii="Times New Roman" w:cs="Times New Roman" w:eastAsia="Times New Roman" w:hAnsi="Times New Roman"/>
          <w:sz w:val="16"/>
          <w:szCs w:val="16"/>
          <w:color w:val="auto"/>
        </w:rPr>
      </w:pPr>
      <w:r>
        <w:rPr>
          <w:rFonts w:ascii="Arial" w:cs="Arial" w:eastAsia="Arial" w:hAnsi="Arial"/>
          <w:sz w:val="16"/>
          <w:szCs w:val="16"/>
          <w:color w:val="auto"/>
        </w:rPr>
        <w:t>Certain costs, which would otherwise be charged to expense or OCI, are deferred as regulatory assets based on the expected ability to recover the costs in future rates.</w:t>
      </w:r>
    </w:p>
    <w:p>
      <w:pPr>
        <w:spacing w:after="0" w:line="129" w:lineRule="exact"/>
        <w:rPr>
          <w:rFonts w:ascii="Times New Roman" w:cs="Times New Roman" w:eastAsia="Times New Roman" w:hAnsi="Times New Roman"/>
          <w:sz w:val="16"/>
          <w:szCs w:val="16"/>
          <w:color w:val="auto"/>
        </w:rPr>
      </w:pPr>
    </w:p>
    <w:p>
      <w:pPr>
        <w:ind w:left="1020" w:right="520" w:hanging="503"/>
        <w:spacing w:after="0" w:line="285" w:lineRule="auto"/>
        <w:tabs>
          <w:tab w:leader="none" w:pos="1020" w:val="left"/>
        </w:tabs>
        <w:numPr>
          <w:ilvl w:val="0"/>
          <w:numId w:val="51"/>
        </w:numPr>
        <w:rPr>
          <w:rFonts w:ascii="Times New Roman" w:cs="Times New Roman" w:eastAsia="Times New Roman" w:hAnsi="Times New Roman"/>
          <w:sz w:val="16"/>
          <w:szCs w:val="16"/>
          <w:color w:val="auto"/>
        </w:rPr>
      </w:pPr>
      <w:r>
        <w:rPr>
          <w:rFonts w:ascii="Arial" w:cs="Arial" w:eastAsia="Arial" w:hAnsi="Arial"/>
          <w:sz w:val="16"/>
          <w:szCs w:val="16"/>
          <w:color w:val="auto"/>
        </w:rPr>
        <w:t>Certain credits, which would otherwise be reflected as income or OCI, are deferred as regulatory liabilities based on the expectation the amounts will be returned to customers in future rates, or because the amounts were collected in rates prior to the costs being incurred.</w:t>
      </w:r>
    </w:p>
    <w:p>
      <w:pPr>
        <w:spacing w:after="0" w:line="129"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Management continually assesses the probability of future recoveries and obligations associated with regulatory assets and liabilities. Factors such as the current regulatory environment, recently issued rate orders, and historical precedents are considered. As a result, we believe that the accounting prescribed under rate-based regulation remains appropriate and our regulatory assets are probable of recovery in current rates or in future rate proceedings.</w:t>
      </w:r>
    </w:p>
    <w:p>
      <w:pPr>
        <w:spacing w:after="0" w:line="144"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If changes in the regulatory environment occur, we may no longer be eligible to apply this accounting treatment and may be required to eliminate regulatory assets and liabilities from our balance sheet. Such changes could adversely affect our results of operations, financial position, or cash flows.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2</w:t>
      </w:r>
      <w:r>
        <w:rPr>
          <w:rFonts w:ascii="Arial" w:cs="Arial" w:eastAsia="Arial" w:hAnsi="Arial"/>
          <w:sz w:val="16"/>
          <w:szCs w:val="16"/>
          <w:color w:val="auto"/>
        </w:rPr>
        <w:t xml:space="preserve">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-4445</wp:posOffset>
            </wp:positionV>
            <wp:extent cx="30289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02895"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194" w:lineRule="exact"/>
        <w:rPr>
          <w:sz w:val="20"/>
          <w:szCs w:val="20"/>
          <w:color w:val="auto"/>
        </w:rPr>
      </w:pPr>
    </w:p>
    <w:p>
      <w:pPr>
        <w:ind w:right="320"/>
        <w:spacing w:after="0" w:line="266" w:lineRule="auto"/>
        <w:rPr>
          <w:sz w:val="20"/>
          <w:szCs w:val="20"/>
          <w:color w:val="auto"/>
        </w:rPr>
      </w:pPr>
      <w:r>
        <w:rPr>
          <w:rFonts w:ascii="Arial" w:cs="Arial" w:eastAsia="Arial" w:hAnsi="Arial"/>
          <w:sz w:val="16"/>
          <w:szCs w:val="16"/>
          <w:color w:val="auto"/>
        </w:rPr>
        <w:t>The Company is subject to federal income tax as well as income tax in various state and local jurisdictions. The Company and its subsidiaries file consolidated federal income tax returns. Each subsidiary records both federal and state income taxes as if it were a separate taxpayer and consolidating expense adjustments are allocated to the subsidiaries based on separate company computations of taxable income or loss.</w:t>
      </w:r>
    </w:p>
    <w:p>
      <w:pPr>
        <w:spacing w:after="0" w:line="144"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We use the asset and liability method in accounting for income taxes. Under the asset and liability method, deferred income taxes are recognized at currently enacted income tax rates, to reflect the tax effect of temporary differences between the financial and tax basis of assets and liabilities as well as operating loss and tax credit carryforwards. Such temporary differences are the result of provisions in the income tax law that either require or permit certain items to be reported on the income tax return in a different period than they are reported in the financial statements.</w:t>
      </w:r>
    </w:p>
    <w:p>
      <w:pPr>
        <w:spacing w:after="0" w:line="151" w:lineRule="exact"/>
        <w:rPr>
          <w:sz w:val="20"/>
          <w:szCs w:val="20"/>
          <w:color w:val="auto"/>
        </w:rPr>
      </w:pPr>
    </w:p>
    <w:p>
      <w:pPr>
        <w:jc w:val="both"/>
        <w:ind w:right="200"/>
        <w:spacing w:after="0" w:line="259" w:lineRule="auto"/>
        <w:rPr>
          <w:sz w:val="20"/>
          <w:szCs w:val="20"/>
          <w:color w:val="auto"/>
        </w:rPr>
      </w:pPr>
      <w:r>
        <w:rPr>
          <w:rFonts w:ascii="Arial" w:cs="Arial" w:eastAsia="Arial" w:hAnsi="Arial"/>
          <w:sz w:val="16"/>
          <w:szCs w:val="16"/>
          <w:color w:val="auto"/>
        </w:rPr>
        <w:t>It is our policy to apply the flow-through method of accounting for ITCs. Under the flow-through method, ITCs are reflected in net income as a reduction to income tax expense in the year they qualify. An exception to this general policy is the deferral method, which applies to our regulated businesses. Such a method results in the ITC being amortized as a reduction to income tax expense over the estimated useful lives of the underlying property that gave rise to the credit.</w:t>
      </w:r>
    </w:p>
    <w:p>
      <w:pPr>
        <w:spacing w:after="0" w:line="151"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We recognize interest income or interest expense and penalties related to income tax matters in Income tax (expense) on the Consolidated Statements of Income.</w:t>
      </w:r>
    </w:p>
    <w:p>
      <w:pPr>
        <w:spacing w:after="0" w:line="129"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 xml:space="preserve">We have elected to account for transferable renewable tax credits, including PTCs and ITCs, as a reduction to income taxes payable under the scope of ASC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We include the discount from the sale of our tax credits as a component of income tax expense. The sale of tax credits is presented within Operating activities in the Consolidated Statement of Cash Flows consistent with the presentation of cash taxes paid. For renewable tax credits subject to future transfer, a valuation allowance is recorded for the difference between the tax value of the credits and the expected sales price. Tax credits and any related valuation allowances are derecognized when control of the tax credits is transferred to other corporate taxpayers. See Notes </w:t>
      </w:r>
      <w:r>
        <w:rPr>
          <w:rFonts w:ascii="Arial" w:cs="Arial" w:eastAsia="Arial" w:hAnsi="Arial"/>
          <w:sz w:val="16"/>
          <w:szCs w:val="16"/>
          <w:u w:val="single" w:color="auto"/>
          <w:color w:val="0000FF"/>
        </w:rPr>
        <w:t>3</w:t>
      </w:r>
      <w:r>
        <w:rPr>
          <w:rFonts w:ascii="Arial" w:cs="Arial" w:eastAsia="Arial" w:hAnsi="Arial"/>
          <w:sz w:val="16"/>
          <w:szCs w:val="16"/>
          <w:color w:val="auto"/>
        </w:rPr>
        <w:t xml:space="preserve"> and </w:t>
      </w:r>
      <w:r>
        <w:rPr>
          <w:rFonts w:ascii="Arial" w:cs="Arial" w:eastAsia="Arial" w:hAnsi="Arial"/>
          <w:sz w:val="16"/>
          <w:szCs w:val="16"/>
          <w:u w:val="single" w:color="auto"/>
          <w:color w:val="0000FF"/>
        </w:rPr>
        <w:t>15</w:t>
      </w:r>
      <w:r>
        <w:rPr>
          <w:rFonts w:ascii="Arial" w:cs="Arial" w:eastAsia="Arial" w:hAnsi="Arial"/>
          <w:sz w:val="16"/>
          <w:szCs w:val="16"/>
          <w:color w:val="auto"/>
        </w:rPr>
        <w:t xml:space="preserve"> for further discussion of the transfer of renewable tax credits to other corporate taxpayers, including related indemnification requirements and valuation allowances,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6421120</wp:posOffset>
            </wp:positionH>
            <wp:positionV relativeFrom="paragraph">
              <wp:posOffset>-269875</wp:posOffset>
            </wp:positionV>
            <wp:extent cx="5715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6706870</wp:posOffset>
            </wp:positionH>
            <wp:positionV relativeFrom="paragraph">
              <wp:posOffset>-269875</wp:posOffset>
            </wp:positionV>
            <wp:extent cx="11430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134"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 xml:space="preserve">We account for uncertainty in income taxes recognized in the financial statements in accordance with the accounting standards for income taxes. The unrecognized tax benefit is classified in Other deferred credits and other liabilities or in Deferred income tax liabilities, net on the accompanying Consolidated Balance Sheets. See </w:t>
      </w:r>
      <w:r>
        <w:rPr>
          <w:rFonts w:ascii="Arial" w:cs="Arial" w:eastAsia="Arial" w:hAnsi="Arial"/>
          <w:sz w:val="16"/>
          <w:szCs w:val="16"/>
          <w:u w:val="single" w:color="auto"/>
          <w:color w:val="0000FF"/>
        </w:rPr>
        <w:t>Note 15</w:t>
      </w:r>
      <w:r>
        <w:rPr>
          <w:rFonts w:ascii="Arial" w:cs="Arial" w:eastAsia="Arial" w:hAnsi="Arial"/>
          <w:sz w:val="16"/>
          <w:szCs w:val="16"/>
          <w:color w:val="auto"/>
        </w:rPr>
        <w:t xml:space="preserve">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994410</wp:posOffset>
            </wp:positionH>
            <wp:positionV relativeFrom="paragraph">
              <wp:posOffset>-17145</wp:posOffset>
            </wp:positionV>
            <wp:extent cx="36004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Earnings per Share of Common Stock</w:t>
      </w:r>
    </w:p>
    <w:p>
      <w:pPr>
        <w:spacing w:after="0" w:line="194"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Basic earnings per share is computed by dividing Net income available for common stock by the weighted average number of common shares outstanding during each year. Diluted earnings per share is computed by including all dilutive common shares outstanding during each year, as calculated using the treasury stock method. Diluted common shares are primarily due to equity units, outstanding stock options, restricted stock, and performance shares under our equity compensation plans.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share amounts used to compute earnings per share is as follows for the years ended December 31: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40" w:type="dxa"/>
            <w:vAlign w:val="bottom"/>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6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2023</w:t>
            </w:r>
          </w:p>
        </w:tc>
        <w:tc>
          <w:tcPr>
            <w:tcW w:w="6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2022</w:t>
            </w:r>
          </w:p>
        </w:tc>
      </w:tr>
      <w:tr>
        <w:trPr>
          <w:trHeight w:val="183"/>
        </w:trPr>
        <w:tc>
          <w:tcPr>
            <w:tcW w:w="614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4"/>
          </w:tcPr>
          <w:p>
            <w:pPr>
              <w:jc w:val="right"/>
              <w:spacing w:after="0" w:line="183" w:lineRule="exact"/>
              <w:rPr>
                <w:sz w:val="20"/>
                <w:szCs w:val="20"/>
                <w:color w:val="auto"/>
              </w:rPr>
            </w:pPr>
            <w:r>
              <w:rPr>
                <w:rFonts w:ascii="Arial" w:cs="Arial" w:eastAsia="Arial" w:hAnsi="Arial"/>
                <w:sz w:val="16"/>
                <w:szCs w:val="16"/>
                <w:color w:val="auto"/>
              </w:rPr>
              <w:t>(in millions, except per share amounts)</w:t>
            </w:r>
          </w:p>
        </w:tc>
        <w:tc>
          <w:tcPr>
            <w:tcW w:w="1160" w:type="dxa"/>
            <w:vAlign w:val="bottom"/>
            <w:tcBorders>
              <w:bottom w:val="single" w:sz="8" w:color="auto"/>
            </w:tcBorders>
          </w:tcPr>
          <w:p>
            <w:pPr>
              <w:spacing w:after="0"/>
              <w:rPr>
                <w:sz w:val="15"/>
                <w:szCs w:val="15"/>
                <w:color w:val="auto"/>
              </w:rPr>
            </w:pPr>
          </w:p>
        </w:tc>
      </w:tr>
      <w:tr>
        <w:trPr>
          <w:trHeight w:val="223"/>
        </w:trPr>
        <w:tc>
          <w:tcPr>
            <w:tcW w:w="614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Net income available for common stock</w:t>
            </w:r>
          </w:p>
        </w:tc>
        <w:tc>
          <w:tcPr>
            <w:tcW w:w="1040" w:type="dxa"/>
            <w:vAlign w:val="bottom"/>
            <w:tcBorders>
              <w:bottom w:val="single" w:sz="8" w:color="auto"/>
            </w:tcBorders>
            <w:shd w:val="clear" w:color="auto" w:fill="CFF0FC"/>
          </w:tcPr>
          <w:p>
            <w:pPr>
              <w:jc w:val="right"/>
              <w:ind w:right="859"/>
              <w:spacing w:after="0" w:line="183" w:lineRule="exact"/>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273.1</w:t>
            </w:r>
          </w:p>
        </w:tc>
        <w:tc>
          <w:tcPr>
            <w:tcW w:w="420" w:type="dxa"/>
            <w:vAlign w:val="bottom"/>
            <w:tcBorders>
              <w:bottom w:val="single" w:sz="8" w:color="auto"/>
            </w:tcBorders>
            <w:shd w:val="clear" w:color="auto" w:fill="CFF0FC"/>
          </w:tcPr>
          <w:p>
            <w:pPr>
              <w:jc w:val="right"/>
              <w:ind w:right="179"/>
              <w:spacing w:after="0" w:line="183" w:lineRule="exact"/>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262.2</w:t>
            </w:r>
          </w:p>
        </w:tc>
        <w:tc>
          <w:tcPr>
            <w:tcW w:w="600" w:type="dxa"/>
            <w:vAlign w:val="bottom"/>
            <w:tcBorders>
              <w:bottom w:val="single" w:sz="8" w:color="auto"/>
            </w:tcBorders>
            <w:shd w:val="clear" w:color="auto" w:fill="CFF0FC"/>
          </w:tcPr>
          <w:p>
            <w:pPr>
              <w:jc w:val="right"/>
              <w:ind w:right="359"/>
              <w:spacing w:after="0" w:line="183" w:lineRule="exact"/>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258.4</w:t>
            </w:r>
          </w:p>
        </w:tc>
      </w:tr>
      <w:tr>
        <w:trPr>
          <w:trHeight w:val="169"/>
        </w:trPr>
        <w:tc>
          <w:tcPr>
            <w:tcW w:w="6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89"/>
        </w:trPr>
        <w:tc>
          <w:tcPr>
            <w:tcW w:w="6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Weighted average shares - basic</w:t>
            </w:r>
          </w:p>
        </w:tc>
        <w:tc>
          <w:tcPr>
            <w:tcW w:w="104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69.8</w:t>
            </w:r>
          </w:p>
        </w:tc>
        <w:tc>
          <w:tcPr>
            <w:tcW w:w="42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67.0</w:t>
            </w:r>
          </w:p>
        </w:tc>
        <w:tc>
          <w:tcPr>
            <w:tcW w:w="6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64.9</w:t>
            </w:r>
          </w:p>
        </w:tc>
      </w:tr>
      <w:tr>
        <w:trPr>
          <w:trHeight w:val="189"/>
        </w:trPr>
        <w:tc>
          <w:tcPr>
            <w:tcW w:w="6140" w:type="dxa"/>
            <w:vAlign w:val="bottom"/>
            <w:tcBorders>
              <w:bottom w:val="single" w:sz="8" w:color="CFF0FC"/>
            </w:tcBorders>
          </w:tcPr>
          <w:p>
            <w:pPr>
              <w:ind w:left="20"/>
              <w:spacing w:after="0"/>
              <w:rPr>
                <w:sz w:val="20"/>
                <w:szCs w:val="20"/>
                <w:color w:val="auto"/>
              </w:rPr>
            </w:pPr>
            <w:r>
              <w:rPr>
                <w:rFonts w:ascii="Arial" w:cs="Arial" w:eastAsia="Arial" w:hAnsi="Arial"/>
                <w:sz w:val="16"/>
                <w:szCs w:val="16"/>
                <w:color w:val="auto"/>
              </w:rPr>
              <w:t>Dilutive effect of equity compensation</w:t>
            </w:r>
          </w:p>
        </w:tc>
        <w:tc>
          <w:tcPr>
            <w:tcW w:w="10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6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0.1</w:t>
            </w:r>
          </w:p>
        </w:tc>
      </w:tr>
      <w:tr>
        <w:trPr>
          <w:trHeight w:val="223"/>
        </w:trPr>
        <w:tc>
          <w:tcPr>
            <w:tcW w:w="614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Weighted average shares - diluted</w:t>
            </w:r>
          </w:p>
        </w:tc>
        <w:tc>
          <w:tcPr>
            <w:tcW w:w="10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69.9</w:t>
            </w:r>
          </w:p>
        </w:tc>
        <w:tc>
          <w:tcPr>
            <w:tcW w:w="4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67.1</w:t>
            </w:r>
          </w:p>
        </w:tc>
        <w:tc>
          <w:tcPr>
            <w:tcW w:w="6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65.0</w:t>
            </w:r>
          </w:p>
        </w:tc>
      </w:tr>
      <w:tr>
        <w:trPr>
          <w:trHeight w:val="169"/>
        </w:trPr>
        <w:tc>
          <w:tcPr>
            <w:tcW w:w="6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29"/>
        </w:trPr>
        <w:tc>
          <w:tcPr>
            <w:tcW w:w="6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income available for common stock, per share - Diluted</w:t>
            </w:r>
          </w:p>
        </w:tc>
        <w:tc>
          <w:tcPr>
            <w:tcW w:w="1040" w:type="dxa"/>
            <w:vAlign w:val="bottom"/>
            <w:tcBorders>
              <w:bottom w:val="single" w:sz="8" w:color="auto"/>
            </w:tcBorders>
            <w:shd w:val="clear" w:color="auto" w:fill="CFF0FC"/>
          </w:tcPr>
          <w:p>
            <w:pPr>
              <w:jc w:val="right"/>
              <w:ind w:right="85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3.91</w:t>
            </w:r>
          </w:p>
        </w:tc>
        <w:tc>
          <w:tcPr>
            <w:tcW w:w="42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3.91</w:t>
            </w:r>
          </w:p>
        </w:tc>
        <w:tc>
          <w:tcPr>
            <w:tcW w:w="600" w:type="dxa"/>
            <w:vAlign w:val="bottom"/>
            <w:tcBorders>
              <w:bottom w:val="single" w:sz="8" w:color="auto"/>
            </w:tcBorders>
            <w:shd w:val="clear" w:color="auto" w:fill="CFF0FC"/>
          </w:tcPr>
          <w:p>
            <w:pPr>
              <w:jc w:val="right"/>
              <w:ind w:right="3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3.97</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Anti-dilutive shares excluded from the diluted earnings per share computation were not material for the years ended December 31, 2024, 2023, and 2022.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Share-Based Compensation</w:t>
      </w:r>
    </w:p>
    <w:p>
      <w:pPr>
        <w:spacing w:after="0" w:line="194" w:lineRule="exact"/>
        <w:rPr>
          <w:sz w:val="20"/>
          <w:szCs w:val="20"/>
          <w:color w:val="auto"/>
        </w:rPr>
      </w:pPr>
    </w:p>
    <w:p>
      <w:pPr>
        <w:ind w:right="220"/>
        <w:spacing w:after="0" w:line="256" w:lineRule="auto"/>
        <w:rPr>
          <w:sz w:val="20"/>
          <w:szCs w:val="20"/>
          <w:color w:val="auto"/>
        </w:rPr>
      </w:pPr>
      <w:r>
        <w:rPr>
          <w:rFonts w:ascii="Arial" w:cs="Arial" w:eastAsia="Arial" w:hAnsi="Arial"/>
          <w:sz w:val="16"/>
          <w:szCs w:val="16"/>
          <w:color w:val="auto"/>
        </w:rPr>
        <w:t xml:space="preserve">We account for our share-based compensation arrangements in accordance with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by recognizing compensation costs for all share-based awards over the respective service period for employee services received in exchange for an award of equity or equity-based compensation. Awards that will be settled in stock are accounted for as equity and the compensation expense is based on the grant date fair value. Awards that are settled in cash are accounted for as liabilities and the compensation expense is re-measured each period based on the current market price and performance achievement measures. See </w:t>
      </w:r>
      <w:r>
        <w:rPr>
          <w:rFonts w:ascii="Arial" w:cs="Arial" w:eastAsia="Arial" w:hAnsi="Arial"/>
          <w:sz w:val="16"/>
          <w:szCs w:val="16"/>
          <w:u w:val="single" w:color="auto"/>
          <w:color w:val="0000FF"/>
        </w:rPr>
        <w:t>Note 14</w:t>
      </w:r>
      <w:r>
        <w:rPr>
          <w:rFonts w:ascii="Arial" w:cs="Arial" w:eastAsia="Arial" w:hAnsi="Arial"/>
          <w:sz w:val="16"/>
          <w:szCs w:val="16"/>
          <w:color w:val="auto"/>
        </w:rPr>
        <w:t xml:space="preserve">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2738120</wp:posOffset>
            </wp:positionH>
            <wp:positionV relativeFrom="paragraph">
              <wp:posOffset>-30480</wp:posOffset>
            </wp:positionV>
            <wp:extent cx="36004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Pension and Other Retiree Plans</w:t>
      </w:r>
    </w:p>
    <w:p>
      <w:pPr>
        <w:spacing w:after="0" w:line="194"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 xml:space="preserve">We recognize on our Consolidated Balance Sheets an asset or liability reflecting the funded status of pension and other retiree plans with current-year changes in actuarial gains or losses recognized in AOCI, except for those plans at certain of our regulated utilities that can recover portions of their pension and retiree obligations through future rates. All plan assets are recorded at fair value. We follow the measurement date provisions of ASC 715, </w:t>
      </w:r>
      <w:r>
        <w:rPr>
          <w:rFonts w:ascii="Arial" w:cs="Arial" w:eastAsia="Arial" w:hAnsi="Arial"/>
          <w:sz w:val="16"/>
          <w:szCs w:val="16"/>
          <w:i w:val="1"/>
          <w:iCs w:val="1"/>
          <w:color w:val="auto"/>
        </w:rPr>
        <w:t>Compensation-Retirement Benefit</w:t>
      </w:r>
      <w:r>
        <w:rPr>
          <w:rFonts w:ascii="Arial" w:cs="Arial" w:eastAsia="Arial" w:hAnsi="Arial"/>
          <w:sz w:val="16"/>
          <w:szCs w:val="16"/>
          <w:color w:val="auto"/>
        </w:rPr>
        <w:t>s, which require a year-end measurement date of plan assets and obligations for all defined benefit plans.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Standards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Improvements to Income Tax Disclosures, ASU 2023-09</w:t>
      </w:r>
    </w:p>
    <w:p>
      <w:pPr>
        <w:spacing w:after="0" w:line="194"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 xml:space="preserve">In December 2023, the FASB issued ASU 2023-09, </w:t>
      </w:r>
      <w:r>
        <w:rPr>
          <w:rFonts w:ascii="Arial" w:cs="Arial" w:eastAsia="Arial" w:hAnsi="Arial"/>
          <w:sz w:val="16"/>
          <w:szCs w:val="16"/>
          <w:i w:val="1"/>
          <w:iCs w:val="1"/>
          <w:color w:val="auto"/>
        </w:rPr>
        <w:t>Improvements to Income Tax Disclosures,</w:t>
      </w:r>
      <w:r>
        <w:rPr>
          <w:rFonts w:ascii="Arial" w:cs="Arial" w:eastAsia="Arial" w:hAnsi="Arial"/>
          <w:sz w:val="16"/>
          <w:szCs w:val="16"/>
          <w:color w:val="auto"/>
        </w:rPr>
        <w:t xml:space="preserve"> which expands public entities’ annual disclosures by requiring disclosure of tax rate reconciliation amounts and percentages for specific categories, income taxes paid disaggregated by federal and state taxes, and income tax expense disaggregated by federal and state taxes jurisdiction. The ASU is effective for our Annual Report on Form 10-K for the fiscal year ended December 31, 2025, with early adoption permitted. We are currently evaluating the impact of ASU 2023-09 on our consolidated financial statement disclosures.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Disaggregation of Income Statement Expenses, ASU 2024-03</w:t>
      </w:r>
    </w:p>
    <w:p>
      <w:pPr>
        <w:spacing w:after="0" w:line="194"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 xml:space="preserve">In November 2024, the FASB issued ASU 2024-03, </w:t>
      </w:r>
      <w:r>
        <w:rPr>
          <w:rFonts w:ascii="Arial" w:cs="Arial" w:eastAsia="Arial" w:hAnsi="Arial"/>
          <w:sz w:val="16"/>
          <w:szCs w:val="16"/>
          <w:i w:val="1"/>
          <w:iCs w:val="1"/>
          <w:color w:val="auto"/>
        </w:rPr>
        <w:t>Income Statement - Reporting Comprehensive Income - Expense Disaggregation Disclosures</w:t>
      </w:r>
      <w:r>
        <w:rPr>
          <w:rFonts w:ascii="Arial" w:cs="Arial" w:eastAsia="Arial" w:hAnsi="Arial"/>
          <w:sz w:val="16"/>
          <w:szCs w:val="16"/>
          <w:color w:val="auto"/>
        </w:rPr>
        <w:t xml:space="preserve">, and in January 2025, the FASB issued ASU 2025-01, </w:t>
      </w:r>
      <w:r>
        <w:rPr>
          <w:rFonts w:ascii="Arial" w:cs="Arial" w:eastAsia="Arial" w:hAnsi="Arial"/>
          <w:sz w:val="16"/>
          <w:szCs w:val="16"/>
          <w:i w:val="1"/>
          <w:iCs w:val="1"/>
          <w:color w:val="auto"/>
        </w:rPr>
        <w:t>Income Statement - Reporting Comprehensive Income - Expense Disaggregation Disclosures: Clarifying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Effective Date. </w:t>
      </w:r>
      <w:r>
        <w:rPr>
          <w:rFonts w:ascii="Arial" w:cs="Arial" w:eastAsia="Arial" w:hAnsi="Arial"/>
          <w:sz w:val="16"/>
          <w:szCs w:val="16"/>
          <w:color w:val="auto"/>
        </w:rPr>
        <w:t>ASU 2024-03 requires public entities to disclose, in the notes to financial statements, certain costs and expenses, such as purchases of</w:t>
      </w:r>
      <w:r>
        <w:rPr>
          <w:rFonts w:ascii="Arial" w:cs="Arial" w:eastAsia="Arial" w:hAnsi="Arial"/>
          <w:sz w:val="16"/>
          <w:szCs w:val="16"/>
          <w:i w:val="1"/>
          <w:iCs w:val="1"/>
          <w:color w:val="auto"/>
        </w:rPr>
        <w:t xml:space="preserve"> </w:t>
      </w:r>
      <w:r>
        <w:rPr>
          <w:rFonts w:ascii="Arial" w:cs="Arial" w:eastAsia="Arial" w:hAnsi="Arial"/>
          <w:sz w:val="16"/>
          <w:szCs w:val="16"/>
          <w:color w:val="auto"/>
        </w:rPr>
        <w:t>inventory, employee compensation, and costs related to depreciation and amortization. ASU 2024-03, as clarified by ASU 2025-01, is effective for our Annual Report on Form 10-K for the fiscal year ended December 31, 2027, and subsequent interim periods, with early adoption permitted. We are currently evaluating the impact of these standards on our consolidated financial statement disclosures.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Adopted Accounting Standards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Improvements to Reportable Segment Disclosures, ASU 2023-07</w:t>
      </w:r>
    </w:p>
    <w:p>
      <w:pPr>
        <w:spacing w:after="0" w:line="194"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 xml:space="preserve">In November 2023, the FASB issued ASU 2023-07, </w:t>
      </w:r>
      <w:r>
        <w:rPr>
          <w:rFonts w:ascii="Arial" w:cs="Arial" w:eastAsia="Arial" w:hAnsi="Arial"/>
          <w:sz w:val="16"/>
          <w:szCs w:val="16"/>
          <w:i w:val="1"/>
          <w:iCs w:val="1"/>
          <w:color w:val="auto"/>
        </w:rPr>
        <w:t>Improvements to Reportable Segment Disclosures,</w:t>
      </w:r>
      <w:r>
        <w:rPr>
          <w:rFonts w:ascii="Arial" w:cs="Arial" w:eastAsia="Arial" w:hAnsi="Arial"/>
          <w:sz w:val="16"/>
          <w:szCs w:val="16"/>
          <w:color w:val="auto"/>
        </w:rPr>
        <w:t xml:space="preserve"> which expands public entities’ segment disclosures by requiring disclosure of significant segment expenses that are regularly reviewed by the CODM and included within each reported measure of segment profit or loss, an amount and description of its composition for other segment items, and interim disclosures of a reportable segment’s profit or loss and assets. The ASU also allows, in addition to the measure that is most consistent with GAAP, the disclosure of additional measures of segment profit or loss that are used by the CODM in assessing segment performance and deciding how to allocate resources. We implemented this ASU effective for our Annual Report on Form 10-K for the year ended December 31, 2024. Adoption of this ASU did not have a material impact on our consolidated financial statement disclosures. The additional disclosures required by this ASU are included in Note 16.</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80" w:type="dxa"/>
            <w:vAlign w:val="bottom"/>
          </w:tcPr>
          <w:p>
            <w:pPr>
              <w:spacing w:after="0"/>
              <w:rPr>
                <w:sz w:val="20"/>
                <w:szCs w:val="20"/>
                <w:color w:val="auto"/>
              </w:rPr>
            </w:pPr>
            <w:r>
              <w:rPr>
                <w:rFonts w:ascii="Arial" w:cs="Arial" w:eastAsia="Arial" w:hAnsi="Arial"/>
                <w:sz w:val="16"/>
                <w:szCs w:val="16"/>
                <w:b w:val="1"/>
                <w:bCs w:val="1"/>
                <w:color w:val="auto"/>
              </w:rPr>
              <w:t>(2) REGULATORY MATTERS</w:t>
            </w: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70"/>
        </w:trPr>
        <w:tc>
          <w:tcPr>
            <w:tcW w:w="7780" w:type="dxa"/>
            <w:vAlign w:val="bottom"/>
          </w:tcPr>
          <w:p>
            <w:pPr>
              <w:spacing w:after="0"/>
              <w:rPr>
                <w:sz w:val="20"/>
                <w:szCs w:val="20"/>
                <w:color w:val="auto"/>
              </w:rPr>
            </w:pPr>
            <w:r>
              <w:rPr>
                <w:rFonts w:ascii="Arial" w:cs="Arial" w:eastAsia="Arial" w:hAnsi="Arial"/>
                <w:sz w:val="16"/>
                <w:szCs w:val="16"/>
                <w:color w:val="auto"/>
              </w:rPr>
              <w:t>We had the following regulatory assets and liabilities as of December 31:</w:t>
            </w: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67"/>
        </w:trPr>
        <w:tc>
          <w:tcPr>
            <w:tcW w:w="778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6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2023</w:t>
            </w:r>
          </w:p>
        </w:tc>
      </w:tr>
      <w:tr>
        <w:trPr>
          <w:trHeight w:val="183"/>
        </w:trPr>
        <w:tc>
          <w:tcPr>
            <w:tcW w:w="778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right"/>
              <w:ind w:right="59"/>
              <w:spacing w:after="0" w:line="183" w:lineRule="exact"/>
              <w:rPr>
                <w:sz w:val="20"/>
                <w:szCs w:val="20"/>
                <w:color w:val="auto"/>
              </w:rPr>
            </w:pPr>
            <w:r>
              <w:rPr>
                <w:rFonts w:ascii="Arial" w:cs="Arial" w:eastAsia="Arial" w:hAnsi="Arial"/>
                <w:sz w:val="16"/>
                <w:szCs w:val="16"/>
                <w:color w:val="auto"/>
              </w:rPr>
              <w:t>(in millions)</w:t>
            </w:r>
          </w:p>
        </w:tc>
        <w:tc>
          <w:tcPr>
            <w:tcW w:w="1240" w:type="dxa"/>
            <w:vAlign w:val="bottom"/>
            <w:tcBorders>
              <w:bottom w:val="single" w:sz="8" w:color="auto"/>
            </w:tcBorders>
          </w:tcPr>
          <w:p>
            <w:pPr>
              <w:spacing w:after="0"/>
              <w:rPr>
                <w:sz w:val="15"/>
                <w:szCs w:val="15"/>
                <w:color w:val="auto"/>
              </w:rPr>
            </w:pPr>
          </w:p>
        </w:tc>
      </w:tr>
      <w:tr>
        <w:trPr>
          <w:trHeight w:val="183"/>
        </w:trPr>
        <w:tc>
          <w:tcPr>
            <w:tcW w:w="778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Regulatory assets</w:t>
            </w:r>
          </w:p>
        </w:tc>
        <w:tc>
          <w:tcPr>
            <w:tcW w:w="10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r>
      <w:tr>
        <w:trPr>
          <w:trHeight w:val="189"/>
        </w:trPr>
        <w:tc>
          <w:tcPr>
            <w:tcW w:w="7780" w:type="dxa"/>
            <w:vAlign w:val="bottom"/>
          </w:tcPr>
          <w:p>
            <w:pPr>
              <w:ind w:left="200"/>
              <w:spacing w:after="0" w:line="189" w:lineRule="exact"/>
              <w:rPr>
                <w:sz w:val="20"/>
                <w:szCs w:val="20"/>
                <w:color w:val="auto"/>
              </w:rPr>
            </w:pPr>
            <w:r>
              <w:rPr>
                <w:rFonts w:ascii="Arial" w:cs="Arial" w:eastAsia="Arial" w:hAnsi="Arial"/>
                <w:sz w:val="16"/>
                <w:szCs w:val="16"/>
                <w:color w:val="auto"/>
              </w:rPr>
              <w:t xml:space="preserve">Winter Storm Uri </w:t>
            </w:r>
            <w:r>
              <w:rPr>
                <w:rFonts w:ascii="Arial" w:cs="Arial" w:eastAsia="Arial" w:hAnsi="Arial"/>
                <w:sz w:val="21"/>
                <w:szCs w:val="21"/>
                <w:color w:val="auto"/>
                <w:vertAlign w:val="superscript"/>
              </w:rPr>
              <w:t>(a)</w:t>
            </w:r>
          </w:p>
        </w:tc>
        <w:tc>
          <w:tcPr>
            <w:tcW w:w="1060" w:type="dxa"/>
            <w:vAlign w:val="bottom"/>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109.5</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199.6</w:t>
            </w:r>
          </w:p>
        </w:tc>
      </w:tr>
      <w:tr>
        <w:trPr>
          <w:trHeight w:val="189"/>
        </w:trPr>
        <w:tc>
          <w:tcPr>
            <w:tcW w:w="7780" w:type="dxa"/>
            <w:vAlign w:val="bottom"/>
            <w:shd w:val="clear" w:color="auto" w:fill="CFF0FC"/>
          </w:tcPr>
          <w:p>
            <w:pPr>
              <w:ind w:left="200"/>
              <w:spacing w:after="0" w:line="189" w:lineRule="exact"/>
              <w:rPr>
                <w:sz w:val="20"/>
                <w:szCs w:val="20"/>
                <w:color w:val="auto"/>
              </w:rPr>
            </w:pPr>
            <w:r>
              <w:rPr>
                <w:rFonts w:ascii="Arial" w:cs="Arial" w:eastAsia="Arial" w:hAnsi="Arial"/>
                <w:sz w:val="16"/>
                <w:szCs w:val="16"/>
                <w:color w:val="auto"/>
              </w:rPr>
              <w:t xml:space="preserve">Deferred energy and fuel cost adjustments </w:t>
            </w:r>
            <w:r>
              <w:rPr>
                <w:rFonts w:ascii="Arial" w:cs="Arial" w:eastAsia="Arial" w:hAnsi="Arial"/>
                <w:sz w:val="21"/>
                <w:szCs w:val="21"/>
                <w:color w:val="auto"/>
                <w:vertAlign w:val="superscript"/>
              </w:rPr>
              <w:t>(b)</w:t>
            </w:r>
          </w:p>
        </w:tc>
        <w:tc>
          <w:tcPr>
            <w:tcW w:w="106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62.8</w:t>
            </w:r>
          </w:p>
        </w:tc>
        <w:tc>
          <w:tcPr>
            <w:tcW w:w="50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55.1</w:t>
            </w:r>
          </w:p>
        </w:tc>
      </w:tr>
      <w:tr>
        <w:trPr>
          <w:trHeight w:val="189"/>
        </w:trPr>
        <w:tc>
          <w:tcPr>
            <w:tcW w:w="7780" w:type="dxa"/>
            <w:vAlign w:val="bottom"/>
          </w:tcPr>
          <w:p>
            <w:pPr>
              <w:ind w:left="200"/>
              <w:spacing w:after="0" w:line="189" w:lineRule="exact"/>
              <w:rPr>
                <w:sz w:val="20"/>
                <w:szCs w:val="20"/>
                <w:color w:val="auto"/>
              </w:rPr>
            </w:pPr>
            <w:r>
              <w:rPr>
                <w:rFonts w:ascii="Arial" w:cs="Arial" w:eastAsia="Arial" w:hAnsi="Arial"/>
                <w:sz w:val="16"/>
                <w:szCs w:val="16"/>
                <w:color w:val="auto"/>
              </w:rPr>
              <w:t xml:space="preserve">Deferred gas cost adjustments </w:t>
            </w:r>
            <w:r>
              <w:rPr>
                <w:rFonts w:ascii="Arial" w:cs="Arial" w:eastAsia="Arial" w:hAnsi="Arial"/>
                <w:sz w:val="21"/>
                <w:szCs w:val="21"/>
                <w:color w:val="auto"/>
                <w:vertAlign w:val="superscript"/>
              </w:rPr>
              <w:t>(b)</w:t>
            </w:r>
          </w:p>
        </w:tc>
        <w:tc>
          <w:tcPr>
            <w:tcW w:w="1060" w:type="dxa"/>
            <w:vAlign w:val="bottom"/>
          </w:tcPr>
          <w:p>
            <w:pPr>
              <w:spacing w:after="0"/>
              <w:rPr>
                <w:sz w:val="16"/>
                <w:szCs w:val="16"/>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14.5</w:t>
            </w:r>
          </w:p>
        </w:tc>
        <w:tc>
          <w:tcPr>
            <w:tcW w:w="500" w:type="dxa"/>
            <w:vAlign w:val="bottom"/>
          </w:tcPr>
          <w:p>
            <w:pPr>
              <w:spacing w:after="0"/>
              <w:rPr>
                <w:sz w:val="16"/>
                <w:szCs w:val="16"/>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4.1</w:t>
            </w:r>
          </w:p>
        </w:tc>
      </w:tr>
      <w:tr>
        <w:trPr>
          <w:trHeight w:val="189"/>
        </w:trPr>
        <w:tc>
          <w:tcPr>
            <w:tcW w:w="7780" w:type="dxa"/>
            <w:vAlign w:val="bottom"/>
            <w:shd w:val="clear" w:color="auto" w:fill="CFF0FC"/>
          </w:tcPr>
          <w:p>
            <w:pPr>
              <w:ind w:left="200"/>
              <w:spacing w:after="0" w:line="189" w:lineRule="exact"/>
              <w:rPr>
                <w:sz w:val="20"/>
                <w:szCs w:val="20"/>
                <w:color w:val="auto"/>
              </w:rPr>
            </w:pPr>
            <w:r>
              <w:rPr>
                <w:rFonts w:ascii="Arial" w:cs="Arial" w:eastAsia="Arial" w:hAnsi="Arial"/>
                <w:sz w:val="16"/>
                <w:szCs w:val="16"/>
                <w:color w:val="auto"/>
              </w:rPr>
              <w:t xml:space="preserve">Gas price derivatives </w:t>
            </w:r>
            <w:r>
              <w:rPr>
                <w:rFonts w:ascii="Arial" w:cs="Arial" w:eastAsia="Arial" w:hAnsi="Arial"/>
                <w:sz w:val="21"/>
                <w:szCs w:val="21"/>
                <w:color w:val="auto"/>
                <w:vertAlign w:val="superscript"/>
              </w:rPr>
              <w:t>(b)</w:t>
            </w:r>
          </w:p>
        </w:tc>
        <w:tc>
          <w:tcPr>
            <w:tcW w:w="106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2.9</w:t>
            </w:r>
          </w:p>
        </w:tc>
        <w:tc>
          <w:tcPr>
            <w:tcW w:w="50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5.1</w:t>
            </w:r>
          </w:p>
        </w:tc>
      </w:tr>
      <w:tr>
        <w:trPr>
          <w:trHeight w:val="189"/>
        </w:trPr>
        <w:tc>
          <w:tcPr>
            <w:tcW w:w="7780" w:type="dxa"/>
            <w:vAlign w:val="bottom"/>
          </w:tcPr>
          <w:p>
            <w:pPr>
              <w:ind w:left="200"/>
              <w:spacing w:after="0" w:line="189" w:lineRule="exact"/>
              <w:rPr>
                <w:sz w:val="20"/>
                <w:szCs w:val="20"/>
                <w:color w:val="auto"/>
              </w:rPr>
            </w:pPr>
            <w:r>
              <w:rPr>
                <w:rFonts w:ascii="Arial" w:cs="Arial" w:eastAsia="Arial" w:hAnsi="Arial"/>
                <w:sz w:val="16"/>
                <w:szCs w:val="16"/>
                <w:color w:val="auto"/>
              </w:rPr>
              <w:t xml:space="preserve">Deferred taxes on AFUDC </w:t>
            </w:r>
            <w:r>
              <w:rPr>
                <w:rFonts w:ascii="Arial" w:cs="Arial" w:eastAsia="Arial" w:hAnsi="Arial"/>
                <w:sz w:val="21"/>
                <w:szCs w:val="21"/>
                <w:color w:val="auto"/>
                <w:vertAlign w:val="superscript"/>
              </w:rPr>
              <w:t>(b)</w:t>
            </w:r>
          </w:p>
        </w:tc>
        <w:tc>
          <w:tcPr>
            <w:tcW w:w="1060" w:type="dxa"/>
            <w:vAlign w:val="bottom"/>
          </w:tcPr>
          <w:p>
            <w:pPr>
              <w:spacing w:after="0"/>
              <w:rPr>
                <w:sz w:val="16"/>
                <w:szCs w:val="16"/>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8.0</w:t>
            </w:r>
          </w:p>
        </w:tc>
        <w:tc>
          <w:tcPr>
            <w:tcW w:w="500" w:type="dxa"/>
            <w:vAlign w:val="bottom"/>
          </w:tcPr>
          <w:p>
            <w:pPr>
              <w:spacing w:after="0"/>
              <w:rPr>
                <w:sz w:val="16"/>
                <w:szCs w:val="16"/>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7.1</w:t>
            </w:r>
          </w:p>
        </w:tc>
      </w:tr>
      <w:tr>
        <w:trPr>
          <w:trHeight w:val="189"/>
        </w:trPr>
        <w:tc>
          <w:tcPr>
            <w:tcW w:w="7780" w:type="dxa"/>
            <w:vAlign w:val="bottom"/>
            <w:shd w:val="clear" w:color="auto" w:fill="CFF0FC"/>
          </w:tcPr>
          <w:p>
            <w:pPr>
              <w:ind w:left="200"/>
              <w:spacing w:after="0" w:line="189" w:lineRule="exact"/>
              <w:rPr>
                <w:sz w:val="20"/>
                <w:szCs w:val="20"/>
                <w:color w:val="auto"/>
              </w:rPr>
            </w:pPr>
            <w:r>
              <w:rPr>
                <w:rFonts w:ascii="Arial" w:cs="Arial" w:eastAsia="Arial" w:hAnsi="Arial"/>
                <w:sz w:val="16"/>
                <w:szCs w:val="16"/>
                <w:color w:val="auto"/>
              </w:rPr>
              <w:t xml:space="preserve">Employee benefit plans and related deferred taxes </w:t>
            </w:r>
            <w:r>
              <w:rPr>
                <w:rFonts w:ascii="Arial" w:cs="Arial" w:eastAsia="Arial" w:hAnsi="Arial"/>
                <w:sz w:val="21"/>
                <w:szCs w:val="21"/>
                <w:color w:val="auto"/>
                <w:vertAlign w:val="superscript"/>
              </w:rPr>
              <w:t>(c)</w:t>
            </w:r>
          </w:p>
        </w:tc>
        <w:tc>
          <w:tcPr>
            <w:tcW w:w="106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89.0</w:t>
            </w:r>
          </w:p>
        </w:tc>
        <w:tc>
          <w:tcPr>
            <w:tcW w:w="50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89.3</w:t>
            </w:r>
          </w:p>
        </w:tc>
      </w:tr>
      <w:tr>
        <w:trPr>
          <w:trHeight w:val="189"/>
        </w:trPr>
        <w:tc>
          <w:tcPr>
            <w:tcW w:w="7780" w:type="dxa"/>
            <w:vAlign w:val="bottom"/>
          </w:tcPr>
          <w:p>
            <w:pPr>
              <w:ind w:left="200"/>
              <w:spacing w:after="0" w:line="189" w:lineRule="exact"/>
              <w:rPr>
                <w:sz w:val="20"/>
                <w:szCs w:val="20"/>
                <w:color w:val="auto"/>
              </w:rPr>
            </w:pPr>
            <w:r>
              <w:rPr>
                <w:rFonts w:ascii="Arial" w:cs="Arial" w:eastAsia="Arial" w:hAnsi="Arial"/>
                <w:sz w:val="16"/>
                <w:szCs w:val="16"/>
                <w:color w:val="auto"/>
              </w:rPr>
              <w:t xml:space="preserve">Environmental </w:t>
            </w:r>
            <w:r>
              <w:rPr>
                <w:rFonts w:ascii="Arial" w:cs="Arial" w:eastAsia="Arial" w:hAnsi="Arial"/>
                <w:sz w:val="21"/>
                <w:szCs w:val="21"/>
                <w:color w:val="auto"/>
                <w:vertAlign w:val="superscript"/>
              </w:rPr>
              <w:t>(b)</w:t>
            </w:r>
          </w:p>
        </w:tc>
        <w:tc>
          <w:tcPr>
            <w:tcW w:w="1060" w:type="dxa"/>
            <w:vAlign w:val="bottom"/>
          </w:tcPr>
          <w:p>
            <w:pPr>
              <w:spacing w:after="0"/>
              <w:rPr>
                <w:sz w:val="16"/>
                <w:szCs w:val="16"/>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10.7</w:t>
            </w:r>
          </w:p>
        </w:tc>
        <w:tc>
          <w:tcPr>
            <w:tcW w:w="500" w:type="dxa"/>
            <w:vAlign w:val="bottom"/>
          </w:tcPr>
          <w:p>
            <w:pPr>
              <w:spacing w:after="0"/>
              <w:rPr>
                <w:sz w:val="16"/>
                <w:szCs w:val="16"/>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2.9</w:t>
            </w:r>
          </w:p>
        </w:tc>
      </w:tr>
      <w:tr>
        <w:trPr>
          <w:trHeight w:val="189"/>
        </w:trPr>
        <w:tc>
          <w:tcPr>
            <w:tcW w:w="7780" w:type="dxa"/>
            <w:vAlign w:val="bottom"/>
            <w:shd w:val="clear" w:color="auto" w:fill="CFF0FC"/>
          </w:tcPr>
          <w:p>
            <w:pPr>
              <w:ind w:left="200"/>
              <w:spacing w:after="0" w:line="189" w:lineRule="exact"/>
              <w:rPr>
                <w:sz w:val="20"/>
                <w:szCs w:val="20"/>
                <w:color w:val="auto"/>
              </w:rPr>
            </w:pPr>
            <w:r>
              <w:rPr>
                <w:rFonts w:ascii="Arial" w:cs="Arial" w:eastAsia="Arial" w:hAnsi="Arial"/>
                <w:sz w:val="16"/>
                <w:szCs w:val="16"/>
                <w:color w:val="auto"/>
              </w:rPr>
              <w:t xml:space="preserve">Loss on reacquired debt </w:t>
            </w:r>
            <w:r>
              <w:rPr>
                <w:rFonts w:ascii="Arial" w:cs="Arial" w:eastAsia="Arial" w:hAnsi="Arial"/>
                <w:sz w:val="21"/>
                <w:szCs w:val="21"/>
                <w:color w:val="auto"/>
                <w:vertAlign w:val="superscript"/>
              </w:rPr>
              <w:t>(b)</w:t>
            </w:r>
          </w:p>
        </w:tc>
        <w:tc>
          <w:tcPr>
            <w:tcW w:w="106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15.7</w:t>
            </w:r>
          </w:p>
        </w:tc>
        <w:tc>
          <w:tcPr>
            <w:tcW w:w="50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17.4</w:t>
            </w:r>
          </w:p>
        </w:tc>
      </w:tr>
      <w:tr>
        <w:trPr>
          <w:trHeight w:val="189"/>
        </w:trPr>
        <w:tc>
          <w:tcPr>
            <w:tcW w:w="7780" w:type="dxa"/>
            <w:vAlign w:val="bottom"/>
          </w:tcPr>
          <w:p>
            <w:pPr>
              <w:ind w:left="200"/>
              <w:spacing w:after="0" w:line="189" w:lineRule="exact"/>
              <w:rPr>
                <w:sz w:val="20"/>
                <w:szCs w:val="20"/>
                <w:color w:val="auto"/>
              </w:rPr>
            </w:pPr>
            <w:r>
              <w:rPr>
                <w:rFonts w:ascii="Arial" w:cs="Arial" w:eastAsia="Arial" w:hAnsi="Arial"/>
                <w:sz w:val="16"/>
                <w:szCs w:val="16"/>
                <w:color w:val="auto"/>
              </w:rPr>
              <w:t xml:space="preserve">Deferred taxes on flow-through accounting </w:t>
            </w:r>
            <w:r>
              <w:rPr>
                <w:rFonts w:ascii="Arial" w:cs="Arial" w:eastAsia="Arial" w:hAnsi="Arial"/>
                <w:sz w:val="21"/>
                <w:szCs w:val="21"/>
                <w:color w:val="auto"/>
                <w:vertAlign w:val="superscript"/>
              </w:rPr>
              <w:t>(b)</w:t>
            </w:r>
          </w:p>
        </w:tc>
        <w:tc>
          <w:tcPr>
            <w:tcW w:w="1060" w:type="dxa"/>
            <w:vAlign w:val="bottom"/>
          </w:tcPr>
          <w:p>
            <w:pPr>
              <w:spacing w:after="0"/>
              <w:rPr>
                <w:sz w:val="16"/>
                <w:szCs w:val="16"/>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87.7</w:t>
            </w:r>
          </w:p>
        </w:tc>
        <w:tc>
          <w:tcPr>
            <w:tcW w:w="500" w:type="dxa"/>
            <w:vAlign w:val="bottom"/>
          </w:tcPr>
          <w:p>
            <w:pPr>
              <w:spacing w:after="0"/>
              <w:rPr>
                <w:sz w:val="16"/>
                <w:szCs w:val="16"/>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74.7</w:t>
            </w:r>
          </w:p>
        </w:tc>
      </w:tr>
      <w:tr>
        <w:trPr>
          <w:trHeight w:val="189"/>
        </w:trPr>
        <w:tc>
          <w:tcPr>
            <w:tcW w:w="7780" w:type="dxa"/>
            <w:vAlign w:val="bottom"/>
            <w:shd w:val="clear" w:color="auto" w:fill="CFF0FC"/>
          </w:tcPr>
          <w:p>
            <w:pPr>
              <w:ind w:left="200"/>
              <w:spacing w:after="0" w:line="189" w:lineRule="exact"/>
              <w:rPr>
                <w:sz w:val="20"/>
                <w:szCs w:val="20"/>
                <w:color w:val="auto"/>
              </w:rPr>
            </w:pPr>
            <w:r>
              <w:rPr>
                <w:rFonts w:ascii="Arial" w:cs="Arial" w:eastAsia="Arial" w:hAnsi="Arial"/>
                <w:sz w:val="16"/>
                <w:szCs w:val="16"/>
                <w:color w:val="auto"/>
              </w:rPr>
              <w:t xml:space="preserve">Decommissioning costs </w:t>
            </w:r>
            <w:r>
              <w:rPr>
                <w:rFonts w:ascii="Arial" w:cs="Arial" w:eastAsia="Arial" w:hAnsi="Arial"/>
                <w:sz w:val="21"/>
                <w:szCs w:val="21"/>
                <w:color w:val="auto"/>
                <w:vertAlign w:val="superscript"/>
              </w:rPr>
              <w:t>(b)</w:t>
            </w:r>
          </w:p>
        </w:tc>
        <w:tc>
          <w:tcPr>
            <w:tcW w:w="106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w:t>
            </w:r>
          </w:p>
        </w:tc>
        <w:tc>
          <w:tcPr>
            <w:tcW w:w="50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2.4</w:t>
            </w:r>
          </w:p>
        </w:tc>
      </w:tr>
      <w:tr>
        <w:trPr>
          <w:trHeight w:val="189"/>
        </w:trPr>
        <w:tc>
          <w:tcPr>
            <w:tcW w:w="7780" w:type="dxa"/>
            <w:vAlign w:val="bottom"/>
          </w:tcPr>
          <w:p>
            <w:pPr>
              <w:ind w:left="200"/>
              <w:spacing w:after="0" w:line="189" w:lineRule="exact"/>
              <w:rPr>
                <w:sz w:val="20"/>
                <w:szCs w:val="20"/>
                <w:color w:val="auto"/>
              </w:rPr>
            </w:pPr>
            <w:r>
              <w:rPr>
                <w:rFonts w:ascii="Arial" w:cs="Arial" w:eastAsia="Arial" w:hAnsi="Arial"/>
                <w:sz w:val="16"/>
                <w:szCs w:val="16"/>
                <w:color w:val="auto"/>
              </w:rPr>
              <w:t xml:space="preserve">Other regulatory assets </w:t>
            </w:r>
            <w:r>
              <w:rPr>
                <w:rFonts w:ascii="Arial" w:cs="Arial" w:eastAsia="Arial" w:hAnsi="Arial"/>
                <w:sz w:val="21"/>
                <w:szCs w:val="21"/>
                <w:color w:val="auto"/>
                <w:vertAlign w:val="superscript"/>
              </w:rPr>
              <w:t>(b)</w:t>
            </w:r>
          </w:p>
        </w:tc>
        <w:tc>
          <w:tcPr>
            <w:tcW w:w="10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24.5</w:t>
            </w:r>
          </w:p>
        </w:tc>
        <w:tc>
          <w:tcPr>
            <w:tcW w:w="5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22.4</w:t>
            </w:r>
          </w:p>
        </w:tc>
      </w:tr>
      <w:tr>
        <w:trPr>
          <w:trHeight w:val="183"/>
        </w:trPr>
        <w:tc>
          <w:tcPr>
            <w:tcW w:w="778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Total regulatory assets</w:t>
            </w:r>
          </w:p>
        </w:tc>
        <w:tc>
          <w:tcPr>
            <w:tcW w:w="106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427.7</w:t>
            </w:r>
          </w:p>
        </w:tc>
        <w:tc>
          <w:tcPr>
            <w:tcW w:w="50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480.1</w:t>
            </w:r>
          </w:p>
        </w:tc>
      </w:tr>
      <w:tr>
        <w:trPr>
          <w:trHeight w:val="189"/>
        </w:trPr>
        <w:tc>
          <w:tcPr>
            <w:tcW w:w="7780" w:type="dxa"/>
            <w:vAlign w:val="bottom"/>
          </w:tcPr>
          <w:p>
            <w:pPr>
              <w:ind w:left="200"/>
              <w:spacing w:after="0"/>
              <w:rPr>
                <w:sz w:val="20"/>
                <w:szCs w:val="20"/>
                <w:color w:val="auto"/>
              </w:rPr>
            </w:pPr>
            <w:r>
              <w:rPr>
                <w:rFonts w:ascii="Arial" w:cs="Arial" w:eastAsia="Arial" w:hAnsi="Arial"/>
                <w:sz w:val="16"/>
                <w:szCs w:val="16"/>
                <w:color w:val="auto"/>
              </w:rPr>
              <w:t>Less current regulatory assets</w:t>
            </w:r>
          </w:p>
        </w:tc>
        <w:tc>
          <w:tcPr>
            <w:tcW w:w="10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(154.8 )</w:t>
            </w:r>
          </w:p>
        </w:tc>
        <w:tc>
          <w:tcPr>
            <w:tcW w:w="5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(175.7 )</w:t>
            </w:r>
          </w:p>
        </w:tc>
      </w:tr>
      <w:tr>
        <w:trPr>
          <w:trHeight w:val="223"/>
        </w:trPr>
        <w:tc>
          <w:tcPr>
            <w:tcW w:w="778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Regulatory assets, non-current</w:t>
            </w:r>
          </w:p>
        </w:tc>
        <w:tc>
          <w:tcPr>
            <w:tcW w:w="1060" w:type="dxa"/>
            <w:vAlign w:val="bottom"/>
            <w:tcBorders>
              <w:bottom w:val="single" w:sz="8" w:color="auto"/>
            </w:tcBorders>
            <w:shd w:val="clear" w:color="auto" w:fill="CFF0FC"/>
          </w:tcPr>
          <w:p>
            <w:pPr>
              <w:jc w:val="right"/>
              <w:ind w:right="879"/>
              <w:spacing w:after="0" w:line="183" w:lineRule="exact"/>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272.9</w:t>
            </w:r>
          </w:p>
        </w:tc>
        <w:tc>
          <w:tcPr>
            <w:tcW w:w="500" w:type="dxa"/>
            <w:vAlign w:val="bottom"/>
            <w:tcBorders>
              <w:bottom w:val="single" w:sz="8" w:color="auto"/>
            </w:tcBorders>
            <w:shd w:val="clear" w:color="auto" w:fill="CFF0FC"/>
          </w:tcPr>
          <w:p>
            <w:pPr>
              <w:jc w:val="right"/>
              <w:ind w:right="299"/>
              <w:spacing w:after="0" w:line="183"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304.4</w:t>
            </w:r>
          </w:p>
        </w:tc>
      </w:tr>
    </w:tbl>
    <w:p>
      <w:pPr>
        <w:spacing w:after="0" w:line="163" w:lineRule="exact"/>
        <w:rPr>
          <w:sz w:val="20"/>
          <w:szCs w:val="20"/>
          <w:color w:val="auto"/>
        </w:rPr>
      </w:pPr>
    </w:p>
    <w:p>
      <w:pPr>
        <w:sectPr>
          <w:pgSz w:w="11900" w:h="16838" w:orient="portrait"/>
          <w:cols w:equalWidth="0" w:num="1">
            <w:col w:w="11240"/>
          </w:cols>
          <w:pgMar w:left="320" w:top="125" w:right="339" w:bottom="1440" w:gutter="0" w:footer="0" w:header="0"/>
        </w:sectPr>
      </w:pPr>
    </w:p>
    <w:p>
      <w:pPr>
        <w:ind w:left="20"/>
        <w:spacing w:after="0"/>
        <w:rPr>
          <w:sz w:val="20"/>
          <w:szCs w:val="20"/>
          <w:color w:val="auto"/>
        </w:rPr>
      </w:pPr>
      <w:r>
        <w:rPr>
          <w:rFonts w:ascii="Arial" w:cs="Arial" w:eastAsia="Arial" w:hAnsi="Arial"/>
          <w:sz w:val="16"/>
          <w:szCs w:val="16"/>
          <w:b w:val="1"/>
          <w:bCs w:val="1"/>
          <w:color w:val="auto"/>
        </w:rPr>
        <w:t>Regulatory liabilities</w:t>
      </w:r>
    </w:p>
    <w:p>
      <w:pPr>
        <w:ind w:left="200"/>
        <w:spacing w:after="0" w:line="187" w:lineRule="auto"/>
        <w:rPr>
          <w:sz w:val="20"/>
          <w:szCs w:val="20"/>
          <w:color w:val="auto"/>
        </w:rPr>
      </w:pPr>
      <w:r>
        <w:rPr>
          <w:rFonts w:ascii="Arial" w:cs="Arial" w:eastAsia="Arial" w:hAnsi="Arial"/>
          <w:sz w:val="16"/>
          <w:szCs w:val="16"/>
          <w:color w:val="auto"/>
        </w:rPr>
        <w:t xml:space="preserve">Deferred energy and gas costs </w:t>
      </w:r>
      <w:r>
        <w:rPr>
          <w:rFonts w:ascii="Arial" w:cs="Arial" w:eastAsia="Arial" w:hAnsi="Arial"/>
          <w:sz w:val="21"/>
          <w:szCs w:val="21"/>
          <w:color w:val="auto"/>
          <w:vertAlign w:val="superscript"/>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1200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200"/>
        <w:spacing w:after="0" w:line="221" w:lineRule="auto"/>
        <w:rPr>
          <w:sz w:val="20"/>
          <w:szCs w:val="20"/>
          <w:color w:val="auto"/>
        </w:rPr>
      </w:pPr>
      <w:r>
        <w:rPr>
          <w:rFonts w:ascii="Arial" w:cs="Arial" w:eastAsia="Arial" w:hAnsi="Arial"/>
          <w:sz w:val="16"/>
          <w:szCs w:val="16"/>
          <w:color w:val="auto"/>
        </w:rPr>
        <w:t xml:space="preserve">Employee benefit plans and related deferred taxes </w:t>
      </w:r>
      <w:r>
        <w:rPr>
          <w:rFonts w:ascii="Arial" w:cs="Arial" w:eastAsia="Arial" w:hAnsi="Arial"/>
          <w:sz w:val="21"/>
          <w:szCs w:val="21"/>
          <w:color w:val="auto"/>
          <w:vertAlign w:val="superscript"/>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200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200"/>
        <w:spacing w:after="0" w:line="181" w:lineRule="auto"/>
        <w:rPr>
          <w:sz w:val="20"/>
          <w:szCs w:val="20"/>
          <w:color w:val="auto"/>
        </w:rPr>
      </w:pPr>
      <w:r>
        <w:rPr>
          <w:rFonts w:ascii="Arial" w:cs="Arial" w:eastAsia="Arial" w:hAnsi="Arial"/>
          <w:sz w:val="14"/>
          <w:szCs w:val="14"/>
          <w:color w:val="auto"/>
        </w:rPr>
        <w:t xml:space="preserve">Cost of removal </w:t>
      </w:r>
      <w:r>
        <w:rPr>
          <w:rFonts w:ascii="Arial" w:cs="Arial" w:eastAsia="Arial" w:hAnsi="Arial"/>
          <w:sz w:val="18"/>
          <w:szCs w:val="18"/>
          <w:color w:val="auto"/>
          <w:vertAlign w:val="superscript"/>
        </w:rPr>
        <w:t>(b)</w:t>
      </w:r>
    </w:p>
    <w:p>
      <w:pPr>
        <w:ind w:left="200"/>
        <w:spacing w:after="0" w:line="220" w:lineRule="auto"/>
        <w:rPr>
          <w:sz w:val="20"/>
          <w:szCs w:val="20"/>
          <w:color w:val="auto"/>
        </w:rPr>
      </w:pPr>
      <w:r>
        <w:rPr>
          <w:rFonts w:ascii="Arial" w:cs="Arial" w:eastAsia="Arial" w:hAnsi="Arial"/>
          <w:sz w:val="16"/>
          <w:szCs w:val="16"/>
          <w:color w:val="auto"/>
        </w:rPr>
        <w:t xml:space="preserve">Excess deferred income taxes </w:t>
      </w:r>
      <w:r>
        <w:rPr>
          <w:rFonts w:ascii="Arial" w:cs="Arial" w:eastAsia="Arial" w:hAnsi="Arial"/>
          <w:sz w:val="21"/>
          <w:szCs w:val="21"/>
          <w:color w:val="auto"/>
          <w:vertAlign w:val="superscript"/>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289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200"/>
        <w:spacing w:after="0" w:line="198" w:lineRule="auto"/>
        <w:rPr>
          <w:sz w:val="20"/>
          <w:szCs w:val="20"/>
          <w:color w:val="auto"/>
        </w:rPr>
      </w:pPr>
      <w:r>
        <w:rPr>
          <w:rFonts w:ascii="Arial" w:cs="Arial" w:eastAsia="Arial" w:hAnsi="Arial"/>
          <w:sz w:val="16"/>
          <w:szCs w:val="16"/>
          <w:color w:val="auto"/>
        </w:rPr>
        <w:t xml:space="preserve">Other regulatory liabilities </w:t>
      </w:r>
      <w:r>
        <w:rPr>
          <w:rFonts w:ascii="Arial" w:cs="Arial" w:eastAsia="Arial" w:hAnsi="Arial"/>
          <w:sz w:val="21"/>
          <w:szCs w:val="21"/>
          <w:color w:val="auto"/>
          <w:vertAlign w:val="superscript"/>
        </w:rPr>
        <w:t>(c)</w:t>
      </w:r>
    </w:p>
    <w:p>
      <w:pPr>
        <w:ind w:left="20"/>
        <w:spacing w:after="0"/>
        <w:rPr>
          <w:sz w:val="20"/>
          <w:szCs w:val="20"/>
          <w:color w:val="auto"/>
        </w:rPr>
      </w:pPr>
      <w:r>
        <w:rPr>
          <w:rFonts w:ascii="Arial" w:cs="Arial" w:eastAsia="Arial" w:hAnsi="Arial"/>
          <w:sz w:val="16"/>
          <w:szCs w:val="16"/>
          <w:color w:val="auto"/>
        </w:rPr>
        <w:t>Total regulatory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289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6"/>
          <w:szCs w:val="16"/>
          <w:color w:val="auto"/>
        </w:rPr>
        <w:t>Less current regulatory liabilities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Regulatory liabilities,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21431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660" w:type="dxa"/>
            <w:vAlign w:val="bottom"/>
          </w:tcPr>
          <w:p>
            <w:pPr>
              <w:jc w:val="right"/>
              <w:ind w:right="4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91.9</w:t>
            </w:r>
          </w:p>
        </w:tc>
        <w:tc>
          <w:tcPr>
            <w:tcW w:w="66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88.9</w:t>
            </w:r>
          </w:p>
        </w:tc>
      </w:tr>
      <w:tr>
        <w:trPr>
          <w:trHeight w:val="189"/>
        </w:trPr>
        <w:tc>
          <w:tcPr>
            <w:tcW w:w="660" w:type="dxa"/>
            <w:vAlign w:val="bottom"/>
          </w:tcPr>
          <w:p>
            <w:pPr>
              <w:spacing w:after="0"/>
              <w:rPr>
                <w:sz w:val="16"/>
                <w:szCs w:val="16"/>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36.7</w:t>
            </w:r>
          </w:p>
        </w:tc>
        <w:tc>
          <w:tcPr>
            <w:tcW w:w="660" w:type="dxa"/>
            <w:vAlign w:val="bottom"/>
          </w:tcPr>
          <w:p>
            <w:pPr>
              <w:spacing w:after="0"/>
              <w:rPr>
                <w:sz w:val="16"/>
                <w:szCs w:val="16"/>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36.2</w:t>
            </w:r>
          </w:p>
        </w:tc>
      </w:tr>
      <w:tr>
        <w:trPr>
          <w:trHeight w:val="189"/>
        </w:trPr>
        <w:tc>
          <w:tcPr>
            <w:tcW w:w="660" w:type="dxa"/>
            <w:vAlign w:val="bottom"/>
          </w:tcPr>
          <w:p>
            <w:pPr>
              <w:spacing w:after="0"/>
              <w:rPr>
                <w:sz w:val="16"/>
                <w:szCs w:val="16"/>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197.0</w:t>
            </w:r>
          </w:p>
        </w:tc>
        <w:tc>
          <w:tcPr>
            <w:tcW w:w="660" w:type="dxa"/>
            <w:vAlign w:val="bottom"/>
          </w:tcPr>
          <w:p>
            <w:pPr>
              <w:spacing w:after="0"/>
              <w:rPr>
                <w:sz w:val="16"/>
                <w:szCs w:val="16"/>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181.9</w:t>
            </w:r>
          </w:p>
        </w:tc>
      </w:tr>
      <w:tr>
        <w:trPr>
          <w:trHeight w:val="189"/>
        </w:trPr>
        <w:tc>
          <w:tcPr>
            <w:tcW w:w="660" w:type="dxa"/>
            <w:vAlign w:val="bottom"/>
          </w:tcPr>
          <w:p>
            <w:pPr>
              <w:spacing w:after="0"/>
              <w:rPr>
                <w:sz w:val="16"/>
                <w:szCs w:val="16"/>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238.5</w:t>
            </w:r>
          </w:p>
        </w:tc>
        <w:tc>
          <w:tcPr>
            <w:tcW w:w="660" w:type="dxa"/>
            <w:vAlign w:val="bottom"/>
          </w:tcPr>
          <w:p>
            <w:pPr>
              <w:spacing w:after="0"/>
              <w:rPr>
                <w:sz w:val="16"/>
                <w:szCs w:val="16"/>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247.1</w:t>
            </w:r>
          </w:p>
        </w:tc>
      </w:tr>
      <w:tr>
        <w:trPr>
          <w:trHeight w:val="203"/>
        </w:trPr>
        <w:tc>
          <w:tcPr>
            <w:tcW w:w="6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4.6</w:t>
            </w:r>
          </w:p>
        </w:tc>
        <w:tc>
          <w:tcPr>
            <w:tcW w:w="6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12.5</w:t>
            </w:r>
          </w:p>
        </w:tc>
      </w:tr>
      <w:tr>
        <w:trPr>
          <w:trHeight w:val="168"/>
        </w:trPr>
        <w:tc>
          <w:tcPr>
            <w:tcW w:w="660" w:type="dxa"/>
            <w:vAlign w:val="bottom"/>
          </w:tcPr>
          <w:p>
            <w:pPr>
              <w:spacing w:after="0"/>
              <w:rPr>
                <w:sz w:val="14"/>
                <w:szCs w:val="14"/>
                <w:color w:val="auto"/>
              </w:rPr>
            </w:pPr>
          </w:p>
        </w:tc>
        <w:tc>
          <w:tcPr>
            <w:tcW w:w="1060" w:type="dxa"/>
            <w:vAlign w:val="bottom"/>
          </w:tcPr>
          <w:p>
            <w:pPr>
              <w:jc w:val="right"/>
              <w:ind w:right="39"/>
              <w:spacing w:after="0" w:line="168" w:lineRule="exact"/>
              <w:rPr>
                <w:sz w:val="20"/>
                <w:szCs w:val="20"/>
                <w:color w:val="auto"/>
              </w:rPr>
            </w:pPr>
            <w:r>
              <w:rPr>
                <w:rFonts w:ascii="Arial" w:cs="Arial" w:eastAsia="Arial" w:hAnsi="Arial"/>
                <w:sz w:val="16"/>
                <w:szCs w:val="16"/>
                <w:color w:val="auto"/>
              </w:rPr>
              <w:t>568.7</w:t>
            </w:r>
          </w:p>
        </w:tc>
        <w:tc>
          <w:tcPr>
            <w:tcW w:w="660" w:type="dxa"/>
            <w:vAlign w:val="bottom"/>
          </w:tcPr>
          <w:p>
            <w:pPr>
              <w:spacing w:after="0"/>
              <w:rPr>
                <w:sz w:val="14"/>
                <w:szCs w:val="14"/>
                <w:color w:val="auto"/>
              </w:rPr>
            </w:pPr>
          </w:p>
        </w:tc>
        <w:tc>
          <w:tcPr>
            <w:tcW w:w="1080" w:type="dxa"/>
            <w:vAlign w:val="bottom"/>
          </w:tcPr>
          <w:p>
            <w:pPr>
              <w:jc w:val="right"/>
              <w:ind w:right="59"/>
              <w:spacing w:after="0" w:line="168" w:lineRule="exact"/>
              <w:rPr>
                <w:sz w:val="20"/>
                <w:szCs w:val="20"/>
                <w:color w:val="auto"/>
              </w:rPr>
            </w:pPr>
            <w:r>
              <w:rPr>
                <w:rFonts w:ascii="Arial" w:cs="Arial" w:eastAsia="Arial" w:hAnsi="Arial"/>
                <w:sz w:val="16"/>
                <w:szCs w:val="16"/>
                <w:color w:val="auto"/>
              </w:rPr>
              <w:t>566.6</w:t>
            </w:r>
          </w:p>
        </w:tc>
      </w:tr>
      <w:tr>
        <w:trPr>
          <w:trHeight w:val="203"/>
        </w:trPr>
        <w:tc>
          <w:tcPr>
            <w:tcW w:w="6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(94.1 )</w:t>
            </w:r>
          </w:p>
        </w:tc>
        <w:tc>
          <w:tcPr>
            <w:tcW w:w="6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(98.9 )</w:t>
            </w:r>
          </w:p>
        </w:tc>
      </w:tr>
      <w:tr>
        <w:trPr>
          <w:trHeight w:val="182"/>
        </w:trPr>
        <w:tc>
          <w:tcPr>
            <w:tcW w:w="660" w:type="dxa"/>
            <w:vAlign w:val="bottom"/>
            <w:tcBorders>
              <w:bottom w:val="single" w:sz="8" w:color="auto"/>
            </w:tcBorders>
          </w:tcPr>
          <w:p>
            <w:pPr>
              <w:jc w:val="right"/>
              <w:ind w:right="479"/>
              <w:spacing w:after="0" w:line="183" w:lineRule="exact"/>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474.6</w:t>
            </w:r>
          </w:p>
        </w:tc>
        <w:tc>
          <w:tcPr>
            <w:tcW w:w="660" w:type="dxa"/>
            <w:vAlign w:val="bottom"/>
            <w:tcBorders>
              <w:bottom w:val="single" w:sz="8" w:color="auto"/>
            </w:tcBorders>
          </w:tcPr>
          <w:p>
            <w:pPr>
              <w:jc w:val="right"/>
              <w:ind w:right="459"/>
              <w:spacing w:after="0" w:line="183"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467.7</w:t>
            </w:r>
          </w:p>
        </w:tc>
      </w:tr>
      <w:tr>
        <w:trPr>
          <w:trHeight w:val="20"/>
        </w:trPr>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ectPr>
          <w:pgSz w:w="11900" w:h="16838" w:orient="portrait"/>
          <w:cols w:equalWidth="0" w:num="2">
            <w:col w:w="7060" w:space="720"/>
            <w:col w:w="3460"/>
          </w:cols>
          <w:pgMar w:left="320" w:top="125" w:right="339" w:bottom="1440" w:gutter="0" w:footer="0" w:header="0"/>
          <w:type w:val="continuous"/>
        </w:sectPr>
      </w:pPr>
    </w:p>
    <w:p>
      <w:pPr>
        <w:ind w:left="520" w:hanging="512"/>
        <w:spacing w:after="0"/>
        <w:tabs>
          <w:tab w:leader="none" w:pos="5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Timing of Winter Storm Uri incremental cost recovery and associated carrying costs vary by jurisdiction. See further information below.</w:t>
      </w:r>
    </w:p>
    <w:p>
      <w:pPr>
        <w:spacing w:after="0" w:line="15" w:lineRule="exact"/>
        <w:rPr>
          <w:rFonts w:ascii="Arial" w:cs="Arial" w:eastAsia="Arial" w:hAnsi="Arial"/>
          <w:sz w:val="14"/>
          <w:szCs w:val="14"/>
          <w:color w:val="auto"/>
        </w:rPr>
      </w:pPr>
    </w:p>
    <w:p>
      <w:pPr>
        <w:ind w:left="520" w:hanging="512"/>
        <w:spacing w:after="0"/>
        <w:tabs>
          <w:tab w:leader="none" w:pos="5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Recovery/repayment of costs, but we are not allowed a rate of return.</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 addition to recovery or repayment of costs, we are allowed a return on a portion of this amount or a reduction in rate base.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Regulatory assets represent items we expect to recover from customers through probable future rates.</w:t>
      </w:r>
    </w:p>
    <w:p>
      <w:pPr>
        <w:spacing w:after="0" w:line="194" w:lineRule="exact"/>
        <w:rPr>
          <w:sz w:val="20"/>
          <w:szCs w:val="20"/>
          <w:color w:val="auto"/>
        </w:rPr>
      </w:pPr>
    </w:p>
    <w:p>
      <w:pPr>
        <w:ind w:left="520"/>
        <w:spacing w:after="0" w:line="266" w:lineRule="auto"/>
        <w:rPr>
          <w:sz w:val="20"/>
          <w:szCs w:val="20"/>
          <w:color w:val="auto"/>
        </w:rPr>
      </w:pPr>
      <w:r>
        <w:rPr>
          <w:rFonts w:ascii="Arial" w:cs="Arial" w:eastAsia="Arial" w:hAnsi="Arial"/>
          <w:sz w:val="16"/>
          <w:szCs w:val="16"/>
          <w:u w:val="single" w:color="auto"/>
          <w:color w:val="auto"/>
        </w:rPr>
        <w:t>Winter Storm Uri</w:t>
      </w:r>
      <w:r>
        <w:rPr>
          <w:rFonts w:ascii="Arial" w:cs="Arial" w:eastAsia="Arial" w:hAnsi="Arial"/>
          <w:sz w:val="16"/>
          <w:szCs w:val="16"/>
          <w:color w:val="auto"/>
        </w:rPr>
        <w:t xml:space="preserve"> - Our Utilities received commission approval to recover incremental fuel, purchased power, and natural gas costs associated with Winter Storm Uri. In certain jurisdictions, we also received commission approval to recover carrying costs. As of December 31, 2024, we estimate that our remaining Winter Storm Uri regulatory asset has a weighted-average recovery period of 1.6 years.</w:t>
      </w:r>
    </w:p>
    <w:p>
      <w:pPr>
        <w:spacing w:after="0" w:line="144" w:lineRule="exact"/>
        <w:rPr>
          <w:sz w:val="20"/>
          <w:szCs w:val="20"/>
          <w:color w:val="auto"/>
        </w:rPr>
      </w:pPr>
    </w:p>
    <w:p>
      <w:pPr>
        <w:ind w:left="520" w:right="40"/>
        <w:spacing w:after="0" w:line="250" w:lineRule="auto"/>
        <w:rPr>
          <w:sz w:val="20"/>
          <w:szCs w:val="20"/>
          <w:color w:val="auto"/>
        </w:rPr>
      </w:pPr>
      <w:r>
        <w:rPr>
          <w:rFonts w:ascii="Arial" w:cs="Arial" w:eastAsia="Arial" w:hAnsi="Arial"/>
          <w:sz w:val="16"/>
          <w:szCs w:val="16"/>
          <w:u w:val="single" w:color="auto"/>
          <w:color w:val="auto"/>
        </w:rPr>
        <w:t>Deferred Energy and Fuel Cost Adjustments</w:t>
      </w:r>
      <w:r>
        <w:rPr>
          <w:rFonts w:ascii="Arial" w:cs="Arial" w:eastAsia="Arial" w:hAnsi="Arial"/>
          <w:sz w:val="16"/>
          <w:szCs w:val="16"/>
          <w:color w:val="auto"/>
        </w:rPr>
        <w:t xml:space="preserve"> - Deferred energy and fuel cost adjustments represent the cost of electricity delivered to our Electric Utilities’ customers that is either higher or lower than the current rates and will be recovered or refunded in future rates. Deferred energy and fuel cost adjustments are recorded and recovered or amortized as approved by the appropriate state regulatory commission. Our Electric Utilities file periodic quarterly, semi-annual, and/or annual filings to recover these costs based on the respective cost mechanisms approved by their applicable state regulatory commissions.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20"/>
        <w:spacing w:after="0" w:line="256" w:lineRule="auto"/>
        <w:rPr>
          <w:sz w:val="20"/>
          <w:szCs w:val="20"/>
          <w:color w:val="auto"/>
        </w:rPr>
      </w:pPr>
      <w:r>
        <w:rPr>
          <w:rFonts w:ascii="Arial" w:cs="Arial" w:eastAsia="Arial" w:hAnsi="Arial"/>
          <w:sz w:val="16"/>
          <w:szCs w:val="16"/>
          <w:u w:val="single" w:color="auto"/>
          <w:color w:val="auto"/>
        </w:rPr>
        <w:t>Deferred Gas Cost Adjustment</w:t>
      </w:r>
      <w:r>
        <w:rPr>
          <w:rFonts w:ascii="Arial" w:cs="Arial" w:eastAsia="Arial" w:hAnsi="Arial"/>
          <w:sz w:val="16"/>
          <w:szCs w:val="16"/>
          <w:color w:val="auto"/>
        </w:rPr>
        <w:t>s - Our regulated Gas Utilities have GCA provisions that allow them to pass the cost of gas on to their customers. The GCA is based on forecasts of the upcoming gas costs and recovery or refund of prior under-recovered or over-recovered costs. To the extent that gas costs are under-recovered or over-recovered, they are recorded as a regulatory asset or liability, respectively. Our Gas Utilities file periodic monthly, quarterly, semi-annual, and/or annual filings to recover these costs based on the respective cost mechanisms approved by their applicable state regulatory commissions.</w:t>
      </w:r>
    </w:p>
    <w:p>
      <w:pPr>
        <w:spacing w:after="0" w:line="153" w:lineRule="exact"/>
        <w:rPr>
          <w:sz w:val="20"/>
          <w:szCs w:val="20"/>
          <w:color w:val="auto"/>
        </w:rPr>
      </w:pPr>
    </w:p>
    <w:p>
      <w:pPr>
        <w:ind w:left="520" w:right="60"/>
        <w:spacing w:after="0" w:line="259" w:lineRule="auto"/>
        <w:rPr>
          <w:sz w:val="20"/>
          <w:szCs w:val="20"/>
          <w:color w:val="auto"/>
        </w:rPr>
      </w:pPr>
      <w:r>
        <w:rPr>
          <w:rFonts w:ascii="Arial" w:cs="Arial" w:eastAsia="Arial" w:hAnsi="Arial"/>
          <w:sz w:val="16"/>
          <w:szCs w:val="16"/>
          <w:u w:val="single" w:color="auto"/>
          <w:color w:val="auto"/>
        </w:rPr>
        <w:t>Gas Price Derivatives</w:t>
      </w:r>
      <w:r>
        <w:rPr>
          <w:rFonts w:ascii="Arial" w:cs="Arial" w:eastAsia="Arial" w:hAnsi="Arial"/>
          <w:sz w:val="16"/>
          <w:szCs w:val="16"/>
          <w:color w:val="auto"/>
        </w:rPr>
        <w:t xml:space="preserve"> - Our regulated Gas Utilities, as allowed or required by state regulatory commissions, have entered into certain exchange-traded natural gas futures and options to reduce our customers’ underlying exposure to fluctuations in gas prices. Gas price derivatives represent our unrealized positions on our commodity contracts supporting our utilities. Gas price derivatives at December 31, 2024, are hedged over a maximum forward term of two years.</w:t>
      </w:r>
    </w:p>
    <w:p>
      <w:pPr>
        <w:spacing w:after="0" w:line="151" w:lineRule="exact"/>
        <w:rPr>
          <w:sz w:val="20"/>
          <w:szCs w:val="20"/>
          <w:color w:val="auto"/>
        </w:rPr>
      </w:pPr>
    </w:p>
    <w:p>
      <w:pPr>
        <w:ind w:left="520" w:right="280"/>
        <w:spacing w:after="0" w:line="256" w:lineRule="auto"/>
        <w:rPr>
          <w:sz w:val="20"/>
          <w:szCs w:val="20"/>
          <w:color w:val="auto"/>
        </w:rPr>
      </w:pPr>
      <w:r>
        <w:rPr>
          <w:rFonts w:ascii="Arial" w:cs="Arial" w:eastAsia="Arial" w:hAnsi="Arial"/>
          <w:sz w:val="16"/>
          <w:szCs w:val="16"/>
          <w:u w:val="single" w:color="auto"/>
          <w:color w:val="auto"/>
        </w:rPr>
        <w:t>Deferred Taxes on AFUDC</w:t>
      </w:r>
      <w:r>
        <w:rPr>
          <w:rFonts w:ascii="Arial" w:cs="Arial" w:eastAsia="Arial" w:hAnsi="Arial"/>
          <w:sz w:val="16"/>
          <w:szCs w:val="16"/>
          <w:color w:val="auto"/>
        </w:rPr>
        <w:t xml:space="preserve"> - The equity component of AFUDC is considered a temporary difference for tax purposes with the tax detriment being flowed through to customers as prescribed or allowed by regulators. If, based on a regulator’s action, it is probable the utility will recover the future increase in taxes payable represented by this flow-through treatment through a rate revenue increase, a regulatory asset is recognized. This regulatory asset is a temporary difference for which a deferred tax liability must be recognized. Accounting standards for income taxes specifically address AFUDC-equity and require a gross-up of such amounts to reflect the revenue requirement associated with a rate-regulated environment.</w:t>
      </w:r>
    </w:p>
    <w:p>
      <w:pPr>
        <w:spacing w:after="0" w:line="153" w:lineRule="exact"/>
        <w:rPr>
          <w:sz w:val="20"/>
          <w:szCs w:val="20"/>
          <w:color w:val="auto"/>
        </w:rPr>
      </w:pPr>
    </w:p>
    <w:p>
      <w:pPr>
        <w:ind w:left="520" w:right="20"/>
        <w:spacing w:after="0" w:line="256" w:lineRule="auto"/>
        <w:rPr>
          <w:sz w:val="20"/>
          <w:szCs w:val="20"/>
          <w:color w:val="auto"/>
        </w:rPr>
      </w:pPr>
      <w:r>
        <w:rPr>
          <w:rFonts w:ascii="Arial" w:cs="Arial" w:eastAsia="Arial" w:hAnsi="Arial"/>
          <w:sz w:val="16"/>
          <w:szCs w:val="16"/>
          <w:u w:val="single" w:color="auto"/>
          <w:color w:val="auto"/>
        </w:rPr>
        <w:t>Employee Benefit Plans and Related Deferred Taxes</w:t>
      </w:r>
      <w:r>
        <w:rPr>
          <w:rFonts w:ascii="Arial" w:cs="Arial" w:eastAsia="Arial" w:hAnsi="Arial"/>
          <w:sz w:val="16"/>
          <w:szCs w:val="16"/>
          <w:color w:val="auto"/>
        </w:rPr>
        <w:t xml:space="preserve"> - Employee benefit plans include the unrecognized prior service costs and net actuarial loss associated with our defined benefit pension plan and post-retirement benefit plans in regulatory assets rather than in AOCI. In addition, this regulatory asset includes the income tax effect of the adjustment required under accounting for compensation - defined benefit plans, to record the full pension and post-retirement benefit obligations. Such income tax effect has been grossed-up to account for the revenue requirement associated with a rate regulated environment.</w:t>
      </w:r>
    </w:p>
    <w:p>
      <w:pPr>
        <w:spacing w:after="0" w:line="153" w:lineRule="exact"/>
        <w:rPr>
          <w:sz w:val="20"/>
          <w:szCs w:val="20"/>
          <w:color w:val="auto"/>
        </w:rPr>
      </w:pPr>
    </w:p>
    <w:p>
      <w:pPr>
        <w:ind w:left="520" w:right="260"/>
        <w:spacing w:after="0" w:line="259" w:lineRule="auto"/>
        <w:rPr>
          <w:sz w:val="20"/>
          <w:szCs w:val="20"/>
          <w:color w:val="auto"/>
        </w:rPr>
      </w:pPr>
      <w:r>
        <w:rPr>
          <w:rFonts w:ascii="Arial" w:cs="Arial" w:eastAsia="Arial" w:hAnsi="Arial"/>
          <w:sz w:val="16"/>
          <w:szCs w:val="16"/>
          <w:u w:val="single" w:color="auto"/>
          <w:color w:val="auto"/>
        </w:rPr>
        <w:t>Environmental</w:t>
      </w:r>
      <w:r>
        <w:rPr>
          <w:rFonts w:ascii="Arial" w:cs="Arial" w:eastAsia="Arial" w:hAnsi="Arial"/>
          <w:sz w:val="16"/>
          <w:szCs w:val="16"/>
          <w:color w:val="auto"/>
        </w:rPr>
        <w:t xml:space="preserve"> - Environmental costs are associated with certain former manufactured gas plant sites. These costs are first offset by recognition of insurance proceeds and settlements with other third parties. Any remaining cost will be requested for recovery in future rate filings. Recovery for these specific environmental costs has not yet been approved by the applicable state regulatory commission and therefore, the recovery period is unknown at this time.</w:t>
      </w:r>
    </w:p>
    <w:p>
      <w:pPr>
        <w:spacing w:after="0" w:line="151" w:lineRule="exact"/>
        <w:rPr>
          <w:sz w:val="20"/>
          <w:szCs w:val="20"/>
          <w:color w:val="auto"/>
        </w:rPr>
      </w:pPr>
    </w:p>
    <w:p>
      <w:pPr>
        <w:ind w:left="520" w:right="120"/>
        <w:spacing w:after="0" w:line="286" w:lineRule="auto"/>
        <w:rPr>
          <w:sz w:val="20"/>
          <w:szCs w:val="20"/>
          <w:color w:val="auto"/>
        </w:rPr>
      </w:pPr>
      <w:r>
        <w:rPr>
          <w:rFonts w:ascii="Arial" w:cs="Arial" w:eastAsia="Arial" w:hAnsi="Arial"/>
          <w:sz w:val="16"/>
          <w:szCs w:val="16"/>
          <w:u w:val="single" w:color="auto"/>
          <w:color w:val="auto"/>
        </w:rPr>
        <w:t>Loss on Reacquired Debt</w:t>
      </w:r>
      <w:r>
        <w:rPr>
          <w:rFonts w:ascii="Arial" w:cs="Arial" w:eastAsia="Arial" w:hAnsi="Arial"/>
          <w:sz w:val="16"/>
          <w:szCs w:val="16"/>
          <w:color w:val="auto"/>
        </w:rPr>
        <w:t xml:space="preserve"> - Loss on reacquired debt is recovered over the remaining life of the original issue or, if refinanced, over the life of the new issue.</w:t>
      </w:r>
    </w:p>
    <w:p>
      <w:pPr>
        <w:spacing w:after="0" w:line="129" w:lineRule="exact"/>
        <w:rPr>
          <w:sz w:val="20"/>
          <w:szCs w:val="20"/>
          <w:color w:val="auto"/>
        </w:rPr>
      </w:pPr>
    </w:p>
    <w:p>
      <w:pPr>
        <w:ind w:left="520" w:right="80"/>
        <w:spacing w:after="0" w:line="259" w:lineRule="auto"/>
        <w:rPr>
          <w:sz w:val="20"/>
          <w:szCs w:val="20"/>
          <w:color w:val="auto"/>
        </w:rPr>
      </w:pPr>
      <w:r>
        <w:rPr>
          <w:rFonts w:ascii="Arial" w:cs="Arial" w:eastAsia="Arial" w:hAnsi="Arial"/>
          <w:sz w:val="16"/>
          <w:szCs w:val="16"/>
          <w:u w:val="single" w:color="auto"/>
          <w:color w:val="auto"/>
        </w:rPr>
        <w:t>Deferred Taxes on Flow-Through Accounting</w:t>
      </w:r>
      <w:r>
        <w:rPr>
          <w:rFonts w:ascii="Arial" w:cs="Arial" w:eastAsia="Arial" w:hAnsi="Arial"/>
          <w:sz w:val="16"/>
          <w:szCs w:val="16"/>
          <w:color w:val="auto"/>
        </w:rPr>
        <w:t xml:space="preserve"> - Under flow-through accounting, the income tax effects of certain tax items are reflected in our cost of service for the customer and result in lower utility rates in the year in which the tax benefits are realized. A regulatory asset was established to reflect that future increases in income taxes payable will be recovered from customers as the temporary differences reverse. As a result of this regulatory treatment, we continue to record a net tax benefit for costs considered currently deductible for tax purposes but are capitalized for book purposes.</w:t>
      </w:r>
    </w:p>
    <w:p>
      <w:pPr>
        <w:spacing w:after="0" w:line="151" w:lineRule="exact"/>
        <w:rPr>
          <w:sz w:val="20"/>
          <w:szCs w:val="20"/>
          <w:color w:val="auto"/>
        </w:rPr>
      </w:pPr>
    </w:p>
    <w:p>
      <w:pPr>
        <w:ind w:left="520" w:right="180"/>
        <w:spacing w:after="0" w:line="286" w:lineRule="auto"/>
        <w:rPr>
          <w:sz w:val="20"/>
          <w:szCs w:val="20"/>
          <w:color w:val="auto"/>
        </w:rPr>
      </w:pPr>
      <w:r>
        <w:rPr>
          <w:rFonts w:ascii="Arial" w:cs="Arial" w:eastAsia="Arial" w:hAnsi="Arial"/>
          <w:sz w:val="16"/>
          <w:szCs w:val="16"/>
          <w:u w:val="single" w:color="auto"/>
          <w:color w:val="auto"/>
        </w:rPr>
        <w:t>Decommissioning Costs</w:t>
      </w:r>
      <w:r>
        <w:rPr>
          <w:rFonts w:ascii="Arial" w:cs="Arial" w:eastAsia="Arial" w:hAnsi="Arial"/>
          <w:sz w:val="16"/>
          <w:szCs w:val="16"/>
          <w:color w:val="auto"/>
        </w:rPr>
        <w:t xml:space="preserve"> - South Dakota Electric and Colorado Electric received approval in 2014 for recovery of the remaining net book values and decommissioning costs of their decommissioned coal plants.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Regulatory liabilities represent items we expect to refund to customers through probable future decreases in rates.</w:t>
      </w:r>
    </w:p>
    <w:p>
      <w:pPr>
        <w:spacing w:after="0" w:line="194" w:lineRule="exact"/>
        <w:rPr>
          <w:sz w:val="20"/>
          <w:szCs w:val="20"/>
          <w:color w:val="auto"/>
        </w:rPr>
      </w:pPr>
    </w:p>
    <w:p>
      <w:pPr>
        <w:ind w:left="520" w:right="460"/>
        <w:spacing w:after="0" w:line="286" w:lineRule="auto"/>
        <w:rPr>
          <w:sz w:val="20"/>
          <w:szCs w:val="20"/>
          <w:color w:val="auto"/>
        </w:rPr>
      </w:pPr>
      <w:r>
        <w:rPr>
          <w:rFonts w:ascii="Arial" w:cs="Arial" w:eastAsia="Arial" w:hAnsi="Arial"/>
          <w:sz w:val="16"/>
          <w:szCs w:val="16"/>
          <w:u w:val="single" w:color="auto"/>
          <w:color w:val="auto"/>
        </w:rPr>
        <w:t>Deferred Energy and Gas Costs</w:t>
      </w:r>
      <w:r>
        <w:rPr>
          <w:rFonts w:ascii="Arial" w:cs="Arial" w:eastAsia="Arial" w:hAnsi="Arial"/>
          <w:sz w:val="16"/>
          <w:szCs w:val="16"/>
          <w:color w:val="auto"/>
        </w:rPr>
        <w:t xml:space="preserve"> </w:t>
      </w:r>
      <w:r>
        <w:rPr>
          <w:rFonts w:ascii="Arial" w:cs="Arial" w:eastAsia="Arial" w:hAnsi="Arial"/>
          <w:sz w:val="16"/>
          <w:szCs w:val="16"/>
          <w:b w:val="1"/>
          <w:bCs w:val="1"/>
          <w:color w:val="auto"/>
        </w:rPr>
        <w:t>-</w:t>
      </w:r>
      <w:r>
        <w:rPr>
          <w:rFonts w:ascii="Arial" w:cs="Arial" w:eastAsia="Arial" w:hAnsi="Arial"/>
          <w:sz w:val="16"/>
          <w:szCs w:val="16"/>
          <w:color w:val="auto"/>
        </w:rPr>
        <w:t xml:space="preserve"> Deferred energy and gas costs that have been over-recovered through customer rates and will be returned to customers in future periods.</w:t>
      </w:r>
    </w:p>
    <w:p>
      <w:pPr>
        <w:spacing w:after="0" w:line="129" w:lineRule="exact"/>
        <w:rPr>
          <w:sz w:val="20"/>
          <w:szCs w:val="20"/>
          <w:color w:val="auto"/>
        </w:rPr>
      </w:pPr>
    </w:p>
    <w:p>
      <w:pPr>
        <w:ind w:left="520" w:right="60"/>
        <w:spacing w:after="0" w:line="256" w:lineRule="auto"/>
        <w:rPr>
          <w:sz w:val="20"/>
          <w:szCs w:val="20"/>
          <w:color w:val="auto"/>
        </w:rPr>
      </w:pPr>
      <w:r>
        <w:rPr>
          <w:rFonts w:ascii="Arial" w:cs="Arial" w:eastAsia="Arial" w:hAnsi="Arial"/>
          <w:sz w:val="16"/>
          <w:szCs w:val="16"/>
          <w:u w:val="single" w:color="auto"/>
          <w:color w:val="auto"/>
        </w:rPr>
        <w:t>Employee Benefit Plans and Related Deferred Taxes</w:t>
      </w:r>
      <w:r>
        <w:rPr>
          <w:rFonts w:ascii="Arial" w:cs="Arial" w:eastAsia="Arial" w:hAnsi="Arial"/>
          <w:sz w:val="16"/>
          <w:szCs w:val="16"/>
          <w:color w:val="auto"/>
        </w:rPr>
        <w:t xml:space="preserve"> </w:t>
      </w:r>
      <w:r>
        <w:rPr>
          <w:rFonts w:ascii="Arial" w:cs="Arial" w:eastAsia="Arial" w:hAnsi="Arial"/>
          <w:sz w:val="16"/>
          <w:szCs w:val="16"/>
          <w:b w:val="1"/>
          <w:bCs w:val="1"/>
          <w:color w:val="auto"/>
        </w:rPr>
        <w:t>-</w:t>
      </w:r>
      <w:r>
        <w:rPr>
          <w:rFonts w:ascii="Arial" w:cs="Arial" w:eastAsia="Arial" w:hAnsi="Arial"/>
          <w:sz w:val="16"/>
          <w:szCs w:val="16"/>
          <w:color w:val="auto"/>
        </w:rPr>
        <w:t xml:space="preserve"> Employee benefit plans represent the cumulative excess of pension and retiree healthcare costs recovered in rates over pension expense recorded in accordance with ASC 715, </w:t>
      </w:r>
      <w:r>
        <w:rPr>
          <w:rFonts w:ascii="Arial" w:cs="Arial" w:eastAsia="Arial" w:hAnsi="Arial"/>
          <w:sz w:val="16"/>
          <w:szCs w:val="16"/>
          <w:i w:val="1"/>
          <w:iCs w:val="1"/>
          <w:color w:val="auto"/>
        </w:rPr>
        <w:t>Compensation-Retirement Benefits</w:t>
      </w:r>
      <w:r>
        <w:rPr>
          <w:rFonts w:ascii="Arial" w:cs="Arial" w:eastAsia="Arial" w:hAnsi="Arial"/>
          <w:sz w:val="16"/>
          <w:szCs w:val="16"/>
          <w:color w:val="auto"/>
        </w:rPr>
        <w:t xml:space="preserve">. In addition, this regulatory liability includes the income tax effect of the adjustment required under ASC 715, </w:t>
      </w:r>
      <w:r>
        <w:rPr>
          <w:rFonts w:ascii="Arial" w:cs="Arial" w:eastAsia="Arial" w:hAnsi="Arial"/>
          <w:sz w:val="16"/>
          <w:szCs w:val="16"/>
          <w:i w:val="1"/>
          <w:iCs w:val="1"/>
          <w:color w:val="auto"/>
        </w:rPr>
        <w:t>Compensation-Retirement Benefits</w:t>
      </w:r>
      <w:r>
        <w:rPr>
          <w:rFonts w:ascii="Arial" w:cs="Arial" w:eastAsia="Arial" w:hAnsi="Arial"/>
          <w:sz w:val="16"/>
          <w:szCs w:val="16"/>
          <w:color w:val="auto"/>
        </w:rPr>
        <w:t>, to record the full pension and post-retirement benefit obligations. Such income tax effect has been grossed-up to account for the revenue requirement associated with a rate regulated environment.</w:t>
      </w:r>
    </w:p>
    <w:p>
      <w:pPr>
        <w:spacing w:after="0" w:line="153" w:lineRule="exact"/>
        <w:rPr>
          <w:sz w:val="20"/>
          <w:szCs w:val="20"/>
          <w:color w:val="auto"/>
        </w:rPr>
      </w:pPr>
    </w:p>
    <w:p>
      <w:pPr>
        <w:ind w:left="520" w:right="200"/>
        <w:spacing w:after="0" w:line="286" w:lineRule="auto"/>
        <w:rPr>
          <w:sz w:val="20"/>
          <w:szCs w:val="20"/>
          <w:color w:val="auto"/>
        </w:rPr>
      </w:pPr>
      <w:r>
        <w:rPr>
          <w:rFonts w:ascii="Arial" w:cs="Arial" w:eastAsia="Arial" w:hAnsi="Arial"/>
          <w:sz w:val="16"/>
          <w:szCs w:val="16"/>
          <w:u w:val="single" w:color="auto"/>
          <w:color w:val="auto"/>
        </w:rPr>
        <w:t>Cost of Removal</w:t>
      </w:r>
      <w:r>
        <w:rPr>
          <w:rFonts w:ascii="Arial" w:cs="Arial" w:eastAsia="Arial" w:hAnsi="Arial"/>
          <w:sz w:val="16"/>
          <w:szCs w:val="16"/>
          <w:color w:val="auto"/>
        </w:rPr>
        <w:t xml:space="preserve"> </w:t>
      </w:r>
      <w:r>
        <w:rPr>
          <w:rFonts w:ascii="Arial" w:cs="Arial" w:eastAsia="Arial" w:hAnsi="Arial"/>
          <w:sz w:val="16"/>
          <w:szCs w:val="16"/>
          <w:b w:val="1"/>
          <w:bCs w:val="1"/>
          <w:color w:val="auto"/>
        </w:rPr>
        <w:t>-</w:t>
      </w:r>
      <w:r>
        <w:rPr>
          <w:rFonts w:ascii="Arial" w:cs="Arial" w:eastAsia="Arial" w:hAnsi="Arial"/>
          <w:sz w:val="16"/>
          <w:szCs w:val="16"/>
          <w:color w:val="auto"/>
        </w:rPr>
        <w:t xml:space="preserve"> Cost of removal represents the estimated cumulative net provisions for future removal costs for which there is no legal obligation for removal included in depreciation expense.</w:t>
      </w:r>
    </w:p>
    <w:p>
      <w:pPr>
        <w:spacing w:after="0" w:line="129" w:lineRule="exact"/>
        <w:rPr>
          <w:sz w:val="20"/>
          <w:szCs w:val="20"/>
          <w:color w:val="auto"/>
        </w:rPr>
      </w:pPr>
    </w:p>
    <w:p>
      <w:pPr>
        <w:ind w:left="520" w:right="200"/>
        <w:spacing w:after="0" w:line="251" w:lineRule="auto"/>
        <w:rPr>
          <w:sz w:val="20"/>
          <w:szCs w:val="20"/>
          <w:color w:val="auto"/>
        </w:rPr>
      </w:pPr>
      <w:r>
        <w:rPr>
          <w:rFonts w:ascii="Arial" w:cs="Arial" w:eastAsia="Arial" w:hAnsi="Arial"/>
          <w:sz w:val="16"/>
          <w:szCs w:val="16"/>
          <w:u w:val="single" w:color="auto"/>
          <w:color w:val="auto"/>
        </w:rPr>
        <w:t>Excess Deferred Income Taxes</w:t>
      </w:r>
      <w:r>
        <w:rPr>
          <w:rFonts w:ascii="Arial" w:cs="Arial" w:eastAsia="Arial" w:hAnsi="Arial"/>
          <w:sz w:val="16"/>
          <w:szCs w:val="16"/>
          <w:color w:val="auto"/>
        </w:rPr>
        <w:t xml:space="preserve"> - The revaluation of the regulated utilities' deferred tax assets and liabilities due to the passage of the TCJA was recorded as excess deferred income taxes to be refunded to customers primarily using the normalization principles as prescribed in the TCJA. A majority of the excess deferred taxes are subject to the average rate assumption method, as prescribed by the IRS, and will generally be amortized as a reduction of customer rates over the remaining lives of the related assets.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Rate Review Activity</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Arkansas Gas</w:t>
      </w:r>
    </w:p>
    <w:p>
      <w:pPr>
        <w:spacing w:after="0" w:line="192"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On December 4, 2023, Arkansas Gas filed a rate review with the APSC seeking recovery of significant infrastructure investments in its 7,200-mile natural gas pipeline system. On October 1, 2024, Arkansas Gas received final approval for a settlement agreement for a general rate increase which is expected to generate $25.4 million of new annual revenue and shift $3.7 million of rider revenue to base rates. The approval allows a capital structure of 46% equity and 54% debt and a return on equity of 9.9%. New rates were effective October 14, 2024.</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Colorado Electric</w:t>
      </w:r>
    </w:p>
    <w:p>
      <w:pPr>
        <w:spacing w:after="0" w:line="192"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On June 14, 2024, Colorado Electric filed a rate review with the CPUC seeking recovery of significant infrastructure investments in its 3,200-mile electric distribution and 600-mile electric transmission systems. The rate review requested $36.7 million in new annual revenue with a capital structure of 53% equity and 47% debt and a return on equity of 10.5%. On November 22, 2024, Colorado Electric submitted rebuttal testimony, which updated its request to $25.1 million in new annual review with a capital structure of 53% equity and 47% debt and a return on equity of 9.8%. A final CPUC decision on the request is expected first quarter or early second quarter of 2025. Timing and implementation of new rates will be subject to a final decision.</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Colorado Gas</w:t>
      </w:r>
    </w:p>
    <w:p>
      <w:pPr>
        <w:spacing w:after="0" w:line="192"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 xml:space="preserve">On May 9, 2023, Colorado Gas filed a rate review with the CPUC seeking recovery of significant infrastructure investments in its 10,000-mile natural gas pipeline system. In March 2024, Colorado Gas received final approval for a settlement agreement for a general rate increase which </w:t>
      </w:r>
      <w:r>
        <w:rPr>
          <w:rFonts w:ascii="Arial" w:cs="Arial" w:eastAsia="Arial" w:hAnsi="Arial"/>
          <w:sz w:val="16"/>
          <w:szCs w:val="16"/>
          <w:color w:val="242424"/>
        </w:rPr>
        <w:t>is expected to generate</w:t>
      </w:r>
      <w:r>
        <w:rPr>
          <w:rFonts w:ascii="Arial" w:cs="Arial" w:eastAsia="Arial" w:hAnsi="Arial"/>
          <w:sz w:val="16"/>
          <w:szCs w:val="16"/>
          <w:color w:val="auto"/>
        </w:rPr>
        <w:t xml:space="preserve"> </w:t>
      </w:r>
      <w:r>
        <w:rPr>
          <w:rFonts w:ascii="Arial" w:cs="Arial" w:eastAsia="Arial" w:hAnsi="Arial"/>
          <w:sz w:val="16"/>
          <w:szCs w:val="16"/>
          <w:color w:val="242424"/>
        </w:rPr>
        <w:t xml:space="preserve">$20.2 million of new annual revenue with a capital structure of 51% equity and 49% debt and a return on equity of 9.3%. </w:t>
      </w:r>
      <w:r>
        <w:rPr>
          <w:rFonts w:ascii="Arial" w:cs="Arial" w:eastAsia="Arial" w:hAnsi="Arial"/>
          <w:sz w:val="16"/>
          <w:szCs w:val="16"/>
          <w:color w:val="000000"/>
        </w:rPr>
        <w:t>Final rates were enacted on May 1,</w:t>
      </w:r>
      <w:r>
        <w:rPr>
          <w:rFonts w:ascii="Arial" w:cs="Arial" w:eastAsia="Arial" w:hAnsi="Arial"/>
          <w:sz w:val="16"/>
          <w:szCs w:val="16"/>
          <w:color w:val="242424"/>
        </w:rPr>
        <w:t xml:space="preserve"> </w:t>
      </w:r>
      <w:r>
        <w:rPr>
          <w:rFonts w:ascii="Arial" w:cs="Arial" w:eastAsia="Arial" w:hAnsi="Arial"/>
          <w:sz w:val="16"/>
          <w:szCs w:val="16"/>
          <w:color w:val="000000"/>
        </w:rPr>
        <w:t>2024, which replaced interim rates.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Iowa Gas</w:t>
      </w:r>
    </w:p>
    <w:p>
      <w:pPr>
        <w:spacing w:after="0" w:line="192"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 xml:space="preserve">On May 1, 2024, Iowa Gas filed a rate review with the IUC seeking recovery of significant infrastructure investments in its 5,000-mile natural gas pipeline system. On December 2, 2024, Iowa Gas received final approval from the IUC for a settlement agreement for a general rate increase. T </w:t>
      </w:r>
      <w:r>
        <w:rPr>
          <w:rFonts w:ascii="Arial" w:cs="Arial" w:eastAsia="Arial" w:hAnsi="Arial"/>
          <w:sz w:val="16"/>
          <w:szCs w:val="16"/>
          <w:color w:val="242424"/>
        </w:rPr>
        <w:t xml:space="preserve">he approved Black-box Settlement is expected to generate $15.0 million of new annual revenue based on a weighted average cost of capital of 7.2%. New </w:t>
      </w:r>
      <w:r>
        <w:rPr>
          <w:rFonts w:ascii="Arial" w:cs="Arial" w:eastAsia="Arial" w:hAnsi="Arial"/>
          <w:sz w:val="16"/>
          <w:szCs w:val="16"/>
          <w:color w:val="000000"/>
        </w:rPr>
        <w:t>rates were enacted</w:t>
      </w:r>
      <w:r>
        <w:rPr>
          <w:rFonts w:ascii="Arial" w:cs="Arial" w:eastAsia="Arial" w:hAnsi="Arial"/>
          <w:sz w:val="16"/>
          <w:szCs w:val="16"/>
          <w:color w:val="242424"/>
        </w:rPr>
        <w:t xml:space="preserve"> </w:t>
      </w:r>
      <w:r>
        <w:rPr>
          <w:rFonts w:ascii="Arial" w:cs="Arial" w:eastAsia="Arial" w:hAnsi="Arial"/>
          <w:sz w:val="16"/>
          <w:szCs w:val="16"/>
          <w:color w:val="000000"/>
        </w:rPr>
        <w:t>on January 1, 2025, which replaced interim rates.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Kansas Gas</w:t>
      </w:r>
    </w:p>
    <w:p>
      <w:pPr>
        <w:spacing w:after="0" w:line="194"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On February 3, 2025, Kansas Gas filed a rate review with the KCC seeking recovery of significant infrastructure investments in its 4,765-mile natural gas pipeline system. The rate review requests $17.2 million in new annual revenue with a capital structure of 50% equity and 50% debt and a return on equity of 10.5%. The request seeks to implement new rates in the second half of 2025.</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Wyoming Gas</w:t>
      </w:r>
    </w:p>
    <w:p>
      <w:pPr>
        <w:spacing w:after="0" w:line="194"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On May 18, 2023, Wyoming Gas filed a rate review with the WPSC seeking recovery of significant infrastructure investments in its 6,400-mile natural gas pipeline system. On January 17, 2024, the WPSC approved a settlement agreement for a general rate increase which is expected to generate $13.9 million in new annual revenue with a capital structure of 51% equity and 49% debt and a return on equity of 9.85%. New rates were effective February 1, 2024. The agreement also included approval of a four-year extension of the Wyoming Integrity Rider.</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4" w:name="page75"/>
    <w:bookmarkEnd w:id="7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6700" w:firstLine="8"/>
        <w:spacing w:after="0" w:line="493" w:lineRule="auto"/>
        <w:tabs>
          <w:tab w:leader="none" w:pos="243"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CONTINGENCIES, AND GUARANTEES Unconditional Purchase Obligations</w:t>
      </w:r>
    </w:p>
    <w:p>
      <w:pPr>
        <w:ind w:right="120"/>
        <w:spacing w:after="0" w:line="286" w:lineRule="auto"/>
        <w:rPr>
          <w:sz w:val="20"/>
          <w:szCs w:val="20"/>
          <w:color w:val="auto"/>
        </w:rPr>
      </w:pPr>
      <w:r>
        <w:rPr>
          <w:rFonts w:ascii="Arial" w:cs="Arial" w:eastAsia="Arial" w:hAnsi="Arial"/>
          <w:sz w:val="16"/>
          <w:szCs w:val="16"/>
          <w:color w:val="auto"/>
        </w:rPr>
        <w:t>We have various PPAs and transmission service agreements, which extend to 2044, to support our Electric Utilities' capacity and energy needs beyond our regulated power plants' generation.</w:t>
      </w:r>
    </w:p>
    <w:p>
      <w:pPr>
        <w:spacing w:after="0" w:line="129" w:lineRule="exact"/>
        <w:rPr>
          <w:sz w:val="20"/>
          <w:szCs w:val="20"/>
          <w:color w:val="auto"/>
        </w:rPr>
      </w:pPr>
    </w:p>
    <w:p>
      <w:pPr>
        <w:ind w:right="600"/>
        <w:spacing w:after="0" w:line="286" w:lineRule="auto"/>
        <w:rPr>
          <w:sz w:val="20"/>
          <w:szCs w:val="20"/>
          <w:color w:val="auto"/>
        </w:rPr>
      </w:pPr>
      <w:r>
        <w:rPr>
          <w:rFonts w:ascii="Arial" w:cs="Arial" w:eastAsia="Arial" w:hAnsi="Arial"/>
          <w:sz w:val="16"/>
          <w:szCs w:val="16"/>
          <w:color w:val="auto"/>
        </w:rPr>
        <w:t>Our Utilities purchase natural gas, including transportation and storage capacity, to meet customers' needs under short-term and long-term purchase contracts. These contracts extend to 2044.</w:t>
      </w:r>
    </w:p>
    <w:p>
      <w:pPr>
        <w:spacing w:after="0" w:line="129"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The following is a schedule of unconditional purchase obligations required under the power purchase, transmission services, and natural gas transportation and storage agreements: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jc w:val="center"/>
              <w:ind w:right="139"/>
              <w:spacing w:after="0"/>
              <w:rPr>
                <w:sz w:val="20"/>
                <w:szCs w:val="20"/>
                <w:color w:val="auto"/>
              </w:rPr>
            </w:pPr>
            <w:r>
              <w:rPr>
                <w:rFonts w:ascii="Arial" w:cs="Arial" w:eastAsia="Arial" w:hAnsi="Arial"/>
                <w:sz w:val="16"/>
                <w:szCs w:val="16"/>
                <w:b w:val="1"/>
                <w:bCs w:val="1"/>
                <w:color w:val="auto"/>
                <w:w w:val="99"/>
              </w:rPr>
              <w:t>Transmission</w:t>
            </w:r>
          </w:p>
        </w:tc>
        <w:tc>
          <w:tcPr>
            <w:tcW w:w="180" w:type="dxa"/>
            <w:vAlign w:val="bottom"/>
          </w:tcPr>
          <w:p>
            <w:pPr>
              <w:spacing w:after="0"/>
              <w:rPr>
                <w:sz w:val="16"/>
                <w:szCs w:val="16"/>
                <w:color w:val="auto"/>
              </w:rPr>
            </w:pPr>
          </w:p>
        </w:tc>
        <w:tc>
          <w:tcPr>
            <w:tcW w:w="2400" w:type="dxa"/>
            <w:vAlign w:val="bottom"/>
          </w:tcPr>
          <w:p>
            <w:pPr>
              <w:jc w:val="center"/>
              <w:ind w:right="219"/>
              <w:spacing w:after="0"/>
              <w:rPr>
                <w:sz w:val="20"/>
                <w:szCs w:val="20"/>
                <w:color w:val="auto"/>
              </w:rPr>
            </w:pPr>
            <w:r>
              <w:rPr>
                <w:rFonts w:ascii="Arial" w:cs="Arial" w:eastAsia="Arial" w:hAnsi="Arial"/>
                <w:sz w:val="16"/>
                <w:szCs w:val="16"/>
                <w:b w:val="1"/>
                <w:bCs w:val="1"/>
                <w:color w:val="auto"/>
              </w:rPr>
              <w:t>Natural gas supply,</w:t>
            </w:r>
          </w:p>
        </w:tc>
        <w:tc>
          <w:tcPr>
            <w:tcW w:w="0" w:type="dxa"/>
            <w:vAlign w:val="bottom"/>
          </w:tcPr>
          <w:p>
            <w:pPr>
              <w:spacing w:after="0"/>
              <w:rPr>
                <w:sz w:val="1"/>
                <w:szCs w:val="1"/>
                <w:color w:val="auto"/>
              </w:rPr>
            </w:pPr>
          </w:p>
        </w:tc>
      </w:tr>
      <w:tr>
        <w:trPr>
          <w:trHeight w:val="189"/>
        </w:trPr>
        <w:tc>
          <w:tcPr>
            <w:tcW w:w="590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 xml:space="preserve">PPAs </w:t>
            </w:r>
            <w:r>
              <w:rPr>
                <w:rFonts w:ascii="Arial" w:cs="Arial" w:eastAsia="Arial" w:hAnsi="Arial"/>
                <w:sz w:val="21"/>
                <w:szCs w:val="21"/>
                <w:b w:val="1"/>
                <w:bCs w:val="1"/>
                <w:color w:val="auto"/>
                <w:vertAlign w:val="superscript"/>
              </w:rPr>
              <w:t>(a)</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jc w:val="center"/>
              <w:ind w:right="139"/>
              <w:spacing w:after="0"/>
              <w:rPr>
                <w:sz w:val="20"/>
                <w:szCs w:val="20"/>
                <w:color w:val="auto"/>
              </w:rPr>
            </w:pPr>
            <w:r>
              <w:rPr>
                <w:rFonts w:ascii="Arial" w:cs="Arial" w:eastAsia="Arial" w:hAnsi="Arial"/>
                <w:sz w:val="16"/>
                <w:szCs w:val="16"/>
                <w:b w:val="1"/>
                <w:bCs w:val="1"/>
                <w:color w:val="auto"/>
              </w:rPr>
              <w:t>Services</w:t>
            </w:r>
          </w:p>
        </w:tc>
        <w:tc>
          <w:tcPr>
            <w:tcW w:w="180" w:type="dxa"/>
            <w:vAlign w:val="bottom"/>
          </w:tcPr>
          <w:p>
            <w:pPr>
              <w:spacing w:after="0"/>
              <w:rPr>
                <w:sz w:val="16"/>
                <w:szCs w:val="16"/>
                <w:color w:val="auto"/>
              </w:rPr>
            </w:pPr>
          </w:p>
        </w:tc>
        <w:tc>
          <w:tcPr>
            <w:tcW w:w="2400" w:type="dxa"/>
            <w:vAlign w:val="bottom"/>
          </w:tcPr>
          <w:p>
            <w:pPr>
              <w:jc w:val="center"/>
              <w:ind w:right="219"/>
              <w:spacing w:after="0"/>
              <w:rPr>
                <w:sz w:val="20"/>
                <w:szCs w:val="20"/>
                <w:color w:val="auto"/>
              </w:rPr>
            </w:pPr>
            <w:r>
              <w:rPr>
                <w:rFonts w:ascii="Arial" w:cs="Arial" w:eastAsia="Arial" w:hAnsi="Arial"/>
                <w:sz w:val="16"/>
                <w:szCs w:val="16"/>
                <w:b w:val="1"/>
                <w:bCs w:val="1"/>
                <w:color w:val="auto"/>
              </w:rPr>
              <w:t>transportation and storage</w:t>
            </w:r>
          </w:p>
        </w:tc>
        <w:tc>
          <w:tcPr>
            <w:tcW w:w="0" w:type="dxa"/>
            <w:vAlign w:val="bottom"/>
          </w:tcPr>
          <w:p>
            <w:pPr>
              <w:spacing w:after="0"/>
              <w:rPr>
                <w:sz w:val="1"/>
                <w:szCs w:val="1"/>
                <w:color w:val="auto"/>
              </w:rPr>
            </w:pPr>
          </w:p>
        </w:tc>
      </w:tr>
      <w:tr>
        <w:trPr>
          <w:trHeight w:val="203"/>
        </w:trPr>
        <w:tc>
          <w:tcPr>
            <w:tcW w:w="59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9"/>
              </w:rPr>
              <w:t>Agreements</w:t>
            </w:r>
          </w:p>
        </w:tc>
        <w:tc>
          <w:tcPr>
            <w:tcW w:w="18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agreements</w:t>
            </w:r>
          </w:p>
        </w:tc>
        <w:tc>
          <w:tcPr>
            <w:tcW w:w="0" w:type="dxa"/>
            <w:vAlign w:val="bottom"/>
          </w:tcPr>
          <w:p>
            <w:pPr>
              <w:spacing w:after="0"/>
              <w:rPr>
                <w:sz w:val="1"/>
                <w:szCs w:val="1"/>
                <w:color w:val="auto"/>
              </w:rPr>
            </w:pPr>
          </w:p>
        </w:tc>
      </w:tr>
      <w:tr>
        <w:trPr>
          <w:trHeight w:val="183"/>
        </w:trPr>
        <w:tc>
          <w:tcPr>
            <w:tcW w:w="59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Future commitments for the year ending December 31,</w:t>
            </w:r>
          </w:p>
        </w:tc>
        <w:tc>
          <w:tcPr>
            <w:tcW w:w="9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920" w:type="dxa"/>
            <w:vAlign w:val="bottom"/>
            <w:tcBorders>
              <w:bottom w:val="single" w:sz="8" w:color="auto"/>
            </w:tcBorders>
            <w:gridSpan w:val="3"/>
          </w:tcPr>
          <w:p>
            <w:pPr>
              <w:jc w:val="right"/>
              <w:ind w:right="2239"/>
              <w:spacing w:after="0" w:line="183" w:lineRule="exact"/>
              <w:rPr>
                <w:sz w:val="20"/>
                <w:szCs w:val="20"/>
                <w:color w:val="auto"/>
              </w:rPr>
            </w:pPr>
            <w:r>
              <w:rPr>
                <w:rFonts w:ascii="Arial" w:cs="Arial" w:eastAsia="Arial" w:hAnsi="Arial"/>
                <w:sz w:val="16"/>
                <w:szCs w:val="16"/>
                <w:color w:val="auto"/>
              </w:rPr>
              <w:t>(in millions)</w:t>
            </w:r>
          </w:p>
        </w:tc>
        <w:tc>
          <w:tcPr>
            <w:tcW w:w="0" w:type="dxa"/>
            <w:vAlign w:val="bottom"/>
          </w:tcPr>
          <w:p>
            <w:pPr>
              <w:spacing w:after="0"/>
              <w:rPr>
                <w:sz w:val="1"/>
                <w:szCs w:val="1"/>
                <w:color w:val="auto"/>
              </w:rPr>
            </w:pPr>
          </w:p>
        </w:tc>
      </w:tr>
      <w:tr>
        <w:trPr>
          <w:trHeight w:val="183"/>
        </w:trPr>
        <w:tc>
          <w:tcPr>
            <w:tcW w:w="5900" w:type="dxa"/>
            <w:vAlign w:val="bottom"/>
            <w:vMerge w:val="continue"/>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2025</w:t>
            </w:r>
          </w:p>
        </w:tc>
        <w:tc>
          <w:tcPr>
            <w:tcW w:w="940" w:type="dxa"/>
            <w:vAlign w:val="bottom"/>
            <w:shd w:val="clear" w:color="auto" w:fill="CFF0FC"/>
          </w:tcPr>
          <w:p>
            <w:pPr>
              <w:jc w:val="right"/>
              <w:ind w:right="739"/>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ind w:left="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193.8</w:t>
            </w:r>
          </w:p>
        </w:tc>
        <w:tc>
          <w:tcPr>
            <w:tcW w:w="0" w:type="dxa"/>
            <w:vAlign w:val="bottom"/>
          </w:tcPr>
          <w:p>
            <w:pPr>
              <w:spacing w:after="0"/>
              <w:rPr>
                <w:sz w:val="1"/>
                <w:szCs w:val="1"/>
                <w:color w:val="auto"/>
              </w:rPr>
            </w:pPr>
          </w:p>
        </w:tc>
      </w:tr>
      <w:tr>
        <w:trPr>
          <w:trHeight w:val="189"/>
        </w:trPr>
        <w:tc>
          <w:tcPr>
            <w:tcW w:w="5900" w:type="dxa"/>
            <w:vAlign w:val="bottom"/>
          </w:tcPr>
          <w:p>
            <w:pPr>
              <w:ind w:left="20"/>
              <w:spacing w:after="0"/>
              <w:rPr>
                <w:sz w:val="20"/>
                <w:szCs w:val="20"/>
                <w:color w:val="auto"/>
              </w:rPr>
            </w:pPr>
            <w:r>
              <w:rPr>
                <w:rFonts w:ascii="Arial" w:cs="Arial" w:eastAsia="Arial" w:hAnsi="Arial"/>
                <w:sz w:val="16"/>
                <w:szCs w:val="16"/>
                <w:color w:val="auto"/>
              </w:rPr>
              <w:t>2026</w:t>
            </w:r>
          </w:p>
        </w:tc>
        <w:tc>
          <w:tcPr>
            <w:tcW w:w="940" w:type="dxa"/>
            <w:vAlign w:val="bottom"/>
          </w:tcPr>
          <w:p>
            <w:pPr>
              <w:spacing w:after="0"/>
              <w:rPr>
                <w:sz w:val="16"/>
                <w:szCs w:val="16"/>
                <w:color w:val="auto"/>
              </w:rPr>
            </w:pPr>
          </w:p>
        </w:tc>
        <w:tc>
          <w:tcPr>
            <w:tcW w:w="300" w:type="dxa"/>
            <w:vAlign w:val="bottom"/>
          </w:tcPr>
          <w:p>
            <w:pPr>
              <w:ind w:left="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2400" w:type="dxa"/>
            <w:vAlign w:val="bottom"/>
          </w:tcPr>
          <w:p>
            <w:pPr>
              <w:jc w:val="right"/>
              <w:ind w:right="59"/>
              <w:spacing w:after="0"/>
              <w:rPr>
                <w:sz w:val="20"/>
                <w:szCs w:val="20"/>
                <w:color w:val="auto"/>
              </w:rPr>
            </w:pPr>
            <w:r>
              <w:rPr>
                <w:rFonts w:ascii="Arial" w:cs="Arial" w:eastAsia="Arial" w:hAnsi="Arial"/>
                <w:sz w:val="16"/>
                <w:szCs w:val="16"/>
                <w:color w:val="auto"/>
              </w:rPr>
              <w:t>171.2</w:t>
            </w:r>
          </w:p>
        </w:tc>
        <w:tc>
          <w:tcPr>
            <w:tcW w:w="0" w:type="dxa"/>
            <w:vAlign w:val="bottom"/>
          </w:tcPr>
          <w:p>
            <w:pPr>
              <w:spacing w:after="0"/>
              <w:rPr>
                <w:sz w:val="1"/>
                <w:szCs w:val="1"/>
                <w:color w:val="auto"/>
              </w:rPr>
            </w:pPr>
          </w:p>
        </w:tc>
      </w:tr>
      <w:tr>
        <w:trPr>
          <w:trHeight w:val="189"/>
        </w:trPr>
        <w:tc>
          <w:tcPr>
            <w:tcW w:w="5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2027</w:t>
            </w:r>
          </w:p>
        </w:tc>
        <w:tc>
          <w:tcPr>
            <w:tcW w:w="940" w:type="dxa"/>
            <w:vAlign w:val="bottom"/>
            <w:shd w:val="clear" w:color="auto" w:fill="CFF0FC"/>
          </w:tcPr>
          <w:p>
            <w:pPr>
              <w:spacing w:after="0"/>
              <w:rPr>
                <w:sz w:val="16"/>
                <w:szCs w:val="16"/>
                <w:color w:val="auto"/>
              </w:rPr>
            </w:pPr>
          </w:p>
        </w:tc>
        <w:tc>
          <w:tcPr>
            <w:tcW w:w="300" w:type="dxa"/>
            <w:vAlign w:val="bottom"/>
            <w:shd w:val="clear" w:color="auto" w:fill="CFF0FC"/>
          </w:tcPr>
          <w:p>
            <w:pPr>
              <w:ind w:left="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24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136.5</w:t>
            </w:r>
          </w:p>
        </w:tc>
        <w:tc>
          <w:tcPr>
            <w:tcW w:w="0" w:type="dxa"/>
            <w:vAlign w:val="bottom"/>
          </w:tcPr>
          <w:p>
            <w:pPr>
              <w:spacing w:after="0"/>
              <w:rPr>
                <w:sz w:val="1"/>
                <w:szCs w:val="1"/>
                <w:color w:val="auto"/>
              </w:rPr>
            </w:pPr>
          </w:p>
        </w:tc>
      </w:tr>
      <w:tr>
        <w:trPr>
          <w:trHeight w:val="189"/>
        </w:trPr>
        <w:tc>
          <w:tcPr>
            <w:tcW w:w="5900" w:type="dxa"/>
            <w:vAlign w:val="bottom"/>
          </w:tcPr>
          <w:p>
            <w:pPr>
              <w:ind w:left="20"/>
              <w:spacing w:after="0"/>
              <w:rPr>
                <w:sz w:val="20"/>
                <w:szCs w:val="20"/>
                <w:color w:val="auto"/>
              </w:rPr>
            </w:pPr>
            <w:r>
              <w:rPr>
                <w:rFonts w:ascii="Arial" w:cs="Arial" w:eastAsia="Arial" w:hAnsi="Arial"/>
                <w:sz w:val="16"/>
                <w:szCs w:val="16"/>
                <w:color w:val="auto"/>
              </w:rPr>
              <w:t>2028</w:t>
            </w:r>
          </w:p>
        </w:tc>
        <w:tc>
          <w:tcPr>
            <w:tcW w:w="940" w:type="dxa"/>
            <w:vAlign w:val="bottom"/>
          </w:tcPr>
          <w:p>
            <w:pPr>
              <w:spacing w:after="0"/>
              <w:rPr>
                <w:sz w:val="16"/>
                <w:szCs w:val="16"/>
                <w:color w:val="auto"/>
              </w:rPr>
            </w:pPr>
          </w:p>
        </w:tc>
        <w:tc>
          <w:tcPr>
            <w:tcW w:w="300" w:type="dxa"/>
            <w:vAlign w:val="bottom"/>
          </w:tcPr>
          <w:p>
            <w:pPr>
              <w:ind w:left="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2400" w:type="dxa"/>
            <w:vAlign w:val="bottom"/>
          </w:tcPr>
          <w:p>
            <w:pPr>
              <w:jc w:val="right"/>
              <w:ind w:right="59"/>
              <w:spacing w:after="0"/>
              <w:rPr>
                <w:sz w:val="20"/>
                <w:szCs w:val="20"/>
                <w:color w:val="auto"/>
              </w:rPr>
            </w:pPr>
            <w:r>
              <w:rPr>
                <w:rFonts w:ascii="Arial" w:cs="Arial" w:eastAsia="Arial" w:hAnsi="Arial"/>
                <w:sz w:val="16"/>
                <w:szCs w:val="16"/>
                <w:color w:val="auto"/>
              </w:rPr>
              <w:t>86.6</w:t>
            </w:r>
          </w:p>
        </w:tc>
        <w:tc>
          <w:tcPr>
            <w:tcW w:w="0" w:type="dxa"/>
            <w:vAlign w:val="bottom"/>
          </w:tcPr>
          <w:p>
            <w:pPr>
              <w:spacing w:after="0"/>
              <w:rPr>
                <w:sz w:val="1"/>
                <w:szCs w:val="1"/>
                <w:color w:val="auto"/>
              </w:rPr>
            </w:pPr>
          </w:p>
        </w:tc>
      </w:tr>
      <w:tr>
        <w:trPr>
          <w:trHeight w:val="189"/>
        </w:trPr>
        <w:tc>
          <w:tcPr>
            <w:tcW w:w="5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2029</w:t>
            </w:r>
          </w:p>
        </w:tc>
        <w:tc>
          <w:tcPr>
            <w:tcW w:w="940" w:type="dxa"/>
            <w:vAlign w:val="bottom"/>
            <w:shd w:val="clear" w:color="auto" w:fill="CFF0FC"/>
          </w:tcPr>
          <w:p>
            <w:pPr>
              <w:spacing w:after="0"/>
              <w:rPr>
                <w:sz w:val="16"/>
                <w:szCs w:val="16"/>
                <w:color w:val="auto"/>
              </w:rPr>
            </w:pPr>
          </w:p>
        </w:tc>
        <w:tc>
          <w:tcPr>
            <w:tcW w:w="300" w:type="dxa"/>
            <w:vAlign w:val="bottom"/>
            <w:shd w:val="clear" w:color="auto" w:fill="CFF0FC"/>
          </w:tcPr>
          <w:p>
            <w:pPr>
              <w:ind w:left="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24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189"/>
        </w:trPr>
        <w:tc>
          <w:tcPr>
            <w:tcW w:w="590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9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109.0</w:t>
            </w:r>
          </w:p>
        </w:tc>
        <w:tc>
          <w:tcPr>
            <w:tcW w:w="0" w:type="dxa"/>
            <w:vAlign w:val="bottom"/>
          </w:tcPr>
          <w:p>
            <w:pPr>
              <w:spacing w:after="0"/>
              <w:rPr>
                <w:sz w:val="1"/>
                <w:szCs w:val="1"/>
                <w:color w:val="auto"/>
              </w:rPr>
            </w:pPr>
          </w:p>
        </w:tc>
      </w:tr>
      <w:tr>
        <w:trPr>
          <w:trHeight w:val="223"/>
        </w:trPr>
        <w:tc>
          <w:tcPr>
            <w:tcW w:w="5900" w:type="dxa"/>
            <w:vAlign w:val="bottom"/>
            <w:tcBorders>
              <w:bottom w:val="single" w:sz="8" w:color="CFF0FC"/>
            </w:tcBorders>
            <w:shd w:val="clear" w:color="auto" w:fill="CFF0FC"/>
          </w:tcPr>
          <w:p>
            <w:pPr>
              <w:ind w:left="20"/>
              <w:spacing w:after="0" w:line="169" w:lineRule="exact"/>
              <w:rPr>
                <w:sz w:val="20"/>
                <w:szCs w:val="20"/>
                <w:color w:val="auto"/>
              </w:rPr>
            </w:pPr>
            <w:r>
              <w:rPr>
                <w:rFonts w:ascii="Arial" w:cs="Arial" w:eastAsia="Arial" w:hAnsi="Arial"/>
                <w:sz w:val="16"/>
                <w:szCs w:val="16"/>
                <w:color w:val="auto"/>
              </w:rPr>
              <w:t>Total future commitments</w:t>
            </w:r>
          </w:p>
        </w:tc>
        <w:tc>
          <w:tcPr>
            <w:tcW w:w="940" w:type="dxa"/>
            <w:vAlign w:val="bottom"/>
            <w:tcBorders>
              <w:bottom w:val="single" w:sz="8" w:color="auto"/>
            </w:tcBorders>
            <w:shd w:val="clear" w:color="auto" w:fill="CFF0FC"/>
          </w:tcPr>
          <w:p>
            <w:pPr>
              <w:jc w:val="right"/>
              <w:ind w:right="739"/>
              <w:spacing w:after="0" w:line="169" w:lineRule="exact"/>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FF0FC"/>
          </w:tcPr>
          <w:p>
            <w:pPr>
              <w:ind w:left="60"/>
              <w:spacing w:after="0" w:line="169" w:lineRule="exact"/>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12.3</w:t>
            </w:r>
          </w:p>
        </w:tc>
        <w:tc>
          <w:tcPr>
            <w:tcW w:w="18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2400" w:type="dxa"/>
            <w:vAlign w:val="bottom"/>
            <w:tcBorders>
              <w:bottom w:val="single" w:sz="8" w:color="auto"/>
            </w:tcBorders>
            <w:shd w:val="clear" w:color="auto" w:fill="CFF0FC"/>
          </w:tcPr>
          <w:p>
            <w:pPr>
              <w:jc w:val="right"/>
              <w:ind w:right="59"/>
              <w:spacing w:after="0" w:line="169" w:lineRule="exact"/>
              <w:rPr>
                <w:sz w:val="20"/>
                <w:szCs w:val="20"/>
                <w:color w:val="auto"/>
              </w:rPr>
            </w:pPr>
            <w:r>
              <w:rPr>
                <w:rFonts w:ascii="Arial" w:cs="Arial" w:eastAsia="Arial" w:hAnsi="Arial"/>
                <w:sz w:val="16"/>
                <w:szCs w:val="16"/>
                <w:color w:val="auto"/>
              </w:rPr>
              <w:t>720.1</w:t>
            </w:r>
          </w:p>
        </w:tc>
        <w:tc>
          <w:tcPr>
            <w:tcW w:w="0" w:type="dxa"/>
            <w:vAlign w:val="bottom"/>
          </w:tcPr>
          <w:p>
            <w:pPr>
              <w:spacing w:after="0"/>
              <w:rPr>
                <w:sz w:val="1"/>
                <w:szCs w:val="1"/>
                <w:color w:val="auto"/>
              </w:rPr>
            </w:pPr>
          </w:p>
        </w:tc>
      </w:tr>
      <w:tr>
        <w:trPr>
          <w:trHeight w:val="122"/>
        </w:trPr>
        <w:tc>
          <w:tcPr>
            <w:tcW w:w="5900" w:type="dxa"/>
            <w:vAlign w:val="bottom"/>
          </w:tcPr>
          <w:p>
            <w:pPr>
              <w:spacing w:after="0" w:line="122" w:lineRule="exact"/>
              <w:rPr>
                <w:sz w:val="20"/>
                <w:szCs w:val="20"/>
                <w:color w:val="auto"/>
              </w:rPr>
            </w:pPr>
            <w:r>
              <w:rPr>
                <w:rFonts w:ascii="Arial" w:cs="Arial" w:eastAsia="Arial" w:hAnsi="Arial"/>
                <w:sz w:val="11"/>
                <w:szCs w:val="11"/>
                <w:color w:val="auto"/>
              </w:rPr>
              <w:t>____________________</w:t>
            </w:r>
          </w:p>
        </w:tc>
        <w:tc>
          <w:tcPr>
            <w:tcW w:w="9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ind w:left="520" w:hanging="512"/>
        <w:spacing w:after="0"/>
        <w:tabs>
          <w:tab w:leader="none" w:pos="5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This schedule does not reflect renewable energy PPA future obligations since these agreements vary based on weather conditions.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Lease Agreements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Lessee</w:t>
      </w:r>
    </w:p>
    <w:p>
      <w:pPr>
        <w:spacing w:after="0" w:line="194" w:lineRule="exact"/>
        <w:rPr>
          <w:sz w:val="20"/>
          <w:szCs w:val="20"/>
          <w:color w:val="auto"/>
        </w:rPr>
      </w:pPr>
    </w:p>
    <w:p>
      <w:pPr>
        <w:jc w:val="both"/>
        <w:ind w:right="400"/>
        <w:spacing w:after="0" w:line="266" w:lineRule="auto"/>
        <w:rPr>
          <w:sz w:val="20"/>
          <w:szCs w:val="20"/>
          <w:color w:val="auto"/>
        </w:rPr>
      </w:pPr>
      <w:r>
        <w:rPr>
          <w:rFonts w:ascii="Arial" w:cs="Arial" w:eastAsia="Arial" w:hAnsi="Arial"/>
          <w:sz w:val="16"/>
          <w:szCs w:val="16"/>
          <w:color w:val="auto"/>
        </w:rPr>
        <w:t>We lease from third parties certain office and operation center facilities, communication tower sites, equipment, and materials storage. Our leases have remaining terms ranging from less than one year to 31 years, including options to extend that are reasonably certain to be exercised. Our operating and finance leases were not material to the Company’s Consolidated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Lessor</w:t>
      </w:r>
    </w:p>
    <w:p>
      <w:pPr>
        <w:spacing w:after="0" w:line="194" w:lineRule="exact"/>
        <w:rPr>
          <w:sz w:val="20"/>
          <w:szCs w:val="20"/>
          <w:color w:val="auto"/>
        </w:rPr>
      </w:pPr>
    </w:p>
    <w:p>
      <w:pPr>
        <w:jc w:val="both"/>
        <w:ind w:right="400"/>
        <w:spacing w:after="0" w:line="286" w:lineRule="auto"/>
        <w:rPr>
          <w:sz w:val="20"/>
          <w:szCs w:val="20"/>
          <w:color w:val="auto"/>
        </w:rPr>
      </w:pPr>
      <w:r>
        <w:rPr>
          <w:rFonts w:ascii="Arial" w:cs="Arial" w:eastAsia="Arial" w:hAnsi="Arial"/>
          <w:sz w:val="16"/>
          <w:szCs w:val="16"/>
          <w:color w:val="auto"/>
        </w:rPr>
        <w:t>We lease to third parties certain generating station ground leases, communication tower sites, and a natural gas pipeline. These leases have remaining terms ranging from less than one year to 31 years. Lease revenue was not material for the years ended December 31, 2024, 2023, and 2022.</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2024, scheduled maturities of operating lease payments to be received in future years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8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900" w:type="dxa"/>
            <w:vAlign w:val="bottom"/>
            <w:tcBorders>
              <w:bottom w:val="single" w:sz="8" w:color="auto"/>
            </w:tcBorders>
          </w:tcPr>
          <w:p>
            <w:pPr>
              <w:jc w:val="right"/>
              <w:ind w:right="1679"/>
              <w:spacing w:after="0"/>
              <w:rPr>
                <w:sz w:val="20"/>
                <w:szCs w:val="20"/>
                <w:color w:val="auto"/>
              </w:rPr>
            </w:pPr>
            <w:r>
              <w:rPr>
                <w:rFonts w:ascii="Arial" w:cs="Arial" w:eastAsia="Arial" w:hAnsi="Arial"/>
                <w:sz w:val="16"/>
                <w:szCs w:val="16"/>
                <w:b w:val="1"/>
                <w:bCs w:val="1"/>
                <w:color w:val="auto"/>
              </w:rPr>
              <w:t>Operating Leases</w:t>
            </w:r>
          </w:p>
        </w:tc>
      </w:tr>
      <w:tr>
        <w:trPr>
          <w:trHeight w:val="183"/>
        </w:trPr>
        <w:tc>
          <w:tcPr>
            <w:tcW w:w="648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900" w:type="dxa"/>
            <w:vAlign w:val="bottom"/>
            <w:tcBorders>
              <w:bottom w:val="single" w:sz="8" w:color="auto"/>
            </w:tcBorders>
          </w:tcPr>
          <w:p>
            <w:pPr>
              <w:jc w:val="right"/>
              <w:ind w:right="1959"/>
              <w:spacing w:after="0" w:line="183" w:lineRule="exact"/>
              <w:rPr>
                <w:sz w:val="20"/>
                <w:szCs w:val="20"/>
                <w:color w:val="auto"/>
              </w:rPr>
            </w:pPr>
            <w:r>
              <w:rPr>
                <w:rFonts w:ascii="Arial" w:cs="Arial" w:eastAsia="Arial" w:hAnsi="Arial"/>
                <w:sz w:val="16"/>
                <w:szCs w:val="16"/>
                <w:color w:val="auto"/>
              </w:rPr>
              <w:t>(in millions)</w:t>
            </w:r>
          </w:p>
        </w:tc>
      </w:tr>
      <w:tr>
        <w:trPr>
          <w:trHeight w:val="183"/>
        </w:trPr>
        <w:tc>
          <w:tcPr>
            <w:tcW w:w="648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2025</w:t>
            </w:r>
          </w:p>
        </w:tc>
        <w:tc>
          <w:tcPr>
            <w:tcW w:w="860" w:type="dxa"/>
            <w:vAlign w:val="bottom"/>
            <w:shd w:val="clear" w:color="auto" w:fill="CFF0FC"/>
          </w:tcPr>
          <w:p>
            <w:pPr>
              <w:jc w:val="right"/>
              <w:ind w:right="679"/>
              <w:spacing w:after="0" w:line="183" w:lineRule="exact"/>
              <w:rPr>
                <w:sz w:val="20"/>
                <w:szCs w:val="20"/>
                <w:color w:val="auto"/>
              </w:rPr>
            </w:pPr>
            <w:r>
              <w:rPr>
                <w:rFonts w:ascii="Arial" w:cs="Arial" w:eastAsia="Arial" w:hAnsi="Arial"/>
                <w:sz w:val="16"/>
                <w:szCs w:val="16"/>
                <w:color w:val="auto"/>
                <w:w w:val="89"/>
              </w:rPr>
              <w:t>$</w:t>
            </w:r>
          </w:p>
        </w:tc>
        <w:tc>
          <w:tcPr>
            <w:tcW w:w="390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2.1</w:t>
            </w:r>
          </w:p>
        </w:tc>
      </w:tr>
      <w:tr>
        <w:trPr>
          <w:trHeight w:val="189"/>
        </w:trPr>
        <w:tc>
          <w:tcPr>
            <w:tcW w:w="6480" w:type="dxa"/>
            <w:vAlign w:val="bottom"/>
          </w:tcPr>
          <w:p>
            <w:pPr>
              <w:ind w:left="20"/>
              <w:spacing w:after="0"/>
              <w:rPr>
                <w:sz w:val="20"/>
                <w:szCs w:val="20"/>
                <w:color w:val="auto"/>
              </w:rPr>
            </w:pPr>
            <w:r>
              <w:rPr>
                <w:rFonts w:ascii="Arial" w:cs="Arial" w:eastAsia="Arial" w:hAnsi="Arial"/>
                <w:sz w:val="16"/>
                <w:szCs w:val="16"/>
                <w:color w:val="auto"/>
              </w:rPr>
              <w:t>2026</w:t>
            </w:r>
          </w:p>
        </w:tc>
        <w:tc>
          <w:tcPr>
            <w:tcW w:w="860" w:type="dxa"/>
            <w:vAlign w:val="bottom"/>
          </w:tcPr>
          <w:p>
            <w:pPr>
              <w:spacing w:after="0"/>
              <w:rPr>
                <w:sz w:val="16"/>
                <w:szCs w:val="16"/>
                <w:color w:val="auto"/>
              </w:rPr>
            </w:pPr>
          </w:p>
        </w:tc>
        <w:tc>
          <w:tcPr>
            <w:tcW w:w="3900" w:type="dxa"/>
            <w:vAlign w:val="bottom"/>
          </w:tcPr>
          <w:p>
            <w:pPr>
              <w:jc w:val="right"/>
              <w:ind w:right="59"/>
              <w:spacing w:after="0"/>
              <w:rPr>
                <w:sz w:val="20"/>
                <w:szCs w:val="20"/>
                <w:color w:val="auto"/>
              </w:rPr>
            </w:pPr>
            <w:r>
              <w:rPr>
                <w:rFonts w:ascii="Arial" w:cs="Arial" w:eastAsia="Arial" w:hAnsi="Arial"/>
                <w:sz w:val="16"/>
                <w:szCs w:val="16"/>
                <w:color w:val="auto"/>
              </w:rPr>
              <w:t>3.1</w:t>
            </w:r>
          </w:p>
        </w:tc>
      </w:tr>
      <w:tr>
        <w:trPr>
          <w:trHeight w:val="189"/>
        </w:trPr>
        <w:tc>
          <w:tcPr>
            <w:tcW w:w="6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2027</w:t>
            </w:r>
          </w:p>
        </w:tc>
        <w:tc>
          <w:tcPr>
            <w:tcW w:w="860" w:type="dxa"/>
            <w:vAlign w:val="bottom"/>
            <w:shd w:val="clear" w:color="auto" w:fill="CFF0FC"/>
          </w:tcPr>
          <w:p>
            <w:pPr>
              <w:spacing w:after="0"/>
              <w:rPr>
                <w:sz w:val="16"/>
                <w:szCs w:val="16"/>
                <w:color w:val="auto"/>
              </w:rPr>
            </w:pPr>
          </w:p>
        </w:tc>
        <w:tc>
          <w:tcPr>
            <w:tcW w:w="39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1.8</w:t>
            </w:r>
          </w:p>
        </w:tc>
      </w:tr>
      <w:tr>
        <w:trPr>
          <w:trHeight w:val="189"/>
        </w:trPr>
        <w:tc>
          <w:tcPr>
            <w:tcW w:w="6480" w:type="dxa"/>
            <w:vAlign w:val="bottom"/>
          </w:tcPr>
          <w:p>
            <w:pPr>
              <w:ind w:left="20"/>
              <w:spacing w:after="0"/>
              <w:rPr>
                <w:sz w:val="20"/>
                <w:szCs w:val="20"/>
                <w:color w:val="auto"/>
              </w:rPr>
            </w:pPr>
            <w:r>
              <w:rPr>
                <w:rFonts w:ascii="Arial" w:cs="Arial" w:eastAsia="Arial" w:hAnsi="Arial"/>
                <w:sz w:val="16"/>
                <w:szCs w:val="16"/>
                <w:color w:val="auto"/>
              </w:rPr>
              <w:t>2028</w:t>
            </w:r>
          </w:p>
        </w:tc>
        <w:tc>
          <w:tcPr>
            <w:tcW w:w="860" w:type="dxa"/>
            <w:vAlign w:val="bottom"/>
          </w:tcPr>
          <w:p>
            <w:pPr>
              <w:spacing w:after="0"/>
              <w:rPr>
                <w:sz w:val="16"/>
                <w:szCs w:val="16"/>
                <w:color w:val="auto"/>
              </w:rPr>
            </w:pPr>
          </w:p>
        </w:tc>
        <w:tc>
          <w:tcPr>
            <w:tcW w:w="3900" w:type="dxa"/>
            <w:vAlign w:val="bottom"/>
          </w:tcPr>
          <w:p>
            <w:pPr>
              <w:jc w:val="right"/>
              <w:ind w:right="59"/>
              <w:spacing w:after="0"/>
              <w:rPr>
                <w:sz w:val="20"/>
                <w:szCs w:val="20"/>
                <w:color w:val="auto"/>
              </w:rPr>
            </w:pPr>
            <w:r>
              <w:rPr>
                <w:rFonts w:ascii="Arial" w:cs="Arial" w:eastAsia="Arial" w:hAnsi="Arial"/>
                <w:sz w:val="16"/>
                <w:szCs w:val="16"/>
                <w:color w:val="auto"/>
              </w:rPr>
              <w:t>1.8</w:t>
            </w:r>
          </w:p>
        </w:tc>
      </w:tr>
      <w:tr>
        <w:trPr>
          <w:trHeight w:val="189"/>
        </w:trPr>
        <w:tc>
          <w:tcPr>
            <w:tcW w:w="6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2029</w:t>
            </w:r>
          </w:p>
        </w:tc>
        <w:tc>
          <w:tcPr>
            <w:tcW w:w="860" w:type="dxa"/>
            <w:vAlign w:val="bottom"/>
            <w:shd w:val="clear" w:color="auto" w:fill="CFF0FC"/>
          </w:tcPr>
          <w:p>
            <w:pPr>
              <w:spacing w:after="0"/>
              <w:rPr>
                <w:sz w:val="16"/>
                <w:szCs w:val="16"/>
                <w:color w:val="auto"/>
              </w:rPr>
            </w:pPr>
          </w:p>
        </w:tc>
        <w:tc>
          <w:tcPr>
            <w:tcW w:w="39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1.8</w:t>
            </w:r>
          </w:p>
        </w:tc>
      </w:tr>
      <w:tr>
        <w:trPr>
          <w:trHeight w:val="189"/>
        </w:trPr>
        <w:tc>
          <w:tcPr>
            <w:tcW w:w="648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860" w:type="dxa"/>
            <w:vAlign w:val="bottom"/>
            <w:tcBorders>
              <w:bottom w:val="single" w:sz="8" w:color="auto"/>
            </w:tcBorders>
          </w:tcPr>
          <w:p>
            <w:pPr>
              <w:spacing w:after="0"/>
              <w:rPr>
                <w:sz w:val="16"/>
                <w:szCs w:val="16"/>
                <w:color w:val="auto"/>
              </w:rPr>
            </w:pPr>
          </w:p>
        </w:tc>
        <w:tc>
          <w:tcPr>
            <w:tcW w:w="3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48.4</w:t>
            </w:r>
          </w:p>
        </w:tc>
      </w:tr>
      <w:tr>
        <w:trPr>
          <w:trHeight w:val="223"/>
        </w:trPr>
        <w:tc>
          <w:tcPr>
            <w:tcW w:w="648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Total lease receivables</w:t>
            </w:r>
          </w:p>
        </w:tc>
        <w:tc>
          <w:tcPr>
            <w:tcW w:w="860" w:type="dxa"/>
            <w:vAlign w:val="bottom"/>
            <w:tcBorders>
              <w:bottom w:val="single" w:sz="8" w:color="auto"/>
            </w:tcBorders>
            <w:shd w:val="clear" w:color="auto" w:fill="CFF0FC"/>
          </w:tcPr>
          <w:p>
            <w:pPr>
              <w:jc w:val="right"/>
              <w:ind w:right="679"/>
              <w:spacing w:after="0" w:line="183" w:lineRule="exact"/>
              <w:rPr>
                <w:sz w:val="20"/>
                <w:szCs w:val="20"/>
                <w:color w:val="auto"/>
              </w:rPr>
            </w:pPr>
            <w:r>
              <w:rPr>
                <w:rFonts w:ascii="Arial" w:cs="Arial" w:eastAsia="Arial" w:hAnsi="Arial"/>
                <w:sz w:val="16"/>
                <w:szCs w:val="16"/>
                <w:color w:val="auto"/>
                <w:w w:val="89"/>
              </w:rPr>
              <w:t>$</w:t>
            </w:r>
          </w:p>
        </w:tc>
        <w:tc>
          <w:tcPr>
            <w:tcW w:w="390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59.0</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Environmental Matters</w:t>
      </w:r>
    </w:p>
    <w:p>
      <w:pPr>
        <w:spacing w:after="0" w:line="194"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We are subject to costs resulting from a number of federal, state, and local laws and regulations which affect future planning and existing operations. Laws and regulations can result in increased capital expenditures, operating, and other costs as a result of compliance, remediation, and monitoring obligations. Due to the environmental issues discussed below, we may be required to modify, curtail, replace, or cease operating certain facilities or operations to comply with statutes, regulations, and other requirements of regulatory bodies.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Reclamation Liabilities</w:t>
      </w:r>
    </w:p>
    <w:p>
      <w:pPr>
        <w:spacing w:after="0" w:line="192"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For our Pueblo Airport Generation site, we posted a bond with the State of Colorado to cover the costs of remediation for a waste water containment pond permitted to provide wastewater storage and processing for this zero-discharge facility. The reclamation liability is recorded at the present value of the estimated future cost to reclaim the land.</w:t>
      </w:r>
    </w:p>
    <w:p>
      <w:pPr>
        <w:spacing w:after="0" w:line="144"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Under our land leases for our wind generation facilities, we are required to reclaim land where we have placed wind turbines. The reclamation liabilities are recorded at the present value of the estimated future cost to reclaim the land.</w:t>
      </w:r>
    </w:p>
    <w:p>
      <w:pPr>
        <w:spacing w:after="0" w:line="129"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Under its mining permit, WRDC is required to reclaim all land where it has mined reserves. The reclamation liability is recorded at the present value of the estimated future cost to reclaim the land.</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7</w:t>
      </w:r>
      <w:r>
        <w:rPr>
          <w:rFonts w:ascii="Arial" w:cs="Arial" w:eastAsia="Arial" w:hAnsi="Arial"/>
          <w:sz w:val="16"/>
          <w:szCs w:val="16"/>
          <w:color w:val="auto"/>
        </w:rPr>
        <w:t xml:space="preserve">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-4445</wp:posOffset>
            </wp:positionV>
            <wp:extent cx="30289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02895"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Manufactured Gas Plants</w:t>
      </w:r>
    </w:p>
    <w:p>
      <w:pPr>
        <w:spacing w:after="0" w:line="192"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In 2008, we acquired whole and partial liabilities for former manufactured gas plant sites in Nebraska and Iowa, which were previously used to convert coal to natural gas. The acquisition provided for an insurance recovery, now valued at $1.5 million recorded in Other assets, non-current on our Consolidated Balance Sheets, which will be used to help offset remediation costs.</w:t>
      </w:r>
    </w:p>
    <w:p>
      <w:pPr>
        <w:spacing w:after="0" w:line="144"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 xml:space="preserve">In 2024, we increased our Iowa manufactured gas plant site remediation cost estimate by $7.4 million based on recent site investigations and remediation work completed, which resulted in a corresponding increase in our Accrued liabilities and Regulatory assets. As of December 31, 2024, we had an Accrued liability of $9.7 million and a Regulatory asset of $10.7 million on our Consolidated Balance Sheets for the remediation of the manufactured gas plant site in Iowa. See </w:t>
      </w:r>
      <w:r>
        <w:rPr>
          <w:rFonts w:ascii="Arial" w:cs="Arial" w:eastAsia="Arial" w:hAnsi="Arial"/>
          <w:sz w:val="16"/>
          <w:szCs w:val="16"/>
          <w:u w:val="single" w:color="auto"/>
          <w:color w:val="0000FF"/>
        </w:rPr>
        <w:t>Note 2</w:t>
      </w:r>
      <w:r>
        <w:rPr>
          <w:rFonts w:ascii="Arial" w:cs="Arial" w:eastAsia="Arial" w:hAnsi="Arial"/>
          <w:sz w:val="16"/>
          <w:szCs w:val="16"/>
          <w:color w:val="auto"/>
        </w:rPr>
        <w:t xml:space="preserve">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-31750</wp:posOffset>
            </wp:positionV>
            <wp:extent cx="30289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31" w:lineRule="exact"/>
        <w:rPr>
          <w:sz w:val="20"/>
          <w:szCs w:val="20"/>
          <w:color w:val="auto"/>
        </w:rPr>
      </w:pPr>
    </w:p>
    <w:p>
      <w:pPr>
        <w:ind w:right="640"/>
        <w:spacing w:after="0" w:line="286" w:lineRule="auto"/>
        <w:rPr>
          <w:sz w:val="20"/>
          <w:szCs w:val="20"/>
          <w:color w:val="auto"/>
        </w:rPr>
      </w:pPr>
      <w:r>
        <w:rPr>
          <w:rFonts w:ascii="Arial" w:cs="Arial" w:eastAsia="Arial" w:hAnsi="Arial"/>
          <w:sz w:val="16"/>
          <w:szCs w:val="16"/>
          <w:color w:val="auto"/>
        </w:rPr>
        <w:t>As of December 31, 2024, we had $0.6 million accrued for remediation of the manufactured gas plant sites in Nebraska, which are included in Other deferred credits and other liabilities on our Consolidated Balance Sheets.</w:t>
      </w:r>
    </w:p>
    <w:p>
      <w:pPr>
        <w:spacing w:after="0" w:line="129"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remediation cost estimates could change materially due to results of further investigations, actions of environmental agencies, or the financial viability of other responsible parties.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Contingencies and Legal Proceedings</w:t>
      </w:r>
    </w:p>
    <w:p>
      <w:pPr>
        <w:spacing w:after="0" w:line="194"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In the normal course of business, we are subject to various lawsuits, actions, proceedings, claims, and other matters asserted under laws and regulations. We believe the amounts provided in the consolidated financial statements to satisfy alleged liabilities are adequate in light of the probable and estimable contingencies. However, there can be no assurance that the actual amounts required to satisfy alleged liabilities from various legal proceedings, claims, and other matters discussed, and to comply with applicable laws and regulations will not exceed the amounts reflected in the consolidated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We record gain contingencies when realized and expected recoveries under applicable insurance contracts when we are assured of recovery.</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GT Resources, LLC v. Black Hills Corporation, Case No. 2020CV30751 (U.S. District Court for the City and County of Denver, Colorado)</w:t>
      </w:r>
    </w:p>
    <w:p>
      <w:pPr>
        <w:spacing w:after="0" w:line="192"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On April 13, 2022, a jury awarded $41 million for claims made by GT Resources, LLC (“GTR”) against BHC and two of its subsidiaries (Black Hills Exploration and Production, Inc. and Black Hills Gas Resources, Inc.), which ceased oil and natural gas operations in 2018 as part of BHC’s decision to exit the exploration and production business. The claims involved a dispute over a 2.3 million-acre concession award in Costa Rica which was acquired by a BHC subsidiary in 2003. GTR retained rights to receive a royalty interest on any hydrocarbon production from the concession upon the occurrence of contingent events. GTR contended that BHC and its subsidiaries failed to adequately pursue the opportunity and failed to transfer the concession to GTR. We appealed this verdict to the Colorado Court of Appeals. On October 19, 2023, the Appellate Court reversed and remanded the case with directions limiting any retrial to the narrow issue of whether there was improper interference with the prospective conveyance of the concession. We continue to believe this lawsuit has no merit and will vigorously defend it. At this time, we do not believe any losses from this matter will have a material impact on our financial position, results of operations and cash flows.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Indemnification</w:t>
      </w:r>
    </w:p>
    <w:p>
      <w:pPr>
        <w:spacing w:after="0" w:line="194"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In the normal course of business, we enter into agreements that include indemnification in favor of third parties, such as information technology agreements, purchase and sale agreements, and lease contracts. We have also agreed to indemnify our directors, officers, and employees in accordance with our articles of incorporation, as amended. Certain agreements do not contain any limits on our liability and therefore, it is not possible to estimate our potential liability under these indemnifications. In certain cases, we have recourse against third parties with respect to these indemnities. Further, we maintain insurance policies that may provide coverage against certain claims under these indemnities.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Transfers of Renewable Tax Credits</w:t>
      </w:r>
    </w:p>
    <w:p>
      <w:pPr>
        <w:spacing w:after="0" w:line="192"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 xml:space="preserve">In June 2024, we entered into an agreement with a third party to sell our 2023 generated PTCs. In January 2025, we entered into a similar agreement with the same third party to sell our 2024 generated PTCs. In each of these agreements, we provided indemnifications associated with the proceeds for PTCs transferred to the third party in the event of an adverse interpretation of tax law, including whether the related tax credits meet the qualification requirements. Additionally, in our agreement for the sale of our 2024 generated PTCs, we provided indemnifications in the event of a change in tax law. We believe the likelihood of having to make any material cash payments under these indemnifications is remote. See </w:t>
      </w:r>
      <w:r>
        <w:rPr>
          <w:rFonts w:ascii="Arial" w:cs="Arial" w:eastAsia="Arial" w:hAnsi="Arial"/>
          <w:sz w:val="16"/>
          <w:szCs w:val="16"/>
          <w:u w:val="single" w:color="auto"/>
          <w:color w:val="0000FF"/>
        </w:rPr>
        <w:t>Note 15</w:t>
      </w:r>
      <w:r>
        <w:rPr>
          <w:rFonts w:ascii="Arial" w:cs="Arial" w:eastAsia="Arial" w:hAnsi="Arial"/>
          <w:sz w:val="16"/>
          <w:szCs w:val="16"/>
          <w:color w:val="auto"/>
        </w:rPr>
        <w:t xml:space="preserve">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-30480</wp:posOffset>
            </wp:positionV>
            <wp:extent cx="36004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Guarantees</w:t>
      </w:r>
    </w:p>
    <w:p>
      <w:pPr>
        <w:spacing w:after="0" w:line="194" w:lineRule="exact"/>
        <w:rPr>
          <w:sz w:val="20"/>
          <w:szCs w:val="20"/>
          <w:color w:val="auto"/>
        </w:rPr>
      </w:pPr>
    </w:p>
    <w:p>
      <w:pPr>
        <w:ind w:right="220"/>
        <w:spacing w:after="0" w:line="256" w:lineRule="auto"/>
        <w:rPr>
          <w:sz w:val="20"/>
          <w:szCs w:val="20"/>
          <w:color w:val="auto"/>
        </w:rPr>
      </w:pPr>
      <w:r>
        <w:rPr>
          <w:rFonts w:ascii="Arial" w:cs="Arial" w:eastAsia="Arial" w:hAnsi="Arial"/>
          <w:sz w:val="16"/>
          <w:szCs w:val="16"/>
          <w:color w:val="auto"/>
        </w:rPr>
        <w:t>We have entered into various parent company-level guarantees providing financial or performance assurance to third parties on behalf of certain of our subsidiaries. These guarantees do not represent incremental consolidated obligations, but rather, represent guarantees of subsidiary obligations to allow those subsidiaries to conduct business without posting other forms of assurance. The agreements, which are off-balance sheet commitments, include support for business operations, indemnification for reclamation and surety bonds. The guarantees were entered into in the normal course of business. To the extent liabilities are incurred as a result of activities covered by these guarantees, such liabilities are included in our Consolidated Balance Sheets.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60" w:type="dxa"/>
            <w:vAlign w:val="bottom"/>
          </w:tcPr>
          <w:p>
            <w:pPr>
              <w:spacing w:after="0"/>
              <w:rPr>
                <w:sz w:val="20"/>
                <w:szCs w:val="20"/>
                <w:color w:val="auto"/>
              </w:rPr>
            </w:pPr>
            <w:r>
              <w:rPr>
                <w:rFonts w:ascii="Arial" w:cs="Arial" w:eastAsia="Arial" w:hAnsi="Arial"/>
                <w:sz w:val="16"/>
                <w:szCs w:val="16"/>
                <w:color w:val="auto"/>
              </w:rPr>
              <w:t>We had the following guarantees in place as of:</w:t>
            </w:r>
          </w:p>
        </w:tc>
        <w:tc>
          <w:tcPr>
            <w:tcW w:w="56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352"/>
        </w:trPr>
        <w:tc>
          <w:tcPr>
            <w:tcW w:w="7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20" w:type="dxa"/>
            <w:vAlign w:val="bottom"/>
          </w:tcPr>
          <w:p>
            <w:pPr>
              <w:jc w:val="center"/>
              <w:ind w:right="599"/>
              <w:spacing w:after="0"/>
              <w:rPr>
                <w:sz w:val="20"/>
                <w:szCs w:val="20"/>
                <w:color w:val="auto"/>
              </w:rPr>
            </w:pPr>
            <w:r>
              <w:rPr>
                <w:rFonts w:ascii="Arial" w:cs="Arial" w:eastAsia="Arial" w:hAnsi="Arial"/>
                <w:sz w:val="16"/>
                <w:szCs w:val="16"/>
                <w:b w:val="1"/>
                <w:bCs w:val="1"/>
                <w:color w:val="auto"/>
              </w:rPr>
              <w:t>Maximum Exposure at</w:t>
            </w:r>
          </w:p>
        </w:tc>
      </w:tr>
      <w:tr>
        <w:trPr>
          <w:trHeight w:val="203"/>
        </w:trPr>
        <w:tc>
          <w:tcPr>
            <w:tcW w:w="73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Nature of Guarantee</w:t>
            </w:r>
          </w:p>
        </w:tc>
        <w:tc>
          <w:tcPr>
            <w:tcW w:w="56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tcPr>
          <w:p>
            <w:pPr>
              <w:jc w:val="center"/>
              <w:ind w:right="579"/>
              <w:spacing w:after="0"/>
              <w:rPr>
                <w:sz w:val="20"/>
                <w:szCs w:val="20"/>
                <w:color w:val="auto"/>
              </w:rPr>
            </w:pPr>
            <w:r>
              <w:rPr>
                <w:rFonts w:ascii="Arial" w:cs="Arial" w:eastAsia="Arial" w:hAnsi="Arial"/>
                <w:sz w:val="16"/>
                <w:szCs w:val="16"/>
                <w:b w:val="1"/>
                <w:bCs w:val="1"/>
                <w:color w:val="auto"/>
              </w:rPr>
              <w:t>December 31, 2024</w:t>
            </w:r>
          </w:p>
        </w:tc>
      </w:tr>
      <w:tr>
        <w:trPr>
          <w:trHeight w:val="183"/>
        </w:trPr>
        <w:tc>
          <w:tcPr>
            <w:tcW w:w="736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3320" w:type="dxa"/>
            <w:vAlign w:val="bottom"/>
            <w:tcBorders>
              <w:bottom w:val="single" w:sz="8" w:color="auto"/>
            </w:tcBorders>
          </w:tcPr>
          <w:p>
            <w:pPr>
              <w:jc w:val="center"/>
              <w:ind w:right="579"/>
              <w:spacing w:after="0" w:line="183" w:lineRule="exact"/>
              <w:rPr>
                <w:sz w:val="20"/>
                <w:szCs w:val="20"/>
                <w:color w:val="auto"/>
              </w:rPr>
            </w:pPr>
            <w:r>
              <w:rPr>
                <w:rFonts w:ascii="Arial" w:cs="Arial" w:eastAsia="Arial" w:hAnsi="Arial"/>
                <w:sz w:val="16"/>
                <w:szCs w:val="16"/>
                <w:color w:val="auto"/>
              </w:rPr>
              <w:t>(in millions)</w:t>
            </w:r>
          </w:p>
        </w:tc>
      </w:tr>
      <w:tr>
        <w:trPr>
          <w:trHeight w:val="183"/>
        </w:trPr>
        <w:tc>
          <w:tcPr>
            <w:tcW w:w="73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Indemnification for reclamation/surety bonds</w:t>
            </w:r>
          </w:p>
        </w:tc>
        <w:tc>
          <w:tcPr>
            <w:tcW w:w="560" w:type="dxa"/>
            <w:vAlign w:val="bottom"/>
            <w:shd w:val="clear" w:color="auto" w:fill="CFF0FC"/>
          </w:tcPr>
          <w:p>
            <w:pPr>
              <w:jc w:val="right"/>
              <w:ind w:right="379"/>
              <w:spacing w:after="0" w:line="183" w:lineRule="exact"/>
              <w:rPr>
                <w:sz w:val="20"/>
                <w:szCs w:val="20"/>
                <w:color w:val="auto"/>
              </w:rPr>
            </w:pPr>
            <w:r>
              <w:rPr>
                <w:rFonts w:ascii="Arial" w:cs="Arial" w:eastAsia="Arial" w:hAnsi="Arial"/>
                <w:sz w:val="16"/>
                <w:szCs w:val="16"/>
                <w:color w:val="auto"/>
                <w:w w:val="89"/>
              </w:rPr>
              <w:t>$</w:t>
            </w:r>
          </w:p>
        </w:tc>
        <w:tc>
          <w:tcPr>
            <w:tcW w:w="332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75.6</w:t>
            </w:r>
          </w:p>
        </w:tc>
      </w:tr>
      <w:tr>
        <w:trPr>
          <w:trHeight w:val="189"/>
        </w:trPr>
        <w:tc>
          <w:tcPr>
            <w:tcW w:w="7360" w:type="dxa"/>
            <w:vAlign w:val="bottom"/>
          </w:tcPr>
          <w:p>
            <w:pPr>
              <w:ind w:left="20"/>
              <w:spacing w:after="0"/>
              <w:rPr>
                <w:sz w:val="20"/>
                <w:szCs w:val="20"/>
                <w:color w:val="auto"/>
              </w:rPr>
            </w:pPr>
            <w:r>
              <w:rPr>
                <w:rFonts w:ascii="Arial" w:cs="Arial" w:eastAsia="Arial" w:hAnsi="Arial"/>
                <w:sz w:val="16"/>
                <w:szCs w:val="16"/>
                <w:color w:val="auto"/>
              </w:rPr>
              <w:t>Guarantees supporting business transactions</w:t>
            </w:r>
          </w:p>
        </w:tc>
        <w:tc>
          <w:tcPr>
            <w:tcW w:w="56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499.8</w:t>
            </w:r>
          </w:p>
        </w:tc>
      </w:tr>
      <w:tr>
        <w:trPr>
          <w:trHeight w:val="223"/>
        </w:trPr>
        <w:tc>
          <w:tcPr>
            <w:tcW w:w="7360" w:type="dxa"/>
            <w:vAlign w:val="bottom"/>
            <w:tcBorders>
              <w:bottom w:val="single" w:sz="8" w:color="CFF0FC"/>
            </w:tcBorders>
            <w:shd w:val="clear" w:color="auto" w:fill="CFF0FC"/>
          </w:tcPr>
          <w:p>
            <w:pPr>
              <w:ind w:left="20"/>
              <w:spacing w:after="0" w:line="169" w:lineRule="exact"/>
              <w:rPr>
                <w:sz w:val="20"/>
                <w:szCs w:val="20"/>
                <w:color w:val="auto"/>
              </w:rPr>
            </w:pPr>
            <w:r>
              <w:rPr>
                <w:rFonts w:ascii="Arial" w:cs="Arial" w:eastAsia="Arial" w:hAnsi="Arial"/>
                <w:sz w:val="16"/>
                <w:szCs w:val="16"/>
                <w:color w:val="auto"/>
              </w:rPr>
              <w:t>Total guarantees</w:t>
            </w:r>
          </w:p>
        </w:tc>
        <w:tc>
          <w:tcPr>
            <w:tcW w:w="560" w:type="dxa"/>
            <w:vAlign w:val="bottom"/>
            <w:tcBorders>
              <w:bottom w:val="single" w:sz="8" w:color="auto"/>
            </w:tcBorders>
            <w:shd w:val="clear" w:color="auto" w:fill="CFF0FC"/>
          </w:tcPr>
          <w:p>
            <w:pPr>
              <w:jc w:val="right"/>
              <w:ind w:right="379"/>
              <w:spacing w:after="0" w:line="169" w:lineRule="exact"/>
              <w:rPr>
                <w:sz w:val="20"/>
                <w:szCs w:val="20"/>
                <w:color w:val="auto"/>
              </w:rPr>
            </w:pPr>
            <w:r>
              <w:rPr>
                <w:rFonts w:ascii="Arial" w:cs="Arial" w:eastAsia="Arial" w:hAnsi="Arial"/>
                <w:sz w:val="16"/>
                <w:szCs w:val="16"/>
                <w:color w:val="auto"/>
                <w:w w:val="89"/>
              </w:rPr>
              <w:t>$</w:t>
            </w:r>
          </w:p>
        </w:tc>
        <w:tc>
          <w:tcPr>
            <w:tcW w:w="3320" w:type="dxa"/>
            <w:vAlign w:val="bottom"/>
            <w:tcBorders>
              <w:bottom w:val="single" w:sz="8" w:color="auto"/>
            </w:tcBorders>
            <w:shd w:val="clear" w:color="auto" w:fill="CFF0FC"/>
          </w:tcPr>
          <w:p>
            <w:pPr>
              <w:jc w:val="right"/>
              <w:ind w:right="59"/>
              <w:spacing w:after="0" w:line="169" w:lineRule="exact"/>
              <w:rPr>
                <w:sz w:val="20"/>
                <w:szCs w:val="20"/>
                <w:color w:val="auto"/>
              </w:rPr>
            </w:pPr>
            <w:r>
              <w:rPr>
                <w:rFonts w:ascii="Arial" w:cs="Arial" w:eastAsia="Arial" w:hAnsi="Arial"/>
                <w:sz w:val="16"/>
                <w:szCs w:val="16"/>
                <w:color w:val="auto"/>
              </w:rPr>
              <w:t>575.4</w:t>
            </w:r>
          </w:p>
        </w:tc>
      </w:tr>
    </w:tbl>
    <w:p>
      <w:pPr>
        <w:spacing w:after="0" w:line="3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REVENUE</w:t>
      </w:r>
    </w:p>
    <w:p>
      <w:pPr>
        <w:spacing w:after="0" w:line="194" w:lineRule="exact"/>
        <w:rPr>
          <w:sz w:val="20"/>
          <w:szCs w:val="20"/>
          <w:color w:val="auto"/>
        </w:rPr>
      </w:pPr>
    </w:p>
    <w:p>
      <w:pPr>
        <w:jc w:val="both"/>
        <w:ind w:right="260"/>
        <w:spacing w:after="0" w:line="266" w:lineRule="auto"/>
        <w:rPr>
          <w:sz w:val="20"/>
          <w:szCs w:val="20"/>
          <w:color w:val="auto"/>
        </w:rPr>
      </w:pPr>
      <w:r>
        <w:rPr>
          <w:rFonts w:ascii="Arial" w:cs="Arial" w:eastAsia="Arial" w:hAnsi="Arial"/>
          <w:sz w:val="16"/>
          <w:szCs w:val="16"/>
          <w:color w:val="auto"/>
        </w:rPr>
        <w:t>The following tables depict the disaggregation of revenue, including intercompany revenue, from contracts with customers by customer type and timing of revenue recognition for each of the reportable segments, for the years ended December 31, 2024, 2023, and 2022. Sales tax and other similar taxes are excluded from revenues.</w:t>
      </w:r>
    </w:p>
    <w:p>
      <w:pPr>
        <w:spacing w:after="0" w:line="144"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jc w:val="right"/>
              <w:ind w:right="299"/>
              <w:spacing w:after="0"/>
              <w:rPr>
                <w:sz w:val="20"/>
                <w:szCs w:val="20"/>
                <w:color w:val="auto"/>
              </w:rPr>
            </w:pPr>
            <w:r>
              <w:rPr>
                <w:rFonts w:ascii="Arial" w:cs="Arial" w:eastAsia="Arial" w:hAnsi="Arial"/>
                <w:sz w:val="16"/>
                <w:szCs w:val="16"/>
                <w:b w:val="1"/>
                <w:bCs w:val="1"/>
                <w:color w:val="auto"/>
              </w:rPr>
              <w:t>Inter-segment</w:t>
            </w:r>
          </w:p>
        </w:tc>
        <w:tc>
          <w:tcPr>
            <w:tcW w:w="3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3"/>
        </w:trPr>
        <w:tc>
          <w:tcPr>
            <w:tcW w:w="448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Year ended December 31, 2024</w:t>
            </w: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Electric Utilities</w:t>
            </w: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Gas Utilities</w:t>
            </w: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Eliminations</w:t>
            </w:r>
          </w:p>
        </w:tc>
        <w:tc>
          <w:tcPr>
            <w:tcW w:w="3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Total</w:t>
            </w:r>
          </w:p>
        </w:tc>
      </w:tr>
      <w:tr>
        <w:trPr>
          <w:trHeight w:val="196"/>
        </w:trPr>
        <w:tc>
          <w:tcPr>
            <w:tcW w:w="4480" w:type="dxa"/>
            <w:vAlign w:val="bottom"/>
            <w:tcBorders>
              <w:left w:val="single" w:sz="8" w:color="CFF0FC"/>
            </w:tcBorders>
            <w:gridSpan w:val="3"/>
            <w:shd w:val="clear" w:color="auto" w:fill="CFF0FC"/>
          </w:tcPr>
          <w:p>
            <w:pPr>
              <w:ind w:left="20"/>
              <w:spacing w:after="0" w:line="155" w:lineRule="exact"/>
              <w:rPr>
                <w:sz w:val="20"/>
                <w:szCs w:val="20"/>
                <w:color w:val="auto"/>
              </w:rPr>
            </w:pPr>
            <w:r>
              <w:rPr>
                <w:rFonts w:ascii="Arial" w:cs="Arial" w:eastAsia="Arial" w:hAnsi="Arial"/>
                <w:sz w:val="16"/>
                <w:szCs w:val="16"/>
                <w:color w:val="auto"/>
              </w:rPr>
              <w:t>Customer types:</w:t>
            </w:r>
          </w:p>
        </w:tc>
        <w:tc>
          <w:tcPr>
            <w:tcW w:w="14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140" w:type="dxa"/>
            <w:vAlign w:val="bottom"/>
            <w:gridSpan w:val="3"/>
            <w:shd w:val="clear" w:color="auto" w:fill="CFF0FC"/>
          </w:tcPr>
          <w:p>
            <w:pPr>
              <w:jc w:val="right"/>
              <w:ind w:right="1239"/>
              <w:spacing w:after="0" w:line="155" w:lineRule="exact"/>
              <w:rPr>
                <w:sz w:val="20"/>
                <w:szCs w:val="20"/>
                <w:color w:val="auto"/>
              </w:rPr>
            </w:pPr>
            <w:r>
              <w:rPr>
                <w:rFonts w:ascii="Arial" w:cs="Arial" w:eastAsia="Arial" w:hAnsi="Arial"/>
                <w:sz w:val="16"/>
                <w:szCs w:val="16"/>
                <w:color w:val="auto"/>
              </w:rPr>
              <w:t>(in millions)</w:t>
            </w:r>
          </w:p>
        </w:tc>
        <w:tc>
          <w:tcPr>
            <w:tcW w:w="3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r>
      <w:tr>
        <w:trPr>
          <w:trHeight w:val="169"/>
        </w:trPr>
        <w:tc>
          <w:tcPr>
            <w:tcW w:w="1200" w:type="dxa"/>
            <w:vAlign w:val="bottom"/>
            <w:tcBorders>
              <w:top w:val="single" w:sz="8" w:color="auto"/>
            </w:tcBorders>
          </w:tcPr>
          <w:p>
            <w:pPr>
              <w:ind w:left="120"/>
              <w:spacing w:after="0" w:line="170" w:lineRule="exact"/>
              <w:rPr>
                <w:sz w:val="20"/>
                <w:szCs w:val="20"/>
                <w:color w:val="auto"/>
              </w:rPr>
            </w:pPr>
            <w:r>
              <w:rPr>
                <w:rFonts w:ascii="Arial" w:cs="Arial" w:eastAsia="Arial" w:hAnsi="Arial"/>
                <w:sz w:val="16"/>
                <w:szCs w:val="16"/>
                <w:color w:val="auto"/>
              </w:rPr>
              <w:t>Retail</w:t>
            </w:r>
          </w:p>
        </w:tc>
        <w:tc>
          <w:tcPr>
            <w:tcW w:w="3280" w:type="dxa"/>
            <w:vAlign w:val="bottom"/>
            <w:tcBorders>
              <w:top w:val="single" w:sz="8" w:color="CFF0FC"/>
            </w:tcBorders>
            <w:gridSpan w:val="2"/>
          </w:tcPr>
          <w:p>
            <w:pPr>
              <w:spacing w:after="0"/>
              <w:rPr>
                <w:sz w:val="14"/>
                <w:szCs w:val="14"/>
                <w:color w:val="auto"/>
              </w:rPr>
            </w:pPr>
          </w:p>
        </w:tc>
        <w:tc>
          <w:tcPr>
            <w:tcW w:w="14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6"/>
                <w:szCs w:val="16"/>
                <w:color w:val="auto"/>
              </w:rPr>
              <w:t>698.6</w:t>
            </w:r>
          </w:p>
        </w:tc>
        <w:tc>
          <w:tcPr>
            <w:tcW w:w="280" w:type="dxa"/>
            <w:vAlign w:val="bottom"/>
            <w:tcBorders>
              <w:top w:val="single" w:sz="8" w:color="auto"/>
            </w:tcBorders>
          </w:tcPr>
          <w:p>
            <w:pPr>
              <w:jc w:val="right"/>
              <w:ind w:right="39"/>
              <w:spacing w:after="0" w:line="170" w:lineRule="exact"/>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6"/>
                <w:szCs w:val="16"/>
                <w:color w:val="auto"/>
              </w:rPr>
              <w:t>1,022.6</w:t>
            </w:r>
          </w:p>
        </w:tc>
        <w:tc>
          <w:tcPr>
            <w:tcW w:w="2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6"/>
                <w:szCs w:val="16"/>
                <w:color w:val="auto"/>
              </w:rPr>
              <w:t>$</w:t>
            </w:r>
          </w:p>
        </w:tc>
        <w:tc>
          <w:tcPr>
            <w:tcW w:w="1500" w:type="dxa"/>
            <w:vAlign w:val="bottom"/>
            <w:tcBorders>
              <w:top w:val="single" w:sz="8" w:color="auto"/>
            </w:tcBorders>
          </w:tcPr>
          <w:p>
            <w:pPr>
              <w:jc w:val="right"/>
              <w:ind w:right="39"/>
              <w:spacing w:after="0" w:line="170" w:lineRule="exact"/>
              <w:rPr>
                <w:sz w:val="20"/>
                <w:szCs w:val="20"/>
                <w:color w:val="auto"/>
              </w:rPr>
            </w:pPr>
            <w:r>
              <w:rPr>
                <w:rFonts w:ascii="Arial" w:cs="Arial" w:eastAsia="Arial" w:hAnsi="Arial"/>
                <w:sz w:val="16"/>
                <w:szCs w:val="16"/>
                <w:color w:val="auto"/>
              </w:rPr>
              <w:t>—</w:t>
            </w:r>
          </w:p>
        </w:tc>
        <w:tc>
          <w:tcPr>
            <w:tcW w:w="360" w:type="dxa"/>
            <w:vAlign w:val="bottom"/>
            <w:tcBorders>
              <w:top w:val="single" w:sz="8" w:color="auto"/>
            </w:tcBorders>
          </w:tcPr>
          <w:p>
            <w:pPr>
              <w:jc w:val="right"/>
              <w:ind w:right="159"/>
              <w:spacing w:after="0" w:line="170" w:lineRule="exact"/>
              <w:rPr>
                <w:sz w:val="20"/>
                <w:szCs w:val="20"/>
                <w:color w:val="auto"/>
              </w:rPr>
            </w:pPr>
            <w:r>
              <w:rPr>
                <w:rFonts w:ascii="Arial" w:cs="Arial" w:eastAsia="Arial" w:hAnsi="Arial"/>
                <w:sz w:val="16"/>
                <w:szCs w:val="16"/>
                <w:color w:val="auto"/>
              </w:rPr>
              <w:t>$</w:t>
            </w:r>
          </w:p>
        </w:tc>
        <w:tc>
          <w:tcPr>
            <w:tcW w:w="1360" w:type="dxa"/>
            <w:vAlign w:val="bottom"/>
            <w:tcBorders>
              <w:top w:val="single" w:sz="8" w:color="auto"/>
            </w:tcBorders>
          </w:tcPr>
          <w:p>
            <w:pPr>
              <w:jc w:val="right"/>
              <w:ind w:right="59"/>
              <w:spacing w:after="0" w:line="170" w:lineRule="exact"/>
              <w:rPr>
                <w:sz w:val="20"/>
                <w:szCs w:val="20"/>
                <w:color w:val="auto"/>
              </w:rPr>
            </w:pPr>
            <w:r>
              <w:rPr>
                <w:rFonts w:ascii="Arial" w:cs="Arial" w:eastAsia="Arial" w:hAnsi="Arial"/>
                <w:sz w:val="16"/>
                <w:szCs w:val="16"/>
                <w:color w:val="auto"/>
              </w:rPr>
              <w:t>1,721.2</w:t>
            </w:r>
          </w:p>
        </w:tc>
      </w:tr>
      <w:tr>
        <w:trPr>
          <w:trHeight w:val="189"/>
        </w:trPr>
        <w:tc>
          <w:tcPr>
            <w:tcW w:w="4480" w:type="dxa"/>
            <w:vAlign w:val="bottom"/>
            <w:tcBorders>
              <w:left w:val="single" w:sz="8" w:color="CFF0FC"/>
            </w:tcBorders>
            <w:gridSpan w:val="3"/>
            <w:shd w:val="clear" w:color="auto" w:fill="CFF0FC"/>
          </w:tcPr>
          <w:p>
            <w:pPr>
              <w:ind w:left="120"/>
              <w:spacing w:after="0"/>
              <w:rPr>
                <w:sz w:val="20"/>
                <w:szCs w:val="20"/>
                <w:color w:val="auto"/>
              </w:rPr>
            </w:pPr>
            <w:r>
              <w:rPr>
                <w:rFonts w:ascii="Arial" w:cs="Arial" w:eastAsia="Arial" w:hAnsi="Arial"/>
                <w:sz w:val="16"/>
                <w:szCs w:val="16"/>
                <w:color w:val="auto"/>
              </w:rPr>
              <w:t>Transportation</w:t>
            </w:r>
          </w:p>
        </w:tc>
        <w:tc>
          <w:tcPr>
            <w:tcW w:w="140" w:type="dxa"/>
            <w:vAlign w:val="bottom"/>
            <w:shd w:val="clear" w:color="auto" w:fill="CFF0FC"/>
          </w:tcPr>
          <w:p>
            <w:pPr>
              <w:spacing w:after="0"/>
              <w:rPr>
                <w:sz w:val="16"/>
                <w:szCs w:val="16"/>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178.2</w:t>
            </w:r>
          </w:p>
        </w:tc>
        <w:tc>
          <w:tcPr>
            <w:tcW w:w="220" w:type="dxa"/>
            <w:vAlign w:val="bottom"/>
            <w:shd w:val="clear" w:color="auto" w:fill="CFF0FC"/>
          </w:tcPr>
          <w:p>
            <w:pPr>
              <w:spacing w:after="0"/>
              <w:rPr>
                <w:sz w:val="16"/>
                <w:szCs w:val="16"/>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(0.4 )</w:t>
            </w:r>
          </w:p>
        </w:tc>
        <w:tc>
          <w:tcPr>
            <w:tcW w:w="360" w:type="dxa"/>
            <w:vAlign w:val="bottom"/>
            <w:shd w:val="clear" w:color="auto" w:fill="CFF0FC"/>
          </w:tcPr>
          <w:p>
            <w:pPr>
              <w:spacing w:after="0"/>
              <w:rPr>
                <w:sz w:val="16"/>
                <w:szCs w:val="16"/>
                <w:color w:val="auto"/>
              </w:rPr>
            </w:pPr>
          </w:p>
        </w:tc>
        <w:tc>
          <w:tcPr>
            <w:tcW w:w="13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177.8</w:t>
            </w:r>
          </w:p>
        </w:tc>
      </w:tr>
      <w:tr>
        <w:trPr>
          <w:trHeight w:val="189"/>
        </w:trPr>
        <w:tc>
          <w:tcPr>
            <w:tcW w:w="4480" w:type="dxa"/>
            <w:vAlign w:val="bottom"/>
            <w:gridSpan w:val="3"/>
          </w:tcPr>
          <w:p>
            <w:pPr>
              <w:ind w:left="120"/>
              <w:spacing w:after="0"/>
              <w:rPr>
                <w:sz w:val="20"/>
                <w:szCs w:val="20"/>
                <w:color w:val="auto"/>
              </w:rPr>
            </w:pPr>
            <w:r>
              <w:rPr>
                <w:rFonts w:ascii="Arial" w:cs="Arial" w:eastAsia="Arial" w:hAnsi="Arial"/>
                <w:sz w:val="16"/>
                <w:szCs w:val="16"/>
                <w:color w:val="auto"/>
              </w:rPr>
              <w:t>Wholesale</w:t>
            </w:r>
          </w:p>
        </w:tc>
        <w:tc>
          <w:tcPr>
            <w:tcW w:w="1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26.8</w:t>
            </w:r>
          </w:p>
        </w:tc>
        <w:tc>
          <w:tcPr>
            <w:tcW w:w="2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26.8</w:t>
            </w:r>
          </w:p>
        </w:tc>
      </w:tr>
      <w:tr>
        <w:trPr>
          <w:trHeight w:val="189"/>
        </w:trPr>
        <w:tc>
          <w:tcPr>
            <w:tcW w:w="4480" w:type="dxa"/>
            <w:vAlign w:val="bottom"/>
            <w:tcBorders>
              <w:left w:val="single" w:sz="8" w:color="CFF0FC"/>
            </w:tcBorders>
            <w:gridSpan w:val="3"/>
            <w:shd w:val="clear" w:color="auto" w:fill="CFF0FC"/>
          </w:tcPr>
          <w:p>
            <w:pPr>
              <w:ind w:left="120"/>
              <w:spacing w:after="0"/>
              <w:rPr>
                <w:sz w:val="20"/>
                <w:szCs w:val="20"/>
                <w:color w:val="auto"/>
              </w:rPr>
            </w:pPr>
            <w:r>
              <w:rPr>
                <w:rFonts w:ascii="Arial" w:cs="Arial" w:eastAsia="Arial" w:hAnsi="Arial"/>
                <w:sz w:val="16"/>
                <w:szCs w:val="16"/>
                <w:color w:val="auto"/>
              </w:rPr>
              <w:t>Market - off-system sales</w:t>
            </w:r>
          </w:p>
        </w:tc>
        <w:tc>
          <w:tcPr>
            <w:tcW w:w="140" w:type="dxa"/>
            <w:vAlign w:val="bottom"/>
            <w:shd w:val="clear" w:color="auto" w:fill="CFF0FC"/>
          </w:tcPr>
          <w:p>
            <w:pPr>
              <w:spacing w:after="0"/>
              <w:rPr>
                <w:sz w:val="16"/>
                <w:szCs w:val="16"/>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34.8</w:t>
            </w:r>
          </w:p>
        </w:tc>
        <w:tc>
          <w:tcPr>
            <w:tcW w:w="28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22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6"/>
                <w:szCs w:val="16"/>
                <w:color w:val="auto"/>
              </w:rPr>
            </w:pPr>
          </w:p>
        </w:tc>
        <w:tc>
          <w:tcPr>
            <w:tcW w:w="13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34.9</w:t>
            </w:r>
          </w:p>
        </w:tc>
      </w:tr>
      <w:tr>
        <w:trPr>
          <w:trHeight w:val="189"/>
        </w:trPr>
        <w:tc>
          <w:tcPr>
            <w:tcW w:w="4480" w:type="dxa"/>
            <w:vAlign w:val="bottom"/>
            <w:gridSpan w:val="3"/>
          </w:tcPr>
          <w:p>
            <w:pPr>
              <w:ind w:left="120"/>
              <w:spacing w:after="0"/>
              <w:rPr>
                <w:sz w:val="20"/>
                <w:szCs w:val="20"/>
                <w:color w:val="auto"/>
              </w:rPr>
            </w:pPr>
            <w:r>
              <w:rPr>
                <w:rFonts w:ascii="Arial" w:cs="Arial" w:eastAsia="Arial" w:hAnsi="Arial"/>
                <w:sz w:val="16"/>
                <w:szCs w:val="16"/>
                <w:color w:val="auto"/>
              </w:rPr>
              <w:t>Transmission</w:t>
            </w:r>
          </w:p>
        </w:tc>
        <w:tc>
          <w:tcPr>
            <w:tcW w:w="1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52.2</w:t>
            </w:r>
          </w:p>
        </w:tc>
        <w:tc>
          <w:tcPr>
            <w:tcW w:w="2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0.7</w:t>
            </w:r>
          </w:p>
        </w:tc>
        <w:tc>
          <w:tcPr>
            <w:tcW w:w="220" w:type="dxa"/>
            <w:vAlign w:val="bottom"/>
          </w:tcPr>
          <w:p>
            <w:pPr>
              <w:spacing w:after="0"/>
              <w:rPr>
                <w:sz w:val="16"/>
                <w:szCs w:val="16"/>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52.9</w:t>
            </w:r>
          </w:p>
        </w:tc>
      </w:tr>
      <w:tr>
        <w:trPr>
          <w:trHeight w:val="189"/>
        </w:trPr>
        <w:tc>
          <w:tcPr>
            <w:tcW w:w="4480" w:type="dxa"/>
            <w:vAlign w:val="bottom"/>
            <w:tcBorders>
              <w:left w:val="single" w:sz="8" w:color="CFF0FC"/>
              <w:bottom w:val="single" w:sz="8" w:color="CFF0FC"/>
            </w:tcBorders>
            <w:gridSpan w:val="3"/>
            <w:shd w:val="clear" w:color="auto" w:fill="CFF0FC"/>
          </w:tcPr>
          <w:p>
            <w:pPr>
              <w:ind w:left="120"/>
              <w:spacing w:after="0"/>
              <w:rPr>
                <w:sz w:val="20"/>
                <w:szCs w:val="20"/>
                <w:color w:val="auto"/>
              </w:rPr>
            </w:pPr>
            <w:r>
              <w:rPr>
                <w:rFonts w:ascii="Arial" w:cs="Arial" w:eastAsia="Arial" w:hAnsi="Arial"/>
                <w:sz w:val="16"/>
                <w:szCs w:val="16"/>
                <w:color w:val="auto"/>
              </w:rPr>
              <w:t>Other revenues</w:t>
            </w:r>
          </w:p>
        </w:tc>
        <w:tc>
          <w:tcPr>
            <w:tcW w:w="140" w:type="dxa"/>
            <w:vAlign w:val="bottom"/>
            <w:tcBorders>
              <w:bottom w:val="single" w:sz="8" w:color="auto"/>
            </w:tcBorders>
            <w:shd w:val="clear" w:color="auto" w:fill="CFF0FC"/>
          </w:tcPr>
          <w:p>
            <w:pPr>
              <w:spacing w:after="0"/>
              <w:rPr>
                <w:sz w:val="16"/>
                <w:szCs w:val="16"/>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58.7</w:t>
            </w:r>
          </w:p>
        </w:tc>
        <w:tc>
          <w:tcPr>
            <w:tcW w:w="280" w:type="dxa"/>
            <w:vAlign w:val="bottom"/>
            <w:tcBorders>
              <w:bottom w:val="single" w:sz="8" w:color="auto"/>
            </w:tcBorders>
            <w:shd w:val="clear" w:color="auto" w:fill="CFF0FC"/>
          </w:tcPr>
          <w:p>
            <w:pPr>
              <w:spacing w:after="0"/>
              <w:rPr>
                <w:sz w:val="16"/>
                <w:szCs w:val="16"/>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43.1</w:t>
            </w:r>
          </w:p>
        </w:tc>
        <w:tc>
          <w:tcPr>
            <w:tcW w:w="220" w:type="dxa"/>
            <w:vAlign w:val="bottom"/>
            <w:tcBorders>
              <w:bottom w:val="single" w:sz="8" w:color="auto"/>
            </w:tcBorders>
            <w:shd w:val="clear" w:color="auto" w:fill="CFF0FC"/>
          </w:tcPr>
          <w:p>
            <w:pPr>
              <w:spacing w:after="0"/>
              <w:rPr>
                <w:sz w:val="16"/>
                <w:szCs w:val="16"/>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(17.4 )</w:t>
            </w:r>
          </w:p>
        </w:tc>
        <w:tc>
          <w:tcPr>
            <w:tcW w:w="36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84.4</w:t>
            </w:r>
          </w:p>
        </w:tc>
      </w:tr>
      <w:tr>
        <w:trPr>
          <w:trHeight w:val="183"/>
        </w:trPr>
        <w:tc>
          <w:tcPr>
            <w:tcW w:w="4480" w:type="dxa"/>
            <w:vAlign w:val="bottom"/>
            <w:gridSpan w:val="3"/>
          </w:tcPr>
          <w:p>
            <w:pPr>
              <w:ind w:left="120"/>
              <w:spacing w:after="0" w:line="183" w:lineRule="exact"/>
              <w:rPr>
                <w:sz w:val="20"/>
                <w:szCs w:val="20"/>
                <w:color w:val="auto"/>
              </w:rPr>
            </w:pPr>
            <w:r>
              <w:rPr>
                <w:rFonts w:ascii="Arial" w:cs="Arial" w:eastAsia="Arial" w:hAnsi="Arial"/>
                <w:sz w:val="16"/>
                <w:szCs w:val="16"/>
                <w:color w:val="auto"/>
              </w:rPr>
              <w:t>Revenue from contracts with customers</w:t>
            </w:r>
          </w:p>
        </w:tc>
        <w:tc>
          <w:tcPr>
            <w:tcW w:w="140" w:type="dxa"/>
            <w:vAlign w:val="bottom"/>
          </w:tcPr>
          <w:p>
            <w:pPr>
              <w:spacing w:after="0"/>
              <w:rPr>
                <w:sz w:val="15"/>
                <w:szCs w:val="15"/>
                <w:color w:val="auto"/>
              </w:rPr>
            </w:pPr>
          </w:p>
        </w:tc>
        <w:tc>
          <w:tcPr>
            <w:tcW w:w="1480" w:type="dxa"/>
            <w:vAlign w:val="bottom"/>
          </w:tcPr>
          <w:p>
            <w:pPr>
              <w:jc w:val="right"/>
              <w:spacing w:after="0" w:line="183" w:lineRule="exact"/>
              <w:rPr>
                <w:sz w:val="20"/>
                <w:szCs w:val="20"/>
                <w:color w:val="auto"/>
              </w:rPr>
            </w:pPr>
            <w:r>
              <w:rPr>
                <w:rFonts w:ascii="Arial" w:cs="Arial" w:eastAsia="Arial" w:hAnsi="Arial"/>
                <w:sz w:val="16"/>
                <w:szCs w:val="16"/>
                <w:color w:val="auto"/>
              </w:rPr>
              <w:t>871.1</w:t>
            </w:r>
          </w:p>
        </w:tc>
        <w:tc>
          <w:tcPr>
            <w:tcW w:w="280" w:type="dxa"/>
            <w:vAlign w:val="bottom"/>
          </w:tcPr>
          <w:p>
            <w:pPr>
              <w:spacing w:after="0"/>
              <w:rPr>
                <w:sz w:val="15"/>
                <w:szCs w:val="15"/>
                <w:color w:val="auto"/>
              </w:rPr>
            </w:pPr>
          </w:p>
        </w:tc>
        <w:tc>
          <w:tcPr>
            <w:tcW w:w="1420" w:type="dxa"/>
            <w:vAlign w:val="bottom"/>
          </w:tcPr>
          <w:p>
            <w:pPr>
              <w:jc w:val="right"/>
              <w:spacing w:after="0" w:line="183" w:lineRule="exact"/>
              <w:rPr>
                <w:sz w:val="20"/>
                <w:szCs w:val="20"/>
                <w:color w:val="auto"/>
              </w:rPr>
            </w:pPr>
            <w:r>
              <w:rPr>
                <w:rFonts w:ascii="Arial" w:cs="Arial" w:eastAsia="Arial" w:hAnsi="Arial"/>
                <w:sz w:val="16"/>
                <w:szCs w:val="16"/>
                <w:color w:val="auto"/>
              </w:rPr>
              <w:t>1,244.7</w:t>
            </w:r>
          </w:p>
        </w:tc>
        <w:tc>
          <w:tcPr>
            <w:tcW w:w="220" w:type="dxa"/>
            <w:vAlign w:val="bottom"/>
          </w:tcPr>
          <w:p>
            <w:pPr>
              <w:spacing w:after="0"/>
              <w:rPr>
                <w:sz w:val="15"/>
                <w:szCs w:val="15"/>
                <w:color w:val="auto"/>
              </w:rPr>
            </w:pPr>
          </w:p>
        </w:tc>
        <w:tc>
          <w:tcPr>
            <w:tcW w:w="1500" w:type="dxa"/>
            <w:vAlign w:val="bottom"/>
          </w:tcPr>
          <w:p>
            <w:pPr>
              <w:jc w:val="right"/>
              <w:spacing w:after="0" w:line="183" w:lineRule="exact"/>
              <w:rPr>
                <w:sz w:val="20"/>
                <w:szCs w:val="20"/>
                <w:color w:val="auto"/>
              </w:rPr>
            </w:pPr>
            <w:r>
              <w:rPr>
                <w:rFonts w:ascii="Arial" w:cs="Arial" w:eastAsia="Arial" w:hAnsi="Arial"/>
                <w:sz w:val="16"/>
                <w:szCs w:val="16"/>
                <w:color w:val="auto"/>
              </w:rPr>
              <w:t>(17.8 )</w:t>
            </w:r>
          </w:p>
        </w:tc>
        <w:tc>
          <w:tcPr>
            <w:tcW w:w="360" w:type="dxa"/>
            <w:vAlign w:val="bottom"/>
          </w:tcPr>
          <w:p>
            <w:pPr>
              <w:spacing w:after="0"/>
              <w:rPr>
                <w:sz w:val="15"/>
                <w:szCs w:val="15"/>
                <w:color w:val="auto"/>
              </w:rPr>
            </w:pPr>
          </w:p>
        </w:tc>
        <w:tc>
          <w:tcPr>
            <w:tcW w:w="1360" w:type="dxa"/>
            <w:vAlign w:val="bottom"/>
          </w:tcPr>
          <w:p>
            <w:pPr>
              <w:jc w:val="right"/>
              <w:ind w:right="59"/>
              <w:spacing w:after="0" w:line="183" w:lineRule="exact"/>
              <w:rPr>
                <w:sz w:val="20"/>
                <w:szCs w:val="20"/>
                <w:color w:val="auto"/>
              </w:rPr>
            </w:pPr>
            <w:r>
              <w:rPr>
                <w:rFonts w:ascii="Arial" w:cs="Arial" w:eastAsia="Arial" w:hAnsi="Arial"/>
                <w:sz w:val="16"/>
                <w:szCs w:val="16"/>
                <w:color w:val="auto"/>
              </w:rPr>
              <w:t>2,098.0</w:t>
            </w:r>
          </w:p>
        </w:tc>
      </w:tr>
      <w:tr>
        <w:trPr>
          <w:trHeight w:val="189"/>
        </w:trPr>
        <w:tc>
          <w:tcPr>
            <w:tcW w:w="4480" w:type="dxa"/>
            <w:vAlign w:val="bottom"/>
            <w:tcBorders>
              <w:left w:val="single" w:sz="8" w:color="CFF0FC"/>
              <w:bottom w:val="single" w:sz="8" w:color="CFF0FC"/>
            </w:tcBorders>
            <w:gridSpan w:val="3"/>
            <w:shd w:val="clear" w:color="auto" w:fill="CFF0FC"/>
          </w:tcPr>
          <w:p>
            <w:pPr>
              <w:ind w:left="120"/>
              <w:spacing w:after="0"/>
              <w:rPr>
                <w:sz w:val="20"/>
                <w:szCs w:val="20"/>
                <w:color w:val="auto"/>
              </w:rPr>
            </w:pPr>
            <w:r>
              <w:rPr>
                <w:rFonts w:ascii="Arial" w:cs="Arial" w:eastAsia="Arial" w:hAnsi="Arial"/>
                <w:sz w:val="16"/>
                <w:szCs w:val="16"/>
                <w:color w:val="auto"/>
              </w:rPr>
              <w:t>Alternative revenue and other</w:t>
            </w:r>
          </w:p>
        </w:tc>
        <w:tc>
          <w:tcPr>
            <w:tcW w:w="140" w:type="dxa"/>
            <w:vAlign w:val="bottom"/>
            <w:tcBorders>
              <w:bottom w:val="single" w:sz="8" w:color="auto"/>
            </w:tcBorders>
            <w:shd w:val="clear" w:color="auto" w:fill="CFF0FC"/>
          </w:tcPr>
          <w:p>
            <w:pPr>
              <w:spacing w:after="0"/>
              <w:rPr>
                <w:sz w:val="16"/>
                <w:szCs w:val="16"/>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w:t>
            </w:r>
          </w:p>
        </w:tc>
        <w:tc>
          <w:tcPr>
            <w:tcW w:w="280" w:type="dxa"/>
            <w:vAlign w:val="bottom"/>
            <w:tcBorders>
              <w:bottom w:val="single" w:sz="8" w:color="auto"/>
            </w:tcBorders>
            <w:shd w:val="clear" w:color="auto" w:fill="CFF0FC"/>
          </w:tcPr>
          <w:p>
            <w:pPr>
              <w:spacing w:after="0"/>
              <w:rPr>
                <w:sz w:val="16"/>
                <w:szCs w:val="16"/>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24.7</w:t>
            </w:r>
          </w:p>
        </w:tc>
        <w:tc>
          <w:tcPr>
            <w:tcW w:w="220" w:type="dxa"/>
            <w:vAlign w:val="bottom"/>
            <w:tcBorders>
              <w:bottom w:val="single" w:sz="8" w:color="auto"/>
            </w:tcBorders>
            <w:shd w:val="clear" w:color="auto" w:fill="CFF0FC"/>
          </w:tcPr>
          <w:p>
            <w:pPr>
              <w:spacing w:after="0"/>
              <w:rPr>
                <w:sz w:val="16"/>
                <w:szCs w:val="16"/>
                <w:color w:val="auto"/>
              </w:rPr>
            </w:pPr>
          </w:p>
        </w:tc>
        <w:tc>
          <w:tcPr>
            <w:tcW w:w="15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29.7</w:t>
            </w:r>
          </w:p>
        </w:tc>
      </w:tr>
      <w:tr>
        <w:trPr>
          <w:trHeight w:val="183"/>
        </w:trPr>
        <w:tc>
          <w:tcPr>
            <w:tcW w:w="4480" w:type="dxa"/>
            <w:vAlign w:val="bottom"/>
            <w:gridSpan w:val="3"/>
          </w:tcPr>
          <w:p>
            <w:pPr>
              <w:ind w:left="20"/>
              <w:spacing w:after="0" w:line="183" w:lineRule="exact"/>
              <w:rPr>
                <w:sz w:val="20"/>
                <w:szCs w:val="20"/>
                <w:color w:val="auto"/>
              </w:rPr>
            </w:pPr>
            <w:r>
              <w:rPr>
                <w:rFonts w:ascii="Arial" w:cs="Arial" w:eastAsia="Arial" w:hAnsi="Arial"/>
                <w:sz w:val="16"/>
                <w:szCs w:val="16"/>
                <w:color w:val="auto"/>
              </w:rPr>
              <w:t>Total revenues</w:t>
            </w:r>
          </w:p>
        </w:tc>
        <w:tc>
          <w:tcPr>
            <w:tcW w:w="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876.1</w:t>
            </w:r>
          </w:p>
        </w:tc>
        <w:tc>
          <w:tcPr>
            <w:tcW w:w="2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1,269.4</w:t>
            </w:r>
          </w:p>
        </w:tc>
        <w:tc>
          <w:tcPr>
            <w:tcW w:w="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gridSpan w:val="2"/>
          </w:tcPr>
          <w:p>
            <w:pPr>
              <w:jc w:val="right"/>
              <w:ind w:right="159"/>
              <w:spacing w:after="0" w:line="183" w:lineRule="exact"/>
              <w:rPr>
                <w:sz w:val="20"/>
                <w:szCs w:val="20"/>
                <w:color w:val="auto"/>
              </w:rPr>
            </w:pPr>
            <w:r>
              <w:rPr>
                <w:rFonts w:ascii="Arial" w:cs="Arial" w:eastAsia="Arial" w:hAnsi="Arial"/>
                <w:sz w:val="16"/>
                <w:szCs w:val="16"/>
                <w:color w:val="auto"/>
              </w:rPr>
              <w:t>(17.8 ) $</w:t>
            </w:r>
          </w:p>
        </w:tc>
        <w:tc>
          <w:tcPr>
            <w:tcW w:w="136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2,127.7</w:t>
            </w:r>
          </w:p>
        </w:tc>
      </w:tr>
      <w:tr>
        <w:trPr>
          <w:trHeight w:val="20"/>
        </w:trPr>
        <w:tc>
          <w:tcPr>
            <w:tcW w:w="1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69"/>
        </w:trPr>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2"/>
        </w:trPr>
        <w:tc>
          <w:tcPr>
            <w:tcW w:w="4480" w:type="dxa"/>
            <w:vAlign w:val="bottom"/>
            <w:tcBorders>
              <w:left w:val="single" w:sz="8" w:color="CFF0FC"/>
            </w:tcBorders>
            <w:gridSpan w:val="3"/>
            <w:shd w:val="clear" w:color="auto" w:fill="CFF0FC"/>
          </w:tcPr>
          <w:p>
            <w:pPr>
              <w:ind w:left="20"/>
              <w:spacing w:after="0" w:line="162" w:lineRule="exact"/>
              <w:rPr>
                <w:sz w:val="20"/>
                <w:szCs w:val="20"/>
                <w:color w:val="auto"/>
              </w:rPr>
            </w:pPr>
            <w:r>
              <w:rPr>
                <w:rFonts w:ascii="Arial" w:cs="Arial" w:eastAsia="Arial" w:hAnsi="Arial"/>
                <w:sz w:val="16"/>
                <w:szCs w:val="16"/>
                <w:color w:val="auto"/>
              </w:rPr>
              <w:t>Timing of revenue recognition:</w:t>
            </w:r>
          </w:p>
        </w:tc>
        <w:tc>
          <w:tcPr>
            <w:tcW w:w="14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r>
      <w:tr>
        <w:trPr>
          <w:trHeight w:val="27"/>
        </w:trPr>
        <w:tc>
          <w:tcPr>
            <w:tcW w:w="1200" w:type="dxa"/>
            <w:vAlign w:val="bottom"/>
            <w:tcBorders>
              <w:left w:val="single" w:sz="8" w:color="CFF0FC"/>
            </w:tcBorders>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8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48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42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500" w:type="dxa"/>
            <w:vAlign w:val="bottom"/>
            <w:shd w:val="clear" w:color="auto" w:fill="CFF0FC"/>
          </w:tcPr>
          <w:p>
            <w:pPr>
              <w:spacing w:after="0"/>
              <w:rPr>
                <w:sz w:val="2"/>
                <w:szCs w:val="2"/>
                <w:color w:val="auto"/>
              </w:rPr>
            </w:pPr>
          </w:p>
        </w:tc>
        <w:tc>
          <w:tcPr>
            <w:tcW w:w="360" w:type="dxa"/>
            <w:vAlign w:val="bottom"/>
            <w:shd w:val="clear" w:color="auto" w:fill="CFF0FC"/>
          </w:tcPr>
          <w:p>
            <w:pPr>
              <w:spacing w:after="0"/>
              <w:rPr>
                <w:sz w:val="2"/>
                <w:szCs w:val="2"/>
                <w:color w:val="auto"/>
              </w:rPr>
            </w:pPr>
          </w:p>
        </w:tc>
        <w:tc>
          <w:tcPr>
            <w:tcW w:w="1360" w:type="dxa"/>
            <w:vAlign w:val="bottom"/>
            <w:shd w:val="clear" w:color="auto" w:fill="CFF0FC"/>
          </w:tcPr>
          <w:p>
            <w:pPr>
              <w:spacing w:after="0"/>
              <w:rPr>
                <w:sz w:val="2"/>
                <w:szCs w:val="2"/>
                <w:color w:val="auto"/>
              </w:rPr>
            </w:pPr>
          </w:p>
        </w:tc>
      </w:tr>
      <w:tr>
        <w:trPr>
          <w:trHeight w:val="189"/>
        </w:trPr>
        <w:tc>
          <w:tcPr>
            <w:tcW w:w="4480" w:type="dxa"/>
            <w:vAlign w:val="bottom"/>
            <w:gridSpan w:val="3"/>
          </w:tcPr>
          <w:p>
            <w:pPr>
              <w:ind w:left="120"/>
              <w:spacing w:after="0"/>
              <w:rPr>
                <w:sz w:val="20"/>
                <w:szCs w:val="20"/>
                <w:color w:val="auto"/>
              </w:rPr>
            </w:pPr>
            <w:r>
              <w:rPr>
                <w:rFonts w:ascii="Arial" w:cs="Arial" w:eastAsia="Arial" w:hAnsi="Arial"/>
                <w:sz w:val="16"/>
                <w:szCs w:val="16"/>
                <w:color w:val="auto"/>
              </w:rPr>
              <w:t>Services transferred at a point in time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34.7</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34.7</w:t>
            </w:r>
          </w:p>
        </w:tc>
      </w:tr>
      <w:tr>
        <w:trPr>
          <w:trHeight w:val="189"/>
        </w:trPr>
        <w:tc>
          <w:tcPr>
            <w:tcW w:w="4480" w:type="dxa"/>
            <w:vAlign w:val="bottom"/>
            <w:tcBorders>
              <w:left w:val="single" w:sz="8" w:color="CFF0FC"/>
              <w:bottom w:val="single" w:sz="8" w:color="CFF0FC"/>
            </w:tcBorders>
            <w:gridSpan w:val="3"/>
            <w:shd w:val="clear" w:color="auto" w:fill="CFF0FC"/>
          </w:tcPr>
          <w:p>
            <w:pPr>
              <w:ind w:left="120"/>
              <w:spacing w:after="0"/>
              <w:rPr>
                <w:sz w:val="20"/>
                <w:szCs w:val="20"/>
                <w:color w:val="auto"/>
              </w:rPr>
            </w:pPr>
            <w:r>
              <w:rPr>
                <w:rFonts w:ascii="Arial" w:cs="Arial" w:eastAsia="Arial" w:hAnsi="Arial"/>
                <w:sz w:val="16"/>
                <w:szCs w:val="16"/>
                <w:color w:val="auto"/>
              </w:rPr>
              <w:t>Services transferred over time</w:t>
            </w:r>
          </w:p>
        </w:tc>
        <w:tc>
          <w:tcPr>
            <w:tcW w:w="140" w:type="dxa"/>
            <w:vAlign w:val="bottom"/>
            <w:tcBorders>
              <w:bottom w:val="single" w:sz="8" w:color="auto"/>
            </w:tcBorders>
            <w:shd w:val="clear" w:color="auto" w:fill="CFF0FC"/>
          </w:tcPr>
          <w:p>
            <w:pPr>
              <w:spacing w:after="0"/>
              <w:rPr>
                <w:sz w:val="16"/>
                <w:szCs w:val="16"/>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836.4</w:t>
            </w:r>
          </w:p>
        </w:tc>
        <w:tc>
          <w:tcPr>
            <w:tcW w:w="280" w:type="dxa"/>
            <w:vAlign w:val="bottom"/>
            <w:tcBorders>
              <w:bottom w:val="single" w:sz="8" w:color="auto"/>
            </w:tcBorders>
            <w:shd w:val="clear" w:color="auto" w:fill="CFF0FC"/>
          </w:tcPr>
          <w:p>
            <w:pPr>
              <w:spacing w:after="0"/>
              <w:rPr>
                <w:sz w:val="16"/>
                <w:szCs w:val="16"/>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1,244.7</w:t>
            </w:r>
          </w:p>
        </w:tc>
        <w:tc>
          <w:tcPr>
            <w:tcW w:w="220" w:type="dxa"/>
            <w:vAlign w:val="bottom"/>
            <w:tcBorders>
              <w:bottom w:val="single" w:sz="8" w:color="auto"/>
            </w:tcBorders>
            <w:shd w:val="clear" w:color="auto" w:fill="CFF0FC"/>
          </w:tcPr>
          <w:p>
            <w:pPr>
              <w:spacing w:after="0"/>
              <w:rPr>
                <w:sz w:val="16"/>
                <w:szCs w:val="16"/>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(17.8 )</w:t>
            </w:r>
          </w:p>
        </w:tc>
        <w:tc>
          <w:tcPr>
            <w:tcW w:w="36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2,063.3</w:t>
            </w:r>
          </w:p>
        </w:tc>
      </w:tr>
      <w:tr>
        <w:trPr>
          <w:trHeight w:val="183"/>
        </w:trPr>
        <w:tc>
          <w:tcPr>
            <w:tcW w:w="4480" w:type="dxa"/>
            <w:vAlign w:val="bottom"/>
            <w:gridSpan w:val="3"/>
          </w:tcPr>
          <w:p>
            <w:pPr>
              <w:ind w:left="120"/>
              <w:spacing w:after="0" w:line="183" w:lineRule="exact"/>
              <w:rPr>
                <w:sz w:val="20"/>
                <w:szCs w:val="20"/>
                <w:color w:val="auto"/>
              </w:rPr>
            </w:pPr>
            <w:r>
              <w:rPr>
                <w:rFonts w:ascii="Arial" w:cs="Arial" w:eastAsia="Arial" w:hAnsi="Arial"/>
                <w:sz w:val="16"/>
                <w:szCs w:val="16"/>
                <w:color w:val="auto"/>
              </w:rPr>
              <w:t>Revenue from contracts with customers</w:t>
            </w:r>
          </w:p>
        </w:tc>
        <w:tc>
          <w:tcPr>
            <w:tcW w:w="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871.1</w:t>
            </w:r>
          </w:p>
        </w:tc>
        <w:tc>
          <w:tcPr>
            <w:tcW w:w="2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1,244.7</w:t>
            </w:r>
          </w:p>
        </w:tc>
        <w:tc>
          <w:tcPr>
            <w:tcW w:w="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gridSpan w:val="2"/>
          </w:tcPr>
          <w:p>
            <w:pPr>
              <w:jc w:val="right"/>
              <w:ind w:right="159"/>
              <w:spacing w:after="0" w:line="183" w:lineRule="exact"/>
              <w:rPr>
                <w:sz w:val="20"/>
                <w:szCs w:val="20"/>
                <w:color w:val="auto"/>
              </w:rPr>
            </w:pPr>
            <w:r>
              <w:rPr>
                <w:rFonts w:ascii="Arial" w:cs="Arial" w:eastAsia="Arial" w:hAnsi="Arial"/>
                <w:sz w:val="16"/>
                <w:szCs w:val="16"/>
                <w:color w:val="auto"/>
              </w:rPr>
              <w:t>(17.8 ) $</w:t>
            </w:r>
          </w:p>
        </w:tc>
        <w:tc>
          <w:tcPr>
            <w:tcW w:w="136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2,098.0</w:t>
            </w:r>
          </w:p>
        </w:tc>
      </w:tr>
      <w:tr>
        <w:trPr>
          <w:trHeight w:val="20"/>
        </w:trPr>
        <w:tc>
          <w:tcPr>
            <w:tcW w:w="1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397"/>
        </w:trPr>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jc w:val="right"/>
              <w:ind w:right="299"/>
              <w:spacing w:after="0"/>
              <w:rPr>
                <w:sz w:val="20"/>
                <w:szCs w:val="20"/>
                <w:color w:val="auto"/>
              </w:rPr>
            </w:pPr>
            <w:r>
              <w:rPr>
                <w:rFonts w:ascii="Arial" w:cs="Arial" w:eastAsia="Arial" w:hAnsi="Arial"/>
                <w:sz w:val="16"/>
                <w:szCs w:val="16"/>
                <w:color w:val="auto"/>
              </w:rPr>
              <w:t>77</w:t>
            </w: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751"/>
        </w:trPr>
        <w:tc>
          <w:tcPr>
            <w:tcW w:w="12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jc w:val="right"/>
              <w:ind w:right="299"/>
              <w:spacing w:after="0"/>
              <w:rPr>
                <w:sz w:val="20"/>
                <w:szCs w:val="20"/>
                <w:color w:val="auto"/>
              </w:rPr>
            </w:pPr>
            <w:r>
              <w:rPr>
                <w:rFonts w:ascii="Arial" w:cs="Arial" w:eastAsia="Arial" w:hAnsi="Arial"/>
                <w:sz w:val="16"/>
                <w:szCs w:val="16"/>
                <w:b w:val="1"/>
                <w:bCs w:val="1"/>
                <w:color w:val="auto"/>
              </w:rPr>
              <w:t>Inter-segment</w:t>
            </w: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03"/>
        </w:trPr>
        <w:tc>
          <w:tcPr>
            <w:tcW w:w="448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Year ended December 31, 2023</w:t>
            </w: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Electric Utilities</w:t>
            </w: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Gas Utilities</w:t>
            </w: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Eliminations</w:t>
            </w:r>
          </w:p>
        </w:tc>
        <w:tc>
          <w:tcPr>
            <w:tcW w:w="3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Total</w:t>
            </w:r>
          </w:p>
        </w:tc>
      </w:tr>
      <w:tr>
        <w:trPr>
          <w:trHeight w:val="196"/>
        </w:trPr>
        <w:tc>
          <w:tcPr>
            <w:tcW w:w="4480" w:type="dxa"/>
            <w:vAlign w:val="bottom"/>
            <w:tcBorders>
              <w:left w:val="single" w:sz="8" w:color="CFF0FC"/>
            </w:tcBorders>
            <w:gridSpan w:val="3"/>
            <w:shd w:val="clear" w:color="auto" w:fill="CFF0FC"/>
          </w:tcPr>
          <w:p>
            <w:pPr>
              <w:ind w:left="20"/>
              <w:spacing w:after="0" w:line="155" w:lineRule="exact"/>
              <w:rPr>
                <w:sz w:val="20"/>
                <w:szCs w:val="20"/>
                <w:color w:val="auto"/>
              </w:rPr>
            </w:pPr>
            <w:r>
              <w:rPr>
                <w:rFonts w:ascii="Arial" w:cs="Arial" w:eastAsia="Arial" w:hAnsi="Arial"/>
                <w:sz w:val="16"/>
                <w:szCs w:val="16"/>
                <w:color w:val="auto"/>
              </w:rPr>
              <w:t>Customer types:</w:t>
            </w:r>
          </w:p>
        </w:tc>
        <w:tc>
          <w:tcPr>
            <w:tcW w:w="14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160" w:type="dxa"/>
            <w:vAlign w:val="bottom"/>
            <w:gridSpan w:val="3"/>
            <w:shd w:val="clear" w:color="auto" w:fill="CFF0FC"/>
          </w:tcPr>
          <w:p>
            <w:pPr>
              <w:jc w:val="right"/>
              <w:ind w:right="1239"/>
              <w:spacing w:after="0" w:line="155" w:lineRule="exact"/>
              <w:rPr>
                <w:sz w:val="20"/>
                <w:szCs w:val="20"/>
                <w:color w:val="auto"/>
              </w:rPr>
            </w:pPr>
            <w:r>
              <w:rPr>
                <w:rFonts w:ascii="Arial" w:cs="Arial" w:eastAsia="Arial" w:hAnsi="Arial"/>
                <w:sz w:val="16"/>
                <w:szCs w:val="16"/>
                <w:color w:val="auto"/>
              </w:rPr>
              <w:t>(in millions)</w:t>
            </w:r>
          </w:p>
        </w:tc>
        <w:tc>
          <w:tcPr>
            <w:tcW w:w="36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r>
      <w:tr>
        <w:trPr>
          <w:trHeight w:val="169"/>
        </w:trPr>
        <w:tc>
          <w:tcPr>
            <w:tcW w:w="1200" w:type="dxa"/>
            <w:vAlign w:val="bottom"/>
            <w:tcBorders>
              <w:top w:val="single" w:sz="8" w:color="auto"/>
            </w:tcBorders>
          </w:tcPr>
          <w:p>
            <w:pPr>
              <w:ind w:left="120"/>
              <w:spacing w:after="0" w:line="170" w:lineRule="exact"/>
              <w:rPr>
                <w:sz w:val="20"/>
                <w:szCs w:val="20"/>
                <w:color w:val="auto"/>
              </w:rPr>
            </w:pPr>
            <w:r>
              <w:rPr>
                <w:rFonts w:ascii="Arial" w:cs="Arial" w:eastAsia="Arial" w:hAnsi="Arial"/>
                <w:sz w:val="16"/>
                <w:szCs w:val="16"/>
                <w:color w:val="auto"/>
              </w:rPr>
              <w:t>Retail</w:t>
            </w:r>
          </w:p>
        </w:tc>
        <w:tc>
          <w:tcPr>
            <w:tcW w:w="3280" w:type="dxa"/>
            <w:vAlign w:val="bottom"/>
            <w:tcBorders>
              <w:top w:val="single" w:sz="8" w:color="CFF0FC"/>
            </w:tcBorders>
            <w:gridSpan w:val="2"/>
          </w:tcPr>
          <w:p>
            <w:pPr>
              <w:spacing w:after="0"/>
              <w:rPr>
                <w:sz w:val="14"/>
                <w:szCs w:val="14"/>
                <w:color w:val="auto"/>
              </w:rPr>
            </w:pPr>
          </w:p>
        </w:tc>
        <w:tc>
          <w:tcPr>
            <w:tcW w:w="14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6"/>
                <w:szCs w:val="16"/>
                <w:color w:val="auto"/>
              </w:rPr>
              <w:t>$</w:t>
            </w:r>
          </w:p>
        </w:tc>
        <w:tc>
          <w:tcPr>
            <w:tcW w:w="15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6"/>
                <w:szCs w:val="16"/>
                <w:color w:val="auto"/>
              </w:rPr>
              <w:t>666.1</w:t>
            </w:r>
          </w:p>
        </w:tc>
        <w:tc>
          <w:tcPr>
            <w:tcW w:w="260" w:type="dxa"/>
            <w:vAlign w:val="bottom"/>
            <w:tcBorders>
              <w:top w:val="single" w:sz="8" w:color="auto"/>
            </w:tcBorders>
          </w:tcPr>
          <w:p>
            <w:pPr>
              <w:jc w:val="right"/>
              <w:ind w:right="19"/>
              <w:spacing w:after="0" w:line="170" w:lineRule="exact"/>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6"/>
                <w:szCs w:val="16"/>
                <w:color w:val="auto"/>
              </w:rPr>
              <w:t>1,248.8</w:t>
            </w:r>
          </w:p>
        </w:tc>
        <w:tc>
          <w:tcPr>
            <w:tcW w:w="2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tcPr>
          <w:p>
            <w:pPr>
              <w:jc w:val="right"/>
              <w:ind w:right="39"/>
              <w:spacing w:after="0" w:line="170" w:lineRule="exact"/>
              <w:rPr>
                <w:sz w:val="20"/>
                <w:szCs w:val="20"/>
                <w:color w:val="auto"/>
              </w:rPr>
            </w:pPr>
            <w:r>
              <w:rPr>
                <w:rFonts w:ascii="Arial" w:cs="Arial" w:eastAsia="Arial" w:hAnsi="Arial"/>
                <w:sz w:val="16"/>
                <w:szCs w:val="16"/>
                <w:color w:val="auto"/>
              </w:rPr>
              <w:t>—</w:t>
            </w:r>
          </w:p>
        </w:tc>
        <w:tc>
          <w:tcPr>
            <w:tcW w:w="360" w:type="dxa"/>
            <w:vAlign w:val="bottom"/>
            <w:tcBorders>
              <w:top w:val="single" w:sz="8" w:color="auto"/>
            </w:tcBorders>
          </w:tcPr>
          <w:p>
            <w:pPr>
              <w:jc w:val="right"/>
              <w:ind w:right="159"/>
              <w:spacing w:after="0" w:line="170" w:lineRule="exact"/>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tcPr>
          <w:p>
            <w:pPr>
              <w:jc w:val="right"/>
              <w:ind w:right="59"/>
              <w:spacing w:after="0" w:line="170" w:lineRule="exact"/>
              <w:rPr>
                <w:sz w:val="20"/>
                <w:szCs w:val="20"/>
                <w:color w:val="auto"/>
              </w:rPr>
            </w:pPr>
            <w:r>
              <w:rPr>
                <w:rFonts w:ascii="Arial" w:cs="Arial" w:eastAsia="Arial" w:hAnsi="Arial"/>
                <w:sz w:val="16"/>
                <w:szCs w:val="16"/>
                <w:color w:val="auto"/>
              </w:rPr>
              <w:t>1,914.9</w:t>
            </w:r>
          </w:p>
        </w:tc>
      </w:tr>
      <w:tr>
        <w:trPr>
          <w:trHeight w:val="189"/>
        </w:trPr>
        <w:tc>
          <w:tcPr>
            <w:tcW w:w="4480" w:type="dxa"/>
            <w:vAlign w:val="bottom"/>
            <w:tcBorders>
              <w:left w:val="single" w:sz="8" w:color="CFF0FC"/>
            </w:tcBorders>
            <w:gridSpan w:val="3"/>
            <w:shd w:val="clear" w:color="auto" w:fill="CFF0FC"/>
          </w:tcPr>
          <w:p>
            <w:pPr>
              <w:ind w:left="120"/>
              <w:spacing w:after="0"/>
              <w:rPr>
                <w:sz w:val="20"/>
                <w:szCs w:val="20"/>
                <w:color w:val="auto"/>
              </w:rPr>
            </w:pPr>
            <w:r>
              <w:rPr>
                <w:rFonts w:ascii="Arial" w:cs="Arial" w:eastAsia="Arial" w:hAnsi="Arial"/>
                <w:sz w:val="16"/>
                <w:szCs w:val="16"/>
                <w:color w:val="auto"/>
              </w:rPr>
              <w:t>Transportation</w:t>
            </w:r>
          </w:p>
        </w:tc>
        <w:tc>
          <w:tcPr>
            <w:tcW w:w="140" w:type="dxa"/>
            <w:vAlign w:val="bottom"/>
            <w:shd w:val="clear" w:color="auto" w:fill="CFF0FC"/>
          </w:tcPr>
          <w:p>
            <w:pPr>
              <w:spacing w:after="0"/>
              <w:rPr>
                <w:sz w:val="16"/>
                <w:szCs w:val="16"/>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176.8</w:t>
            </w:r>
          </w:p>
        </w:tc>
        <w:tc>
          <w:tcPr>
            <w:tcW w:w="220" w:type="dxa"/>
            <w:vAlign w:val="bottom"/>
            <w:shd w:val="clear" w:color="auto" w:fill="CFF0FC"/>
          </w:tcPr>
          <w:p>
            <w:pPr>
              <w:spacing w:after="0"/>
              <w:rPr>
                <w:sz w:val="16"/>
                <w:szCs w:val="16"/>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(0.5 )</w:t>
            </w:r>
          </w:p>
        </w:tc>
        <w:tc>
          <w:tcPr>
            <w:tcW w:w="36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176.3</w:t>
            </w:r>
          </w:p>
        </w:tc>
      </w:tr>
      <w:tr>
        <w:trPr>
          <w:trHeight w:val="189"/>
        </w:trPr>
        <w:tc>
          <w:tcPr>
            <w:tcW w:w="4480" w:type="dxa"/>
            <w:vAlign w:val="bottom"/>
            <w:gridSpan w:val="3"/>
          </w:tcPr>
          <w:p>
            <w:pPr>
              <w:ind w:left="120"/>
              <w:spacing w:after="0"/>
              <w:rPr>
                <w:sz w:val="20"/>
                <w:szCs w:val="20"/>
                <w:color w:val="auto"/>
              </w:rPr>
            </w:pPr>
            <w:r>
              <w:rPr>
                <w:rFonts w:ascii="Arial" w:cs="Arial" w:eastAsia="Arial" w:hAnsi="Arial"/>
                <w:sz w:val="16"/>
                <w:szCs w:val="16"/>
                <w:color w:val="auto"/>
              </w:rPr>
              <w:t>Wholesale</w:t>
            </w:r>
          </w:p>
        </w:tc>
        <w:tc>
          <w:tcPr>
            <w:tcW w:w="1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34.2</w:t>
            </w:r>
          </w:p>
        </w:tc>
        <w:tc>
          <w:tcPr>
            <w:tcW w:w="2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34.2</w:t>
            </w:r>
          </w:p>
        </w:tc>
      </w:tr>
      <w:tr>
        <w:trPr>
          <w:trHeight w:val="189"/>
        </w:trPr>
        <w:tc>
          <w:tcPr>
            <w:tcW w:w="4480" w:type="dxa"/>
            <w:vAlign w:val="bottom"/>
            <w:tcBorders>
              <w:left w:val="single" w:sz="8" w:color="CFF0FC"/>
            </w:tcBorders>
            <w:gridSpan w:val="3"/>
            <w:shd w:val="clear" w:color="auto" w:fill="CFF0FC"/>
          </w:tcPr>
          <w:p>
            <w:pPr>
              <w:ind w:left="120"/>
              <w:spacing w:after="0"/>
              <w:rPr>
                <w:sz w:val="20"/>
                <w:szCs w:val="20"/>
                <w:color w:val="auto"/>
              </w:rPr>
            </w:pPr>
            <w:r>
              <w:rPr>
                <w:rFonts w:ascii="Arial" w:cs="Arial" w:eastAsia="Arial" w:hAnsi="Arial"/>
                <w:sz w:val="16"/>
                <w:szCs w:val="16"/>
                <w:color w:val="auto"/>
              </w:rPr>
              <w:t>Market - off-system sales</w:t>
            </w:r>
          </w:p>
        </w:tc>
        <w:tc>
          <w:tcPr>
            <w:tcW w:w="140" w:type="dxa"/>
            <w:vAlign w:val="bottom"/>
            <w:shd w:val="clear" w:color="auto" w:fill="CFF0FC"/>
          </w:tcPr>
          <w:p>
            <w:pPr>
              <w:spacing w:after="0"/>
              <w:rPr>
                <w:sz w:val="16"/>
                <w:szCs w:val="16"/>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50.9</w:t>
            </w:r>
          </w:p>
        </w:tc>
        <w:tc>
          <w:tcPr>
            <w:tcW w:w="26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0.4</w:t>
            </w:r>
          </w:p>
        </w:tc>
        <w:tc>
          <w:tcPr>
            <w:tcW w:w="220" w:type="dxa"/>
            <w:vAlign w:val="bottom"/>
            <w:shd w:val="clear" w:color="auto" w:fill="CFF0FC"/>
          </w:tcPr>
          <w:p>
            <w:pPr>
              <w:spacing w:after="0"/>
              <w:rPr>
                <w:sz w:val="16"/>
                <w:szCs w:val="16"/>
                <w:color w:val="auto"/>
              </w:rPr>
            </w:pPr>
          </w:p>
        </w:tc>
        <w:tc>
          <w:tcPr>
            <w:tcW w:w="15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51.3</w:t>
            </w:r>
          </w:p>
        </w:tc>
      </w:tr>
      <w:tr>
        <w:trPr>
          <w:trHeight w:val="189"/>
        </w:trPr>
        <w:tc>
          <w:tcPr>
            <w:tcW w:w="4480" w:type="dxa"/>
            <w:vAlign w:val="bottom"/>
            <w:gridSpan w:val="3"/>
          </w:tcPr>
          <w:p>
            <w:pPr>
              <w:ind w:left="120"/>
              <w:spacing w:after="0"/>
              <w:rPr>
                <w:sz w:val="20"/>
                <w:szCs w:val="20"/>
                <w:color w:val="auto"/>
              </w:rPr>
            </w:pPr>
            <w:r>
              <w:rPr>
                <w:rFonts w:ascii="Arial" w:cs="Arial" w:eastAsia="Arial" w:hAnsi="Arial"/>
                <w:sz w:val="16"/>
                <w:szCs w:val="16"/>
                <w:color w:val="auto"/>
              </w:rPr>
              <w:t>Transmission</w:t>
            </w:r>
          </w:p>
        </w:tc>
        <w:tc>
          <w:tcPr>
            <w:tcW w:w="1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47.1</w:t>
            </w:r>
          </w:p>
        </w:tc>
        <w:tc>
          <w:tcPr>
            <w:tcW w:w="2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0.7</w:t>
            </w:r>
          </w:p>
        </w:tc>
        <w:tc>
          <w:tcPr>
            <w:tcW w:w="220" w:type="dxa"/>
            <w:vAlign w:val="bottom"/>
          </w:tcPr>
          <w:p>
            <w:pPr>
              <w:spacing w:after="0"/>
              <w:rPr>
                <w:sz w:val="16"/>
                <w:szCs w:val="16"/>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47.8</w:t>
            </w:r>
          </w:p>
        </w:tc>
      </w:tr>
      <w:tr>
        <w:trPr>
          <w:trHeight w:val="189"/>
        </w:trPr>
        <w:tc>
          <w:tcPr>
            <w:tcW w:w="4480" w:type="dxa"/>
            <w:vAlign w:val="bottom"/>
            <w:tcBorders>
              <w:left w:val="single" w:sz="8" w:color="CFF0FC"/>
              <w:bottom w:val="single" w:sz="8" w:color="CFF0FC"/>
            </w:tcBorders>
            <w:gridSpan w:val="3"/>
            <w:shd w:val="clear" w:color="auto" w:fill="CFF0FC"/>
          </w:tcPr>
          <w:p>
            <w:pPr>
              <w:ind w:left="120"/>
              <w:spacing w:after="0"/>
              <w:rPr>
                <w:sz w:val="20"/>
                <w:szCs w:val="20"/>
                <w:color w:val="auto"/>
              </w:rPr>
            </w:pPr>
            <w:r>
              <w:rPr>
                <w:rFonts w:ascii="Arial" w:cs="Arial" w:eastAsia="Arial" w:hAnsi="Arial"/>
                <w:sz w:val="16"/>
                <w:szCs w:val="16"/>
                <w:color w:val="auto"/>
              </w:rPr>
              <w:t>Other revenues</w:t>
            </w:r>
          </w:p>
        </w:tc>
        <w:tc>
          <w:tcPr>
            <w:tcW w:w="140" w:type="dxa"/>
            <w:vAlign w:val="bottom"/>
            <w:tcBorders>
              <w:bottom w:val="single" w:sz="8" w:color="auto"/>
            </w:tcBorders>
            <w:shd w:val="clear" w:color="auto" w:fill="CFF0FC"/>
          </w:tcPr>
          <w:p>
            <w:pPr>
              <w:spacing w:after="0"/>
              <w:rPr>
                <w:sz w:val="16"/>
                <w:szCs w:val="16"/>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55.9</w:t>
            </w:r>
          </w:p>
        </w:tc>
        <w:tc>
          <w:tcPr>
            <w:tcW w:w="260" w:type="dxa"/>
            <w:vAlign w:val="bottom"/>
            <w:tcBorders>
              <w:bottom w:val="single" w:sz="8" w:color="auto"/>
            </w:tcBorders>
            <w:shd w:val="clear" w:color="auto" w:fill="CFF0FC"/>
          </w:tcPr>
          <w:p>
            <w:pPr>
              <w:spacing w:after="0"/>
              <w:rPr>
                <w:sz w:val="16"/>
                <w:szCs w:val="16"/>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38.7</w:t>
            </w:r>
          </w:p>
        </w:tc>
        <w:tc>
          <w:tcPr>
            <w:tcW w:w="220" w:type="dxa"/>
            <w:vAlign w:val="bottom"/>
            <w:tcBorders>
              <w:bottom w:val="single" w:sz="8" w:color="auto"/>
            </w:tcBorders>
            <w:shd w:val="clear" w:color="auto" w:fill="CFF0FC"/>
          </w:tcPr>
          <w:p>
            <w:pPr>
              <w:spacing w:after="0"/>
              <w:rPr>
                <w:sz w:val="16"/>
                <w:szCs w:val="16"/>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(17.4 )</w:t>
            </w:r>
          </w:p>
        </w:tc>
        <w:tc>
          <w:tcPr>
            <w:tcW w:w="36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77.2</w:t>
            </w:r>
          </w:p>
        </w:tc>
      </w:tr>
      <w:tr>
        <w:trPr>
          <w:trHeight w:val="183"/>
        </w:trPr>
        <w:tc>
          <w:tcPr>
            <w:tcW w:w="4480" w:type="dxa"/>
            <w:vAlign w:val="bottom"/>
            <w:gridSpan w:val="3"/>
          </w:tcPr>
          <w:p>
            <w:pPr>
              <w:ind w:left="120"/>
              <w:spacing w:after="0" w:line="183" w:lineRule="exact"/>
              <w:rPr>
                <w:sz w:val="20"/>
                <w:szCs w:val="20"/>
                <w:color w:val="auto"/>
              </w:rPr>
            </w:pPr>
            <w:r>
              <w:rPr>
                <w:rFonts w:ascii="Arial" w:cs="Arial" w:eastAsia="Arial" w:hAnsi="Arial"/>
                <w:sz w:val="16"/>
                <w:szCs w:val="16"/>
                <w:color w:val="auto"/>
              </w:rPr>
              <w:t>Revenue from contracts with customers</w:t>
            </w:r>
          </w:p>
        </w:tc>
        <w:tc>
          <w:tcPr>
            <w:tcW w:w="140" w:type="dxa"/>
            <w:vAlign w:val="bottom"/>
          </w:tcPr>
          <w:p>
            <w:pPr>
              <w:spacing w:after="0"/>
              <w:rPr>
                <w:sz w:val="15"/>
                <w:szCs w:val="15"/>
                <w:color w:val="auto"/>
              </w:rPr>
            </w:pPr>
          </w:p>
        </w:tc>
        <w:tc>
          <w:tcPr>
            <w:tcW w:w="1500" w:type="dxa"/>
            <w:vAlign w:val="bottom"/>
          </w:tcPr>
          <w:p>
            <w:pPr>
              <w:jc w:val="right"/>
              <w:spacing w:after="0" w:line="183" w:lineRule="exact"/>
              <w:rPr>
                <w:sz w:val="20"/>
                <w:szCs w:val="20"/>
                <w:color w:val="auto"/>
              </w:rPr>
            </w:pPr>
            <w:r>
              <w:rPr>
                <w:rFonts w:ascii="Arial" w:cs="Arial" w:eastAsia="Arial" w:hAnsi="Arial"/>
                <w:sz w:val="16"/>
                <w:szCs w:val="16"/>
                <w:color w:val="auto"/>
              </w:rPr>
              <w:t>854.2</w:t>
            </w:r>
          </w:p>
        </w:tc>
        <w:tc>
          <w:tcPr>
            <w:tcW w:w="260" w:type="dxa"/>
            <w:vAlign w:val="bottom"/>
          </w:tcPr>
          <w:p>
            <w:pPr>
              <w:spacing w:after="0"/>
              <w:rPr>
                <w:sz w:val="15"/>
                <w:szCs w:val="15"/>
                <w:color w:val="auto"/>
              </w:rPr>
            </w:pPr>
          </w:p>
        </w:tc>
        <w:tc>
          <w:tcPr>
            <w:tcW w:w="1420" w:type="dxa"/>
            <w:vAlign w:val="bottom"/>
          </w:tcPr>
          <w:p>
            <w:pPr>
              <w:jc w:val="right"/>
              <w:spacing w:after="0" w:line="183" w:lineRule="exact"/>
              <w:rPr>
                <w:sz w:val="20"/>
                <w:szCs w:val="20"/>
                <w:color w:val="auto"/>
              </w:rPr>
            </w:pPr>
            <w:r>
              <w:rPr>
                <w:rFonts w:ascii="Arial" w:cs="Arial" w:eastAsia="Arial" w:hAnsi="Arial"/>
                <w:sz w:val="16"/>
                <w:szCs w:val="16"/>
                <w:color w:val="auto"/>
              </w:rPr>
              <w:t>1,465.4</w:t>
            </w:r>
          </w:p>
        </w:tc>
        <w:tc>
          <w:tcPr>
            <w:tcW w:w="220" w:type="dxa"/>
            <w:vAlign w:val="bottom"/>
          </w:tcPr>
          <w:p>
            <w:pPr>
              <w:spacing w:after="0"/>
              <w:rPr>
                <w:sz w:val="15"/>
                <w:szCs w:val="15"/>
                <w:color w:val="auto"/>
              </w:rPr>
            </w:pPr>
          </w:p>
        </w:tc>
        <w:tc>
          <w:tcPr>
            <w:tcW w:w="1520" w:type="dxa"/>
            <w:vAlign w:val="bottom"/>
          </w:tcPr>
          <w:p>
            <w:pPr>
              <w:jc w:val="right"/>
              <w:spacing w:after="0" w:line="183" w:lineRule="exact"/>
              <w:rPr>
                <w:sz w:val="20"/>
                <w:szCs w:val="20"/>
                <w:color w:val="auto"/>
              </w:rPr>
            </w:pPr>
            <w:r>
              <w:rPr>
                <w:rFonts w:ascii="Arial" w:cs="Arial" w:eastAsia="Arial" w:hAnsi="Arial"/>
                <w:sz w:val="16"/>
                <w:szCs w:val="16"/>
                <w:color w:val="auto"/>
              </w:rPr>
              <w:t>(17.9 )</w:t>
            </w:r>
          </w:p>
        </w:tc>
        <w:tc>
          <w:tcPr>
            <w:tcW w:w="360" w:type="dxa"/>
            <w:vAlign w:val="bottom"/>
          </w:tcPr>
          <w:p>
            <w:pPr>
              <w:spacing w:after="0"/>
              <w:rPr>
                <w:sz w:val="15"/>
                <w:szCs w:val="15"/>
                <w:color w:val="auto"/>
              </w:rPr>
            </w:pPr>
          </w:p>
        </w:tc>
        <w:tc>
          <w:tcPr>
            <w:tcW w:w="1340" w:type="dxa"/>
            <w:vAlign w:val="bottom"/>
          </w:tcPr>
          <w:p>
            <w:pPr>
              <w:jc w:val="right"/>
              <w:ind w:right="59"/>
              <w:spacing w:after="0" w:line="183" w:lineRule="exact"/>
              <w:rPr>
                <w:sz w:val="20"/>
                <w:szCs w:val="20"/>
                <w:color w:val="auto"/>
              </w:rPr>
            </w:pPr>
            <w:r>
              <w:rPr>
                <w:rFonts w:ascii="Arial" w:cs="Arial" w:eastAsia="Arial" w:hAnsi="Arial"/>
                <w:sz w:val="16"/>
                <w:szCs w:val="16"/>
                <w:color w:val="auto"/>
              </w:rPr>
              <w:t>2,301.7</w:t>
            </w:r>
          </w:p>
        </w:tc>
      </w:tr>
      <w:tr>
        <w:trPr>
          <w:trHeight w:val="189"/>
        </w:trPr>
        <w:tc>
          <w:tcPr>
            <w:tcW w:w="4480" w:type="dxa"/>
            <w:vAlign w:val="bottom"/>
            <w:tcBorders>
              <w:left w:val="single" w:sz="8" w:color="CFF0FC"/>
              <w:bottom w:val="single" w:sz="8" w:color="CFF0FC"/>
            </w:tcBorders>
            <w:gridSpan w:val="3"/>
            <w:shd w:val="clear" w:color="auto" w:fill="CFF0FC"/>
          </w:tcPr>
          <w:p>
            <w:pPr>
              <w:ind w:left="120"/>
              <w:spacing w:after="0"/>
              <w:rPr>
                <w:sz w:val="20"/>
                <w:szCs w:val="20"/>
                <w:color w:val="auto"/>
              </w:rPr>
            </w:pPr>
            <w:r>
              <w:rPr>
                <w:rFonts w:ascii="Arial" w:cs="Arial" w:eastAsia="Arial" w:hAnsi="Arial"/>
                <w:sz w:val="16"/>
                <w:szCs w:val="16"/>
                <w:color w:val="auto"/>
              </w:rPr>
              <w:t>Alternative revenue and other</w:t>
            </w:r>
          </w:p>
        </w:tc>
        <w:tc>
          <w:tcPr>
            <w:tcW w:w="140" w:type="dxa"/>
            <w:vAlign w:val="bottom"/>
            <w:tcBorders>
              <w:bottom w:val="single" w:sz="8" w:color="auto"/>
            </w:tcBorders>
            <w:shd w:val="clear" w:color="auto" w:fill="CFF0FC"/>
          </w:tcPr>
          <w:p>
            <w:pPr>
              <w:spacing w:after="0"/>
              <w:rPr>
                <w:sz w:val="16"/>
                <w:szCs w:val="16"/>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10.8</w:t>
            </w:r>
          </w:p>
        </w:tc>
        <w:tc>
          <w:tcPr>
            <w:tcW w:w="260" w:type="dxa"/>
            <w:vAlign w:val="bottom"/>
            <w:tcBorders>
              <w:bottom w:val="single" w:sz="8" w:color="auto"/>
            </w:tcBorders>
            <w:shd w:val="clear" w:color="auto" w:fill="CFF0FC"/>
          </w:tcPr>
          <w:p>
            <w:pPr>
              <w:spacing w:after="0"/>
              <w:rPr>
                <w:sz w:val="16"/>
                <w:szCs w:val="16"/>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18.8</w:t>
            </w:r>
          </w:p>
        </w:tc>
        <w:tc>
          <w:tcPr>
            <w:tcW w:w="220" w:type="dxa"/>
            <w:vAlign w:val="bottom"/>
            <w:tcBorders>
              <w:bottom w:val="single" w:sz="8" w:color="auto"/>
            </w:tcBorders>
            <w:shd w:val="clear" w:color="auto" w:fill="CFF0FC"/>
          </w:tcPr>
          <w:p>
            <w:pPr>
              <w:spacing w:after="0"/>
              <w:rPr>
                <w:sz w:val="16"/>
                <w:szCs w:val="16"/>
                <w:color w:val="auto"/>
              </w:rPr>
            </w:pPr>
          </w:p>
        </w:tc>
        <w:tc>
          <w:tcPr>
            <w:tcW w:w="15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29.6</w:t>
            </w:r>
          </w:p>
        </w:tc>
      </w:tr>
      <w:tr>
        <w:trPr>
          <w:trHeight w:val="183"/>
        </w:trPr>
        <w:tc>
          <w:tcPr>
            <w:tcW w:w="4480" w:type="dxa"/>
            <w:vAlign w:val="bottom"/>
            <w:gridSpan w:val="3"/>
          </w:tcPr>
          <w:p>
            <w:pPr>
              <w:ind w:left="20"/>
              <w:spacing w:after="0" w:line="183" w:lineRule="exact"/>
              <w:rPr>
                <w:sz w:val="20"/>
                <w:szCs w:val="20"/>
                <w:color w:val="auto"/>
              </w:rPr>
            </w:pPr>
            <w:r>
              <w:rPr>
                <w:rFonts w:ascii="Arial" w:cs="Arial" w:eastAsia="Arial" w:hAnsi="Arial"/>
                <w:sz w:val="16"/>
                <w:szCs w:val="16"/>
                <w:color w:val="auto"/>
              </w:rPr>
              <w:t>Total revenues</w:t>
            </w:r>
          </w:p>
        </w:tc>
        <w:tc>
          <w:tcPr>
            <w:tcW w:w="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865.0</w:t>
            </w:r>
          </w:p>
        </w:tc>
        <w:tc>
          <w:tcPr>
            <w:tcW w:w="26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1,484.2</w:t>
            </w:r>
          </w:p>
        </w:tc>
        <w:tc>
          <w:tcPr>
            <w:tcW w:w="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gridSpan w:val="2"/>
          </w:tcPr>
          <w:p>
            <w:pPr>
              <w:jc w:val="right"/>
              <w:ind w:right="159"/>
              <w:spacing w:after="0" w:line="183" w:lineRule="exact"/>
              <w:rPr>
                <w:sz w:val="20"/>
                <w:szCs w:val="20"/>
                <w:color w:val="auto"/>
              </w:rPr>
            </w:pPr>
            <w:r>
              <w:rPr>
                <w:rFonts w:ascii="Arial" w:cs="Arial" w:eastAsia="Arial" w:hAnsi="Arial"/>
                <w:sz w:val="16"/>
                <w:szCs w:val="16"/>
                <w:color w:val="auto"/>
              </w:rPr>
              <w:t>(17.9 ) $</w:t>
            </w:r>
          </w:p>
        </w:tc>
        <w:tc>
          <w:tcPr>
            <w:tcW w:w="134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2,331.3</w:t>
            </w:r>
          </w:p>
        </w:tc>
      </w:tr>
      <w:tr>
        <w:trPr>
          <w:trHeight w:val="20"/>
        </w:trPr>
        <w:tc>
          <w:tcPr>
            <w:tcW w:w="1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69"/>
        </w:trPr>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2"/>
        </w:trPr>
        <w:tc>
          <w:tcPr>
            <w:tcW w:w="4480" w:type="dxa"/>
            <w:vAlign w:val="bottom"/>
            <w:tcBorders>
              <w:left w:val="single" w:sz="8" w:color="CFF0FC"/>
            </w:tcBorders>
            <w:gridSpan w:val="3"/>
            <w:shd w:val="clear" w:color="auto" w:fill="CFF0FC"/>
          </w:tcPr>
          <w:p>
            <w:pPr>
              <w:ind w:left="20"/>
              <w:spacing w:after="0" w:line="162" w:lineRule="exact"/>
              <w:rPr>
                <w:sz w:val="20"/>
                <w:szCs w:val="20"/>
                <w:color w:val="auto"/>
              </w:rPr>
            </w:pPr>
            <w:r>
              <w:rPr>
                <w:rFonts w:ascii="Arial" w:cs="Arial" w:eastAsia="Arial" w:hAnsi="Arial"/>
                <w:sz w:val="16"/>
                <w:szCs w:val="16"/>
                <w:color w:val="auto"/>
              </w:rPr>
              <w:t>Timing of revenue recognition:</w:t>
            </w:r>
          </w:p>
        </w:tc>
        <w:tc>
          <w:tcPr>
            <w:tcW w:w="14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r>
      <w:tr>
        <w:trPr>
          <w:trHeight w:val="27"/>
        </w:trPr>
        <w:tc>
          <w:tcPr>
            <w:tcW w:w="1200" w:type="dxa"/>
            <w:vAlign w:val="bottom"/>
            <w:tcBorders>
              <w:left w:val="single" w:sz="8" w:color="CFF0FC"/>
            </w:tcBorders>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8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5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2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520" w:type="dxa"/>
            <w:vAlign w:val="bottom"/>
            <w:shd w:val="clear" w:color="auto" w:fill="CFF0FC"/>
          </w:tcPr>
          <w:p>
            <w:pPr>
              <w:spacing w:after="0"/>
              <w:rPr>
                <w:sz w:val="2"/>
                <w:szCs w:val="2"/>
                <w:color w:val="auto"/>
              </w:rPr>
            </w:pPr>
          </w:p>
        </w:tc>
        <w:tc>
          <w:tcPr>
            <w:tcW w:w="360" w:type="dxa"/>
            <w:vAlign w:val="bottom"/>
            <w:shd w:val="clear" w:color="auto" w:fill="CFF0FC"/>
          </w:tcPr>
          <w:p>
            <w:pPr>
              <w:spacing w:after="0"/>
              <w:rPr>
                <w:sz w:val="2"/>
                <w:szCs w:val="2"/>
                <w:color w:val="auto"/>
              </w:rPr>
            </w:pPr>
          </w:p>
        </w:tc>
        <w:tc>
          <w:tcPr>
            <w:tcW w:w="1340" w:type="dxa"/>
            <w:vAlign w:val="bottom"/>
            <w:shd w:val="clear" w:color="auto" w:fill="CFF0FC"/>
          </w:tcPr>
          <w:p>
            <w:pPr>
              <w:spacing w:after="0"/>
              <w:rPr>
                <w:sz w:val="2"/>
                <w:szCs w:val="2"/>
                <w:color w:val="auto"/>
              </w:rPr>
            </w:pPr>
          </w:p>
        </w:tc>
      </w:tr>
      <w:tr>
        <w:trPr>
          <w:trHeight w:val="189"/>
        </w:trPr>
        <w:tc>
          <w:tcPr>
            <w:tcW w:w="4480" w:type="dxa"/>
            <w:vAlign w:val="bottom"/>
            <w:gridSpan w:val="3"/>
          </w:tcPr>
          <w:p>
            <w:pPr>
              <w:ind w:left="120"/>
              <w:spacing w:after="0"/>
              <w:rPr>
                <w:sz w:val="20"/>
                <w:szCs w:val="20"/>
                <w:color w:val="auto"/>
              </w:rPr>
            </w:pPr>
            <w:r>
              <w:rPr>
                <w:rFonts w:ascii="Arial" w:cs="Arial" w:eastAsia="Arial" w:hAnsi="Arial"/>
                <w:sz w:val="16"/>
                <w:szCs w:val="16"/>
                <w:color w:val="auto"/>
              </w:rPr>
              <w:t>Services transferred at a point in time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31.5</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31.5</w:t>
            </w:r>
          </w:p>
        </w:tc>
      </w:tr>
      <w:tr>
        <w:trPr>
          <w:trHeight w:val="189"/>
        </w:trPr>
        <w:tc>
          <w:tcPr>
            <w:tcW w:w="4480" w:type="dxa"/>
            <w:vAlign w:val="bottom"/>
            <w:tcBorders>
              <w:left w:val="single" w:sz="8" w:color="CFF0FC"/>
              <w:bottom w:val="single" w:sz="8" w:color="CFF0FC"/>
            </w:tcBorders>
            <w:gridSpan w:val="3"/>
            <w:shd w:val="clear" w:color="auto" w:fill="CFF0FC"/>
          </w:tcPr>
          <w:p>
            <w:pPr>
              <w:ind w:left="120"/>
              <w:spacing w:after="0"/>
              <w:rPr>
                <w:sz w:val="20"/>
                <w:szCs w:val="20"/>
                <w:color w:val="auto"/>
              </w:rPr>
            </w:pPr>
            <w:r>
              <w:rPr>
                <w:rFonts w:ascii="Arial" w:cs="Arial" w:eastAsia="Arial" w:hAnsi="Arial"/>
                <w:sz w:val="16"/>
                <w:szCs w:val="16"/>
                <w:color w:val="auto"/>
              </w:rPr>
              <w:t>Services transferred over time</w:t>
            </w:r>
          </w:p>
        </w:tc>
        <w:tc>
          <w:tcPr>
            <w:tcW w:w="140" w:type="dxa"/>
            <w:vAlign w:val="bottom"/>
            <w:tcBorders>
              <w:bottom w:val="single" w:sz="8" w:color="auto"/>
            </w:tcBorders>
            <w:shd w:val="clear" w:color="auto" w:fill="CFF0FC"/>
          </w:tcPr>
          <w:p>
            <w:pPr>
              <w:spacing w:after="0"/>
              <w:rPr>
                <w:sz w:val="16"/>
                <w:szCs w:val="16"/>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822.7</w:t>
            </w:r>
          </w:p>
        </w:tc>
        <w:tc>
          <w:tcPr>
            <w:tcW w:w="260" w:type="dxa"/>
            <w:vAlign w:val="bottom"/>
            <w:tcBorders>
              <w:bottom w:val="single" w:sz="8" w:color="auto"/>
            </w:tcBorders>
            <w:shd w:val="clear" w:color="auto" w:fill="CFF0FC"/>
          </w:tcPr>
          <w:p>
            <w:pPr>
              <w:spacing w:after="0"/>
              <w:rPr>
                <w:sz w:val="16"/>
                <w:szCs w:val="16"/>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1,465.4</w:t>
            </w:r>
          </w:p>
        </w:tc>
        <w:tc>
          <w:tcPr>
            <w:tcW w:w="220" w:type="dxa"/>
            <w:vAlign w:val="bottom"/>
            <w:tcBorders>
              <w:bottom w:val="single" w:sz="8" w:color="auto"/>
            </w:tcBorders>
            <w:shd w:val="clear" w:color="auto" w:fill="CFF0FC"/>
          </w:tcPr>
          <w:p>
            <w:pPr>
              <w:spacing w:after="0"/>
              <w:rPr>
                <w:sz w:val="16"/>
                <w:szCs w:val="16"/>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(17.9 )</w:t>
            </w:r>
          </w:p>
        </w:tc>
        <w:tc>
          <w:tcPr>
            <w:tcW w:w="36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2,270.2</w:t>
            </w:r>
          </w:p>
        </w:tc>
      </w:tr>
      <w:tr>
        <w:trPr>
          <w:trHeight w:val="183"/>
        </w:trPr>
        <w:tc>
          <w:tcPr>
            <w:tcW w:w="4480" w:type="dxa"/>
            <w:vAlign w:val="bottom"/>
            <w:gridSpan w:val="3"/>
          </w:tcPr>
          <w:p>
            <w:pPr>
              <w:ind w:left="120"/>
              <w:spacing w:after="0" w:line="183" w:lineRule="exact"/>
              <w:rPr>
                <w:sz w:val="20"/>
                <w:szCs w:val="20"/>
                <w:color w:val="auto"/>
              </w:rPr>
            </w:pPr>
            <w:r>
              <w:rPr>
                <w:rFonts w:ascii="Arial" w:cs="Arial" w:eastAsia="Arial" w:hAnsi="Arial"/>
                <w:sz w:val="16"/>
                <w:szCs w:val="16"/>
                <w:color w:val="auto"/>
              </w:rPr>
              <w:t>Revenue from contracts with customers</w:t>
            </w:r>
          </w:p>
        </w:tc>
        <w:tc>
          <w:tcPr>
            <w:tcW w:w="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854.2</w:t>
            </w:r>
          </w:p>
        </w:tc>
        <w:tc>
          <w:tcPr>
            <w:tcW w:w="26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1,465.4</w:t>
            </w:r>
          </w:p>
        </w:tc>
        <w:tc>
          <w:tcPr>
            <w:tcW w:w="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gridSpan w:val="2"/>
          </w:tcPr>
          <w:p>
            <w:pPr>
              <w:jc w:val="right"/>
              <w:ind w:right="159"/>
              <w:spacing w:after="0" w:line="183" w:lineRule="exact"/>
              <w:rPr>
                <w:sz w:val="20"/>
                <w:szCs w:val="20"/>
                <w:color w:val="auto"/>
              </w:rPr>
            </w:pPr>
            <w:r>
              <w:rPr>
                <w:rFonts w:ascii="Arial" w:cs="Arial" w:eastAsia="Arial" w:hAnsi="Arial"/>
                <w:sz w:val="16"/>
                <w:szCs w:val="16"/>
                <w:color w:val="auto"/>
              </w:rPr>
              <w:t>(17.9 ) $</w:t>
            </w:r>
          </w:p>
        </w:tc>
        <w:tc>
          <w:tcPr>
            <w:tcW w:w="134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2,301.7</w:t>
            </w:r>
          </w:p>
        </w:tc>
      </w:tr>
      <w:tr>
        <w:trPr>
          <w:trHeight w:val="20"/>
        </w:trPr>
        <w:tc>
          <w:tcPr>
            <w:tcW w:w="1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344"/>
        </w:trPr>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jc w:val="right"/>
              <w:ind w:right="299"/>
              <w:spacing w:after="0"/>
              <w:rPr>
                <w:sz w:val="20"/>
                <w:szCs w:val="20"/>
                <w:color w:val="auto"/>
              </w:rPr>
            </w:pPr>
            <w:r>
              <w:rPr>
                <w:rFonts w:ascii="Arial" w:cs="Arial" w:eastAsia="Arial" w:hAnsi="Arial"/>
                <w:sz w:val="16"/>
                <w:szCs w:val="16"/>
                <w:b w:val="1"/>
                <w:bCs w:val="1"/>
                <w:color w:val="auto"/>
              </w:rPr>
              <w:t>Inter-segment</w:t>
            </w: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03"/>
        </w:trPr>
        <w:tc>
          <w:tcPr>
            <w:tcW w:w="448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Year ended December 31, 2022</w:t>
            </w: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Electric Utilities</w:t>
            </w: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Gas Utilities</w:t>
            </w: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Eliminations</w:t>
            </w:r>
          </w:p>
        </w:tc>
        <w:tc>
          <w:tcPr>
            <w:tcW w:w="3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Total</w:t>
            </w:r>
          </w:p>
        </w:tc>
      </w:tr>
      <w:tr>
        <w:trPr>
          <w:trHeight w:val="196"/>
        </w:trPr>
        <w:tc>
          <w:tcPr>
            <w:tcW w:w="4480" w:type="dxa"/>
            <w:vAlign w:val="bottom"/>
            <w:tcBorders>
              <w:left w:val="single" w:sz="8" w:color="CFF0FC"/>
            </w:tcBorders>
            <w:gridSpan w:val="3"/>
            <w:shd w:val="clear" w:color="auto" w:fill="CFF0FC"/>
          </w:tcPr>
          <w:p>
            <w:pPr>
              <w:ind w:left="20"/>
              <w:spacing w:after="0" w:line="155" w:lineRule="exact"/>
              <w:rPr>
                <w:sz w:val="20"/>
                <w:szCs w:val="20"/>
                <w:color w:val="auto"/>
              </w:rPr>
            </w:pPr>
            <w:r>
              <w:rPr>
                <w:rFonts w:ascii="Arial" w:cs="Arial" w:eastAsia="Arial" w:hAnsi="Arial"/>
                <w:sz w:val="16"/>
                <w:szCs w:val="16"/>
                <w:color w:val="auto"/>
              </w:rPr>
              <w:t>Customer types:</w:t>
            </w:r>
          </w:p>
        </w:tc>
        <w:tc>
          <w:tcPr>
            <w:tcW w:w="14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160" w:type="dxa"/>
            <w:vAlign w:val="bottom"/>
            <w:gridSpan w:val="3"/>
            <w:shd w:val="clear" w:color="auto" w:fill="CFF0FC"/>
          </w:tcPr>
          <w:p>
            <w:pPr>
              <w:jc w:val="right"/>
              <w:ind w:right="1239"/>
              <w:spacing w:after="0" w:line="155" w:lineRule="exact"/>
              <w:rPr>
                <w:sz w:val="20"/>
                <w:szCs w:val="20"/>
                <w:color w:val="auto"/>
              </w:rPr>
            </w:pPr>
            <w:r>
              <w:rPr>
                <w:rFonts w:ascii="Arial" w:cs="Arial" w:eastAsia="Arial" w:hAnsi="Arial"/>
                <w:sz w:val="16"/>
                <w:szCs w:val="16"/>
                <w:color w:val="auto"/>
              </w:rPr>
              <w:t>(in millions)</w:t>
            </w:r>
          </w:p>
        </w:tc>
        <w:tc>
          <w:tcPr>
            <w:tcW w:w="36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r>
      <w:tr>
        <w:trPr>
          <w:trHeight w:val="169"/>
        </w:trPr>
        <w:tc>
          <w:tcPr>
            <w:tcW w:w="1200" w:type="dxa"/>
            <w:vAlign w:val="bottom"/>
            <w:tcBorders>
              <w:top w:val="single" w:sz="8" w:color="auto"/>
            </w:tcBorders>
          </w:tcPr>
          <w:p>
            <w:pPr>
              <w:ind w:left="120"/>
              <w:spacing w:after="0" w:line="170" w:lineRule="exact"/>
              <w:rPr>
                <w:sz w:val="20"/>
                <w:szCs w:val="20"/>
                <w:color w:val="auto"/>
              </w:rPr>
            </w:pPr>
            <w:r>
              <w:rPr>
                <w:rFonts w:ascii="Arial" w:cs="Arial" w:eastAsia="Arial" w:hAnsi="Arial"/>
                <w:sz w:val="16"/>
                <w:szCs w:val="16"/>
                <w:color w:val="auto"/>
              </w:rPr>
              <w:t>Retail</w:t>
            </w:r>
          </w:p>
        </w:tc>
        <w:tc>
          <w:tcPr>
            <w:tcW w:w="3280" w:type="dxa"/>
            <w:vAlign w:val="bottom"/>
            <w:tcBorders>
              <w:top w:val="single" w:sz="8" w:color="CFF0FC"/>
            </w:tcBorders>
            <w:gridSpan w:val="2"/>
          </w:tcPr>
          <w:p>
            <w:pPr>
              <w:spacing w:after="0"/>
              <w:rPr>
                <w:sz w:val="14"/>
                <w:szCs w:val="14"/>
                <w:color w:val="auto"/>
              </w:rPr>
            </w:pPr>
          </w:p>
        </w:tc>
        <w:tc>
          <w:tcPr>
            <w:tcW w:w="14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6"/>
                <w:szCs w:val="16"/>
                <w:color w:val="auto"/>
              </w:rPr>
              <w:t>$</w:t>
            </w:r>
          </w:p>
        </w:tc>
        <w:tc>
          <w:tcPr>
            <w:tcW w:w="15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6"/>
                <w:szCs w:val="16"/>
                <w:color w:val="auto"/>
              </w:rPr>
              <w:t>709.2</w:t>
            </w:r>
          </w:p>
        </w:tc>
        <w:tc>
          <w:tcPr>
            <w:tcW w:w="260" w:type="dxa"/>
            <w:vAlign w:val="bottom"/>
            <w:tcBorders>
              <w:top w:val="single" w:sz="8" w:color="auto"/>
            </w:tcBorders>
          </w:tcPr>
          <w:p>
            <w:pPr>
              <w:jc w:val="right"/>
              <w:ind w:right="19"/>
              <w:spacing w:after="0" w:line="170" w:lineRule="exact"/>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6"/>
                <w:szCs w:val="16"/>
                <w:color w:val="auto"/>
              </w:rPr>
              <w:t>1,453.3</w:t>
            </w:r>
          </w:p>
        </w:tc>
        <w:tc>
          <w:tcPr>
            <w:tcW w:w="2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tcPr>
          <w:p>
            <w:pPr>
              <w:jc w:val="right"/>
              <w:ind w:right="39"/>
              <w:spacing w:after="0" w:line="170" w:lineRule="exact"/>
              <w:rPr>
                <w:sz w:val="20"/>
                <w:szCs w:val="20"/>
                <w:color w:val="auto"/>
              </w:rPr>
            </w:pPr>
            <w:r>
              <w:rPr>
                <w:rFonts w:ascii="Arial" w:cs="Arial" w:eastAsia="Arial" w:hAnsi="Arial"/>
                <w:sz w:val="16"/>
                <w:szCs w:val="16"/>
                <w:color w:val="auto"/>
              </w:rPr>
              <w:t>—</w:t>
            </w:r>
          </w:p>
        </w:tc>
        <w:tc>
          <w:tcPr>
            <w:tcW w:w="360" w:type="dxa"/>
            <w:vAlign w:val="bottom"/>
            <w:tcBorders>
              <w:top w:val="single" w:sz="8" w:color="auto"/>
            </w:tcBorders>
          </w:tcPr>
          <w:p>
            <w:pPr>
              <w:jc w:val="right"/>
              <w:ind w:right="159"/>
              <w:spacing w:after="0" w:line="170" w:lineRule="exact"/>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tcPr>
          <w:p>
            <w:pPr>
              <w:jc w:val="right"/>
              <w:ind w:right="59"/>
              <w:spacing w:after="0" w:line="170" w:lineRule="exact"/>
              <w:rPr>
                <w:sz w:val="20"/>
                <w:szCs w:val="20"/>
                <w:color w:val="auto"/>
              </w:rPr>
            </w:pPr>
            <w:r>
              <w:rPr>
                <w:rFonts w:ascii="Arial" w:cs="Arial" w:eastAsia="Arial" w:hAnsi="Arial"/>
                <w:sz w:val="16"/>
                <w:szCs w:val="16"/>
                <w:color w:val="auto"/>
              </w:rPr>
              <w:t>2,162.5</w:t>
            </w:r>
          </w:p>
        </w:tc>
      </w:tr>
      <w:tr>
        <w:trPr>
          <w:trHeight w:val="189"/>
        </w:trPr>
        <w:tc>
          <w:tcPr>
            <w:tcW w:w="4480" w:type="dxa"/>
            <w:vAlign w:val="bottom"/>
            <w:tcBorders>
              <w:left w:val="single" w:sz="8" w:color="CFF0FC"/>
            </w:tcBorders>
            <w:gridSpan w:val="3"/>
            <w:shd w:val="clear" w:color="auto" w:fill="CFF0FC"/>
          </w:tcPr>
          <w:p>
            <w:pPr>
              <w:ind w:left="120"/>
              <w:spacing w:after="0"/>
              <w:rPr>
                <w:sz w:val="20"/>
                <w:szCs w:val="20"/>
                <w:color w:val="auto"/>
              </w:rPr>
            </w:pPr>
            <w:r>
              <w:rPr>
                <w:rFonts w:ascii="Arial" w:cs="Arial" w:eastAsia="Arial" w:hAnsi="Arial"/>
                <w:sz w:val="16"/>
                <w:szCs w:val="16"/>
                <w:color w:val="auto"/>
              </w:rPr>
              <w:t>Transportation</w:t>
            </w:r>
          </w:p>
        </w:tc>
        <w:tc>
          <w:tcPr>
            <w:tcW w:w="140" w:type="dxa"/>
            <w:vAlign w:val="bottom"/>
            <w:shd w:val="clear" w:color="auto" w:fill="CFF0FC"/>
          </w:tcPr>
          <w:p>
            <w:pPr>
              <w:spacing w:after="0"/>
              <w:rPr>
                <w:sz w:val="16"/>
                <w:szCs w:val="16"/>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173.3</w:t>
            </w:r>
          </w:p>
        </w:tc>
        <w:tc>
          <w:tcPr>
            <w:tcW w:w="220" w:type="dxa"/>
            <w:vAlign w:val="bottom"/>
            <w:shd w:val="clear" w:color="auto" w:fill="CFF0FC"/>
          </w:tcPr>
          <w:p>
            <w:pPr>
              <w:spacing w:after="0"/>
              <w:rPr>
                <w:sz w:val="16"/>
                <w:szCs w:val="16"/>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(0.4 )</w:t>
            </w:r>
          </w:p>
        </w:tc>
        <w:tc>
          <w:tcPr>
            <w:tcW w:w="36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172.9</w:t>
            </w:r>
          </w:p>
        </w:tc>
      </w:tr>
      <w:tr>
        <w:trPr>
          <w:trHeight w:val="189"/>
        </w:trPr>
        <w:tc>
          <w:tcPr>
            <w:tcW w:w="4480" w:type="dxa"/>
            <w:vAlign w:val="bottom"/>
            <w:gridSpan w:val="3"/>
          </w:tcPr>
          <w:p>
            <w:pPr>
              <w:ind w:left="120"/>
              <w:spacing w:after="0"/>
              <w:rPr>
                <w:sz w:val="20"/>
                <w:szCs w:val="20"/>
                <w:color w:val="auto"/>
              </w:rPr>
            </w:pPr>
            <w:r>
              <w:rPr>
                <w:rFonts w:ascii="Arial" w:cs="Arial" w:eastAsia="Arial" w:hAnsi="Arial"/>
                <w:sz w:val="16"/>
                <w:szCs w:val="16"/>
                <w:color w:val="auto"/>
              </w:rPr>
              <w:t>Wholesale</w:t>
            </w:r>
          </w:p>
        </w:tc>
        <w:tc>
          <w:tcPr>
            <w:tcW w:w="1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44.8</w:t>
            </w:r>
          </w:p>
        </w:tc>
        <w:tc>
          <w:tcPr>
            <w:tcW w:w="2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44.8</w:t>
            </w:r>
          </w:p>
        </w:tc>
      </w:tr>
      <w:tr>
        <w:trPr>
          <w:trHeight w:val="189"/>
        </w:trPr>
        <w:tc>
          <w:tcPr>
            <w:tcW w:w="4480" w:type="dxa"/>
            <w:vAlign w:val="bottom"/>
            <w:tcBorders>
              <w:left w:val="single" w:sz="8" w:color="CFF0FC"/>
            </w:tcBorders>
            <w:gridSpan w:val="3"/>
            <w:shd w:val="clear" w:color="auto" w:fill="CFF0FC"/>
          </w:tcPr>
          <w:p>
            <w:pPr>
              <w:ind w:left="120"/>
              <w:spacing w:after="0"/>
              <w:rPr>
                <w:sz w:val="20"/>
                <w:szCs w:val="20"/>
                <w:color w:val="auto"/>
              </w:rPr>
            </w:pPr>
            <w:r>
              <w:rPr>
                <w:rFonts w:ascii="Arial" w:cs="Arial" w:eastAsia="Arial" w:hAnsi="Arial"/>
                <w:sz w:val="16"/>
                <w:szCs w:val="16"/>
                <w:color w:val="auto"/>
              </w:rPr>
              <w:t>Market - off-system sales</w:t>
            </w:r>
          </w:p>
        </w:tc>
        <w:tc>
          <w:tcPr>
            <w:tcW w:w="140" w:type="dxa"/>
            <w:vAlign w:val="bottom"/>
            <w:shd w:val="clear" w:color="auto" w:fill="CFF0FC"/>
          </w:tcPr>
          <w:p>
            <w:pPr>
              <w:spacing w:after="0"/>
              <w:rPr>
                <w:sz w:val="16"/>
                <w:szCs w:val="16"/>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48.6</w:t>
            </w:r>
          </w:p>
        </w:tc>
        <w:tc>
          <w:tcPr>
            <w:tcW w:w="26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0.8</w:t>
            </w:r>
          </w:p>
        </w:tc>
        <w:tc>
          <w:tcPr>
            <w:tcW w:w="220" w:type="dxa"/>
            <w:vAlign w:val="bottom"/>
            <w:shd w:val="clear" w:color="auto" w:fill="CFF0FC"/>
          </w:tcPr>
          <w:p>
            <w:pPr>
              <w:spacing w:after="0"/>
              <w:rPr>
                <w:sz w:val="16"/>
                <w:szCs w:val="16"/>
                <w:color w:val="auto"/>
              </w:rPr>
            </w:pPr>
          </w:p>
        </w:tc>
        <w:tc>
          <w:tcPr>
            <w:tcW w:w="15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49.4</w:t>
            </w:r>
          </w:p>
        </w:tc>
      </w:tr>
      <w:tr>
        <w:trPr>
          <w:trHeight w:val="189"/>
        </w:trPr>
        <w:tc>
          <w:tcPr>
            <w:tcW w:w="4480" w:type="dxa"/>
            <w:vAlign w:val="bottom"/>
            <w:gridSpan w:val="3"/>
          </w:tcPr>
          <w:p>
            <w:pPr>
              <w:ind w:left="120"/>
              <w:spacing w:after="0"/>
              <w:rPr>
                <w:sz w:val="20"/>
                <w:szCs w:val="20"/>
                <w:color w:val="auto"/>
              </w:rPr>
            </w:pPr>
            <w:r>
              <w:rPr>
                <w:rFonts w:ascii="Arial" w:cs="Arial" w:eastAsia="Arial" w:hAnsi="Arial"/>
                <w:sz w:val="16"/>
                <w:szCs w:val="16"/>
                <w:color w:val="auto"/>
              </w:rPr>
              <w:t>Transmission</w:t>
            </w:r>
          </w:p>
        </w:tc>
        <w:tc>
          <w:tcPr>
            <w:tcW w:w="1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40.5</w:t>
            </w:r>
          </w:p>
        </w:tc>
        <w:tc>
          <w:tcPr>
            <w:tcW w:w="2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0.8</w:t>
            </w:r>
          </w:p>
        </w:tc>
        <w:tc>
          <w:tcPr>
            <w:tcW w:w="220" w:type="dxa"/>
            <w:vAlign w:val="bottom"/>
          </w:tcPr>
          <w:p>
            <w:pPr>
              <w:spacing w:after="0"/>
              <w:rPr>
                <w:sz w:val="16"/>
                <w:szCs w:val="16"/>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41.3</w:t>
            </w:r>
          </w:p>
        </w:tc>
      </w:tr>
      <w:tr>
        <w:trPr>
          <w:trHeight w:val="189"/>
        </w:trPr>
        <w:tc>
          <w:tcPr>
            <w:tcW w:w="4480" w:type="dxa"/>
            <w:vAlign w:val="bottom"/>
            <w:tcBorders>
              <w:left w:val="single" w:sz="8" w:color="CFF0FC"/>
              <w:bottom w:val="single" w:sz="8" w:color="CFF0FC"/>
            </w:tcBorders>
            <w:gridSpan w:val="3"/>
            <w:shd w:val="clear" w:color="auto" w:fill="CFF0FC"/>
          </w:tcPr>
          <w:p>
            <w:pPr>
              <w:ind w:left="120"/>
              <w:spacing w:after="0"/>
              <w:rPr>
                <w:sz w:val="20"/>
                <w:szCs w:val="20"/>
                <w:color w:val="auto"/>
              </w:rPr>
            </w:pPr>
            <w:r>
              <w:rPr>
                <w:rFonts w:ascii="Arial" w:cs="Arial" w:eastAsia="Arial" w:hAnsi="Arial"/>
                <w:sz w:val="16"/>
                <w:szCs w:val="16"/>
                <w:color w:val="auto"/>
              </w:rPr>
              <w:t>Other revenues</w:t>
            </w:r>
          </w:p>
        </w:tc>
        <w:tc>
          <w:tcPr>
            <w:tcW w:w="140" w:type="dxa"/>
            <w:vAlign w:val="bottom"/>
            <w:tcBorders>
              <w:bottom w:val="single" w:sz="8" w:color="auto"/>
            </w:tcBorders>
            <w:shd w:val="clear" w:color="auto" w:fill="CFF0FC"/>
          </w:tcPr>
          <w:p>
            <w:pPr>
              <w:spacing w:after="0"/>
              <w:rPr>
                <w:sz w:val="16"/>
                <w:szCs w:val="16"/>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51.5</w:t>
            </w:r>
          </w:p>
        </w:tc>
        <w:tc>
          <w:tcPr>
            <w:tcW w:w="260" w:type="dxa"/>
            <w:vAlign w:val="bottom"/>
            <w:tcBorders>
              <w:bottom w:val="single" w:sz="8" w:color="auto"/>
            </w:tcBorders>
            <w:shd w:val="clear" w:color="auto" w:fill="CFF0FC"/>
          </w:tcPr>
          <w:p>
            <w:pPr>
              <w:spacing w:after="0"/>
              <w:rPr>
                <w:sz w:val="16"/>
                <w:szCs w:val="16"/>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37.1</w:t>
            </w:r>
          </w:p>
        </w:tc>
        <w:tc>
          <w:tcPr>
            <w:tcW w:w="220" w:type="dxa"/>
            <w:vAlign w:val="bottom"/>
            <w:tcBorders>
              <w:bottom w:val="single" w:sz="8" w:color="auto"/>
            </w:tcBorders>
            <w:shd w:val="clear" w:color="auto" w:fill="CFF0FC"/>
          </w:tcPr>
          <w:p>
            <w:pPr>
              <w:spacing w:after="0"/>
              <w:rPr>
                <w:sz w:val="16"/>
                <w:szCs w:val="16"/>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(16.6 )</w:t>
            </w:r>
          </w:p>
        </w:tc>
        <w:tc>
          <w:tcPr>
            <w:tcW w:w="36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72.0</w:t>
            </w:r>
          </w:p>
        </w:tc>
      </w:tr>
      <w:tr>
        <w:trPr>
          <w:trHeight w:val="183"/>
        </w:trPr>
        <w:tc>
          <w:tcPr>
            <w:tcW w:w="4480" w:type="dxa"/>
            <w:vAlign w:val="bottom"/>
            <w:gridSpan w:val="3"/>
          </w:tcPr>
          <w:p>
            <w:pPr>
              <w:ind w:left="120"/>
              <w:spacing w:after="0" w:line="183" w:lineRule="exact"/>
              <w:rPr>
                <w:sz w:val="20"/>
                <w:szCs w:val="20"/>
                <w:color w:val="auto"/>
              </w:rPr>
            </w:pPr>
            <w:r>
              <w:rPr>
                <w:rFonts w:ascii="Arial" w:cs="Arial" w:eastAsia="Arial" w:hAnsi="Arial"/>
                <w:sz w:val="16"/>
                <w:szCs w:val="16"/>
                <w:color w:val="auto"/>
              </w:rPr>
              <w:t>Revenue from contracts with customers</w:t>
            </w:r>
          </w:p>
        </w:tc>
        <w:tc>
          <w:tcPr>
            <w:tcW w:w="140" w:type="dxa"/>
            <w:vAlign w:val="bottom"/>
          </w:tcPr>
          <w:p>
            <w:pPr>
              <w:spacing w:after="0"/>
              <w:rPr>
                <w:sz w:val="15"/>
                <w:szCs w:val="15"/>
                <w:color w:val="auto"/>
              </w:rPr>
            </w:pPr>
          </w:p>
        </w:tc>
        <w:tc>
          <w:tcPr>
            <w:tcW w:w="1500" w:type="dxa"/>
            <w:vAlign w:val="bottom"/>
          </w:tcPr>
          <w:p>
            <w:pPr>
              <w:jc w:val="right"/>
              <w:spacing w:after="0" w:line="183" w:lineRule="exact"/>
              <w:rPr>
                <w:sz w:val="20"/>
                <w:szCs w:val="20"/>
                <w:color w:val="auto"/>
              </w:rPr>
            </w:pPr>
            <w:r>
              <w:rPr>
                <w:rFonts w:ascii="Arial" w:cs="Arial" w:eastAsia="Arial" w:hAnsi="Arial"/>
                <w:sz w:val="16"/>
                <w:szCs w:val="16"/>
                <w:color w:val="auto"/>
              </w:rPr>
              <w:t>894.6</w:t>
            </w:r>
          </w:p>
        </w:tc>
        <w:tc>
          <w:tcPr>
            <w:tcW w:w="260" w:type="dxa"/>
            <w:vAlign w:val="bottom"/>
          </w:tcPr>
          <w:p>
            <w:pPr>
              <w:spacing w:after="0"/>
              <w:rPr>
                <w:sz w:val="15"/>
                <w:szCs w:val="15"/>
                <w:color w:val="auto"/>
              </w:rPr>
            </w:pPr>
          </w:p>
        </w:tc>
        <w:tc>
          <w:tcPr>
            <w:tcW w:w="1420" w:type="dxa"/>
            <w:vAlign w:val="bottom"/>
          </w:tcPr>
          <w:p>
            <w:pPr>
              <w:jc w:val="right"/>
              <w:spacing w:after="0" w:line="183" w:lineRule="exact"/>
              <w:rPr>
                <w:sz w:val="20"/>
                <w:szCs w:val="20"/>
                <w:color w:val="auto"/>
              </w:rPr>
            </w:pPr>
            <w:r>
              <w:rPr>
                <w:rFonts w:ascii="Arial" w:cs="Arial" w:eastAsia="Arial" w:hAnsi="Arial"/>
                <w:sz w:val="16"/>
                <w:szCs w:val="16"/>
                <w:color w:val="auto"/>
              </w:rPr>
              <w:t>1,665.3</w:t>
            </w:r>
          </w:p>
        </w:tc>
        <w:tc>
          <w:tcPr>
            <w:tcW w:w="220" w:type="dxa"/>
            <w:vAlign w:val="bottom"/>
          </w:tcPr>
          <w:p>
            <w:pPr>
              <w:spacing w:after="0"/>
              <w:rPr>
                <w:sz w:val="15"/>
                <w:szCs w:val="15"/>
                <w:color w:val="auto"/>
              </w:rPr>
            </w:pPr>
          </w:p>
        </w:tc>
        <w:tc>
          <w:tcPr>
            <w:tcW w:w="1520" w:type="dxa"/>
            <w:vAlign w:val="bottom"/>
          </w:tcPr>
          <w:p>
            <w:pPr>
              <w:jc w:val="right"/>
              <w:spacing w:after="0" w:line="183" w:lineRule="exact"/>
              <w:rPr>
                <w:sz w:val="20"/>
                <w:szCs w:val="20"/>
                <w:color w:val="auto"/>
              </w:rPr>
            </w:pPr>
            <w:r>
              <w:rPr>
                <w:rFonts w:ascii="Arial" w:cs="Arial" w:eastAsia="Arial" w:hAnsi="Arial"/>
                <w:sz w:val="16"/>
                <w:szCs w:val="16"/>
                <w:color w:val="auto"/>
              </w:rPr>
              <w:t>(17.0 )</w:t>
            </w:r>
          </w:p>
        </w:tc>
        <w:tc>
          <w:tcPr>
            <w:tcW w:w="360" w:type="dxa"/>
            <w:vAlign w:val="bottom"/>
          </w:tcPr>
          <w:p>
            <w:pPr>
              <w:spacing w:after="0"/>
              <w:rPr>
                <w:sz w:val="15"/>
                <w:szCs w:val="15"/>
                <w:color w:val="auto"/>
              </w:rPr>
            </w:pPr>
          </w:p>
        </w:tc>
        <w:tc>
          <w:tcPr>
            <w:tcW w:w="1340" w:type="dxa"/>
            <w:vAlign w:val="bottom"/>
          </w:tcPr>
          <w:p>
            <w:pPr>
              <w:jc w:val="right"/>
              <w:ind w:right="59"/>
              <w:spacing w:after="0" w:line="183" w:lineRule="exact"/>
              <w:rPr>
                <w:sz w:val="20"/>
                <w:szCs w:val="20"/>
                <w:color w:val="auto"/>
              </w:rPr>
            </w:pPr>
            <w:r>
              <w:rPr>
                <w:rFonts w:ascii="Arial" w:cs="Arial" w:eastAsia="Arial" w:hAnsi="Arial"/>
                <w:sz w:val="16"/>
                <w:szCs w:val="16"/>
                <w:color w:val="auto"/>
              </w:rPr>
              <w:t>2,542.9</w:t>
            </w:r>
          </w:p>
        </w:tc>
      </w:tr>
      <w:tr>
        <w:trPr>
          <w:trHeight w:val="189"/>
        </w:trPr>
        <w:tc>
          <w:tcPr>
            <w:tcW w:w="4480" w:type="dxa"/>
            <w:vAlign w:val="bottom"/>
            <w:tcBorders>
              <w:left w:val="single" w:sz="8" w:color="CFF0FC"/>
              <w:bottom w:val="single" w:sz="8" w:color="CFF0FC"/>
            </w:tcBorders>
            <w:gridSpan w:val="3"/>
            <w:shd w:val="clear" w:color="auto" w:fill="CFF0FC"/>
          </w:tcPr>
          <w:p>
            <w:pPr>
              <w:ind w:left="120"/>
              <w:spacing w:after="0"/>
              <w:rPr>
                <w:sz w:val="20"/>
                <w:szCs w:val="20"/>
                <w:color w:val="auto"/>
              </w:rPr>
            </w:pPr>
            <w:r>
              <w:rPr>
                <w:rFonts w:ascii="Arial" w:cs="Arial" w:eastAsia="Arial" w:hAnsi="Arial"/>
                <w:sz w:val="16"/>
                <w:szCs w:val="16"/>
                <w:color w:val="auto"/>
              </w:rPr>
              <w:t>Alternative revenue and other</w:t>
            </w:r>
          </w:p>
        </w:tc>
        <w:tc>
          <w:tcPr>
            <w:tcW w:w="140" w:type="dxa"/>
            <w:vAlign w:val="bottom"/>
            <w:tcBorders>
              <w:bottom w:val="single" w:sz="8" w:color="auto"/>
            </w:tcBorders>
            <w:shd w:val="clear" w:color="auto" w:fill="CFF0FC"/>
          </w:tcPr>
          <w:p>
            <w:pPr>
              <w:spacing w:after="0"/>
              <w:rPr>
                <w:sz w:val="16"/>
                <w:szCs w:val="16"/>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w:t>
            </w:r>
          </w:p>
        </w:tc>
        <w:tc>
          <w:tcPr>
            <w:tcW w:w="260" w:type="dxa"/>
            <w:vAlign w:val="bottom"/>
            <w:tcBorders>
              <w:bottom w:val="single" w:sz="8" w:color="auto"/>
            </w:tcBorders>
            <w:shd w:val="clear" w:color="auto" w:fill="CFF0FC"/>
          </w:tcPr>
          <w:p>
            <w:pPr>
              <w:spacing w:after="0"/>
              <w:rPr>
                <w:sz w:val="16"/>
                <w:szCs w:val="16"/>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w:t>
            </w:r>
          </w:p>
        </w:tc>
        <w:tc>
          <w:tcPr>
            <w:tcW w:w="220" w:type="dxa"/>
            <w:vAlign w:val="bottom"/>
            <w:tcBorders>
              <w:bottom w:val="single" w:sz="8" w:color="auto"/>
            </w:tcBorders>
            <w:shd w:val="clear" w:color="auto" w:fill="CFF0FC"/>
          </w:tcPr>
          <w:p>
            <w:pPr>
              <w:spacing w:after="0"/>
              <w:rPr>
                <w:sz w:val="16"/>
                <w:szCs w:val="16"/>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(0.5 )</w:t>
            </w:r>
          </w:p>
        </w:tc>
        <w:tc>
          <w:tcPr>
            <w:tcW w:w="36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8.9</w:t>
            </w:r>
          </w:p>
        </w:tc>
      </w:tr>
      <w:tr>
        <w:trPr>
          <w:trHeight w:val="183"/>
        </w:trPr>
        <w:tc>
          <w:tcPr>
            <w:tcW w:w="4480" w:type="dxa"/>
            <w:vAlign w:val="bottom"/>
            <w:gridSpan w:val="3"/>
          </w:tcPr>
          <w:p>
            <w:pPr>
              <w:ind w:left="20"/>
              <w:spacing w:after="0" w:line="183" w:lineRule="exact"/>
              <w:rPr>
                <w:sz w:val="20"/>
                <w:szCs w:val="20"/>
                <w:color w:val="auto"/>
              </w:rPr>
            </w:pPr>
            <w:r>
              <w:rPr>
                <w:rFonts w:ascii="Arial" w:cs="Arial" w:eastAsia="Arial" w:hAnsi="Arial"/>
                <w:sz w:val="16"/>
                <w:szCs w:val="16"/>
                <w:color w:val="auto"/>
              </w:rPr>
              <w:t>Total revenues</w:t>
            </w:r>
          </w:p>
        </w:tc>
        <w:tc>
          <w:tcPr>
            <w:tcW w:w="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900.2</w:t>
            </w:r>
          </w:p>
        </w:tc>
        <w:tc>
          <w:tcPr>
            <w:tcW w:w="26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1,669.1</w:t>
            </w:r>
          </w:p>
        </w:tc>
        <w:tc>
          <w:tcPr>
            <w:tcW w:w="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gridSpan w:val="2"/>
          </w:tcPr>
          <w:p>
            <w:pPr>
              <w:jc w:val="right"/>
              <w:ind w:right="159"/>
              <w:spacing w:after="0" w:line="183" w:lineRule="exact"/>
              <w:rPr>
                <w:sz w:val="20"/>
                <w:szCs w:val="20"/>
                <w:color w:val="auto"/>
              </w:rPr>
            </w:pPr>
            <w:r>
              <w:rPr>
                <w:rFonts w:ascii="Arial" w:cs="Arial" w:eastAsia="Arial" w:hAnsi="Arial"/>
                <w:sz w:val="16"/>
                <w:szCs w:val="16"/>
                <w:color w:val="auto"/>
              </w:rPr>
              <w:t>(17.5 ) $</w:t>
            </w:r>
          </w:p>
        </w:tc>
        <w:tc>
          <w:tcPr>
            <w:tcW w:w="134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2,551.8</w:t>
            </w:r>
          </w:p>
        </w:tc>
      </w:tr>
      <w:tr>
        <w:trPr>
          <w:trHeight w:val="20"/>
        </w:trPr>
        <w:tc>
          <w:tcPr>
            <w:tcW w:w="1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70"/>
        </w:trPr>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2"/>
        </w:trPr>
        <w:tc>
          <w:tcPr>
            <w:tcW w:w="4480" w:type="dxa"/>
            <w:vAlign w:val="bottom"/>
            <w:tcBorders>
              <w:left w:val="single" w:sz="8" w:color="CFF0FC"/>
            </w:tcBorders>
            <w:gridSpan w:val="3"/>
            <w:shd w:val="clear" w:color="auto" w:fill="CFF0FC"/>
          </w:tcPr>
          <w:p>
            <w:pPr>
              <w:ind w:left="20"/>
              <w:spacing w:after="0" w:line="162" w:lineRule="exact"/>
              <w:rPr>
                <w:sz w:val="20"/>
                <w:szCs w:val="20"/>
                <w:color w:val="auto"/>
              </w:rPr>
            </w:pPr>
            <w:r>
              <w:rPr>
                <w:rFonts w:ascii="Arial" w:cs="Arial" w:eastAsia="Arial" w:hAnsi="Arial"/>
                <w:sz w:val="16"/>
                <w:szCs w:val="16"/>
                <w:color w:val="auto"/>
              </w:rPr>
              <w:t>Timing of revenue recognition:</w:t>
            </w:r>
          </w:p>
        </w:tc>
        <w:tc>
          <w:tcPr>
            <w:tcW w:w="14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r>
      <w:tr>
        <w:trPr>
          <w:trHeight w:val="27"/>
        </w:trPr>
        <w:tc>
          <w:tcPr>
            <w:tcW w:w="1200" w:type="dxa"/>
            <w:vAlign w:val="bottom"/>
            <w:tcBorders>
              <w:left w:val="single" w:sz="8" w:color="CFF0FC"/>
            </w:tcBorders>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8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5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2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520" w:type="dxa"/>
            <w:vAlign w:val="bottom"/>
            <w:shd w:val="clear" w:color="auto" w:fill="CFF0FC"/>
          </w:tcPr>
          <w:p>
            <w:pPr>
              <w:spacing w:after="0"/>
              <w:rPr>
                <w:sz w:val="2"/>
                <w:szCs w:val="2"/>
                <w:color w:val="auto"/>
              </w:rPr>
            </w:pPr>
          </w:p>
        </w:tc>
        <w:tc>
          <w:tcPr>
            <w:tcW w:w="360" w:type="dxa"/>
            <w:vAlign w:val="bottom"/>
            <w:shd w:val="clear" w:color="auto" w:fill="CFF0FC"/>
          </w:tcPr>
          <w:p>
            <w:pPr>
              <w:spacing w:after="0"/>
              <w:rPr>
                <w:sz w:val="2"/>
                <w:szCs w:val="2"/>
                <w:color w:val="auto"/>
              </w:rPr>
            </w:pPr>
          </w:p>
        </w:tc>
        <w:tc>
          <w:tcPr>
            <w:tcW w:w="1340" w:type="dxa"/>
            <w:vAlign w:val="bottom"/>
            <w:shd w:val="clear" w:color="auto" w:fill="CFF0FC"/>
          </w:tcPr>
          <w:p>
            <w:pPr>
              <w:spacing w:after="0"/>
              <w:rPr>
                <w:sz w:val="2"/>
                <w:szCs w:val="2"/>
                <w:color w:val="auto"/>
              </w:rPr>
            </w:pPr>
          </w:p>
        </w:tc>
      </w:tr>
      <w:tr>
        <w:trPr>
          <w:trHeight w:val="189"/>
        </w:trPr>
        <w:tc>
          <w:tcPr>
            <w:tcW w:w="4480" w:type="dxa"/>
            <w:vAlign w:val="bottom"/>
            <w:gridSpan w:val="3"/>
          </w:tcPr>
          <w:p>
            <w:pPr>
              <w:ind w:left="120"/>
              <w:spacing w:after="0"/>
              <w:rPr>
                <w:sz w:val="20"/>
                <w:szCs w:val="20"/>
                <w:color w:val="auto"/>
              </w:rPr>
            </w:pPr>
            <w:r>
              <w:rPr>
                <w:rFonts w:ascii="Arial" w:cs="Arial" w:eastAsia="Arial" w:hAnsi="Arial"/>
                <w:sz w:val="16"/>
                <w:szCs w:val="16"/>
                <w:color w:val="auto"/>
              </w:rPr>
              <w:t>Services transferred at a point in time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30.4</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30.4</w:t>
            </w:r>
          </w:p>
        </w:tc>
      </w:tr>
      <w:tr>
        <w:trPr>
          <w:trHeight w:val="189"/>
        </w:trPr>
        <w:tc>
          <w:tcPr>
            <w:tcW w:w="4480" w:type="dxa"/>
            <w:vAlign w:val="bottom"/>
            <w:tcBorders>
              <w:left w:val="single" w:sz="8" w:color="CFF0FC"/>
              <w:bottom w:val="single" w:sz="8" w:color="CFF0FC"/>
            </w:tcBorders>
            <w:gridSpan w:val="3"/>
            <w:shd w:val="clear" w:color="auto" w:fill="CFF0FC"/>
          </w:tcPr>
          <w:p>
            <w:pPr>
              <w:ind w:left="120"/>
              <w:spacing w:after="0"/>
              <w:rPr>
                <w:sz w:val="20"/>
                <w:szCs w:val="20"/>
                <w:color w:val="auto"/>
              </w:rPr>
            </w:pPr>
            <w:r>
              <w:rPr>
                <w:rFonts w:ascii="Arial" w:cs="Arial" w:eastAsia="Arial" w:hAnsi="Arial"/>
                <w:sz w:val="16"/>
                <w:szCs w:val="16"/>
                <w:color w:val="auto"/>
              </w:rPr>
              <w:t>Services transferred over time</w:t>
            </w:r>
          </w:p>
        </w:tc>
        <w:tc>
          <w:tcPr>
            <w:tcW w:w="140" w:type="dxa"/>
            <w:vAlign w:val="bottom"/>
            <w:tcBorders>
              <w:bottom w:val="single" w:sz="8" w:color="auto"/>
            </w:tcBorders>
            <w:shd w:val="clear" w:color="auto" w:fill="CFF0FC"/>
          </w:tcPr>
          <w:p>
            <w:pPr>
              <w:spacing w:after="0"/>
              <w:rPr>
                <w:sz w:val="16"/>
                <w:szCs w:val="16"/>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864.2</w:t>
            </w:r>
          </w:p>
        </w:tc>
        <w:tc>
          <w:tcPr>
            <w:tcW w:w="260" w:type="dxa"/>
            <w:vAlign w:val="bottom"/>
            <w:tcBorders>
              <w:bottom w:val="single" w:sz="8" w:color="auto"/>
            </w:tcBorders>
            <w:shd w:val="clear" w:color="auto" w:fill="CFF0FC"/>
          </w:tcPr>
          <w:p>
            <w:pPr>
              <w:spacing w:after="0"/>
              <w:rPr>
                <w:sz w:val="16"/>
                <w:szCs w:val="16"/>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1,665.3</w:t>
            </w:r>
          </w:p>
        </w:tc>
        <w:tc>
          <w:tcPr>
            <w:tcW w:w="220" w:type="dxa"/>
            <w:vAlign w:val="bottom"/>
            <w:tcBorders>
              <w:bottom w:val="single" w:sz="8" w:color="auto"/>
            </w:tcBorders>
            <w:shd w:val="clear" w:color="auto" w:fill="CFF0FC"/>
          </w:tcPr>
          <w:p>
            <w:pPr>
              <w:spacing w:after="0"/>
              <w:rPr>
                <w:sz w:val="16"/>
                <w:szCs w:val="16"/>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(17.0 )</w:t>
            </w:r>
          </w:p>
        </w:tc>
        <w:tc>
          <w:tcPr>
            <w:tcW w:w="36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2,512.5</w:t>
            </w:r>
          </w:p>
        </w:tc>
      </w:tr>
      <w:tr>
        <w:trPr>
          <w:trHeight w:val="183"/>
        </w:trPr>
        <w:tc>
          <w:tcPr>
            <w:tcW w:w="4480" w:type="dxa"/>
            <w:vAlign w:val="bottom"/>
            <w:gridSpan w:val="3"/>
          </w:tcPr>
          <w:p>
            <w:pPr>
              <w:ind w:left="120"/>
              <w:spacing w:after="0" w:line="183" w:lineRule="exact"/>
              <w:rPr>
                <w:sz w:val="20"/>
                <w:szCs w:val="20"/>
                <w:color w:val="auto"/>
              </w:rPr>
            </w:pPr>
            <w:r>
              <w:rPr>
                <w:rFonts w:ascii="Arial" w:cs="Arial" w:eastAsia="Arial" w:hAnsi="Arial"/>
                <w:sz w:val="16"/>
                <w:szCs w:val="16"/>
                <w:color w:val="auto"/>
              </w:rPr>
              <w:t>Revenue from contracts with customers</w:t>
            </w:r>
          </w:p>
        </w:tc>
        <w:tc>
          <w:tcPr>
            <w:tcW w:w="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894.6</w:t>
            </w:r>
          </w:p>
        </w:tc>
        <w:tc>
          <w:tcPr>
            <w:tcW w:w="26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1,665.3</w:t>
            </w:r>
          </w:p>
        </w:tc>
        <w:tc>
          <w:tcPr>
            <w:tcW w:w="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gridSpan w:val="2"/>
          </w:tcPr>
          <w:p>
            <w:pPr>
              <w:jc w:val="right"/>
              <w:ind w:right="159"/>
              <w:spacing w:after="0" w:line="183" w:lineRule="exact"/>
              <w:rPr>
                <w:sz w:val="20"/>
                <w:szCs w:val="20"/>
                <w:color w:val="auto"/>
              </w:rPr>
            </w:pPr>
            <w:r>
              <w:rPr>
                <w:rFonts w:ascii="Arial" w:cs="Arial" w:eastAsia="Arial" w:hAnsi="Arial"/>
                <w:sz w:val="16"/>
                <w:szCs w:val="16"/>
                <w:color w:val="auto"/>
              </w:rPr>
              <w:t>(17.0 ) $</w:t>
            </w:r>
          </w:p>
        </w:tc>
        <w:tc>
          <w:tcPr>
            <w:tcW w:w="134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2,542.9</w:t>
            </w:r>
          </w:p>
        </w:tc>
      </w:tr>
      <w:tr>
        <w:trPr>
          <w:trHeight w:val="20"/>
        </w:trPr>
        <w:tc>
          <w:tcPr>
            <w:tcW w:w="1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397"/>
        </w:trPr>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jc w:val="right"/>
              <w:ind w:right="319"/>
              <w:spacing w:after="0"/>
              <w:rPr>
                <w:sz w:val="20"/>
                <w:szCs w:val="20"/>
                <w:color w:val="auto"/>
              </w:rPr>
            </w:pPr>
            <w:r>
              <w:rPr>
                <w:rFonts w:ascii="Arial" w:cs="Arial" w:eastAsia="Arial" w:hAnsi="Arial"/>
                <w:sz w:val="16"/>
                <w:szCs w:val="16"/>
                <w:color w:val="auto"/>
              </w:rPr>
              <w:t>78</w:t>
            </w: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752"/>
        </w:trPr>
        <w:tc>
          <w:tcPr>
            <w:tcW w:w="12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PROPERTY, PLANT, AND EQUIPMENT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at December 31 consisted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right"/>
              <w:ind w:right="1068"/>
              <w:spacing w:after="0"/>
              <w:rPr>
                <w:sz w:val="20"/>
                <w:szCs w:val="20"/>
                <w:color w:val="auto"/>
              </w:rPr>
            </w:pPr>
            <w:r>
              <w:rPr>
                <w:rFonts w:ascii="Arial" w:cs="Arial" w:eastAsia="Arial" w:hAnsi="Arial"/>
                <w:sz w:val="14"/>
                <w:szCs w:val="14"/>
                <w:b w:val="1"/>
                <w:bCs w:val="1"/>
                <w:color w:val="auto"/>
              </w:rPr>
              <w:t>2024</w:t>
            </w:r>
          </w:p>
        </w:tc>
        <w:tc>
          <w:tcPr>
            <w:tcW w:w="3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right"/>
              <w:ind w:right="1128"/>
              <w:spacing w:after="0"/>
              <w:rPr>
                <w:sz w:val="20"/>
                <w:szCs w:val="20"/>
                <w:color w:val="auto"/>
              </w:rPr>
            </w:pPr>
            <w:r>
              <w:rPr>
                <w:rFonts w:ascii="Arial" w:cs="Arial" w:eastAsia="Arial" w:hAnsi="Arial"/>
                <w:sz w:val="14"/>
                <w:szCs w:val="14"/>
                <w:b w:val="1"/>
                <w:bCs w:val="1"/>
                <w:color w:val="auto"/>
                <w:w w:val="96"/>
              </w:rPr>
              <w:t>2023</w:t>
            </w:r>
          </w:p>
        </w:tc>
        <w:tc>
          <w:tcPr>
            <w:tcW w:w="7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748"/>
              <w:spacing w:after="0"/>
              <w:rPr>
                <w:sz w:val="20"/>
                <w:szCs w:val="20"/>
                <w:color w:val="auto"/>
              </w:rPr>
            </w:pPr>
            <w:r>
              <w:rPr>
                <w:rFonts w:ascii="Arial" w:cs="Arial" w:eastAsia="Arial" w:hAnsi="Arial"/>
                <w:sz w:val="14"/>
                <w:szCs w:val="14"/>
                <w:b w:val="1"/>
                <w:bCs w:val="1"/>
                <w:color w:val="auto"/>
              </w:rPr>
              <w:t>Lives</w:t>
            </w:r>
          </w:p>
        </w:tc>
      </w:tr>
      <w:tr>
        <w:trPr>
          <w:trHeight w:val="146"/>
        </w:trPr>
        <w:tc>
          <w:tcPr>
            <w:tcW w:w="4060" w:type="dxa"/>
            <w:vAlign w:val="bottom"/>
          </w:tcPr>
          <w:p>
            <w:pPr>
              <w:spacing w:after="0"/>
              <w:rPr>
                <w:sz w:val="12"/>
                <w:szCs w:val="12"/>
                <w:color w:val="auto"/>
              </w:rPr>
            </w:pPr>
          </w:p>
        </w:tc>
        <w:tc>
          <w:tcPr>
            <w:tcW w:w="112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Property, Plant</w:t>
            </w:r>
          </w:p>
        </w:tc>
        <w:tc>
          <w:tcPr>
            <w:tcW w:w="140" w:type="dxa"/>
            <w:vAlign w:val="bottom"/>
          </w:tcPr>
          <w:p>
            <w:pPr>
              <w:spacing w:after="0"/>
              <w:rPr>
                <w:sz w:val="12"/>
                <w:szCs w:val="12"/>
                <w:color w:val="auto"/>
              </w:rPr>
            </w:pPr>
          </w:p>
        </w:tc>
        <w:tc>
          <w:tcPr>
            <w:tcW w:w="13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Weighted Average</w:t>
            </w:r>
          </w:p>
        </w:tc>
        <w:tc>
          <w:tcPr>
            <w:tcW w:w="112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Property, Plant</w:t>
            </w:r>
          </w:p>
        </w:tc>
        <w:tc>
          <w:tcPr>
            <w:tcW w:w="120" w:type="dxa"/>
            <w:vAlign w:val="bottom"/>
          </w:tcPr>
          <w:p>
            <w:pPr>
              <w:spacing w:after="0"/>
              <w:rPr>
                <w:sz w:val="12"/>
                <w:szCs w:val="12"/>
                <w:color w:val="auto"/>
              </w:rPr>
            </w:pPr>
          </w:p>
        </w:tc>
        <w:tc>
          <w:tcPr>
            <w:tcW w:w="1400" w:type="dxa"/>
            <w:vAlign w:val="bottom"/>
          </w:tcPr>
          <w:p>
            <w:pPr>
              <w:jc w:val="center"/>
              <w:ind w:right="28"/>
              <w:spacing w:after="0" w:line="147" w:lineRule="exact"/>
              <w:rPr>
                <w:sz w:val="20"/>
                <w:szCs w:val="20"/>
                <w:color w:val="auto"/>
              </w:rPr>
            </w:pPr>
            <w:r>
              <w:rPr>
                <w:rFonts w:ascii="Arial" w:cs="Arial" w:eastAsia="Arial" w:hAnsi="Arial"/>
                <w:sz w:val="14"/>
                <w:szCs w:val="14"/>
                <w:b w:val="1"/>
                <w:bCs w:val="1"/>
                <w:color w:val="auto"/>
              </w:rPr>
              <w:t>Weighted Average</w:t>
            </w:r>
          </w:p>
        </w:tc>
        <w:tc>
          <w:tcPr>
            <w:tcW w:w="76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71"/>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Electric Utilities</w:t>
            </w: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and Equipment</w:t>
            </w: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Useful Life</w:t>
            </w: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and Equipment</w:t>
            </w: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Useful Life</w:t>
            </w:r>
          </w:p>
        </w:tc>
        <w:tc>
          <w:tcPr>
            <w:tcW w:w="76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rPr>
              <w:t>Minimum</w:t>
            </w:r>
          </w:p>
        </w:tc>
        <w:tc>
          <w:tcPr>
            <w:tcW w:w="118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b w:val="1"/>
                <w:bCs w:val="1"/>
                <w:color w:val="auto"/>
              </w:rPr>
              <w:t>Maximum</w:t>
            </w:r>
          </w:p>
        </w:tc>
      </w:tr>
      <w:tr>
        <w:trPr>
          <w:trHeight w:val="155"/>
        </w:trPr>
        <w:tc>
          <w:tcPr>
            <w:tcW w:w="40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3"/>
          </w:tcPr>
          <w:p>
            <w:pPr>
              <w:jc w:val="right"/>
              <w:ind w:right="68"/>
              <w:spacing w:after="0" w:line="155" w:lineRule="exact"/>
              <w:rPr>
                <w:sz w:val="20"/>
                <w:szCs w:val="20"/>
                <w:color w:val="auto"/>
              </w:rPr>
            </w:pPr>
            <w:r>
              <w:rPr>
                <w:rFonts w:ascii="Arial" w:cs="Arial" w:eastAsia="Arial" w:hAnsi="Arial"/>
                <w:sz w:val="14"/>
                <w:szCs w:val="14"/>
                <w:color w:val="auto"/>
              </w:rPr>
              <w:t>(dollars in millions, life in years)</w:t>
            </w:r>
          </w:p>
        </w:tc>
        <w:tc>
          <w:tcPr>
            <w:tcW w:w="1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2"/>
          </w:tcPr>
          <w:p>
            <w:pPr>
              <w:jc w:val="center"/>
              <w:spacing w:after="0" w:line="155" w:lineRule="exact"/>
              <w:rPr>
                <w:sz w:val="20"/>
                <w:szCs w:val="20"/>
                <w:color w:val="auto"/>
              </w:rPr>
            </w:pPr>
            <w:r>
              <w:rPr>
                <w:rFonts w:ascii="Arial" w:cs="Arial" w:eastAsia="Arial" w:hAnsi="Arial"/>
                <w:sz w:val="14"/>
                <w:szCs w:val="14"/>
                <w:color w:val="auto"/>
              </w:rPr>
              <w:t>(in years)</w:t>
            </w:r>
          </w:p>
        </w:tc>
      </w:tr>
      <w:tr>
        <w:trPr>
          <w:trHeight w:val="156"/>
        </w:trPr>
        <w:tc>
          <w:tcPr>
            <w:tcW w:w="4060" w:type="dxa"/>
            <w:vAlign w:val="bottom"/>
            <w:shd w:val="clear" w:color="auto" w:fill="CFF0FC"/>
          </w:tcPr>
          <w:p>
            <w:pPr>
              <w:ind w:left="20"/>
              <w:spacing w:after="0" w:line="155" w:lineRule="exact"/>
              <w:rPr>
                <w:sz w:val="20"/>
                <w:szCs w:val="20"/>
                <w:color w:val="auto"/>
              </w:rPr>
            </w:pPr>
            <w:r>
              <w:rPr>
                <w:rFonts w:ascii="Arial" w:cs="Arial" w:eastAsia="Arial" w:hAnsi="Arial"/>
                <w:sz w:val="14"/>
                <w:szCs w:val="14"/>
                <w:color w:val="auto"/>
              </w:rPr>
              <w:t>Electric plant:</w:t>
            </w:r>
          </w:p>
        </w:tc>
        <w:tc>
          <w:tcPr>
            <w:tcW w:w="3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r>
      <w:tr>
        <w:trPr>
          <w:trHeight w:val="162"/>
        </w:trPr>
        <w:tc>
          <w:tcPr>
            <w:tcW w:w="4060" w:type="dxa"/>
            <w:vAlign w:val="bottom"/>
          </w:tcPr>
          <w:p>
            <w:pPr>
              <w:ind w:left="120"/>
              <w:spacing w:after="0"/>
              <w:rPr>
                <w:sz w:val="20"/>
                <w:szCs w:val="20"/>
                <w:color w:val="auto"/>
              </w:rPr>
            </w:pPr>
            <w:r>
              <w:rPr>
                <w:rFonts w:ascii="Arial" w:cs="Arial" w:eastAsia="Arial" w:hAnsi="Arial"/>
                <w:sz w:val="14"/>
                <w:szCs w:val="14"/>
                <w:color w:val="auto"/>
              </w:rPr>
              <w:t>Production</w:t>
            </w:r>
          </w:p>
        </w:tc>
        <w:tc>
          <w:tcPr>
            <w:tcW w:w="34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1,508.5</w:t>
            </w:r>
          </w:p>
        </w:tc>
        <w:tc>
          <w:tcPr>
            <w:tcW w:w="1480" w:type="dxa"/>
            <w:vAlign w:val="bottom"/>
            <w:gridSpan w:val="2"/>
          </w:tcPr>
          <w:p>
            <w:pPr>
              <w:jc w:val="center"/>
              <w:ind w:left="48"/>
              <w:spacing w:after="0"/>
              <w:rPr>
                <w:sz w:val="20"/>
                <w:szCs w:val="20"/>
                <w:color w:val="auto"/>
              </w:rPr>
            </w:pPr>
            <w:r>
              <w:rPr>
                <w:rFonts w:ascii="Arial" w:cs="Arial" w:eastAsia="Arial" w:hAnsi="Arial"/>
                <w:sz w:val="14"/>
                <w:szCs w:val="14"/>
                <w:color w:val="auto"/>
              </w:rPr>
              <w:t>39</w:t>
            </w:r>
          </w:p>
        </w:tc>
        <w:tc>
          <w:tcPr>
            <w:tcW w:w="34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1,492.8</w:t>
            </w:r>
          </w:p>
        </w:tc>
        <w:tc>
          <w:tcPr>
            <w:tcW w:w="1520" w:type="dxa"/>
            <w:vAlign w:val="bottom"/>
            <w:gridSpan w:val="2"/>
          </w:tcPr>
          <w:p>
            <w:pPr>
              <w:jc w:val="center"/>
              <w:spacing w:after="0"/>
              <w:rPr>
                <w:sz w:val="20"/>
                <w:szCs w:val="20"/>
                <w:color w:val="auto"/>
              </w:rPr>
            </w:pPr>
            <w:r>
              <w:rPr>
                <w:rFonts w:ascii="Arial" w:cs="Arial" w:eastAsia="Arial" w:hAnsi="Arial"/>
                <w:sz w:val="14"/>
                <w:szCs w:val="14"/>
                <w:color w:val="auto"/>
              </w:rPr>
              <w:t>40</w:t>
            </w:r>
          </w:p>
        </w:tc>
        <w:tc>
          <w:tcPr>
            <w:tcW w:w="760" w:type="dxa"/>
            <w:vAlign w:val="bottom"/>
          </w:tcPr>
          <w:p>
            <w:pPr>
              <w:jc w:val="center"/>
              <w:ind w:left="48"/>
              <w:spacing w:after="0"/>
              <w:rPr>
                <w:sz w:val="20"/>
                <w:szCs w:val="20"/>
                <w:color w:val="auto"/>
              </w:rPr>
            </w:pPr>
            <w:r>
              <w:rPr>
                <w:rFonts w:ascii="Arial" w:cs="Arial" w:eastAsia="Arial" w:hAnsi="Arial"/>
                <w:sz w:val="14"/>
                <w:szCs w:val="14"/>
                <w:color w:val="auto"/>
              </w:rPr>
              <w:t>32</w:t>
            </w:r>
          </w:p>
        </w:tc>
        <w:tc>
          <w:tcPr>
            <w:tcW w:w="1180" w:type="dxa"/>
            <w:vAlign w:val="bottom"/>
          </w:tcPr>
          <w:p>
            <w:pPr>
              <w:jc w:val="center"/>
              <w:ind w:left="108"/>
              <w:spacing w:after="0"/>
              <w:rPr>
                <w:sz w:val="20"/>
                <w:szCs w:val="20"/>
                <w:color w:val="auto"/>
              </w:rPr>
            </w:pPr>
            <w:r>
              <w:rPr>
                <w:rFonts w:ascii="Arial" w:cs="Arial" w:eastAsia="Arial" w:hAnsi="Arial"/>
                <w:sz w:val="14"/>
                <w:szCs w:val="14"/>
                <w:color w:val="auto"/>
              </w:rPr>
              <w:t>44</w:t>
            </w:r>
          </w:p>
        </w:tc>
      </w:tr>
      <w:tr>
        <w:trPr>
          <w:trHeight w:val="162"/>
        </w:trPr>
        <w:tc>
          <w:tcPr>
            <w:tcW w:w="40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Electric transmission</w:t>
            </w:r>
          </w:p>
        </w:tc>
        <w:tc>
          <w:tcPr>
            <w:tcW w:w="3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793.7</w:t>
            </w:r>
          </w:p>
        </w:tc>
        <w:tc>
          <w:tcPr>
            <w:tcW w:w="1480" w:type="dxa"/>
            <w:vAlign w:val="bottom"/>
            <w:gridSpan w:val="2"/>
            <w:shd w:val="clear" w:color="auto" w:fill="CFF0FC"/>
          </w:tcPr>
          <w:p>
            <w:pPr>
              <w:jc w:val="center"/>
              <w:ind w:left="48"/>
              <w:spacing w:after="0"/>
              <w:rPr>
                <w:sz w:val="20"/>
                <w:szCs w:val="20"/>
                <w:color w:val="auto"/>
              </w:rPr>
            </w:pPr>
            <w:r>
              <w:rPr>
                <w:rFonts w:ascii="Arial" w:cs="Arial" w:eastAsia="Arial" w:hAnsi="Arial"/>
                <w:sz w:val="14"/>
                <w:szCs w:val="14"/>
                <w:color w:val="auto"/>
              </w:rPr>
              <w:t>48</w:t>
            </w:r>
          </w:p>
        </w:tc>
        <w:tc>
          <w:tcPr>
            <w:tcW w:w="3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737.4</w:t>
            </w:r>
          </w:p>
        </w:tc>
        <w:tc>
          <w:tcPr>
            <w:tcW w:w="1520" w:type="dxa"/>
            <w:vAlign w:val="bottom"/>
            <w:gridSpan w:val="2"/>
            <w:shd w:val="clear" w:color="auto" w:fill="CFF0FC"/>
          </w:tcPr>
          <w:p>
            <w:pPr>
              <w:jc w:val="center"/>
              <w:spacing w:after="0"/>
              <w:rPr>
                <w:sz w:val="20"/>
                <w:szCs w:val="20"/>
                <w:color w:val="auto"/>
              </w:rPr>
            </w:pPr>
            <w:r>
              <w:rPr>
                <w:rFonts w:ascii="Arial" w:cs="Arial" w:eastAsia="Arial" w:hAnsi="Arial"/>
                <w:sz w:val="14"/>
                <w:szCs w:val="14"/>
                <w:color w:val="auto"/>
              </w:rPr>
              <w:t>48</w:t>
            </w:r>
          </w:p>
        </w:tc>
        <w:tc>
          <w:tcPr>
            <w:tcW w:w="760" w:type="dxa"/>
            <w:vAlign w:val="bottom"/>
            <w:shd w:val="clear" w:color="auto" w:fill="CFF0FC"/>
          </w:tcPr>
          <w:p>
            <w:pPr>
              <w:jc w:val="center"/>
              <w:ind w:left="48"/>
              <w:spacing w:after="0"/>
              <w:rPr>
                <w:sz w:val="20"/>
                <w:szCs w:val="20"/>
                <w:color w:val="auto"/>
              </w:rPr>
            </w:pPr>
            <w:r>
              <w:rPr>
                <w:rFonts w:ascii="Arial" w:cs="Arial" w:eastAsia="Arial" w:hAnsi="Arial"/>
                <w:sz w:val="14"/>
                <w:szCs w:val="14"/>
                <w:color w:val="auto"/>
              </w:rPr>
              <w:t>42</w:t>
            </w:r>
          </w:p>
        </w:tc>
        <w:tc>
          <w:tcPr>
            <w:tcW w:w="1180" w:type="dxa"/>
            <w:vAlign w:val="bottom"/>
            <w:shd w:val="clear" w:color="auto" w:fill="CFF0FC"/>
          </w:tcPr>
          <w:p>
            <w:pPr>
              <w:jc w:val="center"/>
              <w:ind w:left="108"/>
              <w:spacing w:after="0"/>
              <w:rPr>
                <w:sz w:val="20"/>
                <w:szCs w:val="20"/>
                <w:color w:val="auto"/>
              </w:rPr>
            </w:pPr>
            <w:r>
              <w:rPr>
                <w:rFonts w:ascii="Arial" w:cs="Arial" w:eastAsia="Arial" w:hAnsi="Arial"/>
                <w:sz w:val="14"/>
                <w:szCs w:val="14"/>
                <w:color w:val="auto"/>
              </w:rPr>
              <w:t>51</w:t>
            </w:r>
          </w:p>
        </w:tc>
      </w:tr>
      <w:tr>
        <w:trPr>
          <w:trHeight w:val="162"/>
        </w:trPr>
        <w:tc>
          <w:tcPr>
            <w:tcW w:w="4060" w:type="dxa"/>
            <w:vAlign w:val="bottom"/>
          </w:tcPr>
          <w:p>
            <w:pPr>
              <w:ind w:left="120"/>
              <w:spacing w:after="0"/>
              <w:rPr>
                <w:sz w:val="20"/>
                <w:szCs w:val="20"/>
                <w:color w:val="auto"/>
              </w:rPr>
            </w:pPr>
            <w:r>
              <w:rPr>
                <w:rFonts w:ascii="Arial" w:cs="Arial" w:eastAsia="Arial" w:hAnsi="Arial"/>
                <w:sz w:val="14"/>
                <w:szCs w:val="14"/>
                <w:color w:val="auto"/>
              </w:rPr>
              <w:t>Electric distribution</w:t>
            </w:r>
          </w:p>
        </w:tc>
        <w:tc>
          <w:tcPr>
            <w:tcW w:w="3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1,238.5</w:t>
            </w:r>
          </w:p>
        </w:tc>
        <w:tc>
          <w:tcPr>
            <w:tcW w:w="1480" w:type="dxa"/>
            <w:vAlign w:val="bottom"/>
            <w:gridSpan w:val="2"/>
          </w:tcPr>
          <w:p>
            <w:pPr>
              <w:jc w:val="center"/>
              <w:ind w:left="48"/>
              <w:spacing w:after="0"/>
              <w:rPr>
                <w:sz w:val="20"/>
                <w:szCs w:val="20"/>
                <w:color w:val="auto"/>
              </w:rPr>
            </w:pPr>
            <w:r>
              <w:rPr>
                <w:rFonts w:ascii="Arial" w:cs="Arial" w:eastAsia="Arial" w:hAnsi="Arial"/>
                <w:sz w:val="14"/>
                <w:szCs w:val="14"/>
                <w:color w:val="auto"/>
              </w:rPr>
              <w:t>47</w:t>
            </w:r>
          </w:p>
        </w:tc>
        <w:tc>
          <w:tcPr>
            <w:tcW w:w="3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1,146.9</w:t>
            </w:r>
          </w:p>
        </w:tc>
        <w:tc>
          <w:tcPr>
            <w:tcW w:w="1520" w:type="dxa"/>
            <w:vAlign w:val="bottom"/>
            <w:gridSpan w:val="2"/>
          </w:tcPr>
          <w:p>
            <w:pPr>
              <w:jc w:val="center"/>
              <w:spacing w:after="0"/>
              <w:rPr>
                <w:sz w:val="20"/>
                <w:szCs w:val="20"/>
                <w:color w:val="auto"/>
              </w:rPr>
            </w:pPr>
            <w:r>
              <w:rPr>
                <w:rFonts w:ascii="Arial" w:cs="Arial" w:eastAsia="Arial" w:hAnsi="Arial"/>
                <w:sz w:val="14"/>
                <w:szCs w:val="14"/>
                <w:color w:val="auto"/>
              </w:rPr>
              <w:t>47</w:t>
            </w:r>
          </w:p>
        </w:tc>
        <w:tc>
          <w:tcPr>
            <w:tcW w:w="760" w:type="dxa"/>
            <w:vAlign w:val="bottom"/>
          </w:tcPr>
          <w:p>
            <w:pPr>
              <w:jc w:val="center"/>
              <w:ind w:left="48"/>
              <w:spacing w:after="0"/>
              <w:rPr>
                <w:sz w:val="20"/>
                <w:szCs w:val="20"/>
                <w:color w:val="auto"/>
              </w:rPr>
            </w:pPr>
            <w:r>
              <w:rPr>
                <w:rFonts w:ascii="Arial" w:cs="Arial" w:eastAsia="Arial" w:hAnsi="Arial"/>
                <w:sz w:val="14"/>
                <w:szCs w:val="14"/>
                <w:color w:val="auto"/>
              </w:rPr>
              <w:t>45</w:t>
            </w:r>
          </w:p>
        </w:tc>
        <w:tc>
          <w:tcPr>
            <w:tcW w:w="1180" w:type="dxa"/>
            <w:vAlign w:val="bottom"/>
          </w:tcPr>
          <w:p>
            <w:pPr>
              <w:jc w:val="center"/>
              <w:ind w:left="108"/>
              <w:spacing w:after="0"/>
              <w:rPr>
                <w:sz w:val="20"/>
                <w:szCs w:val="20"/>
                <w:color w:val="auto"/>
              </w:rPr>
            </w:pPr>
            <w:r>
              <w:rPr>
                <w:rFonts w:ascii="Arial" w:cs="Arial" w:eastAsia="Arial" w:hAnsi="Arial"/>
                <w:sz w:val="14"/>
                <w:szCs w:val="14"/>
                <w:color w:val="auto"/>
              </w:rPr>
              <w:t>50</w:t>
            </w:r>
          </w:p>
        </w:tc>
      </w:tr>
      <w:tr>
        <w:trPr>
          <w:trHeight w:val="162"/>
        </w:trPr>
        <w:tc>
          <w:tcPr>
            <w:tcW w:w="40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Integrated Generation</w:t>
            </w:r>
          </w:p>
        </w:tc>
        <w:tc>
          <w:tcPr>
            <w:tcW w:w="3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724.0</w:t>
            </w:r>
          </w:p>
        </w:tc>
        <w:tc>
          <w:tcPr>
            <w:tcW w:w="1480" w:type="dxa"/>
            <w:vAlign w:val="bottom"/>
            <w:gridSpan w:val="2"/>
            <w:shd w:val="clear" w:color="auto" w:fill="CFF0FC"/>
          </w:tcPr>
          <w:p>
            <w:pPr>
              <w:jc w:val="center"/>
              <w:ind w:left="48"/>
              <w:spacing w:after="0"/>
              <w:rPr>
                <w:sz w:val="20"/>
                <w:szCs w:val="20"/>
                <w:color w:val="auto"/>
              </w:rPr>
            </w:pPr>
            <w:r>
              <w:rPr>
                <w:rFonts w:ascii="Arial" w:cs="Arial" w:eastAsia="Arial" w:hAnsi="Arial"/>
                <w:sz w:val="14"/>
                <w:szCs w:val="14"/>
                <w:color w:val="auto"/>
              </w:rPr>
              <w:t>30</w:t>
            </w:r>
          </w:p>
        </w:tc>
        <w:tc>
          <w:tcPr>
            <w:tcW w:w="3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720.0</w:t>
            </w:r>
          </w:p>
        </w:tc>
        <w:tc>
          <w:tcPr>
            <w:tcW w:w="1520" w:type="dxa"/>
            <w:vAlign w:val="bottom"/>
            <w:gridSpan w:val="2"/>
            <w:shd w:val="clear" w:color="auto" w:fill="CFF0FC"/>
          </w:tcPr>
          <w:p>
            <w:pPr>
              <w:jc w:val="center"/>
              <w:spacing w:after="0"/>
              <w:rPr>
                <w:sz w:val="20"/>
                <w:szCs w:val="20"/>
                <w:color w:val="auto"/>
              </w:rPr>
            </w:pPr>
            <w:r>
              <w:rPr>
                <w:rFonts w:ascii="Arial" w:cs="Arial" w:eastAsia="Arial" w:hAnsi="Arial"/>
                <w:sz w:val="14"/>
                <w:szCs w:val="14"/>
                <w:color w:val="auto"/>
              </w:rPr>
              <w:t>30</w:t>
            </w:r>
          </w:p>
        </w:tc>
        <w:tc>
          <w:tcPr>
            <w:tcW w:w="760" w:type="dxa"/>
            <w:vAlign w:val="bottom"/>
            <w:shd w:val="clear" w:color="auto" w:fill="CFF0FC"/>
          </w:tcPr>
          <w:p>
            <w:pPr>
              <w:jc w:val="center"/>
              <w:ind w:left="48"/>
              <w:spacing w:after="0"/>
              <w:rPr>
                <w:sz w:val="20"/>
                <w:szCs w:val="20"/>
                <w:color w:val="auto"/>
              </w:rPr>
            </w:pPr>
            <w:r>
              <w:rPr>
                <w:rFonts w:ascii="Arial" w:cs="Arial" w:eastAsia="Arial" w:hAnsi="Arial"/>
                <w:sz w:val="14"/>
                <w:szCs w:val="14"/>
                <w:color w:val="auto"/>
              </w:rPr>
              <w:t>19</w:t>
            </w:r>
          </w:p>
        </w:tc>
        <w:tc>
          <w:tcPr>
            <w:tcW w:w="1180" w:type="dxa"/>
            <w:vAlign w:val="bottom"/>
            <w:shd w:val="clear" w:color="auto" w:fill="CFF0FC"/>
          </w:tcPr>
          <w:p>
            <w:pPr>
              <w:jc w:val="center"/>
              <w:ind w:left="108"/>
              <w:spacing w:after="0"/>
              <w:rPr>
                <w:sz w:val="20"/>
                <w:szCs w:val="20"/>
                <w:color w:val="auto"/>
              </w:rPr>
            </w:pPr>
            <w:r>
              <w:rPr>
                <w:rFonts w:ascii="Arial" w:cs="Arial" w:eastAsia="Arial" w:hAnsi="Arial"/>
                <w:sz w:val="14"/>
                <w:szCs w:val="14"/>
                <w:color w:val="auto"/>
              </w:rPr>
              <w:t>38</w:t>
            </w:r>
          </w:p>
        </w:tc>
      </w:tr>
      <w:tr>
        <w:trPr>
          <w:trHeight w:val="162"/>
        </w:trPr>
        <w:tc>
          <w:tcPr>
            <w:tcW w:w="4060" w:type="dxa"/>
            <w:vAlign w:val="bottom"/>
          </w:tcPr>
          <w:p>
            <w:pPr>
              <w:ind w:left="120"/>
              <w:spacing w:after="0" w:line="162" w:lineRule="exact"/>
              <w:rPr>
                <w:sz w:val="20"/>
                <w:szCs w:val="20"/>
                <w:color w:val="auto"/>
              </w:rPr>
            </w:pPr>
            <w:r>
              <w:rPr>
                <w:rFonts w:ascii="Arial" w:cs="Arial" w:eastAsia="Arial" w:hAnsi="Arial"/>
                <w:sz w:val="14"/>
                <w:szCs w:val="14"/>
                <w:color w:val="auto"/>
              </w:rPr>
              <w:t xml:space="preserve">Plant acquisition adjustment </w:t>
            </w:r>
            <w:r>
              <w:rPr>
                <w:rFonts w:ascii="Arial" w:cs="Arial" w:eastAsia="Arial" w:hAnsi="Arial"/>
                <w:sz w:val="18"/>
                <w:szCs w:val="18"/>
                <w:color w:val="auto"/>
                <w:vertAlign w:val="superscript"/>
              </w:rPr>
              <w:t>(a)</w:t>
            </w:r>
          </w:p>
        </w:tc>
        <w:tc>
          <w:tcPr>
            <w:tcW w:w="3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4.9</w:t>
            </w:r>
          </w:p>
        </w:tc>
        <w:tc>
          <w:tcPr>
            <w:tcW w:w="1480" w:type="dxa"/>
            <w:vAlign w:val="bottom"/>
            <w:gridSpan w:val="2"/>
          </w:tcPr>
          <w:p>
            <w:pPr>
              <w:jc w:val="center"/>
              <w:ind w:left="48"/>
              <w:spacing w:after="0"/>
              <w:rPr>
                <w:sz w:val="20"/>
                <w:szCs w:val="20"/>
                <w:color w:val="auto"/>
              </w:rPr>
            </w:pPr>
            <w:r>
              <w:rPr>
                <w:rFonts w:ascii="Arial" w:cs="Arial" w:eastAsia="Arial" w:hAnsi="Arial"/>
                <w:sz w:val="14"/>
                <w:szCs w:val="14"/>
                <w:color w:val="auto"/>
              </w:rPr>
              <w:t>32</w:t>
            </w:r>
          </w:p>
        </w:tc>
        <w:tc>
          <w:tcPr>
            <w:tcW w:w="3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4.9</w:t>
            </w:r>
          </w:p>
        </w:tc>
        <w:tc>
          <w:tcPr>
            <w:tcW w:w="1520" w:type="dxa"/>
            <w:vAlign w:val="bottom"/>
            <w:gridSpan w:val="2"/>
          </w:tcPr>
          <w:p>
            <w:pPr>
              <w:jc w:val="center"/>
              <w:spacing w:after="0"/>
              <w:rPr>
                <w:sz w:val="20"/>
                <w:szCs w:val="20"/>
                <w:color w:val="auto"/>
              </w:rPr>
            </w:pPr>
            <w:r>
              <w:rPr>
                <w:rFonts w:ascii="Arial" w:cs="Arial" w:eastAsia="Arial" w:hAnsi="Arial"/>
                <w:sz w:val="14"/>
                <w:szCs w:val="14"/>
                <w:color w:val="auto"/>
              </w:rPr>
              <w:t>32</w:t>
            </w:r>
          </w:p>
        </w:tc>
        <w:tc>
          <w:tcPr>
            <w:tcW w:w="760" w:type="dxa"/>
            <w:vAlign w:val="bottom"/>
          </w:tcPr>
          <w:p>
            <w:pPr>
              <w:jc w:val="center"/>
              <w:ind w:left="48"/>
              <w:spacing w:after="0"/>
              <w:rPr>
                <w:sz w:val="20"/>
                <w:szCs w:val="20"/>
                <w:color w:val="auto"/>
              </w:rPr>
            </w:pPr>
            <w:r>
              <w:rPr>
                <w:rFonts w:ascii="Arial" w:cs="Arial" w:eastAsia="Arial" w:hAnsi="Arial"/>
                <w:sz w:val="14"/>
                <w:szCs w:val="14"/>
                <w:color w:val="auto"/>
              </w:rPr>
              <w:t>32</w:t>
            </w:r>
          </w:p>
        </w:tc>
        <w:tc>
          <w:tcPr>
            <w:tcW w:w="1180" w:type="dxa"/>
            <w:vAlign w:val="bottom"/>
          </w:tcPr>
          <w:p>
            <w:pPr>
              <w:jc w:val="center"/>
              <w:ind w:left="108"/>
              <w:spacing w:after="0"/>
              <w:rPr>
                <w:sz w:val="20"/>
                <w:szCs w:val="20"/>
                <w:color w:val="auto"/>
              </w:rPr>
            </w:pPr>
            <w:r>
              <w:rPr>
                <w:rFonts w:ascii="Arial" w:cs="Arial" w:eastAsia="Arial" w:hAnsi="Arial"/>
                <w:sz w:val="14"/>
                <w:szCs w:val="14"/>
                <w:color w:val="auto"/>
              </w:rPr>
              <w:t>32</w:t>
            </w:r>
          </w:p>
        </w:tc>
      </w:tr>
      <w:tr>
        <w:trPr>
          <w:trHeight w:val="162"/>
        </w:trPr>
        <w:tc>
          <w:tcPr>
            <w:tcW w:w="40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General</w:t>
            </w:r>
          </w:p>
        </w:tc>
        <w:tc>
          <w:tcPr>
            <w:tcW w:w="3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306.6</w:t>
            </w:r>
          </w:p>
        </w:tc>
        <w:tc>
          <w:tcPr>
            <w:tcW w:w="1480" w:type="dxa"/>
            <w:vAlign w:val="bottom"/>
            <w:gridSpan w:val="2"/>
            <w:shd w:val="clear" w:color="auto" w:fill="CFF0FC"/>
          </w:tcPr>
          <w:p>
            <w:pPr>
              <w:jc w:val="center"/>
              <w:ind w:left="48"/>
              <w:spacing w:after="0"/>
              <w:rPr>
                <w:sz w:val="20"/>
                <w:szCs w:val="20"/>
                <w:color w:val="auto"/>
              </w:rPr>
            </w:pPr>
            <w:r>
              <w:rPr>
                <w:rFonts w:ascii="Arial" w:cs="Arial" w:eastAsia="Arial" w:hAnsi="Arial"/>
                <w:sz w:val="14"/>
                <w:szCs w:val="14"/>
                <w:color w:val="auto"/>
              </w:rPr>
              <w:t>26</w:t>
            </w:r>
          </w:p>
        </w:tc>
        <w:tc>
          <w:tcPr>
            <w:tcW w:w="3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291.7</w:t>
            </w:r>
          </w:p>
        </w:tc>
        <w:tc>
          <w:tcPr>
            <w:tcW w:w="1520" w:type="dxa"/>
            <w:vAlign w:val="bottom"/>
            <w:gridSpan w:val="2"/>
            <w:shd w:val="clear" w:color="auto" w:fill="CFF0FC"/>
          </w:tcPr>
          <w:p>
            <w:pPr>
              <w:jc w:val="center"/>
              <w:spacing w:after="0"/>
              <w:rPr>
                <w:sz w:val="20"/>
                <w:szCs w:val="20"/>
                <w:color w:val="auto"/>
              </w:rPr>
            </w:pPr>
            <w:r>
              <w:rPr>
                <w:rFonts w:ascii="Arial" w:cs="Arial" w:eastAsia="Arial" w:hAnsi="Arial"/>
                <w:sz w:val="14"/>
                <w:szCs w:val="14"/>
                <w:color w:val="auto"/>
              </w:rPr>
              <w:t>27</w:t>
            </w:r>
          </w:p>
        </w:tc>
        <w:tc>
          <w:tcPr>
            <w:tcW w:w="760" w:type="dxa"/>
            <w:vAlign w:val="bottom"/>
            <w:shd w:val="clear" w:color="auto" w:fill="CFF0FC"/>
          </w:tcPr>
          <w:p>
            <w:pPr>
              <w:jc w:val="center"/>
              <w:ind w:left="48"/>
              <w:spacing w:after="0"/>
              <w:rPr>
                <w:sz w:val="20"/>
                <w:szCs w:val="20"/>
                <w:color w:val="auto"/>
              </w:rPr>
            </w:pPr>
            <w:r>
              <w:rPr>
                <w:rFonts w:ascii="Arial" w:cs="Arial" w:eastAsia="Arial" w:hAnsi="Arial"/>
                <w:sz w:val="14"/>
                <w:szCs w:val="14"/>
                <w:color w:val="auto"/>
              </w:rPr>
              <w:t>23</w:t>
            </w:r>
          </w:p>
        </w:tc>
        <w:tc>
          <w:tcPr>
            <w:tcW w:w="1180" w:type="dxa"/>
            <w:vAlign w:val="bottom"/>
            <w:shd w:val="clear" w:color="auto" w:fill="CFF0FC"/>
          </w:tcPr>
          <w:p>
            <w:pPr>
              <w:jc w:val="center"/>
              <w:ind w:left="108"/>
              <w:spacing w:after="0"/>
              <w:rPr>
                <w:sz w:val="20"/>
                <w:szCs w:val="20"/>
                <w:color w:val="auto"/>
              </w:rPr>
            </w:pPr>
            <w:r>
              <w:rPr>
                <w:rFonts w:ascii="Arial" w:cs="Arial" w:eastAsia="Arial" w:hAnsi="Arial"/>
                <w:sz w:val="14"/>
                <w:szCs w:val="14"/>
                <w:color w:val="auto"/>
              </w:rPr>
              <w:t>27</w:t>
            </w:r>
          </w:p>
        </w:tc>
      </w:tr>
      <w:tr>
        <w:trPr>
          <w:trHeight w:val="156"/>
        </w:trPr>
        <w:tc>
          <w:tcPr>
            <w:tcW w:w="4060" w:type="dxa"/>
            <w:vAlign w:val="bottom"/>
            <w:tcBorders>
              <w:top w:val="single" w:sz="8" w:color="CFF0FC"/>
            </w:tcBorders>
          </w:tcPr>
          <w:p>
            <w:pPr>
              <w:ind w:left="200"/>
              <w:spacing w:after="0" w:line="155" w:lineRule="exact"/>
              <w:rPr>
                <w:sz w:val="20"/>
                <w:szCs w:val="20"/>
                <w:color w:val="auto"/>
              </w:rPr>
            </w:pPr>
            <w:r>
              <w:rPr>
                <w:rFonts w:ascii="Arial" w:cs="Arial" w:eastAsia="Arial" w:hAnsi="Arial"/>
                <w:sz w:val="14"/>
                <w:szCs w:val="14"/>
                <w:color w:val="auto"/>
              </w:rPr>
              <w:t>Total electric plant in service</w:t>
            </w:r>
          </w:p>
        </w:tc>
        <w:tc>
          <w:tcPr>
            <w:tcW w:w="3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4,576.2</w:t>
            </w:r>
          </w:p>
        </w:tc>
        <w:tc>
          <w:tcPr>
            <w:tcW w:w="140" w:type="dxa"/>
            <w:vAlign w:val="bottom"/>
            <w:tcBorders>
              <w:top w:val="single" w:sz="8" w:color="auto"/>
            </w:tcBorders>
          </w:tcPr>
          <w:p>
            <w:pPr>
              <w:spacing w:after="0"/>
              <w:rPr>
                <w:sz w:val="13"/>
                <w:szCs w:val="13"/>
                <w:color w:val="auto"/>
              </w:rPr>
            </w:pPr>
          </w:p>
        </w:tc>
        <w:tc>
          <w:tcPr>
            <w:tcW w:w="1340" w:type="dxa"/>
            <w:vAlign w:val="bottom"/>
            <w:tcBorders>
              <w:top w:val="single" w:sz="8" w:color="CFF0FC"/>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4,393.7</w:t>
            </w:r>
          </w:p>
        </w:tc>
        <w:tc>
          <w:tcPr>
            <w:tcW w:w="120" w:type="dxa"/>
            <w:vAlign w:val="bottom"/>
            <w:tcBorders>
              <w:top w:val="single" w:sz="8" w:color="auto"/>
            </w:tcBorders>
          </w:tcPr>
          <w:p>
            <w:pPr>
              <w:spacing w:after="0"/>
              <w:rPr>
                <w:sz w:val="13"/>
                <w:szCs w:val="13"/>
                <w:color w:val="auto"/>
              </w:rPr>
            </w:pPr>
          </w:p>
        </w:tc>
        <w:tc>
          <w:tcPr>
            <w:tcW w:w="1400" w:type="dxa"/>
            <w:vAlign w:val="bottom"/>
            <w:tcBorders>
              <w:top w:val="single" w:sz="8" w:color="CFF0FC"/>
            </w:tcBorders>
          </w:tcPr>
          <w:p>
            <w:pPr>
              <w:spacing w:after="0"/>
              <w:rPr>
                <w:sz w:val="13"/>
                <w:szCs w:val="13"/>
                <w:color w:val="auto"/>
              </w:rPr>
            </w:pPr>
          </w:p>
        </w:tc>
        <w:tc>
          <w:tcPr>
            <w:tcW w:w="760" w:type="dxa"/>
            <w:vAlign w:val="bottom"/>
            <w:tcBorders>
              <w:top w:val="single" w:sz="8" w:color="CFF0FC"/>
            </w:tcBorders>
          </w:tcPr>
          <w:p>
            <w:pPr>
              <w:spacing w:after="0"/>
              <w:rPr>
                <w:sz w:val="13"/>
                <w:szCs w:val="13"/>
                <w:color w:val="auto"/>
              </w:rPr>
            </w:pPr>
          </w:p>
        </w:tc>
        <w:tc>
          <w:tcPr>
            <w:tcW w:w="1180" w:type="dxa"/>
            <w:vAlign w:val="bottom"/>
            <w:tcBorders>
              <w:top w:val="single" w:sz="8" w:color="CFF0FC"/>
            </w:tcBorders>
          </w:tcPr>
          <w:p>
            <w:pPr>
              <w:spacing w:after="0"/>
              <w:rPr>
                <w:sz w:val="13"/>
                <w:szCs w:val="13"/>
                <w:color w:val="auto"/>
              </w:rPr>
            </w:pPr>
          </w:p>
        </w:tc>
      </w:tr>
      <w:tr>
        <w:trPr>
          <w:trHeight w:val="162"/>
        </w:trPr>
        <w:tc>
          <w:tcPr>
            <w:tcW w:w="40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Construction work-in-progress</w:t>
            </w:r>
          </w:p>
        </w:tc>
        <w:tc>
          <w:tcPr>
            <w:tcW w:w="34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259.4</w:t>
            </w:r>
          </w:p>
        </w:tc>
        <w:tc>
          <w:tcPr>
            <w:tcW w:w="140" w:type="dxa"/>
            <w:vAlign w:val="bottom"/>
            <w:tcBorders>
              <w:bottom w:val="single" w:sz="8" w:color="auto"/>
            </w:tcBorders>
            <w:shd w:val="clear" w:color="auto" w:fill="CFF0FC"/>
          </w:tcPr>
          <w:p>
            <w:pPr>
              <w:spacing w:after="0"/>
              <w:rPr>
                <w:sz w:val="14"/>
                <w:szCs w:val="14"/>
                <w:color w:val="auto"/>
              </w:rPr>
            </w:pPr>
          </w:p>
        </w:tc>
        <w:tc>
          <w:tcPr>
            <w:tcW w:w="134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123.1</w:t>
            </w:r>
          </w:p>
        </w:tc>
        <w:tc>
          <w:tcPr>
            <w:tcW w:w="120" w:type="dxa"/>
            <w:vAlign w:val="bottom"/>
            <w:tcBorders>
              <w:bottom w:val="single" w:sz="8" w:color="auto"/>
            </w:tcBorders>
            <w:shd w:val="clear" w:color="auto" w:fill="CFF0FC"/>
          </w:tcPr>
          <w:p>
            <w:pPr>
              <w:spacing w:after="0"/>
              <w:rPr>
                <w:sz w:val="14"/>
                <w:szCs w:val="14"/>
                <w:color w:val="auto"/>
              </w:rPr>
            </w:pPr>
          </w:p>
        </w:tc>
        <w:tc>
          <w:tcPr>
            <w:tcW w:w="140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1180" w:type="dxa"/>
            <w:vAlign w:val="bottom"/>
            <w:tcBorders>
              <w:bottom w:val="single" w:sz="8" w:color="CFF0FC"/>
            </w:tcBorders>
            <w:shd w:val="clear" w:color="auto" w:fill="CFF0FC"/>
          </w:tcPr>
          <w:p>
            <w:pPr>
              <w:spacing w:after="0"/>
              <w:rPr>
                <w:sz w:val="14"/>
                <w:szCs w:val="14"/>
                <w:color w:val="auto"/>
              </w:rPr>
            </w:pPr>
          </w:p>
        </w:tc>
      </w:tr>
      <w:tr>
        <w:trPr>
          <w:trHeight w:val="156"/>
        </w:trPr>
        <w:tc>
          <w:tcPr>
            <w:tcW w:w="4060" w:type="dxa"/>
            <w:vAlign w:val="bottom"/>
          </w:tcPr>
          <w:p>
            <w:pPr>
              <w:ind w:left="200"/>
              <w:spacing w:after="0" w:line="155" w:lineRule="exact"/>
              <w:rPr>
                <w:sz w:val="20"/>
                <w:szCs w:val="20"/>
                <w:color w:val="auto"/>
              </w:rPr>
            </w:pPr>
            <w:r>
              <w:rPr>
                <w:rFonts w:ascii="Arial" w:cs="Arial" w:eastAsia="Arial" w:hAnsi="Arial"/>
                <w:sz w:val="14"/>
                <w:szCs w:val="14"/>
                <w:color w:val="auto"/>
              </w:rPr>
              <w:t>Total electric plant</w:t>
            </w:r>
          </w:p>
        </w:tc>
        <w:tc>
          <w:tcPr>
            <w:tcW w:w="34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4,835.6</w:t>
            </w: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4,516.8</w:t>
            </w: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62"/>
        </w:trPr>
        <w:tc>
          <w:tcPr>
            <w:tcW w:w="4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Less accumulated depreciation</w:t>
            </w:r>
          </w:p>
        </w:tc>
        <w:tc>
          <w:tcPr>
            <w:tcW w:w="34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(1,280.3 )</w:t>
            </w:r>
          </w:p>
        </w:tc>
        <w:tc>
          <w:tcPr>
            <w:tcW w:w="134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(1,207.7 )</w:t>
            </w:r>
          </w:p>
        </w:tc>
        <w:tc>
          <w:tcPr>
            <w:tcW w:w="140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1180" w:type="dxa"/>
            <w:vAlign w:val="bottom"/>
            <w:tcBorders>
              <w:bottom w:val="single" w:sz="8" w:color="CFF0FC"/>
            </w:tcBorders>
            <w:shd w:val="clear" w:color="auto" w:fill="CFF0FC"/>
          </w:tcPr>
          <w:p>
            <w:pPr>
              <w:spacing w:after="0"/>
              <w:rPr>
                <w:sz w:val="14"/>
                <w:szCs w:val="14"/>
                <w:color w:val="auto"/>
              </w:rPr>
            </w:pPr>
          </w:p>
        </w:tc>
      </w:tr>
      <w:tr>
        <w:trPr>
          <w:trHeight w:val="156"/>
        </w:trPr>
        <w:tc>
          <w:tcPr>
            <w:tcW w:w="4060" w:type="dxa"/>
            <w:vAlign w:val="bottom"/>
          </w:tcPr>
          <w:p>
            <w:pPr>
              <w:ind w:left="120"/>
              <w:spacing w:after="0" w:line="155" w:lineRule="exact"/>
              <w:rPr>
                <w:sz w:val="20"/>
                <w:szCs w:val="20"/>
                <w:color w:val="auto"/>
              </w:rPr>
            </w:pPr>
            <w:r>
              <w:rPr>
                <w:rFonts w:ascii="Arial" w:cs="Arial" w:eastAsia="Arial" w:hAnsi="Arial"/>
                <w:sz w:val="14"/>
                <w:szCs w:val="14"/>
                <w:color w:val="auto"/>
              </w:rPr>
              <w:t>Electric plant net of accumulated depreciation</w:t>
            </w:r>
          </w:p>
        </w:tc>
        <w:tc>
          <w:tcPr>
            <w:tcW w:w="34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3,555.3</w:t>
            </w:r>
          </w:p>
        </w:tc>
        <w:tc>
          <w:tcPr>
            <w:tcW w:w="140" w:type="dxa"/>
            <w:vAlign w:val="bottom"/>
            <w:tcBorders>
              <w:bottom w:val="single" w:sz="8" w:color="auto"/>
            </w:tcBorders>
          </w:tcPr>
          <w:p>
            <w:pPr>
              <w:spacing w:after="0"/>
              <w:rPr>
                <w:sz w:val="13"/>
                <w:szCs w:val="13"/>
                <w:color w:val="auto"/>
              </w:rPr>
            </w:pPr>
          </w:p>
        </w:tc>
        <w:tc>
          <w:tcPr>
            <w:tcW w:w="1340" w:type="dxa"/>
            <w:vAlign w:val="bottom"/>
          </w:tcPr>
          <w:p>
            <w:pPr>
              <w:spacing w:after="0"/>
              <w:rPr>
                <w:sz w:val="13"/>
                <w:szCs w:val="13"/>
                <w:color w:val="auto"/>
              </w:rPr>
            </w:pPr>
          </w:p>
        </w:tc>
        <w:tc>
          <w:tcPr>
            <w:tcW w:w="34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3,309.1</w:t>
            </w:r>
          </w:p>
        </w:tc>
        <w:tc>
          <w:tcPr>
            <w:tcW w:w="120" w:type="dxa"/>
            <w:vAlign w:val="bottom"/>
            <w:tcBorders>
              <w:bottom w:val="single" w:sz="8" w:color="auto"/>
            </w:tcBorders>
          </w:tcPr>
          <w:p>
            <w:pPr>
              <w:spacing w:after="0"/>
              <w:rPr>
                <w:sz w:val="13"/>
                <w:szCs w:val="13"/>
                <w:color w:val="auto"/>
              </w:rPr>
            </w:pPr>
          </w:p>
        </w:tc>
        <w:tc>
          <w:tcPr>
            <w:tcW w:w="1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-548005</wp:posOffset>
            </wp:positionV>
            <wp:extent cx="85725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5725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-548005</wp:posOffset>
            </wp:positionV>
            <wp:extent cx="84836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4836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-334010</wp:posOffset>
            </wp:positionV>
            <wp:extent cx="85725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5725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-334010</wp:posOffset>
            </wp:positionV>
            <wp:extent cx="84836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4836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-119380</wp:posOffset>
            </wp:positionV>
            <wp:extent cx="85725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5725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-119380</wp:posOffset>
            </wp:positionV>
            <wp:extent cx="84836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48360"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8255</wp:posOffset>
            </wp:positionV>
            <wp:extent cx="7969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96925"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8255</wp:posOffset>
            </wp:positionV>
            <wp:extent cx="78867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____________________</w:t>
      </w:r>
    </w:p>
    <w:p>
      <w:pPr>
        <w:spacing w:after="0" w:line="40" w:lineRule="exact"/>
        <w:rPr>
          <w:sz w:val="20"/>
          <w:szCs w:val="20"/>
          <w:color w:val="auto"/>
        </w:rPr>
      </w:pPr>
    </w:p>
    <w:p>
      <w:pPr>
        <w:ind w:left="520" w:right="80" w:hanging="512"/>
        <w:spacing w:after="0" w:line="285" w:lineRule="auto"/>
        <w:tabs>
          <w:tab w:leader="none" w:pos="5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plant acquisition adjustment, which relates to the acquisition of our ownership interest in Wyodak Plant, is included in rate base and is being recovered with 6 years remaining.</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right"/>
              <w:ind w:right="1068"/>
              <w:spacing w:after="0"/>
              <w:rPr>
                <w:sz w:val="20"/>
                <w:szCs w:val="20"/>
                <w:color w:val="auto"/>
              </w:rPr>
            </w:pPr>
            <w:r>
              <w:rPr>
                <w:rFonts w:ascii="Arial" w:cs="Arial" w:eastAsia="Arial" w:hAnsi="Arial"/>
                <w:sz w:val="14"/>
                <w:szCs w:val="14"/>
                <w:b w:val="1"/>
                <w:bCs w:val="1"/>
                <w:color w:val="auto"/>
              </w:rPr>
              <w:t>2024</w:t>
            </w: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right"/>
              <w:ind w:right="1128"/>
              <w:spacing w:after="0"/>
              <w:rPr>
                <w:sz w:val="20"/>
                <w:szCs w:val="20"/>
                <w:color w:val="auto"/>
              </w:rPr>
            </w:pPr>
            <w:r>
              <w:rPr>
                <w:rFonts w:ascii="Arial" w:cs="Arial" w:eastAsia="Arial" w:hAnsi="Arial"/>
                <w:sz w:val="14"/>
                <w:szCs w:val="14"/>
                <w:b w:val="1"/>
                <w:bCs w:val="1"/>
                <w:color w:val="auto"/>
                <w:w w:val="96"/>
              </w:rPr>
              <w:t>2023</w:t>
            </w:r>
          </w:p>
        </w:tc>
        <w:tc>
          <w:tcPr>
            <w:tcW w:w="7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748"/>
              <w:spacing w:after="0"/>
              <w:rPr>
                <w:sz w:val="20"/>
                <w:szCs w:val="20"/>
                <w:color w:val="auto"/>
              </w:rPr>
            </w:pPr>
            <w:r>
              <w:rPr>
                <w:rFonts w:ascii="Arial" w:cs="Arial" w:eastAsia="Arial" w:hAnsi="Arial"/>
                <w:sz w:val="14"/>
                <w:szCs w:val="14"/>
                <w:b w:val="1"/>
                <w:bCs w:val="1"/>
                <w:color w:val="auto"/>
              </w:rPr>
              <w:t>Lives</w:t>
            </w:r>
          </w:p>
        </w:tc>
      </w:tr>
      <w:tr>
        <w:trPr>
          <w:trHeight w:val="146"/>
        </w:trPr>
        <w:tc>
          <w:tcPr>
            <w:tcW w:w="4060" w:type="dxa"/>
            <w:vAlign w:val="bottom"/>
          </w:tcPr>
          <w:p>
            <w:pPr>
              <w:spacing w:after="0"/>
              <w:rPr>
                <w:sz w:val="12"/>
                <w:szCs w:val="12"/>
                <w:color w:val="auto"/>
              </w:rPr>
            </w:pPr>
          </w:p>
        </w:tc>
        <w:tc>
          <w:tcPr>
            <w:tcW w:w="112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Property, Plant</w:t>
            </w:r>
          </w:p>
        </w:tc>
        <w:tc>
          <w:tcPr>
            <w:tcW w:w="140" w:type="dxa"/>
            <w:vAlign w:val="bottom"/>
          </w:tcPr>
          <w:p>
            <w:pPr>
              <w:spacing w:after="0"/>
              <w:rPr>
                <w:sz w:val="12"/>
                <w:szCs w:val="12"/>
                <w:color w:val="auto"/>
              </w:rPr>
            </w:pPr>
          </w:p>
        </w:tc>
        <w:tc>
          <w:tcPr>
            <w:tcW w:w="13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Weighted Average</w:t>
            </w:r>
          </w:p>
        </w:tc>
        <w:tc>
          <w:tcPr>
            <w:tcW w:w="112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Property, Plant</w:t>
            </w:r>
          </w:p>
        </w:tc>
        <w:tc>
          <w:tcPr>
            <w:tcW w:w="120" w:type="dxa"/>
            <w:vAlign w:val="bottom"/>
          </w:tcPr>
          <w:p>
            <w:pPr>
              <w:spacing w:after="0"/>
              <w:rPr>
                <w:sz w:val="12"/>
                <w:szCs w:val="12"/>
                <w:color w:val="auto"/>
              </w:rPr>
            </w:pPr>
          </w:p>
        </w:tc>
        <w:tc>
          <w:tcPr>
            <w:tcW w:w="1400" w:type="dxa"/>
            <w:vAlign w:val="bottom"/>
          </w:tcPr>
          <w:p>
            <w:pPr>
              <w:jc w:val="center"/>
              <w:ind w:right="28"/>
              <w:spacing w:after="0" w:line="147" w:lineRule="exact"/>
              <w:rPr>
                <w:sz w:val="20"/>
                <w:szCs w:val="20"/>
                <w:color w:val="auto"/>
              </w:rPr>
            </w:pPr>
            <w:r>
              <w:rPr>
                <w:rFonts w:ascii="Arial" w:cs="Arial" w:eastAsia="Arial" w:hAnsi="Arial"/>
                <w:sz w:val="14"/>
                <w:szCs w:val="14"/>
                <w:b w:val="1"/>
                <w:bCs w:val="1"/>
                <w:color w:val="auto"/>
              </w:rPr>
              <w:t>Weighted Average</w:t>
            </w:r>
          </w:p>
        </w:tc>
        <w:tc>
          <w:tcPr>
            <w:tcW w:w="76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71"/>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Gas Utilities</w:t>
            </w: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and Equipment</w:t>
            </w: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Useful Life</w:t>
            </w: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and Equipment</w:t>
            </w: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Useful Life</w:t>
            </w:r>
          </w:p>
        </w:tc>
        <w:tc>
          <w:tcPr>
            <w:tcW w:w="76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rPr>
              <w:t>Minimum</w:t>
            </w:r>
          </w:p>
        </w:tc>
        <w:tc>
          <w:tcPr>
            <w:tcW w:w="118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b w:val="1"/>
                <w:bCs w:val="1"/>
                <w:color w:val="auto"/>
              </w:rPr>
              <w:t>Maximum</w:t>
            </w:r>
          </w:p>
        </w:tc>
      </w:tr>
      <w:tr>
        <w:trPr>
          <w:trHeight w:val="155"/>
        </w:trPr>
        <w:tc>
          <w:tcPr>
            <w:tcW w:w="40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3"/>
          </w:tcPr>
          <w:p>
            <w:pPr>
              <w:jc w:val="right"/>
              <w:ind w:right="68"/>
              <w:spacing w:after="0" w:line="155" w:lineRule="exact"/>
              <w:rPr>
                <w:sz w:val="20"/>
                <w:szCs w:val="20"/>
                <w:color w:val="auto"/>
              </w:rPr>
            </w:pPr>
            <w:r>
              <w:rPr>
                <w:rFonts w:ascii="Arial" w:cs="Arial" w:eastAsia="Arial" w:hAnsi="Arial"/>
                <w:sz w:val="14"/>
                <w:szCs w:val="14"/>
                <w:color w:val="auto"/>
              </w:rPr>
              <w:t>(dollars in millions, life in years)</w:t>
            </w:r>
          </w:p>
        </w:tc>
        <w:tc>
          <w:tcPr>
            <w:tcW w:w="1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2"/>
          </w:tcPr>
          <w:p>
            <w:pPr>
              <w:jc w:val="center"/>
              <w:spacing w:after="0" w:line="155" w:lineRule="exact"/>
              <w:rPr>
                <w:sz w:val="20"/>
                <w:szCs w:val="20"/>
                <w:color w:val="auto"/>
              </w:rPr>
            </w:pPr>
            <w:r>
              <w:rPr>
                <w:rFonts w:ascii="Arial" w:cs="Arial" w:eastAsia="Arial" w:hAnsi="Arial"/>
                <w:sz w:val="14"/>
                <w:szCs w:val="14"/>
                <w:color w:val="auto"/>
              </w:rPr>
              <w:t>(in years)</w:t>
            </w:r>
          </w:p>
        </w:tc>
      </w:tr>
      <w:tr>
        <w:trPr>
          <w:trHeight w:val="156"/>
        </w:trPr>
        <w:tc>
          <w:tcPr>
            <w:tcW w:w="4060" w:type="dxa"/>
            <w:vAlign w:val="bottom"/>
            <w:shd w:val="clear" w:color="auto" w:fill="CFF0FC"/>
          </w:tcPr>
          <w:p>
            <w:pPr>
              <w:ind w:left="20"/>
              <w:spacing w:after="0" w:line="155" w:lineRule="exact"/>
              <w:rPr>
                <w:sz w:val="20"/>
                <w:szCs w:val="20"/>
                <w:color w:val="auto"/>
              </w:rPr>
            </w:pPr>
            <w:r>
              <w:rPr>
                <w:rFonts w:ascii="Arial" w:cs="Arial" w:eastAsia="Arial" w:hAnsi="Arial"/>
                <w:sz w:val="14"/>
                <w:szCs w:val="14"/>
                <w:color w:val="auto"/>
              </w:rPr>
              <w:t>Gas plant:</w:t>
            </w:r>
          </w:p>
        </w:tc>
        <w:tc>
          <w:tcPr>
            <w:tcW w:w="3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r>
      <w:tr>
        <w:trPr>
          <w:trHeight w:val="162"/>
        </w:trPr>
        <w:tc>
          <w:tcPr>
            <w:tcW w:w="4060" w:type="dxa"/>
            <w:vAlign w:val="bottom"/>
          </w:tcPr>
          <w:p>
            <w:pPr>
              <w:ind w:left="120"/>
              <w:spacing w:after="0"/>
              <w:rPr>
                <w:sz w:val="20"/>
                <w:szCs w:val="20"/>
                <w:color w:val="auto"/>
              </w:rPr>
            </w:pPr>
            <w:r>
              <w:rPr>
                <w:rFonts w:ascii="Arial" w:cs="Arial" w:eastAsia="Arial" w:hAnsi="Arial"/>
                <w:sz w:val="14"/>
                <w:szCs w:val="14"/>
                <w:color w:val="auto"/>
              </w:rPr>
              <w:t>Production</w:t>
            </w:r>
          </w:p>
        </w:tc>
        <w:tc>
          <w:tcPr>
            <w:tcW w:w="360" w:type="dxa"/>
            <w:vAlign w:val="bottom"/>
          </w:tcPr>
          <w:p>
            <w:pPr>
              <w:ind w:left="2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21.6</w:t>
            </w:r>
          </w:p>
        </w:tc>
        <w:tc>
          <w:tcPr>
            <w:tcW w:w="1480" w:type="dxa"/>
            <w:vAlign w:val="bottom"/>
            <w:gridSpan w:val="2"/>
          </w:tcPr>
          <w:p>
            <w:pPr>
              <w:jc w:val="center"/>
              <w:ind w:left="48"/>
              <w:spacing w:after="0"/>
              <w:rPr>
                <w:sz w:val="20"/>
                <w:szCs w:val="20"/>
                <w:color w:val="auto"/>
              </w:rPr>
            </w:pPr>
            <w:r>
              <w:rPr>
                <w:rFonts w:ascii="Arial" w:cs="Arial" w:eastAsia="Arial" w:hAnsi="Arial"/>
                <w:sz w:val="14"/>
                <w:szCs w:val="14"/>
                <w:color w:val="auto"/>
              </w:rPr>
              <w:t>43</w:t>
            </w:r>
          </w:p>
        </w:tc>
        <w:tc>
          <w:tcPr>
            <w:tcW w:w="360" w:type="dxa"/>
            <w:vAlign w:val="bottom"/>
          </w:tcPr>
          <w:p>
            <w:pPr>
              <w:ind w:left="2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21.0</w:t>
            </w:r>
          </w:p>
        </w:tc>
        <w:tc>
          <w:tcPr>
            <w:tcW w:w="1520" w:type="dxa"/>
            <w:vAlign w:val="bottom"/>
            <w:gridSpan w:val="2"/>
          </w:tcPr>
          <w:p>
            <w:pPr>
              <w:jc w:val="center"/>
              <w:spacing w:after="0"/>
              <w:rPr>
                <w:sz w:val="20"/>
                <w:szCs w:val="20"/>
                <w:color w:val="auto"/>
              </w:rPr>
            </w:pPr>
            <w:r>
              <w:rPr>
                <w:rFonts w:ascii="Arial" w:cs="Arial" w:eastAsia="Arial" w:hAnsi="Arial"/>
                <w:sz w:val="14"/>
                <w:szCs w:val="14"/>
                <w:color w:val="auto"/>
              </w:rPr>
              <w:t>45</w:t>
            </w:r>
          </w:p>
        </w:tc>
        <w:tc>
          <w:tcPr>
            <w:tcW w:w="760" w:type="dxa"/>
            <w:vAlign w:val="bottom"/>
          </w:tcPr>
          <w:p>
            <w:pPr>
              <w:jc w:val="center"/>
              <w:ind w:left="48"/>
              <w:spacing w:after="0"/>
              <w:rPr>
                <w:sz w:val="20"/>
                <w:szCs w:val="20"/>
                <w:color w:val="auto"/>
              </w:rPr>
            </w:pPr>
            <w:r>
              <w:rPr>
                <w:rFonts w:ascii="Arial" w:cs="Arial" w:eastAsia="Arial" w:hAnsi="Arial"/>
                <w:sz w:val="14"/>
                <w:szCs w:val="14"/>
                <w:color w:val="auto"/>
              </w:rPr>
              <w:t>24</w:t>
            </w:r>
          </w:p>
        </w:tc>
        <w:tc>
          <w:tcPr>
            <w:tcW w:w="1180" w:type="dxa"/>
            <w:vAlign w:val="bottom"/>
          </w:tcPr>
          <w:p>
            <w:pPr>
              <w:jc w:val="center"/>
              <w:ind w:left="108"/>
              <w:spacing w:after="0"/>
              <w:rPr>
                <w:sz w:val="20"/>
                <w:szCs w:val="20"/>
                <w:color w:val="auto"/>
              </w:rPr>
            </w:pPr>
            <w:r>
              <w:rPr>
                <w:rFonts w:ascii="Arial" w:cs="Arial" w:eastAsia="Arial" w:hAnsi="Arial"/>
                <w:sz w:val="14"/>
                <w:szCs w:val="14"/>
                <w:color w:val="auto"/>
              </w:rPr>
              <w:t>45</w:t>
            </w:r>
          </w:p>
        </w:tc>
      </w:tr>
      <w:tr>
        <w:trPr>
          <w:trHeight w:val="162"/>
        </w:trPr>
        <w:tc>
          <w:tcPr>
            <w:tcW w:w="40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Gas transmission</w:t>
            </w:r>
          </w:p>
        </w:tc>
        <w:tc>
          <w:tcPr>
            <w:tcW w:w="3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817.5</w:t>
            </w:r>
          </w:p>
        </w:tc>
        <w:tc>
          <w:tcPr>
            <w:tcW w:w="1480" w:type="dxa"/>
            <w:vAlign w:val="bottom"/>
            <w:gridSpan w:val="2"/>
            <w:shd w:val="clear" w:color="auto" w:fill="CFF0FC"/>
          </w:tcPr>
          <w:p>
            <w:pPr>
              <w:jc w:val="center"/>
              <w:ind w:left="48"/>
              <w:spacing w:after="0"/>
              <w:rPr>
                <w:sz w:val="20"/>
                <w:szCs w:val="20"/>
                <w:color w:val="auto"/>
              </w:rPr>
            </w:pPr>
            <w:r>
              <w:rPr>
                <w:rFonts w:ascii="Arial" w:cs="Arial" w:eastAsia="Arial" w:hAnsi="Arial"/>
                <w:sz w:val="14"/>
                <w:szCs w:val="14"/>
                <w:color w:val="auto"/>
              </w:rPr>
              <w:t>58</w:t>
            </w:r>
          </w:p>
        </w:tc>
        <w:tc>
          <w:tcPr>
            <w:tcW w:w="3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759.5</w:t>
            </w:r>
          </w:p>
        </w:tc>
        <w:tc>
          <w:tcPr>
            <w:tcW w:w="1520" w:type="dxa"/>
            <w:vAlign w:val="bottom"/>
            <w:gridSpan w:val="2"/>
            <w:shd w:val="clear" w:color="auto" w:fill="CFF0FC"/>
          </w:tcPr>
          <w:p>
            <w:pPr>
              <w:jc w:val="center"/>
              <w:spacing w:after="0"/>
              <w:rPr>
                <w:sz w:val="20"/>
                <w:szCs w:val="20"/>
                <w:color w:val="auto"/>
              </w:rPr>
            </w:pPr>
            <w:r>
              <w:rPr>
                <w:rFonts w:ascii="Arial" w:cs="Arial" w:eastAsia="Arial" w:hAnsi="Arial"/>
                <w:sz w:val="14"/>
                <w:szCs w:val="14"/>
                <w:color w:val="auto"/>
              </w:rPr>
              <w:t>58</w:t>
            </w:r>
          </w:p>
        </w:tc>
        <w:tc>
          <w:tcPr>
            <w:tcW w:w="760" w:type="dxa"/>
            <w:vAlign w:val="bottom"/>
            <w:shd w:val="clear" w:color="auto" w:fill="CFF0FC"/>
          </w:tcPr>
          <w:p>
            <w:pPr>
              <w:jc w:val="center"/>
              <w:ind w:left="48"/>
              <w:spacing w:after="0"/>
              <w:rPr>
                <w:sz w:val="20"/>
                <w:szCs w:val="20"/>
                <w:color w:val="auto"/>
              </w:rPr>
            </w:pPr>
            <w:r>
              <w:rPr>
                <w:rFonts w:ascii="Arial" w:cs="Arial" w:eastAsia="Arial" w:hAnsi="Arial"/>
                <w:sz w:val="14"/>
                <w:szCs w:val="14"/>
                <w:color w:val="auto"/>
              </w:rPr>
              <w:t>32</w:t>
            </w:r>
          </w:p>
        </w:tc>
        <w:tc>
          <w:tcPr>
            <w:tcW w:w="1180" w:type="dxa"/>
            <w:vAlign w:val="bottom"/>
            <w:shd w:val="clear" w:color="auto" w:fill="CFF0FC"/>
          </w:tcPr>
          <w:p>
            <w:pPr>
              <w:jc w:val="center"/>
              <w:ind w:left="108"/>
              <w:spacing w:after="0"/>
              <w:rPr>
                <w:sz w:val="20"/>
                <w:szCs w:val="20"/>
                <w:color w:val="auto"/>
              </w:rPr>
            </w:pPr>
            <w:r>
              <w:rPr>
                <w:rFonts w:ascii="Arial" w:cs="Arial" w:eastAsia="Arial" w:hAnsi="Arial"/>
                <w:sz w:val="14"/>
                <w:szCs w:val="14"/>
                <w:color w:val="auto"/>
              </w:rPr>
              <w:t>73</w:t>
            </w:r>
          </w:p>
        </w:tc>
      </w:tr>
      <w:tr>
        <w:trPr>
          <w:trHeight w:val="162"/>
        </w:trPr>
        <w:tc>
          <w:tcPr>
            <w:tcW w:w="4060" w:type="dxa"/>
            <w:vAlign w:val="bottom"/>
          </w:tcPr>
          <w:p>
            <w:pPr>
              <w:ind w:left="120"/>
              <w:spacing w:after="0"/>
              <w:rPr>
                <w:sz w:val="20"/>
                <w:szCs w:val="20"/>
                <w:color w:val="auto"/>
              </w:rPr>
            </w:pPr>
            <w:r>
              <w:rPr>
                <w:rFonts w:ascii="Arial" w:cs="Arial" w:eastAsia="Arial" w:hAnsi="Arial"/>
                <w:sz w:val="14"/>
                <w:szCs w:val="14"/>
                <w:color w:val="auto"/>
              </w:rPr>
              <w:t>Gas distribution</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3,107.3</w:t>
            </w:r>
          </w:p>
        </w:tc>
        <w:tc>
          <w:tcPr>
            <w:tcW w:w="1480" w:type="dxa"/>
            <w:vAlign w:val="bottom"/>
            <w:gridSpan w:val="2"/>
          </w:tcPr>
          <w:p>
            <w:pPr>
              <w:jc w:val="center"/>
              <w:ind w:left="48"/>
              <w:spacing w:after="0"/>
              <w:rPr>
                <w:sz w:val="20"/>
                <w:szCs w:val="20"/>
                <w:color w:val="auto"/>
              </w:rPr>
            </w:pPr>
            <w:r>
              <w:rPr>
                <w:rFonts w:ascii="Arial" w:cs="Arial" w:eastAsia="Arial" w:hAnsi="Arial"/>
                <w:sz w:val="14"/>
                <w:szCs w:val="14"/>
                <w:color w:val="auto"/>
              </w:rPr>
              <w:t>57</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2,860.0</w:t>
            </w:r>
          </w:p>
        </w:tc>
        <w:tc>
          <w:tcPr>
            <w:tcW w:w="1520" w:type="dxa"/>
            <w:vAlign w:val="bottom"/>
            <w:gridSpan w:val="2"/>
          </w:tcPr>
          <w:p>
            <w:pPr>
              <w:jc w:val="center"/>
              <w:spacing w:after="0"/>
              <w:rPr>
                <w:sz w:val="20"/>
                <w:szCs w:val="20"/>
                <w:color w:val="auto"/>
              </w:rPr>
            </w:pPr>
            <w:r>
              <w:rPr>
                <w:rFonts w:ascii="Arial" w:cs="Arial" w:eastAsia="Arial" w:hAnsi="Arial"/>
                <w:sz w:val="14"/>
                <w:szCs w:val="14"/>
                <w:color w:val="auto"/>
              </w:rPr>
              <w:t>57</w:t>
            </w:r>
          </w:p>
        </w:tc>
        <w:tc>
          <w:tcPr>
            <w:tcW w:w="760" w:type="dxa"/>
            <w:vAlign w:val="bottom"/>
          </w:tcPr>
          <w:p>
            <w:pPr>
              <w:jc w:val="center"/>
              <w:ind w:left="48"/>
              <w:spacing w:after="0"/>
              <w:rPr>
                <w:sz w:val="20"/>
                <w:szCs w:val="20"/>
                <w:color w:val="auto"/>
              </w:rPr>
            </w:pPr>
            <w:r>
              <w:rPr>
                <w:rFonts w:ascii="Arial" w:cs="Arial" w:eastAsia="Arial" w:hAnsi="Arial"/>
                <w:sz w:val="14"/>
                <w:szCs w:val="14"/>
                <w:color w:val="auto"/>
              </w:rPr>
              <w:t>48</w:t>
            </w:r>
          </w:p>
        </w:tc>
        <w:tc>
          <w:tcPr>
            <w:tcW w:w="1180" w:type="dxa"/>
            <w:vAlign w:val="bottom"/>
          </w:tcPr>
          <w:p>
            <w:pPr>
              <w:jc w:val="center"/>
              <w:ind w:left="108"/>
              <w:spacing w:after="0"/>
              <w:rPr>
                <w:sz w:val="20"/>
                <w:szCs w:val="20"/>
                <w:color w:val="auto"/>
              </w:rPr>
            </w:pPr>
            <w:r>
              <w:rPr>
                <w:rFonts w:ascii="Arial" w:cs="Arial" w:eastAsia="Arial" w:hAnsi="Arial"/>
                <w:sz w:val="14"/>
                <w:szCs w:val="14"/>
                <w:color w:val="auto"/>
              </w:rPr>
              <w:t>61</w:t>
            </w:r>
          </w:p>
        </w:tc>
      </w:tr>
      <w:tr>
        <w:trPr>
          <w:trHeight w:val="162"/>
        </w:trPr>
        <w:tc>
          <w:tcPr>
            <w:tcW w:w="4060" w:type="dxa"/>
            <w:vAlign w:val="bottom"/>
            <w:shd w:val="clear" w:color="auto" w:fill="CFF0FC"/>
          </w:tcPr>
          <w:p>
            <w:pPr>
              <w:ind w:left="120"/>
              <w:spacing w:after="0" w:line="162" w:lineRule="exact"/>
              <w:rPr>
                <w:sz w:val="20"/>
                <w:szCs w:val="20"/>
                <w:color w:val="auto"/>
              </w:rPr>
            </w:pPr>
            <w:r>
              <w:rPr>
                <w:rFonts w:ascii="Arial" w:cs="Arial" w:eastAsia="Arial" w:hAnsi="Arial"/>
                <w:sz w:val="14"/>
                <w:szCs w:val="14"/>
                <w:color w:val="auto"/>
              </w:rPr>
              <w:t xml:space="preserve">Cushion gas - not depreciable </w:t>
            </w:r>
            <w:r>
              <w:rPr>
                <w:rFonts w:ascii="Arial" w:cs="Arial" w:eastAsia="Arial" w:hAnsi="Arial"/>
                <w:sz w:val="18"/>
                <w:szCs w:val="18"/>
                <w:color w:val="auto"/>
                <w:vertAlign w:val="superscript"/>
              </w:rPr>
              <w:t>(a)</w:t>
            </w:r>
          </w:p>
        </w:tc>
        <w:tc>
          <w:tcPr>
            <w:tcW w:w="3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52.1</w:t>
            </w:r>
          </w:p>
        </w:tc>
        <w:tc>
          <w:tcPr>
            <w:tcW w:w="140" w:type="dxa"/>
            <w:vAlign w:val="bottom"/>
            <w:shd w:val="clear" w:color="auto" w:fill="CFF0FC"/>
          </w:tcPr>
          <w:p>
            <w:pPr>
              <w:spacing w:after="0"/>
              <w:rPr>
                <w:sz w:val="14"/>
                <w:szCs w:val="14"/>
                <w:color w:val="auto"/>
              </w:rPr>
            </w:pPr>
          </w:p>
        </w:tc>
        <w:tc>
          <w:tcPr>
            <w:tcW w:w="13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N/A</w:t>
            </w:r>
          </w:p>
        </w:tc>
        <w:tc>
          <w:tcPr>
            <w:tcW w:w="3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58.2</w:t>
            </w:r>
          </w:p>
        </w:tc>
        <w:tc>
          <w:tcPr>
            <w:tcW w:w="120" w:type="dxa"/>
            <w:vAlign w:val="bottom"/>
            <w:shd w:val="clear" w:color="auto" w:fill="CFF0FC"/>
          </w:tcPr>
          <w:p>
            <w:pPr>
              <w:spacing w:after="0"/>
              <w:rPr>
                <w:sz w:val="14"/>
                <w:szCs w:val="14"/>
                <w:color w:val="auto"/>
              </w:rPr>
            </w:pPr>
          </w:p>
        </w:tc>
        <w:tc>
          <w:tcPr>
            <w:tcW w:w="1400" w:type="dxa"/>
            <w:vAlign w:val="bottom"/>
            <w:shd w:val="clear" w:color="auto" w:fill="CFF0FC"/>
          </w:tcPr>
          <w:p>
            <w:pPr>
              <w:jc w:val="center"/>
              <w:ind w:right="8"/>
              <w:spacing w:after="0"/>
              <w:rPr>
                <w:sz w:val="20"/>
                <w:szCs w:val="20"/>
                <w:color w:val="auto"/>
              </w:rPr>
            </w:pPr>
            <w:r>
              <w:rPr>
                <w:rFonts w:ascii="Arial" w:cs="Arial" w:eastAsia="Arial" w:hAnsi="Arial"/>
                <w:sz w:val="14"/>
                <w:szCs w:val="14"/>
                <w:color w:val="auto"/>
              </w:rPr>
              <w:t>N/A</w:t>
            </w:r>
          </w:p>
        </w:tc>
        <w:tc>
          <w:tcPr>
            <w:tcW w:w="760" w:type="dxa"/>
            <w:vAlign w:val="bottom"/>
            <w:shd w:val="clear" w:color="auto" w:fill="CFF0FC"/>
          </w:tcPr>
          <w:p>
            <w:pPr>
              <w:jc w:val="center"/>
              <w:ind w:left="48"/>
              <w:spacing w:after="0"/>
              <w:rPr>
                <w:sz w:val="20"/>
                <w:szCs w:val="20"/>
                <w:color w:val="auto"/>
              </w:rPr>
            </w:pPr>
            <w:r>
              <w:rPr>
                <w:rFonts w:ascii="Arial" w:cs="Arial" w:eastAsia="Arial" w:hAnsi="Arial"/>
                <w:sz w:val="14"/>
                <w:szCs w:val="14"/>
                <w:color w:val="auto"/>
              </w:rPr>
              <w:t>N/A</w:t>
            </w:r>
          </w:p>
        </w:tc>
        <w:tc>
          <w:tcPr>
            <w:tcW w:w="1180" w:type="dxa"/>
            <w:vAlign w:val="bottom"/>
            <w:shd w:val="clear" w:color="auto" w:fill="CFF0FC"/>
          </w:tcPr>
          <w:p>
            <w:pPr>
              <w:jc w:val="center"/>
              <w:ind w:left="108"/>
              <w:spacing w:after="0"/>
              <w:rPr>
                <w:sz w:val="20"/>
                <w:szCs w:val="20"/>
                <w:color w:val="auto"/>
              </w:rPr>
            </w:pPr>
            <w:r>
              <w:rPr>
                <w:rFonts w:ascii="Arial" w:cs="Arial" w:eastAsia="Arial" w:hAnsi="Arial"/>
                <w:sz w:val="14"/>
                <w:szCs w:val="14"/>
                <w:color w:val="auto"/>
              </w:rPr>
              <w:t>N/A</w:t>
            </w:r>
          </w:p>
        </w:tc>
      </w:tr>
      <w:tr>
        <w:trPr>
          <w:trHeight w:val="162"/>
        </w:trPr>
        <w:tc>
          <w:tcPr>
            <w:tcW w:w="4060" w:type="dxa"/>
            <w:vAlign w:val="bottom"/>
          </w:tcPr>
          <w:p>
            <w:pPr>
              <w:ind w:left="120"/>
              <w:spacing w:after="0"/>
              <w:rPr>
                <w:sz w:val="20"/>
                <w:szCs w:val="20"/>
                <w:color w:val="auto"/>
              </w:rPr>
            </w:pPr>
            <w:r>
              <w:rPr>
                <w:rFonts w:ascii="Arial" w:cs="Arial" w:eastAsia="Arial" w:hAnsi="Arial"/>
                <w:sz w:val="14"/>
                <w:szCs w:val="14"/>
                <w:color w:val="auto"/>
              </w:rPr>
              <w:t>Storage</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78.8</w:t>
            </w:r>
          </w:p>
        </w:tc>
        <w:tc>
          <w:tcPr>
            <w:tcW w:w="1480" w:type="dxa"/>
            <w:vAlign w:val="bottom"/>
            <w:gridSpan w:val="2"/>
          </w:tcPr>
          <w:p>
            <w:pPr>
              <w:jc w:val="center"/>
              <w:ind w:left="48"/>
              <w:spacing w:after="0"/>
              <w:rPr>
                <w:sz w:val="20"/>
                <w:szCs w:val="20"/>
                <w:color w:val="auto"/>
              </w:rPr>
            </w:pPr>
            <w:r>
              <w:rPr>
                <w:rFonts w:ascii="Arial" w:cs="Arial" w:eastAsia="Arial" w:hAnsi="Arial"/>
                <w:sz w:val="14"/>
                <w:szCs w:val="14"/>
                <w:color w:val="auto"/>
              </w:rPr>
              <w:t>42</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71.4</w:t>
            </w:r>
          </w:p>
        </w:tc>
        <w:tc>
          <w:tcPr>
            <w:tcW w:w="1520" w:type="dxa"/>
            <w:vAlign w:val="bottom"/>
            <w:gridSpan w:val="2"/>
          </w:tcPr>
          <w:p>
            <w:pPr>
              <w:jc w:val="center"/>
              <w:spacing w:after="0"/>
              <w:rPr>
                <w:sz w:val="20"/>
                <w:szCs w:val="20"/>
                <w:color w:val="auto"/>
              </w:rPr>
            </w:pPr>
            <w:r>
              <w:rPr>
                <w:rFonts w:ascii="Arial" w:cs="Arial" w:eastAsia="Arial" w:hAnsi="Arial"/>
                <w:sz w:val="14"/>
                <w:szCs w:val="14"/>
                <w:color w:val="auto"/>
              </w:rPr>
              <w:t>42</w:t>
            </w:r>
          </w:p>
        </w:tc>
        <w:tc>
          <w:tcPr>
            <w:tcW w:w="760" w:type="dxa"/>
            <w:vAlign w:val="bottom"/>
          </w:tcPr>
          <w:p>
            <w:pPr>
              <w:jc w:val="center"/>
              <w:ind w:left="48"/>
              <w:spacing w:after="0"/>
              <w:rPr>
                <w:sz w:val="20"/>
                <w:szCs w:val="20"/>
                <w:color w:val="auto"/>
              </w:rPr>
            </w:pPr>
            <w:r>
              <w:rPr>
                <w:rFonts w:ascii="Arial" w:cs="Arial" w:eastAsia="Arial" w:hAnsi="Arial"/>
                <w:sz w:val="14"/>
                <w:szCs w:val="14"/>
                <w:color w:val="auto"/>
              </w:rPr>
              <w:t>36</w:t>
            </w:r>
          </w:p>
        </w:tc>
        <w:tc>
          <w:tcPr>
            <w:tcW w:w="1180" w:type="dxa"/>
            <w:vAlign w:val="bottom"/>
          </w:tcPr>
          <w:p>
            <w:pPr>
              <w:jc w:val="center"/>
              <w:ind w:left="108"/>
              <w:spacing w:after="0"/>
              <w:rPr>
                <w:sz w:val="20"/>
                <w:szCs w:val="20"/>
                <w:color w:val="auto"/>
              </w:rPr>
            </w:pPr>
            <w:r>
              <w:rPr>
                <w:rFonts w:ascii="Arial" w:cs="Arial" w:eastAsia="Arial" w:hAnsi="Arial"/>
                <w:sz w:val="14"/>
                <w:szCs w:val="14"/>
                <w:color w:val="auto"/>
              </w:rPr>
              <w:t>48</w:t>
            </w:r>
          </w:p>
        </w:tc>
      </w:tr>
      <w:tr>
        <w:trPr>
          <w:trHeight w:val="162"/>
        </w:trPr>
        <w:tc>
          <w:tcPr>
            <w:tcW w:w="40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General</w:t>
            </w:r>
          </w:p>
        </w:tc>
        <w:tc>
          <w:tcPr>
            <w:tcW w:w="3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599.4</w:t>
            </w:r>
          </w:p>
        </w:tc>
        <w:tc>
          <w:tcPr>
            <w:tcW w:w="1480" w:type="dxa"/>
            <w:vAlign w:val="bottom"/>
            <w:gridSpan w:val="2"/>
            <w:shd w:val="clear" w:color="auto" w:fill="CFF0FC"/>
          </w:tcPr>
          <w:p>
            <w:pPr>
              <w:jc w:val="center"/>
              <w:ind w:left="48"/>
              <w:spacing w:after="0"/>
              <w:rPr>
                <w:sz w:val="20"/>
                <w:szCs w:val="20"/>
                <w:color w:val="auto"/>
              </w:rPr>
            </w:pPr>
            <w:r>
              <w:rPr>
                <w:rFonts w:ascii="Arial" w:cs="Arial" w:eastAsia="Arial" w:hAnsi="Arial"/>
                <w:sz w:val="14"/>
                <w:szCs w:val="14"/>
                <w:color w:val="auto"/>
              </w:rPr>
              <w:t>22</w:t>
            </w:r>
          </w:p>
        </w:tc>
        <w:tc>
          <w:tcPr>
            <w:tcW w:w="3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571.8</w:t>
            </w:r>
          </w:p>
        </w:tc>
        <w:tc>
          <w:tcPr>
            <w:tcW w:w="1520" w:type="dxa"/>
            <w:vAlign w:val="bottom"/>
            <w:gridSpan w:val="2"/>
            <w:shd w:val="clear" w:color="auto" w:fill="CFF0FC"/>
          </w:tcPr>
          <w:p>
            <w:pPr>
              <w:jc w:val="center"/>
              <w:spacing w:after="0"/>
              <w:rPr>
                <w:sz w:val="20"/>
                <w:szCs w:val="20"/>
                <w:color w:val="auto"/>
              </w:rPr>
            </w:pPr>
            <w:r>
              <w:rPr>
                <w:rFonts w:ascii="Arial" w:cs="Arial" w:eastAsia="Arial" w:hAnsi="Arial"/>
                <w:sz w:val="14"/>
                <w:szCs w:val="14"/>
                <w:color w:val="auto"/>
              </w:rPr>
              <w:t>22</w:t>
            </w:r>
          </w:p>
        </w:tc>
        <w:tc>
          <w:tcPr>
            <w:tcW w:w="760" w:type="dxa"/>
            <w:vAlign w:val="bottom"/>
            <w:shd w:val="clear" w:color="auto" w:fill="CFF0FC"/>
          </w:tcPr>
          <w:p>
            <w:pPr>
              <w:jc w:val="center"/>
              <w:ind w:left="48"/>
              <w:spacing w:after="0"/>
              <w:rPr>
                <w:sz w:val="20"/>
                <w:szCs w:val="20"/>
                <w:color w:val="auto"/>
              </w:rPr>
            </w:pPr>
            <w:r>
              <w:rPr>
                <w:rFonts w:ascii="Arial" w:cs="Arial" w:eastAsia="Arial" w:hAnsi="Arial"/>
                <w:sz w:val="14"/>
                <w:szCs w:val="14"/>
                <w:color w:val="auto"/>
              </w:rPr>
              <w:t>20</w:t>
            </w:r>
          </w:p>
        </w:tc>
        <w:tc>
          <w:tcPr>
            <w:tcW w:w="1180" w:type="dxa"/>
            <w:vAlign w:val="bottom"/>
            <w:shd w:val="clear" w:color="auto" w:fill="CFF0FC"/>
          </w:tcPr>
          <w:p>
            <w:pPr>
              <w:jc w:val="center"/>
              <w:ind w:left="108"/>
              <w:spacing w:after="0"/>
              <w:rPr>
                <w:sz w:val="20"/>
                <w:szCs w:val="20"/>
                <w:color w:val="auto"/>
              </w:rPr>
            </w:pPr>
            <w:r>
              <w:rPr>
                <w:rFonts w:ascii="Arial" w:cs="Arial" w:eastAsia="Arial" w:hAnsi="Arial"/>
                <w:sz w:val="14"/>
                <w:szCs w:val="14"/>
                <w:color w:val="auto"/>
              </w:rPr>
              <w:t>24</w:t>
            </w:r>
          </w:p>
        </w:tc>
      </w:tr>
      <w:tr>
        <w:trPr>
          <w:trHeight w:val="155"/>
        </w:trPr>
        <w:tc>
          <w:tcPr>
            <w:tcW w:w="4060" w:type="dxa"/>
            <w:vAlign w:val="bottom"/>
            <w:tcBorders>
              <w:top w:val="single" w:sz="8" w:color="CFF0FC"/>
            </w:tcBorders>
          </w:tcPr>
          <w:p>
            <w:pPr>
              <w:ind w:left="200"/>
              <w:spacing w:after="0" w:line="155" w:lineRule="exact"/>
              <w:rPr>
                <w:sz w:val="20"/>
                <w:szCs w:val="20"/>
                <w:color w:val="auto"/>
              </w:rPr>
            </w:pPr>
            <w:r>
              <w:rPr>
                <w:rFonts w:ascii="Arial" w:cs="Arial" w:eastAsia="Arial" w:hAnsi="Arial"/>
                <w:sz w:val="14"/>
                <w:szCs w:val="14"/>
                <w:color w:val="auto"/>
              </w:rPr>
              <w:t>Total gas plant in service</w:t>
            </w:r>
          </w:p>
        </w:tc>
        <w:tc>
          <w:tcPr>
            <w:tcW w:w="3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4,676.7</w:t>
            </w:r>
          </w:p>
        </w:tc>
        <w:tc>
          <w:tcPr>
            <w:tcW w:w="140" w:type="dxa"/>
            <w:vAlign w:val="bottom"/>
            <w:tcBorders>
              <w:top w:val="single" w:sz="8" w:color="auto"/>
            </w:tcBorders>
          </w:tcPr>
          <w:p>
            <w:pPr>
              <w:spacing w:after="0"/>
              <w:rPr>
                <w:sz w:val="13"/>
                <w:szCs w:val="13"/>
                <w:color w:val="auto"/>
              </w:rPr>
            </w:pPr>
          </w:p>
        </w:tc>
        <w:tc>
          <w:tcPr>
            <w:tcW w:w="1340" w:type="dxa"/>
            <w:vAlign w:val="bottom"/>
            <w:tcBorders>
              <w:top w:val="single" w:sz="8" w:color="CFF0FC"/>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4,341.9</w:t>
            </w:r>
          </w:p>
        </w:tc>
        <w:tc>
          <w:tcPr>
            <w:tcW w:w="120" w:type="dxa"/>
            <w:vAlign w:val="bottom"/>
            <w:tcBorders>
              <w:top w:val="single" w:sz="8" w:color="auto"/>
            </w:tcBorders>
          </w:tcPr>
          <w:p>
            <w:pPr>
              <w:spacing w:after="0"/>
              <w:rPr>
                <w:sz w:val="13"/>
                <w:szCs w:val="13"/>
                <w:color w:val="auto"/>
              </w:rPr>
            </w:pPr>
          </w:p>
        </w:tc>
        <w:tc>
          <w:tcPr>
            <w:tcW w:w="1400" w:type="dxa"/>
            <w:vAlign w:val="bottom"/>
            <w:tcBorders>
              <w:top w:val="single" w:sz="8" w:color="CFF0FC"/>
            </w:tcBorders>
          </w:tcPr>
          <w:p>
            <w:pPr>
              <w:spacing w:after="0"/>
              <w:rPr>
                <w:sz w:val="13"/>
                <w:szCs w:val="13"/>
                <w:color w:val="auto"/>
              </w:rPr>
            </w:pPr>
          </w:p>
        </w:tc>
        <w:tc>
          <w:tcPr>
            <w:tcW w:w="760" w:type="dxa"/>
            <w:vAlign w:val="bottom"/>
            <w:tcBorders>
              <w:top w:val="single" w:sz="8" w:color="CFF0FC"/>
            </w:tcBorders>
          </w:tcPr>
          <w:p>
            <w:pPr>
              <w:spacing w:after="0"/>
              <w:rPr>
                <w:sz w:val="13"/>
                <w:szCs w:val="13"/>
                <w:color w:val="auto"/>
              </w:rPr>
            </w:pPr>
          </w:p>
        </w:tc>
        <w:tc>
          <w:tcPr>
            <w:tcW w:w="1180" w:type="dxa"/>
            <w:vAlign w:val="bottom"/>
            <w:tcBorders>
              <w:top w:val="single" w:sz="8" w:color="CFF0FC"/>
            </w:tcBorders>
          </w:tcPr>
          <w:p>
            <w:pPr>
              <w:spacing w:after="0"/>
              <w:rPr>
                <w:sz w:val="13"/>
                <w:szCs w:val="13"/>
                <w:color w:val="auto"/>
              </w:rPr>
            </w:pPr>
          </w:p>
        </w:tc>
      </w:tr>
      <w:tr>
        <w:trPr>
          <w:trHeight w:val="162"/>
        </w:trPr>
        <w:tc>
          <w:tcPr>
            <w:tcW w:w="40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Construction work-in-progress</w:t>
            </w:r>
          </w:p>
        </w:tc>
        <w:tc>
          <w:tcPr>
            <w:tcW w:w="36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43.5</w:t>
            </w:r>
          </w:p>
        </w:tc>
        <w:tc>
          <w:tcPr>
            <w:tcW w:w="140" w:type="dxa"/>
            <w:vAlign w:val="bottom"/>
            <w:tcBorders>
              <w:bottom w:val="single" w:sz="8" w:color="auto"/>
            </w:tcBorders>
            <w:shd w:val="clear" w:color="auto" w:fill="CFF0FC"/>
          </w:tcPr>
          <w:p>
            <w:pPr>
              <w:spacing w:after="0"/>
              <w:rPr>
                <w:sz w:val="14"/>
                <w:szCs w:val="14"/>
                <w:color w:val="auto"/>
              </w:rPr>
            </w:pPr>
          </w:p>
        </w:tc>
        <w:tc>
          <w:tcPr>
            <w:tcW w:w="134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39.2</w:t>
            </w:r>
          </w:p>
        </w:tc>
        <w:tc>
          <w:tcPr>
            <w:tcW w:w="120" w:type="dxa"/>
            <w:vAlign w:val="bottom"/>
            <w:tcBorders>
              <w:bottom w:val="single" w:sz="8" w:color="auto"/>
            </w:tcBorders>
            <w:shd w:val="clear" w:color="auto" w:fill="CFF0FC"/>
          </w:tcPr>
          <w:p>
            <w:pPr>
              <w:spacing w:after="0"/>
              <w:rPr>
                <w:sz w:val="14"/>
                <w:szCs w:val="14"/>
                <w:color w:val="auto"/>
              </w:rPr>
            </w:pPr>
          </w:p>
        </w:tc>
        <w:tc>
          <w:tcPr>
            <w:tcW w:w="140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1180" w:type="dxa"/>
            <w:vAlign w:val="bottom"/>
            <w:tcBorders>
              <w:bottom w:val="single" w:sz="8" w:color="CFF0FC"/>
            </w:tcBorders>
            <w:shd w:val="clear" w:color="auto" w:fill="CFF0FC"/>
          </w:tcPr>
          <w:p>
            <w:pPr>
              <w:spacing w:after="0"/>
              <w:rPr>
                <w:sz w:val="14"/>
                <w:szCs w:val="14"/>
                <w:color w:val="auto"/>
              </w:rPr>
            </w:pPr>
          </w:p>
        </w:tc>
      </w:tr>
      <w:tr>
        <w:trPr>
          <w:trHeight w:val="155"/>
        </w:trPr>
        <w:tc>
          <w:tcPr>
            <w:tcW w:w="4060" w:type="dxa"/>
            <w:vAlign w:val="bottom"/>
          </w:tcPr>
          <w:p>
            <w:pPr>
              <w:ind w:left="200"/>
              <w:spacing w:after="0" w:line="155" w:lineRule="exact"/>
              <w:rPr>
                <w:sz w:val="20"/>
                <w:szCs w:val="20"/>
                <w:color w:val="auto"/>
              </w:rPr>
            </w:pPr>
            <w:r>
              <w:rPr>
                <w:rFonts w:ascii="Arial" w:cs="Arial" w:eastAsia="Arial" w:hAnsi="Arial"/>
                <w:sz w:val="14"/>
                <w:szCs w:val="14"/>
                <w:color w:val="auto"/>
              </w:rPr>
              <w:t>Total gas plant</w:t>
            </w:r>
          </w:p>
        </w:tc>
        <w:tc>
          <w:tcPr>
            <w:tcW w:w="36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4,720.2</w:t>
            </w: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4,381.1</w:t>
            </w: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62"/>
        </w:trPr>
        <w:tc>
          <w:tcPr>
            <w:tcW w:w="4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Less accumulated depreciation</w:t>
            </w:r>
          </w:p>
        </w:tc>
        <w:tc>
          <w:tcPr>
            <w:tcW w:w="36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(656.3 )</w:t>
            </w:r>
          </w:p>
        </w:tc>
        <w:tc>
          <w:tcPr>
            <w:tcW w:w="134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(588.3 )</w:t>
            </w:r>
          </w:p>
        </w:tc>
        <w:tc>
          <w:tcPr>
            <w:tcW w:w="140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1180" w:type="dxa"/>
            <w:vAlign w:val="bottom"/>
            <w:tcBorders>
              <w:bottom w:val="single" w:sz="8" w:color="CFF0FC"/>
            </w:tcBorders>
            <w:shd w:val="clear" w:color="auto" w:fill="CFF0FC"/>
          </w:tcPr>
          <w:p>
            <w:pPr>
              <w:spacing w:after="0"/>
              <w:rPr>
                <w:sz w:val="14"/>
                <w:szCs w:val="14"/>
                <w:color w:val="auto"/>
              </w:rPr>
            </w:pPr>
          </w:p>
        </w:tc>
      </w:tr>
      <w:tr>
        <w:trPr>
          <w:trHeight w:val="155"/>
        </w:trPr>
        <w:tc>
          <w:tcPr>
            <w:tcW w:w="4060" w:type="dxa"/>
            <w:vAlign w:val="bottom"/>
          </w:tcPr>
          <w:p>
            <w:pPr>
              <w:ind w:left="120"/>
              <w:spacing w:after="0" w:line="155" w:lineRule="exact"/>
              <w:rPr>
                <w:sz w:val="20"/>
                <w:szCs w:val="20"/>
                <w:color w:val="auto"/>
              </w:rPr>
            </w:pPr>
            <w:r>
              <w:rPr>
                <w:rFonts w:ascii="Arial" w:cs="Arial" w:eastAsia="Arial" w:hAnsi="Arial"/>
                <w:sz w:val="14"/>
                <w:szCs w:val="14"/>
                <w:color w:val="auto"/>
              </w:rPr>
              <w:t>Gas plant net of accumulated depreciation</w:t>
            </w:r>
          </w:p>
        </w:tc>
        <w:tc>
          <w:tcPr>
            <w:tcW w:w="36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4,063.9</w:t>
            </w:r>
          </w:p>
        </w:tc>
        <w:tc>
          <w:tcPr>
            <w:tcW w:w="140" w:type="dxa"/>
            <w:vAlign w:val="bottom"/>
            <w:tcBorders>
              <w:bottom w:val="single" w:sz="8" w:color="auto"/>
            </w:tcBorders>
          </w:tcPr>
          <w:p>
            <w:pPr>
              <w:spacing w:after="0"/>
              <w:rPr>
                <w:sz w:val="13"/>
                <w:szCs w:val="13"/>
                <w:color w:val="auto"/>
              </w:rPr>
            </w:pPr>
          </w:p>
        </w:tc>
        <w:tc>
          <w:tcPr>
            <w:tcW w:w="1340" w:type="dxa"/>
            <w:vAlign w:val="bottom"/>
          </w:tcPr>
          <w:p>
            <w:pPr>
              <w:spacing w:after="0"/>
              <w:rPr>
                <w:sz w:val="13"/>
                <w:szCs w:val="13"/>
                <w:color w:val="auto"/>
              </w:rPr>
            </w:pPr>
          </w:p>
        </w:tc>
        <w:tc>
          <w:tcPr>
            <w:tcW w:w="36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3,792.8</w:t>
            </w:r>
          </w:p>
        </w:tc>
        <w:tc>
          <w:tcPr>
            <w:tcW w:w="120" w:type="dxa"/>
            <w:vAlign w:val="bottom"/>
            <w:tcBorders>
              <w:bottom w:val="single" w:sz="8" w:color="auto"/>
            </w:tcBorders>
          </w:tcPr>
          <w:p>
            <w:pPr>
              <w:spacing w:after="0"/>
              <w:rPr>
                <w:sz w:val="13"/>
                <w:szCs w:val="13"/>
                <w:color w:val="auto"/>
              </w:rPr>
            </w:pPr>
          </w:p>
        </w:tc>
        <w:tc>
          <w:tcPr>
            <w:tcW w:w="1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-548005</wp:posOffset>
            </wp:positionV>
            <wp:extent cx="85725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5725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-548005</wp:posOffset>
            </wp:positionV>
            <wp:extent cx="84836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48360" cy="8890"/>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-334010</wp:posOffset>
            </wp:positionV>
            <wp:extent cx="85725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5725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-334010</wp:posOffset>
            </wp:positionV>
            <wp:extent cx="84836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48360" cy="8890"/>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-119380</wp:posOffset>
            </wp:positionV>
            <wp:extent cx="85725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5725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-119380</wp:posOffset>
            </wp:positionV>
            <wp:extent cx="84836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48360" cy="8890"/>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8255</wp:posOffset>
            </wp:positionV>
            <wp:extent cx="79692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96925"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8255</wp:posOffset>
            </wp:positionV>
            <wp:extent cx="78867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____________________</w:t>
      </w:r>
    </w:p>
    <w:p>
      <w:pPr>
        <w:spacing w:after="0" w:line="26" w:lineRule="exact"/>
        <w:rPr>
          <w:sz w:val="20"/>
          <w:szCs w:val="20"/>
          <w:color w:val="auto"/>
        </w:rPr>
      </w:pPr>
    </w:p>
    <w:p>
      <w:pPr>
        <w:ind w:left="520" w:hanging="512"/>
        <w:spacing w:after="0"/>
        <w:tabs>
          <w:tab w:leader="none" w:pos="5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Depreciation of Cushion Gas is determined by the respective regulatory jurisdiction in which the Cushion Gas resides.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right"/>
              <w:ind w:right="1048"/>
              <w:spacing w:after="0"/>
              <w:rPr>
                <w:sz w:val="20"/>
                <w:szCs w:val="20"/>
                <w:color w:val="auto"/>
              </w:rPr>
            </w:pPr>
            <w:r>
              <w:rPr>
                <w:rFonts w:ascii="Arial" w:cs="Arial" w:eastAsia="Arial" w:hAnsi="Arial"/>
                <w:sz w:val="14"/>
                <w:szCs w:val="14"/>
                <w:b w:val="1"/>
                <w:bCs w:val="1"/>
                <w:color w:val="auto"/>
              </w:rPr>
              <w:t>2024</w:t>
            </w:r>
          </w:p>
        </w:tc>
        <w:tc>
          <w:tcPr>
            <w:tcW w:w="4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jc w:val="right"/>
              <w:ind w:right="1148"/>
              <w:spacing w:after="0"/>
              <w:rPr>
                <w:sz w:val="20"/>
                <w:szCs w:val="20"/>
                <w:color w:val="auto"/>
              </w:rPr>
            </w:pPr>
            <w:r>
              <w:rPr>
                <w:rFonts w:ascii="Arial" w:cs="Arial" w:eastAsia="Arial" w:hAnsi="Arial"/>
                <w:sz w:val="14"/>
                <w:szCs w:val="14"/>
                <w:b w:val="1"/>
                <w:bCs w:val="1"/>
                <w:color w:val="auto"/>
                <w:w w:val="96"/>
              </w:rPr>
              <w:t>2023</w:t>
            </w:r>
          </w:p>
        </w:tc>
        <w:tc>
          <w:tcPr>
            <w:tcW w:w="7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768"/>
              <w:spacing w:after="0"/>
              <w:rPr>
                <w:sz w:val="20"/>
                <w:szCs w:val="20"/>
                <w:color w:val="auto"/>
              </w:rPr>
            </w:pPr>
            <w:r>
              <w:rPr>
                <w:rFonts w:ascii="Arial" w:cs="Arial" w:eastAsia="Arial" w:hAnsi="Arial"/>
                <w:sz w:val="14"/>
                <w:szCs w:val="14"/>
                <w:b w:val="1"/>
                <w:bCs w:val="1"/>
                <w:color w:val="auto"/>
              </w:rPr>
              <w:t>Lives</w:t>
            </w:r>
          </w:p>
        </w:tc>
      </w:tr>
      <w:tr>
        <w:trPr>
          <w:trHeight w:val="146"/>
        </w:trPr>
        <w:tc>
          <w:tcPr>
            <w:tcW w:w="4040" w:type="dxa"/>
            <w:vAlign w:val="bottom"/>
          </w:tcPr>
          <w:p>
            <w:pPr>
              <w:spacing w:after="0"/>
              <w:rPr>
                <w:sz w:val="12"/>
                <w:szCs w:val="12"/>
                <w:color w:val="auto"/>
              </w:rPr>
            </w:pPr>
          </w:p>
        </w:tc>
        <w:tc>
          <w:tcPr>
            <w:tcW w:w="110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Property, Plant</w:t>
            </w:r>
          </w:p>
        </w:tc>
        <w:tc>
          <w:tcPr>
            <w:tcW w:w="120" w:type="dxa"/>
            <w:vAlign w:val="bottom"/>
          </w:tcPr>
          <w:p>
            <w:pPr>
              <w:spacing w:after="0"/>
              <w:rPr>
                <w:sz w:val="12"/>
                <w:szCs w:val="12"/>
                <w:color w:val="auto"/>
              </w:rPr>
            </w:pPr>
          </w:p>
        </w:tc>
        <w:tc>
          <w:tcPr>
            <w:tcW w:w="13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Weighted Average</w:t>
            </w:r>
          </w:p>
        </w:tc>
        <w:tc>
          <w:tcPr>
            <w:tcW w:w="114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Property, Plant</w:t>
            </w:r>
          </w:p>
        </w:tc>
        <w:tc>
          <w:tcPr>
            <w:tcW w:w="140" w:type="dxa"/>
            <w:vAlign w:val="bottom"/>
          </w:tcPr>
          <w:p>
            <w:pPr>
              <w:spacing w:after="0"/>
              <w:rPr>
                <w:sz w:val="12"/>
                <w:szCs w:val="12"/>
                <w:color w:val="auto"/>
              </w:rPr>
            </w:pPr>
          </w:p>
        </w:tc>
        <w:tc>
          <w:tcPr>
            <w:tcW w:w="1400" w:type="dxa"/>
            <w:vAlign w:val="bottom"/>
          </w:tcPr>
          <w:p>
            <w:pPr>
              <w:jc w:val="center"/>
              <w:ind w:right="48"/>
              <w:spacing w:after="0" w:line="147" w:lineRule="exact"/>
              <w:rPr>
                <w:sz w:val="20"/>
                <w:szCs w:val="20"/>
                <w:color w:val="auto"/>
              </w:rPr>
            </w:pPr>
            <w:r>
              <w:rPr>
                <w:rFonts w:ascii="Arial" w:cs="Arial" w:eastAsia="Arial" w:hAnsi="Arial"/>
                <w:sz w:val="14"/>
                <w:szCs w:val="14"/>
                <w:b w:val="1"/>
                <w:bCs w:val="1"/>
                <w:color w:val="auto"/>
              </w:rPr>
              <w:t>Weighted Average</w:t>
            </w:r>
          </w:p>
        </w:tc>
        <w:tc>
          <w:tcPr>
            <w:tcW w:w="76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71"/>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Corporate</w:t>
            </w: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and Equipment</w:t>
            </w: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Useful Life</w:t>
            </w: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and Equipment</w:t>
            </w: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Useful Life</w:t>
            </w:r>
          </w:p>
        </w:tc>
        <w:tc>
          <w:tcPr>
            <w:tcW w:w="76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rPr>
              <w:t>Minimum</w:t>
            </w:r>
          </w:p>
        </w:tc>
        <w:tc>
          <w:tcPr>
            <w:tcW w:w="120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b w:val="1"/>
                <w:bCs w:val="1"/>
                <w:color w:val="auto"/>
              </w:rPr>
              <w:t>Maximum</w:t>
            </w:r>
          </w:p>
        </w:tc>
      </w:tr>
      <w:tr>
        <w:trPr>
          <w:trHeight w:val="155"/>
        </w:trPr>
        <w:tc>
          <w:tcPr>
            <w:tcW w:w="404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gridSpan w:val="3"/>
          </w:tcPr>
          <w:p>
            <w:pPr>
              <w:jc w:val="right"/>
              <w:ind w:right="48"/>
              <w:spacing w:after="0" w:line="155" w:lineRule="exact"/>
              <w:rPr>
                <w:sz w:val="20"/>
                <w:szCs w:val="20"/>
                <w:color w:val="auto"/>
              </w:rPr>
            </w:pPr>
            <w:r>
              <w:rPr>
                <w:rFonts w:ascii="Arial" w:cs="Arial" w:eastAsia="Arial" w:hAnsi="Arial"/>
                <w:sz w:val="14"/>
                <w:szCs w:val="14"/>
                <w:color w:val="auto"/>
              </w:rPr>
              <w:t>(dollars in millions, life in years)</w:t>
            </w:r>
          </w:p>
        </w:tc>
        <w:tc>
          <w:tcPr>
            <w:tcW w:w="1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2"/>
          </w:tcPr>
          <w:p>
            <w:pPr>
              <w:jc w:val="center"/>
              <w:ind w:right="8"/>
              <w:spacing w:after="0" w:line="155" w:lineRule="exact"/>
              <w:rPr>
                <w:sz w:val="20"/>
                <w:szCs w:val="20"/>
                <w:color w:val="auto"/>
              </w:rPr>
            </w:pPr>
            <w:r>
              <w:rPr>
                <w:rFonts w:ascii="Arial" w:cs="Arial" w:eastAsia="Arial" w:hAnsi="Arial"/>
                <w:sz w:val="14"/>
                <w:szCs w:val="14"/>
                <w:color w:val="auto"/>
              </w:rPr>
              <w:t>(in years)</w:t>
            </w:r>
          </w:p>
        </w:tc>
      </w:tr>
      <w:tr>
        <w:trPr>
          <w:trHeight w:val="155"/>
        </w:trPr>
        <w:tc>
          <w:tcPr>
            <w:tcW w:w="4040" w:type="dxa"/>
            <w:vAlign w:val="bottom"/>
            <w:shd w:val="clear" w:color="auto" w:fill="CFF0FC"/>
          </w:tcPr>
          <w:p>
            <w:pPr>
              <w:ind w:left="20"/>
              <w:spacing w:after="0" w:line="155" w:lineRule="exact"/>
              <w:rPr>
                <w:sz w:val="20"/>
                <w:szCs w:val="20"/>
                <w:color w:val="auto"/>
              </w:rPr>
            </w:pPr>
            <w:r>
              <w:rPr>
                <w:rFonts w:ascii="Arial" w:cs="Arial" w:eastAsia="Arial" w:hAnsi="Arial"/>
                <w:sz w:val="14"/>
                <w:szCs w:val="14"/>
                <w:color w:val="auto"/>
              </w:rPr>
              <w:t>Total plant in service</w:t>
            </w:r>
          </w:p>
        </w:tc>
        <w:tc>
          <w:tcPr>
            <w:tcW w:w="440" w:type="dxa"/>
            <w:vAlign w:val="bottom"/>
            <w:shd w:val="clear" w:color="auto" w:fill="CFF0FC"/>
          </w:tcPr>
          <w:p>
            <w:pPr>
              <w:ind w:left="20"/>
              <w:spacing w:after="0" w:line="155" w:lineRule="exact"/>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0.4</w:t>
            </w:r>
          </w:p>
        </w:tc>
        <w:tc>
          <w:tcPr>
            <w:tcW w:w="1460" w:type="dxa"/>
            <w:vAlign w:val="bottom"/>
            <w:gridSpan w:val="2"/>
            <w:shd w:val="clear" w:color="auto" w:fill="CFF0FC"/>
          </w:tcPr>
          <w:p>
            <w:pPr>
              <w:jc w:val="center"/>
              <w:ind w:left="28"/>
              <w:spacing w:after="0" w:line="155" w:lineRule="exact"/>
              <w:rPr>
                <w:sz w:val="20"/>
                <w:szCs w:val="20"/>
                <w:color w:val="auto"/>
              </w:rPr>
            </w:pPr>
            <w:r>
              <w:rPr>
                <w:rFonts w:ascii="Arial" w:cs="Arial" w:eastAsia="Arial" w:hAnsi="Arial"/>
                <w:sz w:val="14"/>
                <w:szCs w:val="14"/>
                <w:color w:val="auto"/>
              </w:rPr>
              <w:t>10</w:t>
            </w:r>
          </w:p>
        </w:tc>
        <w:tc>
          <w:tcPr>
            <w:tcW w:w="480" w:type="dxa"/>
            <w:vAlign w:val="bottom"/>
            <w:shd w:val="clear" w:color="auto" w:fill="CFF0FC"/>
          </w:tcPr>
          <w:p>
            <w:pPr>
              <w:jc w:val="right"/>
              <w:ind w:right="308"/>
              <w:spacing w:after="0" w:line="155" w:lineRule="exact"/>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5.7</w:t>
            </w:r>
          </w:p>
        </w:tc>
        <w:tc>
          <w:tcPr>
            <w:tcW w:w="1540" w:type="dxa"/>
            <w:vAlign w:val="bottom"/>
            <w:gridSpan w:val="2"/>
            <w:shd w:val="clear" w:color="auto" w:fill="CFF0FC"/>
          </w:tcPr>
          <w:p>
            <w:pPr>
              <w:jc w:val="center"/>
              <w:spacing w:after="0" w:line="155" w:lineRule="exact"/>
              <w:rPr>
                <w:sz w:val="20"/>
                <w:szCs w:val="20"/>
                <w:color w:val="auto"/>
              </w:rPr>
            </w:pPr>
            <w:r>
              <w:rPr>
                <w:rFonts w:ascii="Arial" w:cs="Arial" w:eastAsia="Arial" w:hAnsi="Arial"/>
                <w:sz w:val="14"/>
                <w:szCs w:val="14"/>
                <w:color w:val="auto"/>
              </w:rPr>
              <w:t>10</w:t>
            </w:r>
          </w:p>
        </w:tc>
        <w:tc>
          <w:tcPr>
            <w:tcW w:w="760" w:type="dxa"/>
            <w:vAlign w:val="bottom"/>
            <w:shd w:val="clear" w:color="auto" w:fill="CFF0FC"/>
          </w:tcPr>
          <w:p>
            <w:pPr>
              <w:jc w:val="right"/>
              <w:ind w:right="228"/>
              <w:spacing w:after="0" w:line="155" w:lineRule="exact"/>
              <w:rPr>
                <w:sz w:val="20"/>
                <w:szCs w:val="20"/>
                <w:color w:val="auto"/>
              </w:rPr>
            </w:pPr>
            <w:r>
              <w:rPr>
                <w:rFonts w:ascii="Arial" w:cs="Arial" w:eastAsia="Arial" w:hAnsi="Arial"/>
                <w:sz w:val="14"/>
                <w:szCs w:val="14"/>
                <w:color w:val="auto"/>
              </w:rPr>
              <w:t>4</w:t>
            </w:r>
          </w:p>
        </w:tc>
        <w:tc>
          <w:tcPr>
            <w:tcW w:w="1200" w:type="dxa"/>
            <w:vAlign w:val="bottom"/>
            <w:shd w:val="clear" w:color="auto" w:fill="CFF0FC"/>
          </w:tcPr>
          <w:p>
            <w:pPr>
              <w:jc w:val="right"/>
              <w:ind w:right="368"/>
              <w:spacing w:after="0" w:line="155" w:lineRule="exact"/>
              <w:rPr>
                <w:sz w:val="20"/>
                <w:szCs w:val="20"/>
                <w:color w:val="auto"/>
              </w:rPr>
            </w:pPr>
            <w:r>
              <w:rPr>
                <w:rFonts w:ascii="Arial" w:cs="Arial" w:eastAsia="Arial" w:hAnsi="Arial"/>
                <w:sz w:val="14"/>
                <w:szCs w:val="14"/>
                <w:color w:val="auto"/>
              </w:rPr>
              <w:t>21</w:t>
            </w:r>
          </w:p>
        </w:tc>
      </w:tr>
      <w:tr>
        <w:trPr>
          <w:trHeight w:val="162"/>
        </w:trPr>
        <w:tc>
          <w:tcPr>
            <w:tcW w:w="4040" w:type="dxa"/>
            <w:vAlign w:val="bottom"/>
          </w:tcPr>
          <w:p>
            <w:pPr>
              <w:ind w:left="120"/>
              <w:spacing w:after="0"/>
              <w:rPr>
                <w:sz w:val="20"/>
                <w:szCs w:val="20"/>
                <w:color w:val="auto"/>
              </w:rPr>
            </w:pPr>
            <w:r>
              <w:rPr>
                <w:rFonts w:ascii="Arial" w:cs="Arial" w:eastAsia="Arial" w:hAnsi="Arial"/>
                <w:sz w:val="14"/>
                <w:szCs w:val="14"/>
                <w:color w:val="auto"/>
              </w:rPr>
              <w:t>Construction work-in-progress</w:t>
            </w:r>
          </w:p>
        </w:tc>
        <w:tc>
          <w:tcPr>
            <w:tcW w:w="4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w:t>
            </w:r>
          </w:p>
        </w:tc>
        <w:tc>
          <w:tcPr>
            <w:tcW w:w="120" w:type="dxa"/>
            <w:vAlign w:val="bottom"/>
            <w:tcBorders>
              <w:bottom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w:t>
            </w:r>
          </w:p>
        </w:tc>
        <w:tc>
          <w:tcPr>
            <w:tcW w:w="140" w:type="dxa"/>
            <w:vAlign w:val="bottom"/>
            <w:tcBorders>
              <w:bottom w:val="single" w:sz="8" w:color="auto"/>
            </w:tcBorders>
          </w:tcPr>
          <w:p>
            <w:pPr>
              <w:spacing w:after="0"/>
              <w:rPr>
                <w:sz w:val="14"/>
                <w:szCs w:val="14"/>
                <w:color w:val="auto"/>
              </w:rPr>
            </w:pPr>
          </w:p>
        </w:tc>
        <w:tc>
          <w:tcPr>
            <w:tcW w:w="1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55"/>
        </w:trPr>
        <w:tc>
          <w:tcPr>
            <w:tcW w:w="4040" w:type="dxa"/>
            <w:vAlign w:val="bottom"/>
            <w:shd w:val="clear" w:color="auto" w:fill="CFF0FC"/>
          </w:tcPr>
          <w:p>
            <w:pPr>
              <w:ind w:left="200"/>
              <w:spacing w:after="0" w:line="155" w:lineRule="exact"/>
              <w:rPr>
                <w:sz w:val="20"/>
                <w:szCs w:val="20"/>
                <w:color w:val="auto"/>
              </w:rPr>
            </w:pPr>
            <w:r>
              <w:rPr>
                <w:rFonts w:ascii="Arial" w:cs="Arial" w:eastAsia="Arial" w:hAnsi="Arial"/>
                <w:sz w:val="14"/>
                <w:szCs w:val="14"/>
                <w:color w:val="auto"/>
              </w:rPr>
              <w:t>Total gross property, plant and equipment</w:t>
            </w:r>
          </w:p>
        </w:tc>
        <w:tc>
          <w:tcPr>
            <w:tcW w:w="44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10.7</w:t>
            </w:r>
          </w:p>
        </w:tc>
        <w:tc>
          <w:tcPr>
            <w:tcW w:w="12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19.3</w:t>
            </w:r>
          </w:p>
        </w:tc>
        <w:tc>
          <w:tcPr>
            <w:tcW w:w="14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r>
      <w:tr>
        <w:trPr>
          <w:trHeight w:val="162"/>
        </w:trPr>
        <w:tc>
          <w:tcPr>
            <w:tcW w:w="4040" w:type="dxa"/>
            <w:vAlign w:val="bottom"/>
          </w:tcPr>
          <w:p>
            <w:pPr>
              <w:ind w:left="20"/>
              <w:spacing w:after="0"/>
              <w:rPr>
                <w:sz w:val="20"/>
                <w:szCs w:val="20"/>
                <w:color w:val="auto"/>
              </w:rPr>
            </w:pPr>
            <w:r>
              <w:rPr>
                <w:rFonts w:ascii="Arial" w:cs="Arial" w:eastAsia="Arial" w:hAnsi="Arial"/>
                <w:sz w:val="14"/>
                <w:szCs w:val="14"/>
                <w:color w:val="auto"/>
              </w:rPr>
              <w:t>Less accumulated depreciation</w:t>
            </w:r>
          </w:p>
        </w:tc>
        <w:tc>
          <w:tcPr>
            <w:tcW w:w="4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(1.9 )</w:t>
            </w:r>
          </w:p>
        </w:tc>
        <w:tc>
          <w:tcPr>
            <w:tcW w:w="1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95"/>
        </w:trPr>
        <w:tc>
          <w:tcPr>
            <w:tcW w:w="4040" w:type="dxa"/>
            <w:vAlign w:val="bottom"/>
            <w:tcBorders>
              <w:bottom w:val="single" w:sz="8" w:color="CFF0FC"/>
            </w:tcBorders>
            <w:shd w:val="clear" w:color="auto" w:fill="CFF0FC"/>
          </w:tcPr>
          <w:p>
            <w:pPr>
              <w:ind w:left="120"/>
              <w:spacing w:after="0" w:line="155" w:lineRule="exact"/>
              <w:rPr>
                <w:sz w:val="20"/>
                <w:szCs w:val="20"/>
                <w:color w:val="auto"/>
              </w:rPr>
            </w:pPr>
            <w:r>
              <w:rPr>
                <w:rFonts w:ascii="Arial" w:cs="Arial" w:eastAsia="Arial" w:hAnsi="Arial"/>
                <w:sz w:val="14"/>
                <w:szCs w:val="14"/>
                <w:color w:val="auto"/>
              </w:rPr>
              <w:t>Total net of accumulated depreciation</w:t>
            </w:r>
          </w:p>
        </w:tc>
        <w:tc>
          <w:tcPr>
            <w:tcW w:w="440" w:type="dxa"/>
            <w:vAlign w:val="bottom"/>
            <w:tcBorders>
              <w:bottom w:val="single" w:sz="8" w:color="auto"/>
            </w:tcBorders>
            <w:shd w:val="clear" w:color="auto" w:fill="CFF0FC"/>
          </w:tcPr>
          <w:p>
            <w:pPr>
              <w:ind w:left="20"/>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10.7</w:t>
            </w:r>
          </w:p>
        </w:tc>
        <w:tc>
          <w:tcPr>
            <w:tcW w:w="12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ind w:right="308"/>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17.4</w:t>
            </w:r>
          </w:p>
        </w:tc>
        <w:tc>
          <w:tcPr>
            <w:tcW w:w="14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-24765</wp:posOffset>
            </wp:positionV>
            <wp:extent cx="85725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57250" cy="8890"/>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-7620</wp:posOffset>
            </wp:positionV>
            <wp:extent cx="85725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5725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-24765</wp:posOffset>
            </wp:positionV>
            <wp:extent cx="84836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4836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-7620</wp:posOffset>
            </wp:positionV>
            <wp:extent cx="84836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JOINTLY OWNED FACILITIES</w:t>
      </w:r>
    </w:p>
    <w:p>
      <w:pPr>
        <w:spacing w:after="0" w:line="194" w:lineRule="exact"/>
        <w:rPr>
          <w:sz w:val="20"/>
          <w:szCs w:val="20"/>
          <w:color w:val="auto"/>
        </w:rPr>
      </w:pPr>
    </w:p>
    <w:p>
      <w:pPr>
        <w:jc w:val="both"/>
        <w:ind w:right="640"/>
        <w:spacing w:after="0" w:line="266" w:lineRule="auto"/>
        <w:rPr>
          <w:sz w:val="20"/>
          <w:szCs w:val="20"/>
          <w:color w:val="auto"/>
        </w:rPr>
      </w:pPr>
      <w:r>
        <w:rPr>
          <w:rFonts w:ascii="Arial" w:cs="Arial" w:eastAsia="Arial" w:hAnsi="Arial"/>
          <w:sz w:val="16"/>
          <w:szCs w:val="16"/>
          <w:color w:val="auto"/>
        </w:rPr>
        <w:t>Our consolidated financial statements include our share of several jointly-owned facilities as described below. Our share of the facilities’ expenses is reflected in the appropriate categories of operating expenses in the Consolidated Statements of Income. Each owner of the facility is responsible for financing its investment in the jointly-owned facilities.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2024, our interests in jointly-owned generating facilities and transmission systems were: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540" w:type="dxa"/>
            <w:vAlign w:val="bottom"/>
          </w:tcPr>
          <w:p>
            <w:pPr>
              <w:jc w:val="center"/>
              <w:ind w:right="279"/>
              <w:spacing w:after="0"/>
              <w:rPr>
                <w:sz w:val="20"/>
                <w:szCs w:val="20"/>
                <w:color w:val="auto"/>
              </w:rPr>
            </w:pPr>
            <w:r>
              <w:rPr>
                <w:rFonts w:ascii="Arial" w:cs="Arial" w:eastAsia="Arial" w:hAnsi="Arial"/>
                <w:sz w:val="16"/>
                <w:szCs w:val="16"/>
                <w:b w:val="1"/>
                <w:bCs w:val="1"/>
                <w:color w:val="auto"/>
              </w:rPr>
              <w:t>Plant Net of</w:t>
            </w:r>
          </w:p>
        </w:tc>
      </w:tr>
      <w:tr>
        <w:trPr>
          <w:trHeight w:val="189"/>
        </w:trPr>
        <w:tc>
          <w:tcPr>
            <w:tcW w:w="26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72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Construction Work</w:t>
            </w:r>
          </w:p>
        </w:tc>
        <w:tc>
          <w:tcPr>
            <w:tcW w:w="1980" w:type="dxa"/>
            <w:vAlign w:val="bottom"/>
            <w:gridSpan w:val="2"/>
          </w:tcPr>
          <w:p>
            <w:pPr>
              <w:jc w:val="right"/>
              <w:ind w:right="339"/>
              <w:spacing w:after="0"/>
              <w:rPr>
                <w:sz w:val="20"/>
                <w:szCs w:val="20"/>
                <w:color w:val="auto"/>
              </w:rPr>
            </w:pPr>
            <w:r>
              <w:rPr>
                <w:rFonts w:ascii="Arial" w:cs="Arial" w:eastAsia="Arial" w:hAnsi="Arial"/>
                <w:sz w:val="16"/>
                <w:szCs w:val="16"/>
                <w:b w:val="1"/>
                <w:bCs w:val="1"/>
                <w:color w:val="auto"/>
              </w:rPr>
              <w:t>Less Accumulated</w:t>
            </w:r>
          </w:p>
        </w:tc>
        <w:tc>
          <w:tcPr>
            <w:tcW w:w="1540" w:type="dxa"/>
            <w:vAlign w:val="bottom"/>
          </w:tcPr>
          <w:p>
            <w:pPr>
              <w:jc w:val="center"/>
              <w:ind w:right="279"/>
              <w:spacing w:after="0"/>
              <w:rPr>
                <w:sz w:val="20"/>
                <w:szCs w:val="20"/>
                <w:color w:val="auto"/>
              </w:rPr>
            </w:pPr>
            <w:r>
              <w:rPr>
                <w:rFonts w:ascii="Arial" w:cs="Arial" w:eastAsia="Arial" w:hAnsi="Arial"/>
                <w:sz w:val="16"/>
                <w:szCs w:val="16"/>
                <w:b w:val="1"/>
                <w:bCs w:val="1"/>
                <w:color w:val="auto"/>
              </w:rPr>
              <w:t>Accumulated</w:t>
            </w:r>
          </w:p>
        </w:tc>
      </w:tr>
      <w:tr>
        <w:trPr>
          <w:trHeight w:val="203"/>
        </w:trPr>
        <w:tc>
          <w:tcPr>
            <w:tcW w:w="2620" w:type="dxa"/>
            <w:vAlign w:val="bottom"/>
          </w:tcPr>
          <w:p>
            <w:pPr>
              <w:spacing w:after="0"/>
              <w:rPr>
                <w:sz w:val="17"/>
                <w:szCs w:val="17"/>
                <w:color w:val="auto"/>
              </w:rPr>
            </w:pPr>
          </w:p>
        </w:tc>
        <w:tc>
          <w:tcPr>
            <w:tcW w:w="170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Ownership Interest</w:t>
            </w: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Plant in Service</w:t>
            </w:r>
          </w:p>
        </w:tc>
        <w:tc>
          <w:tcPr>
            <w:tcW w:w="2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in Progress</w:t>
            </w:r>
          </w:p>
        </w:tc>
        <w:tc>
          <w:tcPr>
            <w:tcW w:w="2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Depreciation</w:t>
            </w:r>
          </w:p>
        </w:tc>
        <w:tc>
          <w:tcPr>
            <w:tcW w:w="154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rPr>
              <w:t>Depreciation</w:t>
            </w:r>
          </w:p>
        </w:tc>
      </w:tr>
      <w:tr>
        <w:trPr>
          <w:trHeight w:val="183"/>
        </w:trPr>
        <w:tc>
          <w:tcPr>
            <w:tcW w:w="26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420" w:type="dxa"/>
            <w:vAlign w:val="bottom"/>
            <w:tcBorders>
              <w:bottom w:val="single" w:sz="8" w:color="auto"/>
            </w:tcBorders>
            <w:gridSpan w:val="3"/>
          </w:tcPr>
          <w:p>
            <w:pPr>
              <w:jc w:val="right"/>
              <w:ind w:right="1479"/>
              <w:spacing w:after="0" w:line="183" w:lineRule="exact"/>
              <w:rPr>
                <w:sz w:val="20"/>
                <w:szCs w:val="20"/>
                <w:color w:val="auto"/>
              </w:rPr>
            </w:pPr>
            <w:r>
              <w:rPr>
                <w:rFonts w:ascii="Arial" w:cs="Arial" w:eastAsia="Arial" w:hAnsi="Arial"/>
                <w:sz w:val="16"/>
                <w:szCs w:val="16"/>
                <w:color w:val="auto"/>
              </w:rPr>
              <w:t>(in millions)</w:t>
            </w:r>
          </w:p>
        </w:tc>
        <w:tc>
          <w:tcPr>
            <w:tcW w:w="1540" w:type="dxa"/>
            <w:vAlign w:val="bottom"/>
            <w:tcBorders>
              <w:bottom w:val="single" w:sz="8" w:color="auto"/>
            </w:tcBorders>
          </w:tcPr>
          <w:p>
            <w:pPr>
              <w:spacing w:after="0"/>
              <w:rPr>
                <w:sz w:val="15"/>
                <w:szCs w:val="15"/>
                <w:color w:val="auto"/>
              </w:rPr>
            </w:pPr>
          </w:p>
        </w:tc>
      </w:tr>
      <w:tr>
        <w:trPr>
          <w:trHeight w:val="183"/>
        </w:trPr>
        <w:tc>
          <w:tcPr>
            <w:tcW w:w="26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 xml:space="preserve">Wyodak Plant </w:t>
            </w:r>
            <w:r>
              <w:rPr>
                <w:rFonts w:ascii="Arial" w:cs="Arial" w:eastAsia="Arial" w:hAnsi="Arial"/>
                <w:sz w:val="21"/>
                <w:szCs w:val="21"/>
                <w:color w:val="auto"/>
                <w:vertAlign w:val="superscript"/>
              </w:rPr>
              <w:t>(a)</w:t>
            </w:r>
          </w:p>
        </w:tc>
        <w:tc>
          <w:tcPr>
            <w:tcW w:w="1700" w:type="dxa"/>
            <w:vAlign w:val="bottom"/>
            <w:shd w:val="clear" w:color="auto" w:fill="CFF0FC"/>
          </w:tcPr>
          <w:p>
            <w:pPr>
              <w:jc w:val="center"/>
              <w:spacing w:after="0" w:line="183" w:lineRule="exact"/>
              <w:rPr>
                <w:sz w:val="20"/>
                <w:szCs w:val="20"/>
                <w:color w:val="auto"/>
              </w:rPr>
            </w:pPr>
            <w:r>
              <w:rPr>
                <w:rFonts w:ascii="Arial" w:cs="Arial" w:eastAsia="Arial" w:hAnsi="Arial"/>
                <w:sz w:val="16"/>
                <w:szCs w:val="16"/>
                <w:color w:val="auto"/>
                <w:w w:val="99"/>
              </w:rPr>
              <w:t>20%</w:t>
            </w:r>
          </w:p>
        </w:tc>
        <w:tc>
          <w:tcPr>
            <w:tcW w:w="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5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123.0</w:t>
            </w:r>
          </w:p>
        </w:tc>
        <w:tc>
          <w:tcPr>
            <w:tcW w:w="2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7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(76.8 ) $</w:t>
            </w:r>
          </w:p>
        </w:tc>
        <w:tc>
          <w:tcPr>
            <w:tcW w:w="154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46.2</w:t>
            </w:r>
          </w:p>
        </w:tc>
      </w:tr>
      <w:tr>
        <w:trPr>
          <w:trHeight w:val="189"/>
        </w:trPr>
        <w:tc>
          <w:tcPr>
            <w:tcW w:w="2620" w:type="dxa"/>
            <w:vAlign w:val="bottom"/>
          </w:tcPr>
          <w:p>
            <w:pPr>
              <w:ind w:left="20"/>
              <w:spacing w:after="0"/>
              <w:rPr>
                <w:sz w:val="20"/>
                <w:szCs w:val="20"/>
                <w:color w:val="auto"/>
              </w:rPr>
            </w:pPr>
            <w:r>
              <w:rPr>
                <w:rFonts w:ascii="Arial" w:cs="Arial" w:eastAsia="Arial" w:hAnsi="Arial"/>
                <w:sz w:val="16"/>
                <w:szCs w:val="16"/>
                <w:color w:val="auto"/>
              </w:rPr>
              <w:t>Transmission Tie</w:t>
            </w:r>
          </w:p>
        </w:tc>
        <w:tc>
          <w:tcPr>
            <w:tcW w:w="1700" w:type="dxa"/>
            <w:vAlign w:val="bottom"/>
          </w:tcPr>
          <w:p>
            <w:pPr>
              <w:jc w:val="center"/>
              <w:spacing w:after="0"/>
              <w:rPr>
                <w:sz w:val="20"/>
                <w:szCs w:val="20"/>
                <w:color w:val="auto"/>
              </w:rPr>
            </w:pPr>
            <w:r>
              <w:rPr>
                <w:rFonts w:ascii="Arial" w:cs="Arial" w:eastAsia="Arial" w:hAnsi="Arial"/>
                <w:sz w:val="16"/>
                <w:szCs w:val="16"/>
                <w:color w:val="auto"/>
                <w:w w:val="99"/>
              </w:rPr>
              <w:t>35%</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24.5</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0.3</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(8.3 ) $</w:t>
            </w:r>
          </w:p>
        </w:tc>
        <w:tc>
          <w:tcPr>
            <w:tcW w:w="1540" w:type="dxa"/>
            <w:vAlign w:val="bottom"/>
          </w:tcPr>
          <w:p>
            <w:pPr>
              <w:jc w:val="right"/>
              <w:ind w:right="59"/>
              <w:spacing w:after="0"/>
              <w:rPr>
                <w:sz w:val="20"/>
                <w:szCs w:val="20"/>
                <w:color w:val="auto"/>
              </w:rPr>
            </w:pPr>
            <w:r>
              <w:rPr>
                <w:rFonts w:ascii="Arial" w:cs="Arial" w:eastAsia="Arial" w:hAnsi="Arial"/>
                <w:sz w:val="16"/>
                <w:szCs w:val="16"/>
                <w:color w:val="auto"/>
              </w:rPr>
              <w:t>16.5</w:t>
            </w:r>
          </w:p>
        </w:tc>
      </w:tr>
      <w:tr>
        <w:trPr>
          <w:trHeight w:val="189"/>
        </w:trPr>
        <w:tc>
          <w:tcPr>
            <w:tcW w:w="2620" w:type="dxa"/>
            <w:vAlign w:val="bottom"/>
            <w:shd w:val="clear" w:color="auto" w:fill="CFF0FC"/>
          </w:tcPr>
          <w:p>
            <w:pPr>
              <w:ind w:left="20"/>
              <w:spacing w:after="0" w:line="189" w:lineRule="exact"/>
              <w:rPr>
                <w:sz w:val="20"/>
                <w:szCs w:val="20"/>
                <w:color w:val="auto"/>
              </w:rPr>
            </w:pPr>
            <w:r>
              <w:rPr>
                <w:rFonts w:ascii="Arial" w:cs="Arial" w:eastAsia="Arial" w:hAnsi="Arial"/>
                <w:sz w:val="16"/>
                <w:szCs w:val="16"/>
                <w:color w:val="auto"/>
              </w:rPr>
              <w:t xml:space="preserve">Wygen III </w:t>
            </w:r>
            <w:r>
              <w:rPr>
                <w:rFonts w:ascii="Arial" w:cs="Arial" w:eastAsia="Arial" w:hAnsi="Arial"/>
                <w:sz w:val="21"/>
                <w:szCs w:val="21"/>
                <w:color w:val="auto"/>
                <w:vertAlign w:val="superscript"/>
              </w:rPr>
              <w:t>(b)</w:t>
            </w:r>
          </w:p>
        </w:tc>
        <w:tc>
          <w:tcPr>
            <w:tcW w:w="17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52%</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144.8</w:t>
            </w:r>
          </w:p>
        </w:tc>
        <w:tc>
          <w:tcPr>
            <w:tcW w:w="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w:t>
            </w:r>
          </w:p>
        </w:tc>
        <w:tc>
          <w:tcPr>
            <w:tcW w:w="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(33.0 ) $</w:t>
            </w:r>
          </w:p>
        </w:tc>
        <w:tc>
          <w:tcPr>
            <w:tcW w:w="15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112.1</w:t>
            </w:r>
          </w:p>
        </w:tc>
      </w:tr>
      <w:tr>
        <w:trPr>
          <w:trHeight w:val="290"/>
        </w:trPr>
        <w:tc>
          <w:tcPr>
            <w:tcW w:w="2620" w:type="dxa"/>
            <w:vAlign w:val="bottom"/>
          </w:tcPr>
          <w:p>
            <w:pPr>
              <w:ind w:left="20"/>
              <w:spacing w:after="0"/>
              <w:rPr>
                <w:sz w:val="20"/>
                <w:szCs w:val="20"/>
                <w:color w:val="auto"/>
              </w:rPr>
            </w:pPr>
            <w:r>
              <w:rPr>
                <w:rFonts w:ascii="Arial" w:cs="Arial" w:eastAsia="Arial" w:hAnsi="Arial"/>
                <w:sz w:val="16"/>
                <w:szCs w:val="16"/>
                <w:color w:val="auto"/>
              </w:rPr>
              <w:t xml:space="preserve">Wygen I </w:t>
            </w:r>
            <w:r>
              <w:rPr>
                <w:rFonts w:ascii="Arial" w:cs="Arial" w:eastAsia="Arial" w:hAnsi="Arial"/>
                <w:sz w:val="21"/>
                <w:szCs w:val="21"/>
                <w:color w:val="auto"/>
                <w:vertAlign w:val="superscript"/>
              </w:rPr>
              <w:t>(c)</w:t>
            </w:r>
          </w:p>
        </w:tc>
        <w:tc>
          <w:tcPr>
            <w:tcW w:w="1700" w:type="dxa"/>
            <w:vAlign w:val="bottom"/>
          </w:tcPr>
          <w:p>
            <w:pPr>
              <w:jc w:val="center"/>
              <w:spacing w:after="0"/>
              <w:rPr>
                <w:sz w:val="20"/>
                <w:szCs w:val="20"/>
                <w:color w:val="auto"/>
              </w:rPr>
            </w:pPr>
            <w:r>
              <w:rPr>
                <w:rFonts w:ascii="Arial" w:cs="Arial" w:eastAsia="Arial" w:hAnsi="Arial"/>
                <w:sz w:val="16"/>
                <w:szCs w:val="16"/>
                <w:color w:val="auto"/>
              </w:rPr>
              <w:t>76.5%</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116.3</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1.9</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(61.6 ) $</w:t>
            </w:r>
          </w:p>
        </w:tc>
        <w:tc>
          <w:tcPr>
            <w:tcW w:w="1540" w:type="dxa"/>
            <w:vAlign w:val="bottom"/>
          </w:tcPr>
          <w:p>
            <w:pPr>
              <w:jc w:val="right"/>
              <w:ind w:right="59"/>
              <w:spacing w:after="0"/>
              <w:rPr>
                <w:sz w:val="20"/>
                <w:szCs w:val="20"/>
                <w:color w:val="auto"/>
              </w:rPr>
            </w:pPr>
            <w:r>
              <w:rPr>
                <w:rFonts w:ascii="Arial" w:cs="Arial" w:eastAsia="Arial" w:hAnsi="Arial"/>
                <w:sz w:val="16"/>
                <w:szCs w:val="16"/>
                <w:color w:val="auto"/>
              </w:rPr>
              <w:t>56.6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214312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59" w:lineRule="exact"/>
        <w:rPr>
          <w:sz w:val="20"/>
          <w:szCs w:val="20"/>
          <w:color w:val="auto"/>
        </w:rPr>
      </w:pPr>
    </w:p>
    <w:p>
      <w:pPr>
        <w:jc w:val="both"/>
        <w:ind w:left="520" w:right="220" w:hanging="512"/>
        <w:spacing w:after="0" w:line="248" w:lineRule="auto"/>
        <w:tabs>
          <w:tab w:leader="none" w:pos="5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 addition to supplying South Dakota Electric with coal for its share of the Wyodak Plant, our mine supplies PacifiCorp’s share of the coal under a separate long-term agreement through December 31, 2026, with an annual renewal option for one-year extensions. This coal supply agreement is collateralized by a mortgage on and a security interest in some of WRDC’s coal reserves.</w:t>
      </w:r>
    </w:p>
    <w:p>
      <w:pPr>
        <w:ind w:left="520" w:hanging="512"/>
        <w:spacing w:after="0"/>
        <w:tabs>
          <w:tab w:leader="none" w:pos="5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South Dakota Electric retains responsibility for plant operations. WRDC supplies fuel to Wygen III for the life of the plant.</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Black Hills Wyoming retains responsibility for plant operations. WRDC supplies fuel to Wygen I for the life of the plant.</w:t>
      </w: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ASSET RETIREMENT OBLIGATIONS</w:t>
      </w:r>
    </w:p>
    <w:p>
      <w:pPr>
        <w:spacing w:after="0" w:line="194"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We have identified legal obligations related to reclamation of mining sites; removal of fuel tanks, transformers containing polychlorinated biphenyls, an evaporation pond; and reclamation of wind turbine sites at our Electric Utilities segment. In addition, we have identified legal obligations related to retirement of gas pipelines, wells, and compressor stations at our Gas Utilities and removal of asbestos at our Utilities. We periodically review and update estimated costs related to these AROs. The actual cost may vary from estimates due to regulatory requirements, changes in technology and increased labor, materials, and equipment costs.</w:t>
      </w:r>
    </w:p>
    <w:p>
      <w:pPr>
        <w:spacing w:after="0" w:line="153"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The following tables present the details of AROs which are included on the accompanying Consolidated Balance Sheets in Other deferred credits and other liabilities: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159"/>
              <w:spacing w:after="0"/>
              <w:rPr>
                <w:sz w:val="20"/>
                <w:szCs w:val="20"/>
                <w:color w:val="auto"/>
              </w:rPr>
            </w:pPr>
            <w:r>
              <w:rPr>
                <w:rFonts w:ascii="Arial" w:cs="Arial" w:eastAsia="Arial" w:hAnsi="Arial"/>
                <w:sz w:val="16"/>
                <w:szCs w:val="16"/>
                <w:b w:val="1"/>
                <w:bCs w:val="1"/>
                <w:color w:val="auto"/>
                <w:w w:val="99"/>
              </w:rPr>
              <w:t>December 31,</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Liabilities</w:t>
            </w: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ind w:right="199"/>
              <w:spacing w:after="0"/>
              <w:rPr>
                <w:sz w:val="20"/>
                <w:szCs w:val="20"/>
                <w:color w:val="auto"/>
              </w:rPr>
            </w:pPr>
            <w:r>
              <w:rPr>
                <w:rFonts w:ascii="Arial" w:cs="Arial" w:eastAsia="Arial" w:hAnsi="Arial"/>
                <w:sz w:val="16"/>
                <w:szCs w:val="16"/>
                <w:b w:val="1"/>
                <w:bCs w:val="1"/>
                <w:color w:val="auto"/>
              </w:rPr>
              <w:t>Revisions to</w:t>
            </w:r>
          </w:p>
        </w:tc>
        <w:tc>
          <w:tcPr>
            <w:tcW w:w="180" w:type="dxa"/>
            <w:vAlign w:val="bottom"/>
          </w:tcPr>
          <w:p>
            <w:pPr>
              <w:spacing w:after="0"/>
              <w:rPr>
                <w:sz w:val="16"/>
                <w:szCs w:val="16"/>
                <w:color w:val="auto"/>
              </w:rPr>
            </w:pPr>
          </w:p>
        </w:tc>
        <w:tc>
          <w:tcPr>
            <w:tcW w:w="1380" w:type="dxa"/>
            <w:vAlign w:val="bottom"/>
          </w:tcPr>
          <w:p>
            <w:pPr>
              <w:jc w:val="right"/>
              <w:ind w:right="219"/>
              <w:spacing w:after="0"/>
              <w:rPr>
                <w:sz w:val="20"/>
                <w:szCs w:val="20"/>
                <w:color w:val="auto"/>
              </w:rPr>
            </w:pPr>
            <w:r>
              <w:rPr>
                <w:rFonts w:ascii="Arial" w:cs="Arial" w:eastAsia="Arial" w:hAnsi="Arial"/>
                <w:sz w:val="16"/>
                <w:szCs w:val="16"/>
                <w:b w:val="1"/>
                <w:bCs w:val="1"/>
                <w:color w:val="auto"/>
              </w:rPr>
              <w:t>December 31,</w:t>
            </w:r>
          </w:p>
        </w:tc>
      </w:tr>
      <w:tr>
        <w:trPr>
          <w:trHeight w:val="203"/>
        </w:trPr>
        <w:tc>
          <w:tcPr>
            <w:tcW w:w="2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Incurred</w:t>
            </w:r>
          </w:p>
        </w:tc>
        <w:tc>
          <w:tcPr>
            <w:tcW w:w="3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Liabilities Settled</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Accretion</w:t>
            </w:r>
          </w:p>
        </w:tc>
        <w:tc>
          <w:tcPr>
            <w:tcW w:w="3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6"/>
                <w:szCs w:val="16"/>
                <w:b w:val="1"/>
                <w:bCs w:val="1"/>
                <w:color w:val="auto"/>
              </w:rPr>
              <w:t>Prior Estimates</w:t>
            </w: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2024</w:t>
            </w:r>
          </w:p>
        </w:tc>
      </w:tr>
      <w:tr>
        <w:trPr>
          <w:trHeight w:val="183"/>
        </w:trPr>
        <w:tc>
          <w:tcPr>
            <w:tcW w:w="2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2"/>
          </w:tcPr>
          <w:p>
            <w:pPr>
              <w:ind w:left="460"/>
              <w:spacing w:after="0" w:line="183" w:lineRule="exact"/>
              <w:rPr>
                <w:sz w:val="20"/>
                <w:szCs w:val="20"/>
                <w:color w:val="auto"/>
              </w:rPr>
            </w:pPr>
            <w:r>
              <w:rPr>
                <w:rFonts w:ascii="Arial" w:cs="Arial" w:eastAsia="Arial" w:hAnsi="Arial"/>
                <w:sz w:val="16"/>
                <w:szCs w:val="16"/>
                <w:color w:val="auto"/>
              </w:rPr>
              <w:t>(in millions)</w:t>
            </w:r>
          </w:p>
        </w:tc>
        <w:tc>
          <w:tcPr>
            <w:tcW w:w="3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r>
      <w:tr>
        <w:trPr>
          <w:trHeight w:val="183"/>
        </w:trPr>
        <w:tc>
          <w:tcPr>
            <w:tcW w:w="224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Electric Utilities</w:t>
            </w:r>
          </w:p>
        </w:tc>
        <w:tc>
          <w:tcPr>
            <w:tcW w:w="1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28.7</w:t>
            </w:r>
          </w:p>
        </w:tc>
        <w:tc>
          <w:tcPr>
            <w:tcW w:w="1160" w:type="dxa"/>
            <w:vAlign w:val="bottom"/>
            <w:shd w:val="clear" w:color="auto" w:fill="CFF0FC"/>
          </w:tcPr>
          <w:p>
            <w:pPr>
              <w:jc w:val="right"/>
              <w:ind w:right="899"/>
              <w:spacing w:after="0" w:line="183" w:lineRule="exact"/>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ind w:left="80"/>
              <w:spacing w:after="0" w:line="183" w:lineRule="exact"/>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ind w:left="620"/>
              <w:spacing w:after="0" w:line="183" w:lineRule="exact"/>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919"/>
              <w:spacing w:after="0" w:line="183" w:lineRule="exact"/>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1.1</w:t>
            </w:r>
          </w:p>
        </w:tc>
        <w:tc>
          <w:tcPr>
            <w:tcW w:w="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0.2</w:t>
            </w:r>
          </w:p>
        </w:tc>
        <w:tc>
          <w:tcPr>
            <w:tcW w:w="1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30.0</w:t>
            </w:r>
          </w:p>
        </w:tc>
      </w:tr>
      <w:tr>
        <w:trPr>
          <w:trHeight w:val="189"/>
        </w:trPr>
        <w:tc>
          <w:tcPr>
            <w:tcW w:w="2240" w:type="dxa"/>
            <w:vAlign w:val="bottom"/>
          </w:tcPr>
          <w:p>
            <w:pPr>
              <w:ind w:left="20"/>
              <w:spacing w:after="0"/>
              <w:rPr>
                <w:sz w:val="20"/>
                <w:szCs w:val="20"/>
                <w:color w:val="auto"/>
              </w:rPr>
            </w:pPr>
            <w:r>
              <w:rPr>
                <w:rFonts w:ascii="Arial" w:cs="Arial" w:eastAsia="Arial" w:hAnsi="Arial"/>
                <w:sz w:val="16"/>
                <w:szCs w:val="16"/>
                <w:color w:val="auto"/>
              </w:rPr>
              <w:t>Gas Utilities</w:t>
            </w: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67.5</w:t>
            </w:r>
          </w:p>
        </w:tc>
        <w:tc>
          <w:tcPr>
            <w:tcW w:w="11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6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70.7</w:t>
            </w:r>
          </w:p>
        </w:tc>
      </w:tr>
      <w:tr>
        <w:trPr>
          <w:trHeight w:val="223"/>
        </w:trPr>
        <w:tc>
          <w:tcPr>
            <w:tcW w:w="2240" w:type="dxa"/>
            <w:vAlign w:val="bottom"/>
            <w:tcBorders>
              <w:bottom w:val="single" w:sz="8" w:color="CFF0FC"/>
            </w:tcBorders>
            <w:shd w:val="clear" w:color="auto" w:fill="CFF0FC"/>
          </w:tcPr>
          <w:p>
            <w:pPr>
              <w:ind w:left="200"/>
              <w:spacing w:after="0" w:line="183" w:lineRule="exact"/>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96.2</w:t>
            </w:r>
          </w:p>
        </w:tc>
        <w:tc>
          <w:tcPr>
            <w:tcW w:w="1160" w:type="dxa"/>
            <w:vAlign w:val="bottom"/>
            <w:tcBorders>
              <w:bottom w:val="single" w:sz="8" w:color="auto"/>
            </w:tcBorders>
            <w:shd w:val="clear" w:color="auto" w:fill="CFF0FC"/>
          </w:tcPr>
          <w:p>
            <w:pPr>
              <w:jc w:val="right"/>
              <w:ind w:right="899"/>
              <w:spacing w:after="0" w:line="183" w:lineRule="exact"/>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0.2</w:t>
            </w:r>
          </w:p>
        </w:tc>
        <w:tc>
          <w:tcPr>
            <w:tcW w:w="640" w:type="dxa"/>
            <w:vAlign w:val="bottom"/>
            <w:tcBorders>
              <w:bottom w:val="single" w:sz="8" w:color="auto"/>
            </w:tcBorders>
            <w:shd w:val="clear" w:color="auto" w:fill="CFF0FC"/>
          </w:tcPr>
          <w:p>
            <w:pPr>
              <w:ind w:left="80"/>
              <w:spacing w:after="0" w:line="183"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FF0FC"/>
          </w:tcPr>
          <w:p>
            <w:pPr>
              <w:ind w:left="620"/>
              <w:spacing w:after="0" w:line="183" w:lineRule="exact"/>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FF0FC"/>
          </w:tcPr>
          <w:p>
            <w:pPr>
              <w:jc w:val="right"/>
              <w:ind w:right="919"/>
              <w:spacing w:after="0" w:line="183" w:lineRule="exact"/>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4.1</w:t>
            </w:r>
          </w:p>
        </w:tc>
        <w:tc>
          <w:tcPr>
            <w:tcW w:w="2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0.2</w:t>
            </w:r>
          </w:p>
        </w:tc>
        <w:tc>
          <w:tcPr>
            <w:tcW w:w="1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100.7</w:t>
            </w: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December 31,</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Liabilities</w:t>
            </w: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jc w:val="center"/>
              <w:ind w:right="339"/>
              <w:spacing w:after="0"/>
              <w:rPr>
                <w:sz w:val="20"/>
                <w:szCs w:val="20"/>
                <w:color w:val="auto"/>
              </w:rPr>
            </w:pPr>
            <w:r>
              <w:rPr>
                <w:rFonts w:ascii="Arial" w:cs="Arial" w:eastAsia="Arial" w:hAnsi="Arial"/>
                <w:sz w:val="16"/>
                <w:szCs w:val="16"/>
                <w:b w:val="1"/>
                <w:bCs w:val="1"/>
                <w:color w:val="auto"/>
              </w:rPr>
              <w:t>Revisions to</w:t>
            </w:r>
          </w:p>
        </w:tc>
        <w:tc>
          <w:tcPr>
            <w:tcW w:w="1380" w:type="dxa"/>
            <w:vAlign w:val="bottom"/>
          </w:tcPr>
          <w:p>
            <w:pPr>
              <w:jc w:val="right"/>
              <w:ind w:right="219"/>
              <w:spacing w:after="0"/>
              <w:rPr>
                <w:sz w:val="20"/>
                <w:szCs w:val="20"/>
                <w:color w:val="auto"/>
              </w:rPr>
            </w:pPr>
            <w:r>
              <w:rPr>
                <w:rFonts w:ascii="Arial" w:cs="Arial" w:eastAsia="Arial" w:hAnsi="Arial"/>
                <w:sz w:val="16"/>
                <w:szCs w:val="16"/>
                <w:b w:val="1"/>
                <w:bCs w:val="1"/>
                <w:color w:val="auto"/>
              </w:rPr>
              <w:t>December 31,</w:t>
            </w:r>
          </w:p>
        </w:tc>
      </w:tr>
      <w:tr>
        <w:trPr>
          <w:trHeight w:val="203"/>
        </w:trPr>
        <w:tc>
          <w:tcPr>
            <w:tcW w:w="2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2022</w:t>
            </w: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Incurred</w:t>
            </w:r>
          </w:p>
        </w:tc>
        <w:tc>
          <w:tcPr>
            <w:tcW w:w="3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Liabilities Settled</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Accretion</w:t>
            </w:r>
          </w:p>
        </w:tc>
        <w:tc>
          <w:tcPr>
            <w:tcW w:w="3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2"/>
          </w:tcPr>
          <w:p>
            <w:pPr>
              <w:jc w:val="center"/>
              <w:ind w:right="99"/>
              <w:spacing w:after="0"/>
              <w:rPr>
                <w:sz w:val="20"/>
                <w:szCs w:val="20"/>
                <w:color w:val="auto"/>
              </w:rPr>
            </w:pPr>
            <w:r>
              <w:rPr>
                <w:rFonts w:ascii="Arial" w:cs="Arial" w:eastAsia="Arial" w:hAnsi="Arial"/>
                <w:sz w:val="16"/>
                <w:szCs w:val="16"/>
                <w:b w:val="1"/>
                <w:bCs w:val="1"/>
                <w:color w:val="auto"/>
              </w:rPr>
              <w:t>Prior Estimates</w:t>
            </w:r>
          </w:p>
        </w:tc>
        <w:tc>
          <w:tcPr>
            <w:tcW w:w="13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r>
      <w:tr>
        <w:trPr>
          <w:trHeight w:val="183"/>
        </w:trPr>
        <w:tc>
          <w:tcPr>
            <w:tcW w:w="2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2"/>
          </w:tcPr>
          <w:p>
            <w:pPr>
              <w:ind w:left="460"/>
              <w:spacing w:after="0" w:line="183" w:lineRule="exact"/>
              <w:rPr>
                <w:sz w:val="20"/>
                <w:szCs w:val="20"/>
                <w:color w:val="auto"/>
              </w:rPr>
            </w:pPr>
            <w:r>
              <w:rPr>
                <w:rFonts w:ascii="Arial" w:cs="Arial" w:eastAsia="Arial" w:hAnsi="Arial"/>
                <w:sz w:val="16"/>
                <w:szCs w:val="16"/>
                <w:color w:val="auto"/>
              </w:rPr>
              <w:t>(in millions)</w:t>
            </w:r>
          </w:p>
        </w:tc>
        <w:tc>
          <w:tcPr>
            <w:tcW w:w="3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r>
      <w:tr>
        <w:trPr>
          <w:trHeight w:val="183"/>
        </w:trPr>
        <w:tc>
          <w:tcPr>
            <w:tcW w:w="224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Electric Utilities</w:t>
            </w:r>
          </w:p>
        </w:tc>
        <w:tc>
          <w:tcPr>
            <w:tcW w:w="1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30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27.6</w:t>
            </w:r>
          </w:p>
        </w:tc>
        <w:tc>
          <w:tcPr>
            <w:tcW w:w="1160" w:type="dxa"/>
            <w:vAlign w:val="bottom"/>
            <w:shd w:val="clear" w:color="auto" w:fill="CFF0FC"/>
          </w:tcPr>
          <w:p>
            <w:pPr>
              <w:jc w:val="right"/>
              <w:ind w:right="899"/>
              <w:spacing w:after="0" w:line="183" w:lineRule="exact"/>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ind w:left="80"/>
              <w:spacing w:after="0" w:line="183" w:lineRule="exact"/>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ind w:left="620"/>
              <w:spacing w:after="0" w:line="183" w:lineRule="exact"/>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919"/>
              <w:spacing w:after="0" w:line="183" w:lineRule="exact"/>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1.2</w:t>
            </w:r>
          </w:p>
        </w:tc>
        <w:tc>
          <w:tcPr>
            <w:tcW w:w="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ind w:left="940"/>
              <w:spacing w:after="0" w:line="183" w:lineRule="exact"/>
              <w:rPr>
                <w:sz w:val="20"/>
                <w:szCs w:val="20"/>
                <w:color w:val="auto"/>
              </w:rPr>
            </w:pPr>
            <w:r>
              <w:rPr>
                <w:rFonts w:ascii="Arial" w:cs="Arial" w:eastAsia="Arial" w:hAnsi="Arial"/>
                <w:sz w:val="16"/>
                <w:szCs w:val="16"/>
                <w:color w:val="auto"/>
              </w:rPr>
              <w:t>(0.1 ) $</w:t>
            </w:r>
          </w:p>
        </w:tc>
        <w:tc>
          <w:tcPr>
            <w:tcW w:w="138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28.7</w:t>
            </w:r>
          </w:p>
        </w:tc>
      </w:tr>
      <w:tr>
        <w:trPr>
          <w:trHeight w:val="189"/>
        </w:trPr>
        <w:tc>
          <w:tcPr>
            <w:tcW w:w="2240" w:type="dxa"/>
            <w:vAlign w:val="bottom"/>
          </w:tcPr>
          <w:p>
            <w:pPr>
              <w:ind w:left="20"/>
              <w:spacing w:after="0" w:line="189" w:lineRule="exact"/>
              <w:rPr>
                <w:sz w:val="20"/>
                <w:szCs w:val="20"/>
                <w:color w:val="auto"/>
              </w:rPr>
            </w:pPr>
            <w:r>
              <w:rPr>
                <w:rFonts w:ascii="Arial" w:cs="Arial" w:eastAsia="Arial" w:hAnsi="Arial"/>
                <w:sz w:val="16"/>
                <w:szCs w:val="16"/>
                <w:color w:val="auto"/>
              </w:rPr>
              <w:t xml:space="preserve">Gas Utilities </w:t>
            </w:r>
            <w:r>
              <w:rPr>
                <w:rFonts w:ascii="Arial" w:cs="Arial" w:eastAsia="Arial" w:hAnsi="Arial"/>
                <w:sz w:val="21"/>
                <w:szCs w:val="21"/>
                <w:color w:val="auto"/>
                <w:vertAlign w:val="superscript"/>
              </w:rPr>
              <w:t>(a)</w:t>
            </w: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61.3</w:t>
            </w:r>
          </w:p>
        </w:tc>
        <w:tc>
          <w:tcPr>
            <w:tcW w:w="11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6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rPr>
              <w:t>(2.8 )</w:t>
            </w:r>
          </w:p>
        </w:tc>
        <w:tc>
          <w:tcPr>
            <w:tcW w:w="1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67.5</w:t>
            </w:r>
          </w:p>
        </w:tc>
      </w:tr>
      <w:tr>
        <w:trPr>
          <w:trHeight w:val="223"/>
        </w:trPr>
        <w:tc>
          <w:tcPr>
            <w:tcW w:w="2240" w:type="dxa"/>
            <w:vAlign w:val="bottom"/>
            <w:tcBorders>
              <w:bottom w:val="single" w:sz="8" w:color="CFF0FC"/>
            </w:tcBorders>
            <w:shd w:val="clear" w:color="auto" w:fill="CFF0FC"/>
          </w:tcPr>
          <w:p>
            <w:pPr>
              <w:ind w:left="200"/>
              <w:spacing w:after="0" w:line="183" w:lineRule="exact"/>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88.9</w:t>
            </w:r>
          </w:p>
        </w:tc>
        <w:tc>
          <w:tcPr>
            <w:tcW w:w="1160" w:type="dxa"/>
            <w:vAlign w:val="bottom"/>
            <w:tcBorders>
              <w:bottom w:val="single" w:sz="8" w:color="auto"/>
            </w:tcBorders>
            <w:shd w:val="clear" w:color="auto" w:fill="CFF0FC"/>
          </w:tcPr>
          <w:p>
            <w:pPr>
              <w:jc w:val="right"/>
              <w:ind w:right="899"/>
              <w:spacing w:after="0" w:line="183" w:lineRule="exact"/>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6.7</w:t>
            </w:r>
          </w:p>
        </w:tc>
        <w:tc>
          <w:tcPr>
            <w:tcW w:w="640" w:type="dxa"/>
            <w:vAlign w:val="bottom"/>
            <w:tcBorders>
              <w:bottom w:val="single" w:sz="8" w:color="auto"/>
            </w:tcBorders>
            <w:shd w:val="clear" w:color="auto" w:fill="CFF0FC"/>
          </w:tcPr>
          <w:p>
            <w:pPr>
              <w:ind w:left="80"/>
              <w:spacing w:after="0" w:line="183"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FF0FC"/>
          </w:tcPr>
          <w:p>
            <w:pPr>
              <w:ind w:left="620"/>
              <w:spacing w:after="0" w:line="183" w:lineRule="exact"/>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FF0FC"/>
          </w:tcPr>
          <w:p>
            <w:pPr>
              <w:jc w:val="right"/>
              <w:ind w:right="919"/>
              <w:spacing w:after="0" w:line="183" w:lineRule="exact"/>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3.5</w:t>
            </w:r>
          </w:p>
        </w:tc>
        <w:tc>
          <w:tcPr>
            <w:tcW w:w="2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FF0FC"/>
          </w:tcPr>
          <w:p>
            <w:pPr>
              <w:ind w:left="940"/>
              <w:spacing w:after="0" w:line="183" w:lineRule="exact"/>
              <w:rPr>
                <w:sz w:val="20"/>
                <w:szCs w:val="20"/>
                <w:color w:val="auto"/>
              </w:rPr>
            </w:pPr>
            <w:r>
              <w:rPr>
                <w:rFonts w:ascii="Arial" w:cs="Arial" w:eastAsia="Arial" w:hAnsi="Arial"/>
                <w:sz w:val="16"/>
                <w:szCs w:val="16"/>
                <w:color w:val="auto"/>
              </w:rPr>
              <w:t>(2.9 ) $</w:t>
            </w:r>
          </w:p>
        </w:tc>
        <w:tc>
          <w:tcPr>
            <w:tcW w:w="138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96.2</w:t>
            </w:r>
          </w:p>
        </w:tc>
      </w:tr>
      <w:tr>
        <w:trPr>
          <w:trHeight w:val="115"/>
        </w:trPr>
        <w:tc>
          <w:tcPr>
            <w:tcW w:w="22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380" w:type="dxa"/>
            <w:vAlign w:val="bottom"/>
          </w:tcPr>
          <w:p>
            <w:pPr>
              <w:spacing w:after="0"/>
              <w:rPr>
                <w:sz w:val="10"/>
                <w:szCs w:val="10"/>
                <w:color w:val="auto"/>
              </w:rPr>
            </w:pPr>
          </w:p>
        </w:tc>
      </w:tr>
    </w:tbl>
    <w:p>
      <w:pPr>
        <w:spacing w:after="0" w:line="31" w:lineRule="exact"/>
        <w:rPr>
          <w:sz w:val="20"/>
          <w:szCs w:val="20"/>
          <w:color w:val="auto"/>
        </w:rPr>
      </w:pPr>
    </w:p>
    <w:p>
      <w:pPr>
        <w:ind w:left="520" w:hanging="512"/>
        <w:spacing w:after="0"/>
        <w:tabs>
          <w:tab w:leader="none" w:pos="5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Revisions to Prior Estimates were primarily driven by changes in estimates associated with natural gas wells and compressor stations.</w:t>
      </w:r>
    </w:p>
    <w:p>
      <w:pPr>
        <w:spacing w:after="0" w:line="185" w:lineRule="exact"/>
        <w:rPr>
          <w:sz w:val="20"/>
          <w:szCs w:val="20"/>
          <w:color w:val="auto"/>
        </w:rPr>
      </w:pPr>
    </w:p>
    <w:p>
      <w:pPr>
        <w:ind w:right="300"/>
        <w:spacing w:after="0" w:line="259" w:lineRule="auto"/>
        <w:rPr>
          <w:sz w:val="20"/>
          <w:szCs w:val="20"/>
          <w:color w:val="auto"/>
        </w:rPr>
      </w:pPr>
      <w:r>
        <w:rPr>
          <w:rFonts w:ascii="Arial" w:cs="Arial" w:eastAsia="Arial" w:hAnsi="Arial"/>
          <w:sz w:val="16"/>
          <w:szCs w:val="16"/>
          <w:color w:val="auto"/>
        </w:rPr>
        <w:t>We also have legally required AROs related to certain assets within our electric transmission and distribution systems. These retirement obligations are pursuant to an easement or franchise agreement and are only required if we discontinue our utility service under such easement or franchise agreement. Accordingly, it is not possible to estimate a time period when these obligations could be settled, and therefore, a liability for the cost of these obligations cannot be measured at this time.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FINANCING</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Shelf Registration Statement</w:t>
      </w:r>
    </w:p>
    <w:p>
      <w:pPr>
        <w:spacing w:after="0" w:line="194" w:lineRule="exact"/>
        <w:rPr>
          <w:sz w:val="20"/>
          <w:szCs w:val="20"/>
          <w:color w:val="auto"/>
        </w:rPr>
      </w:pPr>
    </w:p>
    <w:p>
      <w:pPr>
        <w:ind w:right="760"/>
        <w:spacing w:after="0" w:line="286" w:lineRule="auto"/>
        <w:rPr>
          <w:sz w:val="20"/>
          <w:szCs w:val="20"/>
          <w:color w:val="auto"/>
        </w:rPr>
      </w:pPr>
      <w:r>
        <w:rPr>
          <w:rFonts w:ascii="Arial" w:cs="Arial" w:eastAsia="Arial" w:hAnsi="Arial"/>
          <w:sz w:val="16"/>
          <w:szCs w:val="16"/>
          <w:color w:val="auto"/>
        </w:rPr>
        <w:t>We maintain an effective shelf registration statement (Registration No. 333-272739) with the SEC under which we may issue, from time to time, an unspecified amount of senior debt securities, subordinate debt securities, common stock, preferred stock, warrants, and other securities.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Short-term debt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Revolving Credit Facility and CP Program</w:t>
      </w:r>
    </w:p>
    <w:p>
      <w:pPr>
        <w:spacing w:after="0" w:line="194"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On May 31, 2024, we amended and restated our corporate Revolving Credit Facility, maintaining total commitments of $750 million and extending the term through May 31, 2029, with two one-year extension options (subject to consent from lenders). This facility is similar to the former revolving credit facility, which includes an accordion feature that allows us to increase total commitments up to $1.0 billion with the consent of the administrative agent, the issuing agents and each bank increasing or providing a new commitment. Borrowings continue to be available under a base rate or various SOFR rate options. The interest costs associated with the letters of credit or borrowings and the commitment fee under the Revolving Credit Facility are determined based upon our Corporate credit rating from S&amp;P and Moody's for our senior unsecured long-term debt. Based on our current credit ratings, the margins for base rate borrowings, SOFR borrowings and letters of credit were 0.125%, 1.125%, and 1.125%, respectively, at December 31, 2024. Based on our credit ratings, the commitment fee on unused amounts was 0.175%.</w:t>
      </w:r>
    </w:p>
    <w:p>
      <w:pPr>
        <w:spacing w:after="0" w:line="156"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We have a $750 million, unsecured CP Program that is backstopped by the Revolving Credit Facility. Amounts outstanding under the Revolving Credit Facility and the CP Program, either individually or in the aggregate, cannot exceed $750 million. The notes issued under the CP Program may have maturities not to exceed 397 days from the date of issuance and bear interest (or are sold at par less a discount representing an interest factor) based on, among other things, the size and maturity date of the note, the frequency of the issuance and our credit ratings. Under the CP Program, any borrowings rank equally with our unsecured debt. Notes under the CP Program are not registered and are offered and issued pursuant to a registration exemption.</w:t>
      </w:r>
    </w:p>
    <w:p>
      <w:pPr>
        <w:spacing w:after="0" w:line="153"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Our Revolving Credit Facility and CP Program, which are classified as Notes payable on the Consolidated Balance Sheets, had the following borrowings, outstanding letters of credit, and available capacity at December 31:</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2024</w:t>
            </w:r>
          </w:p>
        </w:tc>
        <w:tc>
          <w:tcPr>
            <w:tcW w:w="9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1159"/>
              <w:spacing w:after="0"/>
              <w:rPr>
                <w:sz w:val="20"/>
                <w:szCs w:val="20"/>
                <w:color w:val="auto"/>
              </w:rPr>
            </w:pPr>
            <w:r>
              <w:rPr>
                <w:rFonts w:ascii="Arial" w:cs="Arial" w:eastAsia="Arial" w:hAnsi="Arial"/>
                <w:sz w:val="16"/>
                <w:szCs w:val="16"/>
                <w:b w:val="1"/>
                <w:bCs w:val="1"/>
                <w:color w:val="auto"/>
              </w:rPr>
              <w:t>2023</w:t>
            </w:r>
          </w:p>
        </w:tc>
      </w:tr>
      <w:tr>
        <w:trPr>
          <w:trHeight w:val="183"/>
        </w:trPr>
        <w:tc>
          <w:tcPr>
            <w:tcW w:w="5760" w:type="dxa"/>
            <w:vAlign w:val="bottom"/>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2"/>
          </w:tcPr>
          <w:p>
            <w:pPr>
              <w:jc w:val="right"/>
              <w:ind w:right="159"/>
              <w:spacing w:after="0" w:line="183" w:lineRule="exact"/>
              <w:rPr>
                <w:sz w:val="20"/>
                <w:szCs w:val="20"/>
                <w:color w:val="auto"/>
              </w:rPr>
            </w:pPr>
            <w:r>
              <w:rPr>
                <w:rFonts w:ascii="Arial" w:cs="Arial" w:eastAsia="Arial" w:hAnsi="Arial"/>
                <w:sz w:val="16"/>
                <w:szCs w:val="16"/>
                <w:color w:val="auto"/>
              </w:rPr>
              <w:t>(dollars in millions)</w:t>
            </w:r>
          </w:p>
        </w:tc>
        <w:tc>
          <w:tcPr>
            <w:tcW w:w="1880" w:type="dxa"/>
            <w:vAlign w:val="bottom"/>
            <w:tcBorders>
              <w:bottom w:val="single" w:sz="8" w:color="auto"/>
            </w:tcBorders>
          </w:tcPr>
          <w:p>
            <w:pPr>
              <w:spacing w:after="0"/>
              <w:rPr>
                <w:sz w:val="15"/>
                <w:szCs w:val="15"/>
                <w:color w:val="auto"/>
              </w:rPr>
            </w:pPr>
          </w:p>
        </w:tc>
      </w:tr>
      <w:tr>
        <w:trPr>
          <w:trHeight w:val="183"/>
        </w:trPr>
        <w:tc>
          <w:tcPr>
            <w:tcW w:w="57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Amount outstanding</w:t>
            </w:r>
          </w:p>
        </w:tc>
        <w:tc>
          <w:tcPr>
            <w:tcW w:w="1740" w:type="dxa"/>
            <w:vAlign w:val="bottom"/>
            <w:shd w:val="clear" w:color="auto" w:fill="CFF0FC"/>
          </w:tcPr>
          <w:p>
            <w:pPr>
              <w:jc w:val="right"/>
              <w:ind w:right="1559"/>
              <w:spacing w:after="0" w:line="183" w:lineRule="exact"/>
              <w:rPr>
                <w:sz w:val="20"/>
                <w:szCs w:val="20"/>
                <w:color w:val="auto"/>
              </w:rPr>
            </w:pPr>
            <w:r>
              <w:rPr>
                <w:rFonts w:ascii="Arial" w:cs="Arial" w:eastAsia="Arial" w:hAnsi="Arial"/>
                <w:sz w:val="16"/>
                <w:szCs w:val="16"/>
                <w:color w:val="auto"/>
                <w:w w:val="89"/>
              </w:rPr>
              <w:t>$</w:t>
            </w:r>
          </w:p>
        </w:tc>
        <w:tc>
          <w:tcPr>
            <w:tcW w:w="9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133.8</w:t>
            </w:r>
          </w:p>
        </w:tc>
        <w:tc>
          <w:tcPr>
            <w:tcW w:w="920" w:type="dxa"/>
            <w:vAlign w:val="bottom"/>
            <w:shd w:val="clear" w:color="auto" w:fill="CFF0FC"/>
          </w:tcPr>
          <w:p>
            <w:pPr>
              <w:jc w:val="right"/>
              <w:ind w:right="679"/>
              <w:spacing w:after="0" w:line="183" w:lineRule="exact"/>
              <w:rPr>
                <w:sz w:val="20"/>
                <w:szCs w:val="20"/>
                <w:color w:val="auto"/>
              </w:rPr>
            </w:pPr>
            <w:r>
              <w:rPr>
                <w:rFonts w:ascii="Arial" w:cs="Arial" w:eastAsia="Arial" w:hAnsi="Arial"/>
                <w:sz w:val="16"/>
                <w:szCs w:val="16"/>
                <w:color w:val="auto"/>
              </w:rPr>
              <w:t>$</w:t>
            </w:r>
          </w:p>
        </w:tc>
        <w:tc>
          <w:tcPr>
            <w:tcW w:w="188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w:t>
            </w:r>
          </w:p>
        </w:tc>
      </w:tr>
      <w:tr>
        <w:trPr>
          <w:trHeight w:val="189"/>
        </w:trPr>
        <w:tc>
          <w:tcPr>
            <w:tcW w:w="5760" w:type="dxa"/>
            <w:vAlign w:val="bottom"/>
          </w:tcPr>
          <w:p>
            <w:pPr>
              <w:ind w:left="20"/>
              <w:spacing w:after="0" w:line="189" w:lineRule="exact"/>
              <w:rPr>
                <w:sz w:val="20"/>
                <w:szCs w:val="20"/>
                <w:color w:val="auto"/>
              </w:rPr>
            </w:pPr>
            <w:r>
              <w:rPr>
                <w:rFonts w:ascii="Arial" w:cs="Arial" w:eastAsia="Arial" w:hAnsi="Arial"/>
                <w:sz w:val="16"/>
                <w:szCs w:val="16"/>
                <w:color w:val="auto"/>
              </w:rPr>
              <w:t xml:space="preserve">Letters of credit </w:t>
            </w:r>
            <w:r>
              <w:rPr>
                <w:rFonts w:ascii="Arial" w:cs="Arial" w:eastAsia="Arial" w:hAnsi="Arial"/>
                <w:sz w:val="21"/>
                <w:szCs w:val="21"/>
                <w:color w:val="auto"/>
                <w:vertAlign w:val="superscript"/>
              </w:rPr>
              <w:t>(a)</w:t>
            </w:r>
          </w:p>
        </w:tc>
        <w:tc>
          <w:tcPr>
            <w:tcW w:w="17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w:t>
            </w:r>
          </w:p>
        </w:tc>
        <w:tc>
          <w:tcPr>
            <w:tcW w:w="920" w:type="dxa"/>
            <w:vAlign w:val="bottom"/>
          </w:tcPr>
          <w:p>
            <w:pPr>
              <w:spacing w:after="0"/>
              <w:rPr>
                <w:sz w:val="16"/>
                <w:szCs w:val="16"/>
                <w:color w:val="auto"/>
              </w:rPr>
            </w:pPr>
          </w:p>
        </w:tc>
        <w:tc>
          <w:tcPr>
            <w:tcW w:w="1880" w:type="dxa"/>
            <w:vAlign w:val="bottom"/>
          </w:tcPr>
          <w:p>
            <w:pPr>
              <w:jc w:val="right"/>
              <w:ind w:right="59"/>
              <w:spacing w:after="0"/>
              <w:rPr>
                <w:sz w:val="20"/>
                <w:szCs w:val="20"/>
                <w:color w:val="auto"/>
              </w:rPr>
            </w:pPr>
            <w:r>
              <w:rPr>
                <w:rFonts w:ascii="Arial" w:cs="Arial" w:eastAsia="Arial" w:hAnsi="Arial"/>
                <w:sz w:val="16"/>
                <w:szCs w:val="16"/>
                <w:color w:val="auto"/>
              </w:rPr>
              <w:t>3.7</w:t>
            </w:r>
          </w:p>
        </w:tc>
      </w:tr>
      <w:tr>
        <w:trPr>
          <w:trHeight w:val="189"/>
        </w:trPr>
        <w:tc>
          <w:tcPr>
            <w:tcW w:w="5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Available capacity</w:t>
            </w:r>
          </w:p>
        </w:tc>
        <w:tc>
          <w:tcPr>
            <w:tcW w:w="174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612.7</w:t>
            </w:r>
          </w:p>
        </w:tc>
        <w:tc>
          <w:tcPr>
            <w:tcW w:w="920" w:type="dxa"/>
            <w:vAlign w:val="bottom"/>
            <w:shd w:val="clear" w:color="auto" w:fill="CFF0FC"/>
          </w:tcPr>
          <w:p>
            <w:pPr>
              <w:spacing w:after="0"/>
              <w:rPr>
                <w:sz w:val="16"/>
                <w:szCs w:val="16"/>
                <w:color w:val="auto"/>
              </w:rPr>
            </w:pPr>
          </w:p>
        </w:tc>
        <w:tc>
          <w:tcPr>
            <w:tcW w:w="18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746.3</w:t>
            </w:r>
          </w:p>
        </w:tc>
      </w:tr>
      <w:tr>
        <w:trPr>
          <w:trHeight w:val="215"/>
        </w:trPr>
        <w:tc>
          <w:tcPr>
            <w:tcW w:w="5760" w:type="dxa"/>
            <w:vAlign w:val="bottom"/>
          </w:tcPr>
          <w:p>
            <w:pPr>
              <w:ind w:left="20"/>
              <w:spacing w:after="0"/>
              <w:rPr>
                <w:sz w:val="20"/>
                <w:szCs w:val="20"/>
                <w:color w:val="auto"/>
              </w:rPr>
            </w:pPr>
            <w:r>
              <w:rPr>
                <w:rFonts w:ascii="Arial" w:cs="Arial" w:eastAsia="Arial" w:hAnsi="Arial"/>
                <w:sz w:val="16"/>
                <w:szCs w:val="16"/>
                <w:color w:val="auto"/>
              </w:rPr>
              <w:t>Weighted average interest rates</w:t>
            </w:r>
          </w:p>
        </w:tc>
        <w:tc>
          <w:tcPr>
            <w:tcW w:w="17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4.74%</w:t>
            </w:r>
          </w:p>
        </w:tc>
        <w:tc>
          <w:tcPr>
            <w:tcW w:w="920" w:type="dxa"/>
            <w:vAlign w:val="bottom"/>
          </w:tcPr>
          <w:p>
            <w:pPr>
              <w:spacing w:after="0"/>
              <w:rPr>
                <w:sz w:val="18"/>
                <w:szCs w:val="18"/>
                <w:color w:val="auto"/>
              </w:rPr>
            </w:pPr>
          </w:p>
        </w:tc>
        <w:tc>
          <w:tcPr>
            <w:tcW w:w="1880" w:type="dxa"/>
            <w:vAlign w:val="bottom"/>
          </w:tcPr>
          <w:p>
            <w:pPr>
              <w:jc w:val="right"/>
              <w:ind w:right="59"/>
              <w:spacing w:after="0"/>
              <w:rPr>
                <w:sz w:val="20"/>
                <w:szCs w:val="20"/>
                <w:color w:val="auto"/>
              </w:rPr>
            </w:pPr>
            <w:r>
              <w:rPr>
                <w:rFonts w:ascii="Arial" w:cs="Arial" w:eastAsia="Arial" w:hAnsi="Arial"/>
                <w:sz w:val="16"/>
                <w:szCs w:val="16"/>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214312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134" w:lineRule="exact"/>
        <w:rPr>
          <w:sz w:val="20"/>
          <w:szCs w:val="20"/>
          <w:color w:val="auto"/>
        </w:rPr>
      </w:pPr>
    </w:p>
    <w:p>
      <w:pPr>
        <w:ind w:left="520" w:hanging="512"/>
        <w:spacing w:after="0"/>
        <w:tabs>
          <w:tab w:leader="none" w:pos="5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Letters of credit are off-balance sheet commitments that reduce the borrowing capacity available on our corporate Revolving Credit Facility.</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Revolving Credit Facility and CP Program borrowing activity for the years ended December 31 was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8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2023</w:t>
            </w:r>
          </w:p>
        </w:tc>
      </w:tr>
      <w:tr>
        <w:trPr>
          <w:trHeight w:val="183"/>
        </w:trPr>
        <w:tc>
          <w:tcPr>
            <w:tcW w:w="722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(dollars in millions)</w:t>
            </w:r>
          </w:p>
        </w:tc>
        <w:tc>
          <w:tcPr>
            <w:tcW w:w="1360" w:type="dxa"/>
            <w:vAlign w:val="bottom"/>
            <w:tcBorders>
              <w:bottom w:val="single" w:sz="8" w:color="auto"/>
            </w:tcBorders>
          </w:tcPr>
          <w:p>
            <w:pPr>
              <w:spacing w:after="0"/>
              <w:rPr>
                <w:sz w:val="15"/>
                <w:szCs w:val="15"/>
                <w:color w:val="auto"/>
              </w:rPr>
            </w:pPr>
          </w:p>
        </w:tc>
      </w:tr>
      <w:tr>
        <w:trPr>
          <w:trHeight w:val="183"/>
        </w:trPr>
        <w:tc>
          <w:tcPr>
            <w:tcW w:w="72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Maximum amount outstanding (based on daily outstanding balances)</w:t>
            </w:r>
          </w:p>
        </w:tc>
        <w:tc>
          <w:tcPr>
            <w:tcW w:w="1160" w:type="dxa"/>
            <w:vAlign w:val="bottom"/>
            <w:shd w:val="clear" w:color="auto" w:fill="CFF0FC"/>
          </w:tcPr>
          <w:p>
            <w:pPr>
              <w:jc w:val="right"/>
              <w:ind w:right="979"/>
              <w:spacing w:after="0" w:line="183" w:lineRule="exact"/>
              <w:rPr>
                <w:sz w:val="20"/>
                <w:szCs w:val="20"/>
                <w:color w:val="auto"/>
              </w:rPr>
            </w:pPr>
            <w:r>
              <w:rPr>
                <w:rFonts w:ascii="Arial" w:cs="Arial" w:eastAsia="Arial" w:hAnsi="Arial"/>
                <w:sz w:val="16"/>
                <w:szCs w:val="16"/>
                <w:color w:val="auto"/>
                <w:w w:val="89"/>
              </w:rPr>
              <w:t>$</w:t>
            </w:r>
          </w:p>
        </w:tc>
        <w:tc>
          <w:tcPr>
            <w:tcW w:w="840" w:type="dxa"/>
            <w:vAlign w:val="bottom"/>
            <w:shd w:val="clear" w:color="auto" w:fill="CFF0FC"/>
          </w:tcPr>
          <w:p>
            <w:pPr>
              <w:jc w:val="right"/>
              <w:ind w:right="119"/>
              <w:spacing w:after="0" w:line="183" w:lineRule="exact"/>
              <w:rPr>
                <w:sz w:val="20"/>
                <w:szCs w:val="20"/>
                <w:color w:val="auto"/>
              </w:rPr>
            </w:pPr>
            <w:r>
              <w:rPr>
                <w:rFonts w:ascii="Arial" w:cs="Arial" w:eastAsia="Arial" w:hAnsi="Arial"/>
                <w:sz w:val="16"/>
                <w:szCs w:val="16"/>
                <w:color w:val="auto"/>
              </w:rPr>
              <w:t>140.6</w:t>
            </w:r>
          </w:p>
        </w:tc>
        <w:tc>
          <w:tcPr>
            <w:tcW w:w="660" w:type="dxa"/>
            <w:vAlign w:val="bottom"/>
            <w:shd w:val="clear" w:color="auto" w:fill="CFF0FC"/>
          </w:tcPr>
          <w:p>
            <w:pPr>
              <w:jc w:val="right"/>
              <w:ind w:right="459"/>
              <w:spacing w:after="0" w:line="183" w:lineRule="exact"/>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ind w:right="119"/>
              <w:spacing w:after="0" w:line="183" w:lineRule="exact"/>
              <w:rPr>
                <w:sz w:val="20"/>
                <w:szCs w:val="20"/>
                <w:color w:val="auto"/>
              </w:rPr>
            </w:pPr>
            <w:r>
              <w:rPr>
                <w:rFonts w:ascii="Arial" w:cs="Arial" w:eastAsia="Arial" w:hAnsi="Arial"/>
                <w:sz w:val="16"/>
                <w:szCs w:val="16"/>
                <w:color w:val="auto"/>
              </w:rPr>
              <w:t>548.7</w:t>
            </w:r>
          </w:p>
        </w:tc>
      </w:tr>
      <w:tr>
        <w:trPr>
          <w:trHeight w:val="189"/>
        </w:trPr>
        <w:tc>
          <w:tcPr>
            <w:tcW w:w="7220" w:type="dxa"/>
            <w:vAlign w:val="bottom"/>
          </w:tcPr>
          <w:p>
            <w:pPr>
              <w:ind w:left="20"/>
              <w:spacing w:after="0"/>
              <w:rPr>
                <w:sz w:val="20"/>
                <w:szCs w:val="20"/>
                <w:color w:val="auto"/>
              </w:rPr>
            </w:pPr>
            <w:r>
              <w:rPr>
                <w:rFonts w:ascii="Arial" w:cs="Arial" w:eastAsia="Arial" w:hAnsi="Arial"/>
                <w:sz w:val="16"/>
                <w:szCs w:val="16"/>
                <w:color w:val="auto"/>
              </w:rPr>
              <w:t>Average amount outstanding (based on daily outstanding balances)</w:t>
            </w:r>
          </w:p>
        </w:tc>
        <w:tc>
          <w:tcPr>
            <w:tcW w:w="1160" w:type="dxa"/>
            <w:vAlign w:val="bottom"/>
          </w:tcPr>
          <w:p>
            <w:pPr>
              <w:spacing w:after="0"/>
              <w:rPr>
                <w:sz w:val="16"/>
                <w:szCs w:val="16"/>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17.1</w:t>
            </w:r>
          </w:p>
        </w:tc>
        <w:tc>
          <w:tcPr>
            <w:tcW w:w="660" w:type="dxa"/>
            <w:vAlign w:val="bottom"/>
          </w:tcPr>
          <w:p>
            <w:pPr>
              <w:spacing w:after="0"/>
              <w:rPr>
                <w:sz w:val="16"/>
                <w:szCs w:val="16"/>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81.7</w:t>
            </w:r>
          </w:p>
        </w:tc>
      </w:tr>
      <w:tr>
        <w:trPr>
          <w:trHeight w:val="189"/>
        </w:trPr>
        <w:tc>
          <w:tcPr>
            <w:tcW w:w="7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Weighted average interest rates</w:t>
            </w:r>
          </w:p>
        </w:tc>
        <w:tc>
          <w:tcPr>
            <w:tcW w:w="11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4.86 %</w:t>
            </w:r>
          </w:p>
        </w:tc>
        <w:tc>
          <w:tcPr>
            <w:tcW w:w="66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4.91 %</w:t>
            </w:r>
          </w:p>
        </w:tc>
      </w:tr>
    </w:tbl>
    <w:p>
      <w:pPr>
        <w:spacing w:after="0" w:line="1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Deferred Financing Costs on the Revolving Credit Facility</w:t>
      </w:r>
    </w:p>
    <w:p>
      <w:pPr>
        <w:spacing w:after="0" w:line="192" w:lineRule="exact"/>
        <w:rPr>
          <w:sz w:val="20"/>
          <w:szCs w:val="20"/>
          <w:color w:val="auto"/>
        </w:rPr>
      </w:pPr>
    </w:p>
    <w:p>
      <w:pPr>
        <w:ind w:right="500"/>
        <w:spacing w:after="0" w:line="256" w:lineRule="auto"/>
        <w:rPr>
          <w:sz w:val="20"/>
          <w:szCs w:val="20"/>
          <w:color w:val="auto"/>
        </w:rPr>
      </w:pPr>
      <w:r>
        <w:rPr>
          <w:rFonts w:ascii="Arial" w:cs="Arial" w:eastAsia="Arial" w:hAnsi="Arial"/>
          <w:sz w:val="16"/>
          <w:szCs w:val="16"/>
          <w:color w:val="auto"/>
        </w:rPr>
        <w:t>Total accumulated deferred financing costs on the Revolving Credit Facility of $11.0 million are being amortized over its estimated useful life and were included in Interest expense on the accompanying Consolidated Statements of Income. See below for additional details.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4840" w:type="dxa"/>
            <w:vAlign w:val="bottom"/>
            <w:gridSpan w:val="2"/>
          </w:tcPr>
          <w:p>
            <w:pPr>
              <w:spacing w:after="0"/>
              <w:rPr>
                <w:sz w:val="20"/>
                <w:szCs w:val="20"/>
                <w:color w:val="auto"/>
              </w:rPr>
            </w:pPr>
            <w:r>
              <w:rPr>
                <w:rFonts w:ascii="Arial" w:cs="Arial" w:eastAsia="Arial" w:hAnsi="Arial"/>
                <w:sz w:val="16"/>
                <w:szCs w:val="16"/>
                <w:b w:val="1"/>
                <w:bCs w:val="1"/>
                <w:color w:val="auto"/>
              </w:rPr>
              <w:t>Long-term debt</w:t>
            </w:r>
          </w:p>
        </w:tc>
        <w:tc>
          <w:tcPr>
            <w:tcW w:w="18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370"/>
        </w:trPr>
        <w:tc>
          <w:tcPr>
            <w:tcW w:w="4840" w:type="dxa"/>
            <w:vAlign w:val="bottom"/>
            <w:gridSpan w:val="2"/>
          </w:tcPr>
          <w:p>
            <w:pPr>
              <w:spacing w:after="0"/>
              <w:rPr>
                <w:sz w:val="20"/>
                <w:szCs w:val="20"/>
                <w:color w:val="auto"/>
              </w:rPr>
            </w:pPr>
            <w:r>
              <w:rPr>
                <w:rFonts w:ascii="Arial" w:cs="Arial" w:eastAsia="Arial" w:hAnsi="Arial"/>
                <w:sz w:val="16"/>
                <w:szCs w:val="16"/>
                <w:color w:val="auto"/>
              </w:rPr>
              <w:t>Long-term debt outstanding was as follows:</w:t>
            </w:r>
          </w:p>
        </w:tc>
        <w:tc>
          <w:tcPr>
            <w:tcW w:w="18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52"/>
        </w:trPr>
        <w:tc>
          <w:tcPr>
            <w:tcW w:w="7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660" w:type="dxa"/>
            <w:vAlign w:val="bottom"/>
          </w:tcPr>
          <w:p>
            <w:pPr>
              <w:jc w:val="center"/>
              <w:ind w:left="19"/>
              <w:spacing w:after="0"/>
              <w:rPr>
                <w:sz w:val="20"/>
                <w:szCs w:val="20"/>
                <w:color w:val="auto"/>
              </w:rPr>
            </w:pPr>
            <w:r>
              <w:rPr>
                <w:rFonts w:ascii="Arial" w:cs="Arial" w:eastAsia="Arial" w:hAnsi="Arial"/>
                <w:sz w:val="16"/>
                <w:szCs w:val="16"/>
                <w:b w:val="1"/>
                <w:bCs w:val="1"/>
                <w:color w:val="auto"/>
              </w:rPr>
              <w:t>Interest Rate at</w:t>
            </w:r>
          </w:p>
        </w:tc>
        <w:tc>
          <w:tcPr>
            <w:tcW w:w="120" w:type="dxa"/>
            <w:vAlign w:val="bottom"/>
          </w:tcPr>
          <w:p>
            <w:pPr>
              <w:spacing w:after="0"/>
              <w:rPr>
                <w:sz w:val="24"/>
                <w:szCs w:val="24"/>
                <w:color w:val="auto"/>
              </w:rPr>
            </w:pPr>
          </w:p>
        </w:tc>
        <w:tc>
          <w:tcPr>
            <w:tcW w:w="2800" w:type="dxa"/>
            <w:vAlign w:val="bottom"/>
            <w:gridSpan w:val="2"/>
          </w:tcPr>
          <w:p>
            <w:pPr>
              <w:jc w:val="right"/>
              <w:ind w:right="619"/>
              <w:spacing w:after="0"/>
              <w:rPr>
                <w:sz w:val="20"/>
                <w:szCs w:val="20"/>
                <w:color w:val="auto"/>
              </w:rPr>
            </w:pPr>
            <w:r>
              <w:rPr>
                <w:rFonts w:ascii="Arial" w:cs="Arial" w:eastAsia="Arial" w:hAnsi="Arial"/>
                <w:sz w:val="16"/>
                <w:szCs w:val="16"/>
                <w:b w:val="1"/>
                <w:bCs w:val="1"/>
                <w:color w:val="auto"/>
              </w:rPr>
              <w:t>Balance Outstanding</w:t>
            </w:r>
          </w:p>
        </w:tc>
      </w:tr>
      <w:tr>
        <w:trPr>
          <w:trHeight w:val="189"/>
        </w:trPr>
        <w:tc>
          <w:tcPr>
            <w:tcW w:w="74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ind w:right="319"/>
              <w:spacing w:after="0"/>
              <w:rPr>
                <w:sz w:val="20"/>
                <w:szCs w:val="20"/>
                <w:color w:val="auto"/>
              </w:rPr>
            </w:pPr>
            <w:r>
              <w:rPr>
                <w:rFonts w:ascii="Arial" w:cs="Arial" w:eastAsia="Arial" w:hAnsi="Arial"/>
                <w:sz w:val="16"/>
                <w:szCs w:val="16"/>
                <w:b w:val="1"/>
                <w:bCs w:val="1"/>
                <w:color w:val="auto"/>
                <w:w w:val="99"/>
              </w:rPr>
              <w:t>December 31,</w:t>
            </w:r>
          </w:p>
        </w:tc>
        <w:tc>
          <w:tcPr>
            <w:tcW w:w="1340" w:type="dxa"/>
            <w:vAlign w:val="bottom"/>
          </w:tcPr>
          <w:p>
            <w:pPr>
              <w:jc w:val="right"/>
              <w:ind w:right="199"/>
              <w:spacing w:after="0"/>
              <w:rPr>
                <w:sz w:val="20"/>
                <w:szCs w:val="20"/>
                <w:color w:val="auto"/>
              </w:rPr>
            </w:pPr>
            <w:r>
              <w:rPr>
                <w:rFonts w:ascii="Arial" w:cs="Arial" w:eastAsia="Arial" w:hAnsi="Arial"/>
                <w:sz w:val="16"/>
                <w:szCs w:val="16"/>
                <w:b w:val="1"/>
                <w:bCs w:val="1"/>
                <w:color w:val="auto"/>
                <w:w w:val="99"/>
              </w:rPr>
              <w:t>December 31,</w:t>
            </w:r>
          </w:p>
        </w:tc>
      </w:tr>
      <w:tr>
        <w:trPr>
          <w:trHeight w:val="203"/>
        </w:trPr>
        <w:tc>
          <w:tcPr>
            <w:tcW w:w="74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Due Date</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December 31, 2024</w:t>
            </w: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2024</w:t>
            </w:r>
          </w:p>
        </w:tc>
        <w:tc>
          <w:tcPr>
            <w:tcW w:w="13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r>
      <w:tr>
        <w:trPr>
          <w:trHeight w:val="183"/>
        </w:trPr>
        <w:tc>
          <w:tcPr>
            <w:tcW w:w="74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2"/>
          </w:tcPr>
          <w:p>
            <w:pPr>
              <w:jc w:val="right"/>
              <w:ind w:right="1019"/>
              <w:spacing w:after="0" w:line="183" w:lineRule="exact"/>
              <w:rPr>
                <w:sz w:val="20"/>
                <w:szCs w:val="20"/>
                <w:color w:val="auto"/>
              </w:rPr>
            </w:pPr>
            <w:r>
              <w:rPr>
                <w:rFonts w:ascii="Arial" w:cs="Arial" w:eastAsia="Arial" w:hAnsi="Arial"/>
                <w:sz w:val="16"/>
                <w:szCs w:val="16"/>
                <w:color w:val="auto"/>
              </w:rPr>
              <w:t>(in millions)</w:t>
            </w:r>
          </w:p>
        </w:tc>
      </w:tr>
      <w:tr>
        <w:trPr>
          <w:trHeight w:val="156"/>
        </w:trPr>
        <w:tc>
          <w:tcPr>
            <w:tcW w:w="4840" w:type="dxa"/>
            <w:vAlign w:val="bottom"/>
            <w:tcBorders>
              <w:left w:val="single" w:sz="8" w:color="CFF0FC"/>
            </w:tcBorders>
            <w:gridSpan w:val="2"/>
            <w:shd w:val="clear" w:color="auto" w:fill="CFF0FC"/>
          </w:tcPr>
          <w:p>
            <w:pPr>
              <w:ind w:left="20"/>
              <w:spacing w:after="0" w:line="155" w:lineRule="exact"/>
              <w:rPr>
                <w:sz w:val="20"/>
                <w:szCs w:val="20"/>
                <w:color w:val="auto"/>
              </w:rPr>
            </w:pPr>
            <w:r>
              <w:rPr>
                <w:rFonts w:ascii="Arial" w:cs="Arial" w:eastAsia="Arial" w:hAnsi="Arial"/>
                <w:sz w:val="16"/>
                <w:szCs w:val="16"/>
                <w:color w:val="auto"/>
              </w:rPr>
              <w:t>Corporate</w:t>
            </w:r>
          </w:p>
        </w:tc>
        <w:tc>
          <w:tcPr>
            <w:tcW w:w="1820" w:type="dxa"/>
            <w:vAlign w:val="bottom"/>
            <w:shd w:val="clear" w:color="auto" w:fill="CFF0FC"/>
          </w:tcPr>
          <w:p>
            <w:pPr>
              <w:spacing w:after="0"/>
              <w:rPr>
                <w:sz w:val="13"/>
                <w:szCs w:val="13"/>
                <w:color w:val="auto"/>
              </w:rPr>
            </w:pPr>
          </w:p>
        </w:tc>
        <w:tc>
          <w:tcPr>
            <w:tcW w:w="1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r>
      <w:tr>
        <w:trPr>
          <w:trHeight w:val="27"/>
        </w:trPr>
        <w:tc>
          <w:tcPr>
            <w:tcW w:w="740" w:type="dxa"/>
            <w:vAlign w:val="bottom"/>
            <w:tcBorders>
              <w:left w:val="single" w:sz="8" w:color="CFF0FC"/>
            </w:tcBorders>
            <w:shd w:val="clear" w:color="auto" w:fill="000000"/>
          </w:tcPr>
          <w:p>
            <w:pPr>
              <w:spacing w:after="0"/>
              <w:rPr>
                <w:sz w:val="2"/>
                <w:szCs w:val="2"/>
                <w:color w:val="auto"/>
              </w:rPr>
            </w:pPr>
          </w:p>
        </w:tc>
        <w:tc>
          <w:tcPr>
            <w:tcW w:w="4100" w:type="dxa"/>
            <w:vAlign w:val="bottom"/>
            <w:shd w:val="clear" w:color="auto" w:fill="CFF0FC"/>
          </w:tcPr>
          <w:p>
            <w:pPr>
              <w:spacing w:after="0"/>
              <w:rPr>
                <w:sz w:val="2"/>
                <w:szCs w:val="2"/>
                <w:color w:val="auto"/>
              </w:rPr>
            </w:pPr>
          </w:p>
        </w:tc>
        <w:tc>
          <w:tcPr>
            <w:tcW w:w="1820" w:type="dxa"/>
            <w:vAlign w:val="bottom"/>
            <w:shd w:val="clear" w:color="auto" w:fill="CFF0FC"/>
          </w:tcPr>
          <w:p>
            <w:pPr>
              <w:spacing w:after="0"/>
              <w:rPr>
                <w:sz w:val="2"/>
                <w:szCs w:val="2"/>
                <w:color w:val="auto"/>
              </w:rPr>
            </w:pPr>
          </w:p>
        </w:tc>
        <w:tc>
          <w:tcPr>
            <w:tcW w:w="166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460" w:type="dxa"/>
            <w:vAlign w:val="bottom"/>
            <w:shd w:val="clear" w:color="auto" w:fill="CFF0FC"/>
          </w:tcPr>
          <w:p>
            <w:pPr>
              <w:spacing w:after="0"/>
              <w:rPr>
                <w:sz w:val="2"/>
                <w:szCs w:val="2"/>
                <w:color w:val="auto"/>
              </w:rPr>
            </w:pPr>
          </w:p>
        </w:tc>
        <w:tc>
          <w:tcPr>
            <w:tcW w:w="1340" w:type="dxa"/>
            <w:vAlign w:val="bottom"/>
            <w:shd w:val="clear" w:color="auto" w:fill="CFF0FC"/>
          </w:tcPr>
          <w:p>
            <w:pPr>
              <w:spacing w:after="0"/>
              <w:rPr>
                <w:sz w:val="2"/>
                <w:szCs w:val="2"/>
                <w:color w:val="auto"/>
              </w:rPr>
            </w:pPr>
          </w:p>
        </w:tc>
      </w:tr>
      <w:tr>
        <w:trPr>
          <w:trHeight w:val="189"/>
        </w:trPr>
        <w:tc>
          <w:tcPr>
            <w:tcW w:w="4840" w:type="dxa"/>
            <w:vAlign w:val="bottom"/>
            <w:gridSpan w:val="2"/>
          </w:tcPr>
          <w:p>
            <w:pPr>
              <w:ind w:left="20"/>
              <w:spacing w:after="0"/>
              <w:rPr>
                <w:sz w:val="20"/>
                <w:szCs w:val="20"/>
                <w:color w:val="auto"/>
              </w:rPr>
            </w:pPr>
            <w:r>
              <w:rPr>
                <w:rFonts w:ascii="Arial" w:cs="Arial" w:eastAsia="Arial" w:hAnsi="Arial"/>
                <w:sz w:val="16"/>
                <w:szCs w:val="16"/>
                <w:color w:val="auto"/>
              </w:rPr>
              <w:t>Senior unsecured notes due 2024</w:t>
            </w:r>
          </w:p>
        </w:tc>
        <w:tc>
          <w:tcPr>
            <w:tcW w:w="1820" w:type="dxa"/>
            <w:vAlign w:val="bottom"/>
          </w:tcPr>
          <w:p>
            <w:pPr>
              <w:jc w:val="center"/>
              <w:spacing w:after="0"/>
              <w:rPr>
                <w:sz w:val="20"/>
                <w:szCs w:val="20"/>
                <w:color w:val="auto"/>
              </w:rPr>
            </w:pPr>
            <w:r>
              <w:rPr>
                <w:rFonts w:ascii="Arial" w:cs="Arial" w:eastAsia="Arial" w:hAnsi="Arial"/>
                <w:sz w:val="16"/>
                <w:szCs w:val="16"/>
                <w:color w:val="auto"/>
              </w:rPr>
              <w:t>August 23, 2024</w:t>
            </w:r>
          </w:p>
        </w:tc>
        <w:tc>
          <w:tcPr>
            <w:tcW w:w="1660" w:type="dxa"/>
            <w:vAlign w:val="bottom"/>
          </w:tcPr>
          <w:p>
            <w:pPr>
              <w:jc w:val="center"/>
              <w:ind w:left="19"/>
              <w:spacing w:after="0"/>
              <w:rPr>
                <w:sz w:val="20"/>
                <w:szCs w:val="20"/>
                <w:color w:val="auto"/>
              </w:rPr>
            </w:pPr>
            <w:r>
              <w:rPr>
                <w:rFonts w:ascii="Arial" w:cs="Arial" w:eastAsia="Arial" w:hAnsi="Arial"/>
                <w:sz w:val="16"/>
                <w:szCs w:val="16"/>
                <w:color w:val="auto"/>
              </w:rPr>
              <w:t>N/A</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  $</w:t>
            </w: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600.0</w:t>
            </w:r>
          </w:p>
        </w:tc>
      </w:tr>
      <w:tr>
        <w:trPr>
          <w:trHeight w:val="189"/>
        </w:trPr>
        <w:tc>
          <w:tcPr>
            <w:tcW w:w="4840" w:type="dxa"/>
            <w:vAlign w:val="bottom"/>
            <w:tcBorders>
              <w:left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Senior unsecured notes due 2026</w:t>
            </w:r>
          </w:p>
        </w:tc>
        <w:tc>
          <w:tcPr>
            <w:tcW w:w="18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January 15, 2026</w:t>
            </w:r>
          </w:p>
        </w:tc>
        <w:tc>
          <w:tcPr>
            <w:tcW w:w="16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3.95%</w:t>
            </w:r>
          </w:p>
        </w:tc>
        <w:tc>
          <w:tcPr>
            <w:tcW w:w="12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300.0</w:t>
            </w: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300.0</w:t>
            </w:r>
          </w:p>
        </w:tc>
      </w:tr>
      <w:tr>
        <w:trPr>
          <w:trHeight w:val="189"/>
        </w:trPr>
        <w:tc>
          <w:tcPr>
            <w:tcW w:w="4840" w:type="dxa"/>
            <w:vAlign w:val="bottom"/>
            <w:gridSpan w:val="2"/>
          </w:tcPr>
          <w:p>
            <w:pPr>
              <w:ind w:left="20"/>
              <w:spacing w:after="0"/>
              <w:rPr>
                <w:sz w:val="20"/>
                <w:szCs w:val="20"/>
                <w:color w:val="auto"/>
              </w:rPr>
            </w:pPr>
            <w:r>
              <w:rPr>
                <w:rFonts w:ascii="Arial" w:cs="Arial" w:eastAsia="Arial" w:hAnsi="Arial"/>
                <w:sz w:val="16"/>
                <w:szCs w:val="16"/>
                <w:color w:val="auto"/>
              </w:rPr>
              <w:t>Senior unsecured notes due 2027</w:t>
            </w:r>
          </w:p>
        </w:tc>
        <w:tc>
          <w:tcPr>
            <w:tcW w:w="1820" w:type="dxa"/>
            <w:vAlign w:val="bottom"/>
          </w:tcPr>
          <w:p>
            <w:pPr>
              <w:jc w:val="center"/>
              <w:spacing w:after="0"/>
              <w:rPr>
                <w:sz w:val="20"/>
                <w:szCs w:val="20"/>
                <w:color w:val="auto"/>
              </w:rPr>
            </w:pPr>
            <w:r>
              <w:rPr>
                <w:rFonts w:ascii="Arial" w:cs="Arial" w:eastAsia="Arial" w:hAnsi="Arial"/>
                <w:sz w:val="16"/>
                <w:szCs w:val="16"/>
                <w:color w:val="auto"/>
              </w:rPr>
              <w:t>January 15, 2027</w:t>
            </w:r>
          </w:p>
        </w:tc>
        <w:tc>
          <w:tcPr>
            <w:tcW w:w="1660" w:type="dxa"/>
            <w:vAlign w:val="bottom"/>
          </w:tcPr>
          <w:p>
            <w:pPr>
              <w:jc w:val="center"/>
              <w:spacing w:after="0"/>
              <w:rPr>
                <w:sz w:val="20"/>
                <w:szCs w:val="20"/>
                <w:color w:val="auto"/>
              </w:rPr>
            </w:pPr>
            <w:r>
              <w:rPr>
                <w:rFonts w:ascii="Arial" w:cs="Arial" w:eastAsia="Arial" w:hAnsi="Arial"/>
                <w:sz w:val="16"/>
                <w:szCs w:val="16"/>
                <w:color w:val="auto"/>
              </w:rPr>
              <w:t>3.15%</w:t>
            </w:r>
          </w:p>
        </w:tc>
        <w:tc>
          <w:tcPr>
            <w:tcW w:w="120" w:type="dxa"/>
            <w:vAlign w:val="bottom"/>
          </w:tcPr>
          <w:p>
            <w:pPr>
              <w:spacing w:after="0"/>
              <w:rPr>
                <w:sz w:val="16"/>
                <w:szCs w:val="16"/>
                <w:color w:val="auto"/>
              </w:rPr>
            </w:pPr>
          </w:p>
        </w:tc>
        <w:tc>
          <w:tcPr>
            <w:tcW w:w="1460" w:type="dxa"/>
            <w:vAlign w:val="bottom"/>
          </w:tcPr>
          <w:p>
            <w:pPr>
              <w:jc w:val="right"/>
              <w:ind w:right="179"/>
              <w:spacing w:after="0"/>
              <w:rPr>
                <w:sz w:val="20"/>
                <w:szCs w:val="20"/>
                <w:color w:val="auto"/>
              </w:rPr>
            </w:pPr>
            <w:r>
              <w:rPr>
                <w:rFonts w:ascii="Arial" w:cs="Arial" w:eastAsia="Arial" w:hAnsi="Arial"/>
                <w:sz w:val="16"/>
                <w:szCs w:val="16"/>
                <w:color w:val="auto"/>
              </w:rPr>
              <w:t>400.0</w:t>
            </w: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400.0</w:t>
            </w:r>
          </w:p>
        </w:tc>
      </w:tr>
      <w:tr>
        <w:trPr>
          <w:trHeight w:val="189"/>
        </w:trPr>
        <w:tc>
          <w:tcPr>
            <w:tcW w:w="4840" w:type="dxa"/>
            <w:vAlign w:val="bottom"/>
            <w:tcBorders>
              <w:left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Senior unsecured notes due 2028</w:t>
            </w:r>
          </w:p>
        </w:tc>
        <w:tc>
          <w:tcPr>
            <w:tcW w:w="1820" w:type="dxa"/>
            <w:vAlign w:val="bottom"/>
            <w:shd w:val="clear" w:color="auto" w:fill="CFF0FC"/>
          </w:tcPr>
          <w:p>
            <w:pPr>
              <w:jc w:val="center"/>
              <w:ind w:left="19"/>
              <w:spacing w:after="0"/>
              <w:rPr>
                <w:sz w:val="20"/>
                <w:szCs w:val="20"/>
                <w:color w:val="auto"/>
              </w:rPr>
            </w:pPr>
            <w:r>
              <w:rPr>
                <w:rFonts w:ascii="Arial" w:cs="Arial" w:eastAsia="Arial" w:hAnsi="Arial"/>
                <w:sz w:val="16"/>
                <w:szCs w:val="16"/>
                <w:color w:val="auto"/>
              </w:rPr>
              <w:t>March 15, 2028</w:t>
            </w:r>
          </w:p>
        </w:tc>
        <w:tc>
          <w:tcPr>
            <w:tcW w:w="16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5.95%</w:t>
            </w:r>
          </w:p>
        </w:tc>
        <w:tc>
          <w:tcPr>
            <w:tcW w:w="12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350.0</w:t>
            </w: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350.0</w:t>
            </w:r>
          </w:p>
        </w:tc>
      </w:tr>
      <w:tr>
        <w:trPr>
          <w:trHeight w:val="189"/>
        </w:trPr>
        <w:tc>
          <w:tcPr>
            <w:tcW w:w="4840" w:type="dxa"/>
            <w:vAlign w:val="bottom"/>
            <w:gridSpan w:val="2"/>
          </w:tcPr>
          <w:p>
            <w:pPr>
              <w:ind w:left="20"/>
              <w:spacing w:after="0"/>
              <w:rPr>
                <w:sz w:val="20"/>
                <w:szCs w:val="20"/>
                <w:color w:val="auto"/>
              </w:rPr>
            </w:pPr>
            <w:r>
              <w:rPr>
                <w:rFonts w:ascii="Arial" w:cs="Arial" w:eastAsia="Arial" w:hAnsi="Arial"/>
                <w:sz w:val="16"/>
                <w:szCs w:val="16"/>
                <w:color w:val="auto"/>
              </w:rPr>
              <w:t>Senior unsecured notes, due 2029</w:t>
            </w:r>
          </w:p>
        </w:tc>
        <w:tc>
          <w:tcPr>
            <w:tcW w:w="1820" w:type="dxa"/>
            <w:vAlign w:val="bottom"/>
          </w:tcPr>
          <w:p>
            <w:pPr>
              <w:jc w:val="center"/>
              <w:spacing w:after="0"/>
              <w:rPr>
                <w:sz w:val="20"/>
                <w:szCs w:val="20"/>
                <w:color w:val="auto"/>
              </w:rPr>
            </w:pPr>
            <w:r>
              <w:rPr>
                <w:rFonts w:ascii="Arial" w:cs="Arial" w:eastAsia="Arial" w:hAnsi="Arial"/>
                <w:sz w:val="16"/>
                <w:szCs w:val="16"/>
                <w:color w:val="auto"/>
              </w:rPr>
              <w:t>October 15, 2029</w:t>
            </w:r>
          </w:p>
        </w:tc>
        <w:tc>
          <w:tcPr>
            <w:tcW w:w="1660" w:type="dxa"/>
            <w:vAlign w:val="bottom"/>
          </w:tcPr>
          <w:p>
            <w:pPr>
              <w:jc w:val="center"/>
              <w:spacing w:after="0"/>
              <w:rPr>
                <w:sz w:val="20"/>
                <w:szCs w:val="20"/>
                <w:color w:val="auto"/>
              </w:rPr>
            </w:pPr>
            <w:r>
              <w:rPr>
                <w:rFonts w:ascii="Arial" w:cs="Arial" w:eastAsia="Arial" w:hAnsi="Arial"/>
                <w:sz w:val="16"/>
                <w:szCs w:val="16"/>
                <w:color w:val="auto"/>
              </w:rPr>
              <w:t>3.05%</w:t>
            </w:r>
          </w:p>
        </w:tc>
        <w:tc>
          <w:tcPr>
            <w:tcW w:w="120" w:type="dxa"/>
            <w:vAlign w:val="bottom"/>
          </w:tcPr>
          <w:p>
            <w:pPr>
              <w:spacing w:after="0"/>
              <w:rPr>
                <w:sz w:val="16"/>
                <w:szCs w:val="16"/>
                <w:color w:val="auto"/>
              </w:rPr>
            </w:pPr>
          </w:p>
        </w:tc>
        <w:tc>
          <w:tcPr>
            <w:tcW w:w="1460" w:type="dxa"/>
            <w:vAlign w:val="bottom"/>
          </w:tcPr>
          <w:p>
            <w:pPr>
              <w:jc w:val="right"/>
              <w:ind w:right="179"/>
              <w:spacing w:after="0"/>
              <w:rPr>
                <w:sz w:val="20"/>
                <w:szCs w:val="20"/>
                <w:color w:val="auto"/>
              </w:rPr>
            </w:pPr>
            <w:r>
              <w:rPr>
                <w:rFonts w:ascii="Arial" w:cs="Arial" w:eastAsia="Arial" w:hAnsi="Arial"/>
                <w:sz w:val="16"/>
                <w:szCs w:val="16"/>
                <w:color w:val="auto"/>
              </w:rPr>
              <w:t>400.0</w:t>
            </w: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400.0</w:t>
            </w:r>
          </w:p>
        </w:tc>
      </w:tr>
      <w:tr>
        <w:trPr>
          <w:trHeight w:val="189"/>
        </w:trPr>
        <w:tc>
          <w:tcPr>
            <w:tcW w:w="4840" w:type="dxa"/>
            <w:vAlign w:val="bottom"/>
            <w:tcBorders>
              <w:left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Senior unsecured notes, due 2030</w:t>
            </w:r>
          </w:p>
        </w:tc>
        <w:tc>
          <w:tcPr>
            <w:tcW w:w="18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June 15, 2030</w:t>
            </w:r>
          </w:p>
        </w:tc>
        <w:tc>
          <w:tcPr>
            <w:tcW w:w="16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2.50%</w:t>
            </w:r>
          </w:p>
        </w:tc>
        <w:tc>
          <w:tcPr>
            <w:tcW w:w="12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400.0</w:t>
            </w: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400.0</w:t>
            </w:r>
          </w:p>
        </w:tc>
      </w:tr>
      <w:tr>
        <w:trPr>
          <w:trHeight w:val="189"/>
        </w:trPr>
        <w:tc>
          <w:tcPr>
            <w:tcW w:w="4840" w:type="dxa"/>
            <w:vAlign w:val="bottom"/>
            <w:gridSpan w:val="2"/>
          </w:tcPr>
          <w:p>
            <w:pPr>
              <w:ind w:left="20"/>
              <w:spacing w:after="0"/>
              <w:rPr>
                <w:sz w:val="20"/>
                <w:szCs w:val="20"/>
                <w:color w:val="auto"/>
              </w:rPr>
            </w:pPr>
            <w:r>
              <w:rPr>
                <w:rFonts w:ascii="Arial" w:cs="Arial" w:eastAsia="Arial" w:hAnsi="Arial"/>
                <w:sz w:val="16"/>
                <w:szCs w:val="16"/>
                <w:color w:val="auto"/>
              </w:rPr>
              <w:t>Senior unsecured notes due 2033</w:t>
            </w:r>
          </w:p>
        </w:tc>
        <w:tc>
          <w:tcPr>
            <w:tcW w:w="1820" w:type="dxa"/>
            <w:vAlign w:val="bottom"/>
          </w:tcPr>
          <w:p>
            <w:pPr>
              <w:jc w:val="center"/>
              <w:spacing w:after="0"/>
              <w:rPr>
                <w:sz w:val="20"/>
                <w:szCs w:val="20"/>
                <w:color w:val="auto"/>
              </w:rPr>
            </w:pPr>
            <w:r>
              <w:rPr>
                <w:rFonts w:ascii="Arial" w:cs="Arial" w:eastAsia="Arial" w:hAnsi="Arial"/>
                <w:sz w:val="16"/>
                <w:szCs w:val="16"/>
                <w:color w:val="auto"/>
              </w:rPr>
              <w:t>May 1, 2033</w:t>
            </w:r>
          </w:p>
        </w:tc>
        <w:tc>
          <w:tcPr>
            <w:tcW w:w="1660" w:type="dxa"/>
            <w:vAlign w:val="bottom"/>
          </w:tcPr>
          <w:p>
            <w:pPr>
              <w:jc w:val="center"/>
              <w:spacing w:after="0"/>
              <w:rPr>
                <w:sz w:val="20"/>
                <w:szCs w:val="20"/>
                <w:color w:val="auto"/>
              </w:rPr>
            </w:pPr>
            <w:r>
              <w:rPr>
                <w:rFonts w:ascii="Arial" w:cs="Arial" w:eastAsia="Arial" w:hAnsi="Arial"/>
                <w:sz w:val="16"/>
                <w:szCs w:val="16"/>
                <w:color w:val="auto"/>
              </w:rPr>
              <w:t>4.35%</w:t>
            </w:r>
          </w:p>
        </w:tc>
        <w:tc>
          <w:tcPr>
            <w:tcW w:w="120" w:type="dxa"/>
            <w:vAlign w:val="bottom"/>
          </w:tcPr>
          <w:p>
            <w:pPr>
              <w:spacing w:after="0"/>
              <w:rPr>
                <w:sz w:val="16"/>
                <w:szCs w:val="16"/>
                <w:color w:val="auto"/>
              </w:rPr>
            </w:pPr>
          </w:p>
        </w:tc>
        <w:tc>
          <w:tcPr>
            <w:tcW w:w="1460" w:type="dxa"/>
            <w:vAlign w:val="bottom"/>
          </w:tcPr>
          <w:p>
            <w:pPr>
              <w:jc w:val="right"/>
              <w:ind w:right="179"/>
              <w:spacing w:after="0"/>
              <w:rPr>
                <w:sz w:val="20"/>
                <w:szCs w:val="20"/>
                <w:color w:val="auto"/>
              </w:rPr>
            </w:pPr>
            <w:r>
              <w:rPr>
                <w:rFonts w:ascii="Arial" w:cs="Arial" w:eastAsia="Arial" w:hAnsi="Arial"/>
                <w:sz w:val="16"/>
                <w:szCs w:val="16"/>
                <w:color w:val="auto"/>
              </w:rPr>
              <w:t>400.0</w:t>
            </w: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400.0</w:t>
            </w:r>
          </w:p>
        </w:tc>
      </w:tr>
      <w:tr>
        <w:trPr>
          <w:trHeight w:val="189"/>
        </w:trPr>
        <w:tc>
          <w:tcPr>
            <w:tcW w:w="4840" w:type="dxa"/>
            <w:vAlign w:val="bottom"/>
            <w:tcBorders>
              <w:left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Senior unsecured notes due 2034</w:t>
            </w:r>
          </w:p>
        </w:tc>
        <w:tc>
          <w:tcPr>
            <w:tcW w:w="18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May 15, 2034</w:t>
            </w:r>
          </w:p>
        </w:tc>
        <w:tc>
          <w:tcPr>
            <w:tcW w:w="16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6.15%</w:t>
            </w:r>
          </w:p>
        </w:tc>
        <w:tc>
          <w:tcPr>
            <w:tcW w:w="12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450.0</w:t>
            </w: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450.0</w:t>
            </w:r>
          </w:p>
        </w:tc>
      </w:tr>
      <w:tr>
        <w:trPr>
          <w:trHeight w:val="189"/>
        </w:trPr>
        <w:tc>
          <w:tcPr>
            <w:tcW w:w="4840" w:type="dxa"/>
            <w:vAlign w:val="bottom"/>
            <w:gridSpan w:val="2"/>
          </w:tcPr>
          <w:p>
            <w:pPr>
              <w:ind w:left="20"/>
              <w:spacing w:after="0"/>
              <w:rPr>
                <w:sz w:val="20"/>
                <w:szCs w:val="20"/>
                <w:color w:val="auto"/>
              </w:rPr>
            </w:pPr>
            <w:r>
              <w:rPr>
                <w:rFonts w:ascii="Arial" w:cs="Arial" w:eastAsia="Arial" w:hAnsi="Arial"/>
                <w:sz w:val="16"/>
                <w:szCs w:val="16"/>
                <w:color w:val="auto"/>
              </w:rPr>
              <w:t>Senior unsecured notes due 2035</w:t>
            </w:r>
          </w:p>
        </w:tc>
        <w:tc>
          <w:tcPr>
            <w:tcW w:w="1820" w:type="dxa"/>
            <w:vAlign w:val="bottom"/>
          </w:tcPr>
          <w:p>
            <w:pPr>
              <w:jc w:val="center"/>
              <w:spacing w:after="0"/>
              <w:rPr>
                <w:sz w:val="20"/>
                <w:szCs w:val="20"/>
                <w:color w:val="auto"/>
              </w:rPr>
            </w:pPr>
            <w:r>
              <w:rPr>
                <w:rFonts w:ascii="Arial" w:cs="Arial" w:eastAsia="Arial" w:hAnsi="Arial"/>
                <w:sz w:val="16"/>
                <w:szCs w:val="16"/>
                <w:color w:val="auto"/>
              </w:rPr>
              <w:t>January 15, 2035</w:t>
            </w:r>
          </w:p>
        </w:tc>
        <w:tc>
          <w:tcPr>
            <w:tcW w:w="1660" w:type="dxa"/>
            <w:vAlign w:val="bottom"/>
          </w:tcPr>
          <w:p>
            <w:pPr>
              <w:jc w:val="center"/>
              <w:spacing w:after="0"/>
              <w:rPr>
                <w:sz w:val="20"/>
                <w:szCs w:val="20"/>
                <w:color w:val="auto"/>
              </w:rPr>
            </w:pPr>
            <w:r>
              <w:rPr>
                <w:rFonts w:ascii="Arial" w:cs="Arial" w:eastAsia="Arial" w:hAnsi="Arial"/>
                <w:sz w:val="16"/>
                <w:szCs w:val="16"/>
                <w:color w:val="auto"/>
              </w:rPr>
              <w:t>6.00%</w:t>
            </w:r>
          </w:p>
        </w:tc>
        <w:tc>
          <w:tcPr>
            <w:tcW w:w="120" w:type="dxa"/>
            <w:vAlign w:val="bottom"/>
          </w:tcPr>
          <w:p>
            <w:pPr>
              <w:spacing w:after="0"/>
              <w:rPr>
                <w:sz w:val="16"/>
                <w:szCs w:val="16"/>
                <w:color w:val="auto"/>
              </w:rPr>
            </w:pPr>
          </w:p>
        </w:tc>
        <w:tc>
          <w:tcPr>
            <w:tcW w:w="1460" w:type="dxa"/>
            <w:vAlign w:val="bottom"/>
          </w:tcPr>
          <w:p>
            <w:pPr>
              <w:jc w:val="right"/>
              <w:ind w:right="179"/>
              <w:spacing w:after="0"/>
              <w:rPr>
                <w:sz w:val="20"/>
                <w:szCs w:val="20"/>
                <w:color w:val="auto"/>
              </w:rPr>
            </w:pPr>
            <w:r>
              <w:rPr>
                <w:rFonts w:ascii="Arial" w:cs="Arial" w:eastAsia="Arial" w:hAnsi="Arial"/>
                <w:sz w:val="16"/>
                <w:szCs w:val="16"/>
                <w:color w:val="auto"/>
              </w:rPr>
              <w:t>450.0</w:t>
            </w: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189"/>
        </w:trPr>
        <w:tc>
          <w:tcPr>
            <w:tcW w:w="4840" w:type="dxa"/>
            <w:vAlign w:val="bottom"/>
            <w:tcBorders>
              <w:left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Senior unsecured notes, due 2046</w:t>
            </w:r>
          </w:p>
        </w:tc>
        <w:tc>
          <w:tcPr>
            <w:tcW w:w="18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September 15, 2046</w:t>
            </w:r>
          </w:p>
        </w:tc>
        <w:tc>
          <w:tcPr>
            <w:tcW w:w="16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4.20%</w:t>
            </w:r>
          </w:p>
        </w:tc>
        <w:tc>
          <w:tcPr>
            <w:tcW w:w="12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300.0</w:t>
            </w: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300.0</w:t>
            </w:r>
          </w:p>
        </w:tc>
      </w:tr>
      <w:tr>
        <w:trPr>
          <w:trHeight w:val="189"/>
        </w:trPr>
        <w:tc>
          <w:tcPr>
            <w:tcW w:w="4840" w:type="dxa"/>
            <w:vAlign w:val="bottom"/>
            <w:gridSpan w:val="2"/>
          </w:tcPr>
          <w:p>
            <w:pPr>
              <w:ind w:left="20"/>
              <w:spacing w:after="0"/>
              <w:rPr>
                <w:sz w:val="20"/>
                <w:szCs w:val="20"/>
                <w:color w:val="auto"/>
              </w:rPr>
            </w:pPr>
            <w:r>
              <w:rPr>
                <w:rFonts w:ascii="Arial" w:cs="Arial" w:eastAsia="Arial" w:hAnsi="Arial"/>
                <w:sz w:val="16"/>
                <w:szCs w:val="16"/>
                <w:color w:val="auto"/>
              </w:rPr>
              <w:t>Senior unsecured notes, due 2049</w:t>
            </w:r>
          </w:p>
        </w:tc>
        <w:tc>
          <w:tcPr>
            <w:tcW w:w="1820" w:type="dxa"/>
            <w:vAlign w:val="bottom"/>
          </w:tcPr>
          <w:p>
            <w:pPr>
              <w:jc w:val="center"/>
              <w:spacing w:after="0"/>
              <w:rPr>
                <w:sz w:val="20"/>
                <w:szCs w:val="20"/>
                <w:color w:val="auto"/>
              </w:rPr>
            </w:pPr>
            <w:r>
              <w:rPr>
                <w:rFonts w:ascii="Arial" w:cs="Arial" w:eastAsia="Arial" w:hAnsi="Arial"/>
                <w:sz w:val="16"/>
                <w:szCs w:val="16"/>
                <w:color w:val="auto"/>
              </w:rPr>
              <w:t>October 15, 2049</w:t>
            </w:r>
          </w:p>
        </w:tc>
        <w:tc>
          <w:tcPr>
            <w:tcW w:w="1660" w:type="dxa"/>
            <w:vAlign w:val="bottom"/>
          </w:tcPr>
          <w:p>
            <w:pPr>
              <w:jc w:val="center"/>
              <w:spacing w:after="0"/>
              <w:rPr>
                <w:sz w:val="20"/>
                <w:szCs w:val="20"/>
                <w:color w:val="auto"/>
              </w:rPr>
            </w:pPr>
            <w:r>
              <w:rPr>
                <w:rFonts w:ascii="Arial" w:cs="Arial" w:eastAsia="Arial" w:hAnsi="Arial"/>
                <w:sz w:val="16"/>
                <w:szCs w:val="16"/>
                <w:color w:val="auto"/>
              </w:rPr>
              <w:t>3.88%</w:t>
            </w: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300.0</w:t>
            </w: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300.0</w:t>
            </w:r>
          </w:p>
        </w:tc>
      </w:tr>
      <w:tr>
        <w:trPr>
          <w:trHeight w:val="183"/>
        </w:trPr>
        <w:tc>
          <w:tcPr>
            <w:tcW w:w="4840" w:type="dxa"/>
            <w:vAlign w:val="bottom"/>
            <w:tcBorders>
              <w:left w:val="single" w:sz="8" w:color="CFF0FC"/>
            </w:tcBorders>
            <w:gridSpan w:val="2"/>
            <w:shd w:val="clear" w:color="auto" w:fill="CFF0FC"/>
          </w:tcPr>
          <w:p>
            <w:pPr>
              <w:ind w:left="120"/>
              <w:spacing w:after="0" w:line="183" w:lineRule="exact"/>
              <w:rPr>
                <w:sz w:val="20"/>
                <w:szCs w:val="20"/>
                <w:color w:val="auto"/>
              </w:rPr>
            </w:pPr>
            <w:r>
              <w:rPr>
                <w:rFonts w:ascii="Arial" w:cs="Arial" w:eastAsia="Arial" w:hAnsi="Arial"/>
                <w:sz w:val="16"/>
                <w:szCs w:val="16"/>
                <w:color w:val="auto"/>
              </w:rPr>
              <w:t>Total Corporate debt</w:t>
            </w:r>
          </w:p>
        </w:tc>
        <w:tc>
          <w:tcPr>
            <w:tcW w:w="1820" w:type="dxa"/>
            <w:vAlign w:val="bottom"/>
            <w:shd w:val="clear" w:color="auto" w:fill="CFF0FC"/>
          </w:tcPr>
          <w:p>
            <w:pPr>
              <w:spacing w:after="0"/>
              <w:rPr>
                <w:sz w:val="15"/>
                <w:szCs w:val="15"/>
                <w:color w:val="auto"/>
              </w:rPr>
            </w:pPr>
          </w:p>
        </w:tc>
        <w:tc>
          <w:tcPr>
            <w:tcW w:w="16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179"/>
              <w:spacing w:after="0" w:line="183" w:lineRule="exact"/>
              <w:rPr>
                <w:sz w:val="20"/>
                <w:szCs w:val="20"/>
                <w:color w:val="auto"/>
              </w:rPr>
            </w:pPr>
            <w:r>
              <w:rPr>
                <w:rFonts w:ascii="Arial" w:cs="Arial" w:eastAsia="Arial" w:hAnsi="Arial"/>
                <w:sz w:val="16"/>
                <w:szCs w:val="16"/>
                <w:color w:val="auto"/>
              </w:rPr>
              <w:t>3,750.0</w:t>
            </w:r>
          </w:p>
        </w:tc>
        <w:tc>
          <w:tcPr>
            <w:tcW w:w="134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3,900.0</w:t>
            </w:r>
          </w:p>
        </w:tc>
      </w:tr>
      <w:tr>
        <w:trPr>
          <w:trHeight w:val="189"/>
        </w:trPr>
        <w:tc>
          <w:tcPr>
            <w:tcW w:w="4840" w:type="dxa"/>
            <w:vAlign w:val="bottom"/>
            <w:gridSpan w:val="2"/>
          </w:tcPr>
          <w:p>
            <w:pPr>
              <w:ind w:left="20"/>
              <w:spacing w:after="0"/>
              <w:rPr>
                <w:sz w:val="20"/>
                <w:szCs w:val="20"/>
                <w:color w:val="auto"/>
              </w:rPr>
            </w:pPr>
            <w:r>
              <w:rPr>
                <w:rFonts w:ascii="Arial" w:cs="Arial" w:eastAsia="Arial" w:hAnsi="Arial"/>
                <w:sz w:val="16"/>
                <w:szCs w:val="16"/>
                <w:color w:val="auto"/>
              </w:rPr>
              <w:t>Less unamortized debt discount</w:t>
            </w:r>
          </w:p>
        </w:tc>
        <w:tc>
          <w:tcPr>
            <w:tcW w:w="18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(8.6 )</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(8.9 )</w:t>
            </w:r>
          </w:p>
        </w:tc>
      </w:tr>
      <w:tr>
        <w:trPr>
          <w:trHeight w:val="183"/>
        </w:trPr>
        <w:tc>
          <w:tcPr>
            <w:tcW w:w="4840" w:type="dxa"/>
            <w:vAlign w:val="bottom"/>
            <w:tcBorders>
              <w:left w:val="single" w:sz="8" w:color="CFF0FC"/>
              <w:bottom w:val="single" w:sz="8" w:color="CFF0FC"/>
            </w:tcBorders>
            <w:gridSpan w:val="2"/>
            <w:shd w:val="clear" w:color="auto" w:fill="CFF0FC"/>
          </w:tcPr>
          <w:p>
            <w:pPr>
              <w:ind w:left="200"/>
              <w:spacing w:after="0" w:line="183" w:lineRule="exact"/>
              <w:rPr>
                <w:sz w:val="20"/>
                <w:szCs w:val="20"/>
                <w:color w:val="auto"/>
              </w:rPr>
            </w:pPr>
            <w:r>
              <w:rPr>
                <w:rFonts w:ascii="Arial" w:cs="Arial" w:eastAsia="Arial" w:hAnsi="Arial"/>
                <w:sz w:val="16"/>
                <w:szCs w:val="16"/>
                <w:color w:val="auto"/>
              </w:rPr>
              <w:t>Total Corporate debt, net</w:t>
            </w:r>
          </w:p>
        </w:tc>
        <w:tc>
          <w:tcPr>
            <w:tcW w:w="1820" w:type="dxa"/>
            <w:vAlign w:val="bottom"/>
            <w:tcBorders>
              <w:bottom w:val="single" w:sz="8" w:color="CFF0FC"/>
            </w:tcBorders>
            <w:shd w:val="clear" w:color="auto" w:fill="CFF0FC"/>
          </w:tcPr>
          <w:p>
            <w:pPr>
              <w:spacing w:after="0"/>
              <w:rPr>
                <w:sz w:val="15"/>
                <w:szCs w:val="15"/>
                <w:color w:val="auto"/>
              </w:rPr>
            </w:pPr>
          </w:p>
        </w:tc>
        <w:tc>
          <w:tcPr>
            <w:tcW w:w="16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ind w:right="179"/>
              <w:spacing w:after="0" w:line="183" w:lineRule="exact"/>
              <w:rPr>
                <w:sz w:val="20"/>
                <w:szCs w:val="20"/>
                <w:color w:val="auto"/>
              </w:rPr>
            </w:pPr>
            <w:r>
              <w:rPr>
                <w:rFonts w:ascii="Arial" w:cs="Arial" w:eastAsia="Arial" w:hAnsi="Arial"/>
                <w:sz w:val="16"/>
                <w:szCs w:val="16"/>
                <w:color w:val="auto"/>
              </w:rPr>
              <w:t>3,741.4</w:t>
            </w:r>
          </w:p>
        </w:tc>
        <w:tc>
          <w:tcPr>
            <w:tcW w:w="134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3,891.1</w:t>
            </w:r>
          </w:p>
        </w:tc>
      </w:tr>
    </w:tbl>
    <w:p>
      <w:pPr>
        <w:spacing w:after="0" w:line="163" w:lineRule="exact"/>
        <w:rPr>
          <w:sz w:val="20"/>
          <w:szCs w:val="20"/>
          <w:color w:val="auto"/>
        </w:rPr>
      </w:pPr>
    </w:p>
    <w:p>
      <w:pPr>
        <w:sectPr>
          <w:pgSz w:w="11900" w:h="16838" w:orient="portrait"/>
          <w:cols w:equalWidth="0" w:num="1">
            <w:col w:w="11240"/>
          </w:cols>
          <w:pgMar w:left="320" w:top="125" w:right="339" w:bottom="1440" w:gutter="0" w:footer="0" w:header="0"/>
        </w:sectPr>
      </w:pPr>
    </w:p>
    <w:p>
      <w:pPr>
        <w:ind w:left="20"/>
        <w:spacing w:after="0"/>
        <w:rPr>
          <w:sz w:val="20"/>
          <w:szCs w:val="20"/>
          <w:color w:val="auto"/>
        </w:rPr>
      </w:pPr>
      <w:r>
        <w:rPr>
          <w:rFonts w:ascii="Arial" w:cs="Arial" w:eastAsia="Arial" w:hAnsi="Arial"/>
          <w:sz w:val="16"/>
          <w:szCs w:val="16"/>
          <w:u w:val="single" w:color="auto"/>
          <w:color w:val="auto"/>
        </w:rPr>
        <w:t>South Dakota Electric</w:t>
      </w:r>
    </w:p>
    <w:p>
      <w:pPr>
        <w:ind w:left="20"/>
        <w:spacing w:after="0" w:line="187" w:lineRule="auto"/>
        <w:rPr>
          <w:sz w:val="20"/>
          <w:szCs w:val="20"/>
          <w:color w:val="auto"/>
        </w:rPr>
      </w:pPr>
      <w:r>
        <w:rPr>
          <w:rFonts w:ascii="Arial" w:cs="Arial" w:eastAsia="Arial" w:hAnsi="Arial"/>
          <w:sz w:val="16"/>
          <w:szCs w:val="16"/>
          <w:color w:val="auto"/>
        </w:rPr>
        <w:t xml:space="preserve">First Mortgage Bonds due 2032 </w:t>
      </w:r>
      <w:r>
        <w:rPr>
          <w:rFonts w:ascii="Arial" w:cs="Arial" w:eastAsia="Arial" w:hAnsi="Arial"/>
          <w:sz w:val="21"/>
          <w:szCs w:val="21"/>
          <w:color w:val="auto"/>
          <w:vertAlign w:val="superscript"/>
        </w:rPr>
        <w:t>(a)</w:t>
      </w:r>
    </w:p>
    <w:p>
      <w:pPr>
        <w:ind w:left="20"/>
        <w:spacing w:after="0" w:line="188" w:lineRule="auto"/>
        <w:rPr>
          <w:sz w:val="20"/>
          <w:szCs w:val="20"/>
          <w:color w:val="auto"/>
        </w:rPr>
      </w:pPr>
      <w:r>
        <w:rPr>
          <w:rFonts w:ascii="Arial" w:cs="Arial" w:eastAsia="Arial" w:hAnsi="Arial"/>
          <w:sz w:val="16"/>
          <w:szCs w:val="16"/>
          <w:color w:val="auto"/>
        </w:rPr>
        <w:t xml:space="preserve">First Mortgage Bonds due 2039 </w:t>
      </w:r>
      <w:r>
        <w:rPr>
          <w:rFonts w:ascii="Arial" w:cs="Arial" w:eastAsia="Arial" w:hAnsi="Arial"/>
          <w:sz w:val="21"/>
          <w:szCs w:val="21"/>
          <w:color w:val="auto"/>
          <w:vertAlign w:val="superscript"/>
        </w:rPr>
        <w:t>(a)</w:t>
      </w:r>
    </w:p>
    <w:p>
      <w:pPr>
        <w:ind w:left="20"/>
        <w:spacing w:after="0" w:line="234" w:lineRule="auto"/>
        <w:rPr>
          <w:sz w:val="20"/>
          <w:szCs w:val="20"/>
          <w:color w:val="auto"/>
        </w:rPr>
      </w:pPr>
      <w:r>
        <w:rPr>
          <w:rFonts w:ascii="Arial" w:cs="Arial" w:eastAsia="Arial" w:hAnsi="Arial"/>
          <w:sz w:val="16"/>
          <w:szCs w:val="16"/>
          <w:color w:val="auto"/>
        </w:rPr>
        <w:t xml:space="preserve">First Mortgage Bonds due 2044 </w:t>
      </w:r>
      <w:r>
        <w:rPr>
          <w:rFonts w:ascii="Arial" w:cs="Arial" w:eastAsia="Arial" w:hAnsi="Arial"/>
          <w:sz w:val="21"/>
          <w:szCs w:val="21"/>
          <w:color w:val="auto"/>
          <w:vertAlign w:val="superscript"/>
        </w:rPr>
        <w:t>(a)</w:t>
      </w:r>
    </w:p>
    <w:p>
      <w:pPr>
        <w:ind w:left="120"/>
        <w:spacing w:after="0"/>
        <w:rPr>
          <w:sz w:val="20"/>
          <w:szCs w:val="20"/>
          <w:color w:val="auto"/>
        </w:rPr>
      </w:pPr>
      <w:r>
        <w:rPr>
          <w:rFonts w:ascii="Arial" w:cs="Arial" w:eastAsia="Arial" w:hAnsi="Arial"/>
          <w:sz w:val="16"/>
          <w:szCs w:val="16"/>
          <w:color w:val="auto"/>
        </w:rPr>
        <w:t>Total South Dakota Electric debt</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Less unamortized debt discount</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Total South Dakota Electric debt, net</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6"/>
          <w:szCs w:val="16"/>
          <w:u w:val="single" w:color="auto"/>
          <w:color w:val="auto"/>
        </w:rPr>
        <w:t>Wyoming Electric</w:t>
      </w:r>
    </w:p>
    <w:p>
      <w:pPr>
        <w:ind w:left="20"/>
        <w:spacing w:after="0" w:line="231" w:lineRule="auto"/>
        <w:rPr>
          <w:sz w:val="20"/>
          <w:szCs w:val="20"/>
          <w:color w:val="auto"/>
        </w:rPr>
      </w:pPr>
      <w:r>
        <w:rPr>
          <w:rFonts w:ascii="Arial" w:cs="Arial" w:eastAsia="Arial" w:hAnsi="Arial"/>
          <w:sz w:val="15"/>
          <w:szCs w:val="15"/>
          <w:color w:val="auto"/>
        </w:rPr>
        <w:t xml:space="preserve">Industrial development revenue bonds due 2027 </w:t>
      </w:r>
      <w:r>
        <w:rPr>
          <w:rFonts w:ascii="Arial" w:cs="Arial" w:eastAsia="Arial" w:hAnsi="Arial"/>
          <w:sz w:val="20"/>
          <w:szCs w:val="20"/>
          <w:color w:val="auto"/>
          <w:vertAlign w:val="superscript"/>
        </w:rPr>
        <w:t>(b) (c)</w:t>
      </w:r>
    </w:p>
    <w:p>
      <w:pPr>
        <w:ind w:left="20"/>
        <w:spacing w:after="0" w:line="181" w:lineRule="auto"/>
        <w:rPr>
          <w:sz w:val="20"/>
          <w:szCs w:val="20"/>
          <w:color w:val="auto"/>
        </w:rPr>
      </w:pPr>
      <w:r>
        <w:rPr>
          <w:rFonts w:ascii="Arial" w:cs="Arial" w:eastAsia="Arial" w:hAnsi="Arial"/>
          <w:sz w:val="14"/>
          <w:szCs w:val="14"/>
          <w:color w:val="auto"/>
        </w:rPr>
        <w:t xml:space="preserve">First Mortgage Bonds due 2037 </w:t>
      </w:r>
      <w:r>
        <w:rPr>
          <w:rFonts w:ascii="Arial" w:cs="Arial" w:eastAsia="Arial" w:hAnsi="Arial"/>
          <w:sz w:val="18"/>
          <w:szCs w:val="18"/>
          <w:color w:val="auto"/>
          <w:vertAlign w:val="superscript"/>
        </w:rPr>
        <w:t>(a)</w:t>
      </w:r>
    </w:p>
    <w:p>
      <w:pPr>
        <w:ind w:left="20"/>
        <w:spacing w:after="0" w:line="218" w:lineRule="auto"/>
        <w:rPr>
          <w:sz w:val="20"/>
          <w:szCs w:val="20"/>
          <w:color w:val="auto"/>
        </w:rPr>
      </w:pPr>
      <w:r>
        <w:rPr>
          <w:rFonts w:ascii="Arial" w:cs="Arial" w:eastAsia="Arial" w:hAnsi="Arial"/>
          <w:sz w:val="16"/>
          <w:szCs w:val="16"/>
          <w:color w:val="auto"/>
        </w:rPr>
        <w:t xml:space="preserve">First Mortgage Bonds due 2044 </w:t>
      </w:r>
      <w:r>
        <w:rPr>
          <w:rFonts w:ascii="Arial" w:cs="Arial" w:eastAsia="Arial" w:hAnsi="Arial"/>
          <w:sz w:val="21"/>
          <w:szCs w:val="21"/>
          <w:color w:val="auto"/>
          <w:vertAlign w:val="superscript"/>
        </w:rPr>
        <w:t>(a)</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820" w:type="dxa"/>
            <w:vAlign w:val="bottom"/>
          </w:tcPr>
          <w:p>
            <w:pPr>
              <w:jc w:val="center"/>
              <w:ind w:right="319"/>
              <w:spacing w:after="0"/>
              <w:rPr>
                <w:sz w:val="20"/>
                <w:szCs w:val="20"/>
                <w:color w:val="auto"/>
              </w:rPr>
            </w:pPr>
            <w:r>
              <w:rPr>
                <w:rFonts w:ascii="Arial" w:cs="Arial" w:eastAsia="Arial" w:hAnsi="Arial"/>
                <w:sz w:val="16"/>
                <w:szCs w:val="16"/>
                <w:color w:val="auto"/>
              </w:rPr>
              <w:t>August 15, 2032</w:t>
            </w:r>
          </w:p>
        </w:tc>
        <w:tc>
          <w:tcPr>
            <w:tcW w:w="1420" w:type="dxa"/>
            <w:vAlign w:val="bottom"/>
          </w:tcPr>
          <w:p>
            <w:pPr>
              <w:jc w:val="right"/>
              <w:ind w:right="479"/>
              <w:spacing w:after="0"/>
              <w:rPr>
                <w:sz w:val="20"/>
                <w:szCs w:val="20"/>
                <w:color w:val="auto"/>
              </w:rPr>
            </w:pPr>
            <w:r>
              <w:rPr>
                <w:rFonts w:ascii="Arial" w:cs="Arial" w:eastAsia="Arial" w:hAnsi="Arial"/>
                <w:sz w:val="16"/>
                <w:szCs w:val="16"/>
                <w:color w:val="auto"/>
              </w:rPr>
              <w:t>7.23%</w:t>
            </w:r>
          </w:p>
        </w:tc>
        <w:tc>
          <w:tcPr>
            <w:tcW w:w="1900" w:type="dxa"/>
            <w:vAlign w:val="bottom"/>
          </w:tcPr>
          <w:p>
            <w:pPr>
              <w:jc w:val="right"/>
              <w:ind w:right="499"/>
              <w:spacing w:after="0"/>
              <w:rPr>
                <w:sz w:val="20"/>
                <w:szCs w:val="20"/>
                <w:color w:val="auto"/>
              </w:rPr>
            </w:pPr>
            <w:r>
              <w:rPr>
                <w:rFonts w:ascii="Arial" w:cs="Arial" w:eastAsia="Arial" w:hAnsi="Arial"/>
                <w:sz w:val="16"/>
                <w:szCs w:val="16"/>
                <w:color w:val="auto"/>
              </w:rPr>
              <w:t>75.0</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75.0</w:t>
            </w:r>
          </w:p>
        </w:tc>
      </w:tr>
      <w:tr>
        <w:trPr>
          <w:trHeight w:val="189"/>
        </w:trPr>
        <w:tc>
          <w:tcPr>
            <w:tcW w:w="1820" w:type="dxa"/>
            <w:vAlign w:val="bottom"/>
          </w:tcPr>
          <w:p>
            <w:pPr>
              <w:jc w:val="center"/>
              <w:ind w:right="319"/>
              <w:spacing w:after="0"/>
              <w:rPr>
                <w:sz w:val="20"/>
                <w:szCs w:val="20"/>
                <w:color w:val="auto"/>
              </w:rPr>
            </w:pPr>
            <w:r>
              <w:rPr>
                <w:rFonts w:ascii="Arial" w:cs="Arial" w:eastAsia="Arial" w:hAnsi="Arial"/>
                <w:sz w:val="16"/>
                <w:szCs w:val="16"/>
                <w:color w:val="auto"/>
              </w:rPr>
              <w:t>November 1, 2039</w:t>
            </w:r>
          </w:p>
        </w:tc>
        <w:tc>
          <w:tcPr>
            <w:tcW w:w="1420" w:type="dxa"/>
            <w:vAlign w:val="bottom"/>
          </w:tcPr>
          <w:p>
            <w:pPr>
              <w:jc w:val="right"/>
              <w:ind w:right="479"/>
              <w:spacing w:after="0"/>
              <w:rPr>
                <w:sz w:val="20"/>
                <w:szCs w:val="20"/>
                <w:color w:val="auto"/>
              </w:rPr>
            </w:pPr>
            <w:r>
              <w:rPr>
                <w:rFonts w:ascii="Arial" w:cs="Arial" w:eastAsia="Arial" w:hAnsi="Arial"/>
                <w:sz w:val="16"/>
                <w:szCs w:val="16"/>
                <w:color w:val="auto"/>
              </w:rPr>
              <w:t>6.13%</w:t>
            </w:r>
          </w:p>
        </w:tc>
        <w:tc>
          <w:tcPr>
            <w:tcW w:w="1900" w:type="dxa"/>
            <w:vAlign w:val="bottom"/>
          </w:tcPr>
          <w:p>
            <w:pPr>
              <w:jc w:val="right"/>
              <w:ind w:right="499"/>
              <w:spacing w:after="0"/>
              <w:rPr>
                <w:sz w:val="20"/>
                <w:szCs w:val="20"/>
                <w:color w:val="auto"/>
              </w:rPr>
            </w:pPr>
            <w:r>
              <w:rPr>
                <w:rFonts w:ascii="Arial" w:cs="Arial" w:eastAsia="Arial" w:hAnsi="Arial"/>
                <w:sz w:val="16"/>
                <w:szCs w:val="16"/>
                <w:color w:val="auto"/>
              </w:rPr>
              <w:t>180.0</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180.0</w:t>
            </w:r>
          </w:p>
        </w:tc>
      </w:tr>
      <w:tr>
        <w:trPr>
          <w:trHeight w:val="203"/>
        </w:trPr>
        <w:tc>
          <w:tcPr>
            <w:tcW w:w="1820" w:type="dxa"/>
            <w:vAlign w:val="bottom"/>
          </w:tcPr>
          <w:p>
            <w:pPr>
              <w:jc w:val="center"/>
              <w:ind w:right="319"/>
              <w:spacing w:after="0"/>
              <w:rPr>
                <w:sz w:val="20"/>
                <w:szCs w:val="20"/>
                <w:color w:val="auto"/>
              </w:rPr>
            </w:pPr>
            <w:r>
              <w:rPr>
                <w:rFonts w:ascii="Arial" w:cs="Arial" w:eastAsia="Arial" w:hAnsi="Arial"/>
                <w:sz w:val="16"/>
                <w:szCs w:val="16"/>
                <w:color w:val="auto"/>
              </w:rPr>
              <w:t>October 20, 2044</w:t>
            </w:r>
          </w:p>
        </w:tc>
        <w:tc>
          <w:tcPr>
            <w:tcW w:w="1420" w:type="dxa"/>
            <w:vAlign w:val="bottom"/>
          </w:tcPr>
          <w:p>
            <w:pPr>
              <w:jc w:val="right"/>
              <w:ind w:right="479"/>
              <w:spacing w:after="0"/>
              <w:rPr>
                <w:sz w:val="20"/>
                <w:szCs w:val="20"/>
                <w:color w:val="auto"/>
              </w:rPr>
            </w:pPr>
            <w:r>
              <w:rPr>
                <w:rFonts w:ascii="Arial" w:cs="Arial" w:eastAsia="Arial" w:hAnsi="Arial"/>
                <w:sz w:val="16"/>
                <w:szCs w:val="16"/>
                <w:color w:val="auto"/>
              </w:rPr>
              <w:t>4.43%</w:t>
            </w:r>
          </w:p>
        </w:tc>
        <w:tc>
          <w:tcPr>
            <w:tcW w:w="19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85.0</w:t>
            </w: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85.0</w:t>
            </w:r>
          </w:p>
        </w:tc>
      </w:tr>
      <w:tr>
        <w:trPr>
          <w:trHeight w:val="168"/>
        </w:trPr>
        <w:tc>
          <w:tcPr>
            <w:tcW w:w="1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900" w:type="dxa"/>
            <w:vAlign w:val="bottom"/>
          </w:tcPr>
          <w:p>
            <w:pPr>
              <w:jc w:val="right"/>
              <w:ind w:right="499"/>
              <w:spacing w:after="0" w:line="168" w:lineRule="exact"/>
              <w:rPr>
                <w:sz w:val="20"/>
                <w:szCs w:val="20"/>
                <w:color w:val="auto"/>
              </w:rPr>
            </w:pPr>
            <w:r>
              <w:rPr>
                <w:rFonts w:ascii="Arial" w:cs="Arial" w:eastAsia="Arial" w:hAnsi="Arial"/>
                <w:sz w:val="16"/>
                <w:szCs w:val="16"/>
                <w:color w:val="auto"/>
              </w:rPr>
              <w:t>340.0</w:t>
            </w:r>
          </w:p>
        </w:tc>
        <w:tc>
          <w:tcPr>
            <w:tcW w:w="1020" w:type="dxa"/>
            <w:vAlign w:val="bottom"/>
          </w:tcPr>
          <w:p>
            <w:pPr>
              <w:jc w:val="right"/>
              <w:ind w:right="59"/>
              <w:spacing w:after="0" w:line="168" w:lineRule="exact"/>
              <w:rPr>
                <w:sz w:val="20"/>
                <w:szCs w:val="20"/>
                <w:color w:val="auto"/>
              </w:rPr>
            </w:pPr>
            <w:r>
              <w:rPr>
                <w:rFonts w:ascii="Arial" w:cs="Arial" w:eastAsia="Arial" w:hAnsi="Arial"/>
                <w:sz w:val="16"/>
                <w:szCs w:val="16"/>
                <w:color w:val="auto"/>
              </w:rPr>
              <w:t>340.0</w:t>
            </w:r>
          </w:p>
        </w:tc>
      </w:tr>
      <w:tr>
        <w:trPr>
          <w:trHeight w:val="203"/>
        </w:trPr>
        <w:tc>
          <w:tcPr>
            <w:tcW w:w="1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9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(0.1 )</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(0.1 )</w:t>
            </w:r>
          </w:p>
        </w:tc>
      </w:tr>
      <w:tr>
        <w:trPr>
          <w:trHeight w:val="183"/>
        </w:trPr>
        <w:tc>
          <w:tcPr>
            <w:tcW w:w="18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900" w:type="dxa"/>
            <w:vAlign w:val="bottom"/>
            <w:tcBorders>
              <w:bottom w:val="single" w:sz="8" w:color="auto"/>
            </w:tcBorders>
          </w:tcPr>
          <w:p>
            <w:pPr>
              <w:jc w:val="right"/>
              <w:ind w:right="499"/>
              <w:spacing w:after="0" w:line="183" w:lineRule="exact"/>
              <w:rPr>
                <w:sz w:val="20"/>
                <w:szCs w:val="20"/>
                <w:color w:val="auto"/>
              </w:rPr>
            </w:pPr>
            <w:r>
              <w:rPr>
                <w:rFonts w:ascii="Arial" w:cs="Arial" w:eastAsia="Arial" w:hAnsi="Arial"/>
                <w:sz w:val="16"/>
                <w:szCs w:val="16"/>
                <w:color w:val="auto"/>
              </w:rPr>
              <w:t>339.9</w:t>
            </w:r>
          </w:p>
        </w:tc>
        <w:tc>
          <w:tcPr>
            <w:tcW w:w="102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339.9</w:t>
            </w:r>
          </w:p>
        </w:tc>
      </w:tr>
      <w:tr>
        <w:trPr>
          <w:trHeight w:val="546"/>
        </w:trPr>
        <w:tc>
          <w:tcPr>
            <w:tcW w:w="1820" w:type="dxa"/>
            <w:vAlign w:val="bottom"/>
          </w:tcPr>
          <w:p>
            <w:pPr>
              <w:jc w:val="center"/>
              <w:ind w:right="299"/>
              <w:spacing w:after="0"/>
              <w:rPr>
                <w:sz w:val="20"/>
                <w:szCs w:val="20"/>
                <w:color w:val="auto"/>
              </w:rPr>
            </w:pPr>
            <w:r>
              <w:rPr>
                <w:rFonts w:ascii="Arial" w:cs="Arial" w:eastAsia="Arial" w:hAnsi="Arial"/>
                <w:sz w:val="16"/>
                <w:szCs w:val="16"/>
                <w:color w:val="auto"/>
              </w:rPr>
              <w:t>March 1, 2027</w:t>
            </w:r>
          </w:p>
        </w:tc>
        <w:tc>
          <w:tcPr>
            <w:tcW w:w="1420" w:type="dxa"/>
            <w:vAlign w:val="bottom"/>
          </w:tcPr>
          <w:p>
            <w:pPr>
              <w:jc w:val="right"/>
              <w:ind w:right="479"/>
              <w:spacing w:after="0"/>
              <w:rPr>
                <w:sz w:val="20"/>
                <w:szCs w:val="20"/>
                <w:color w:val="auto"/>
              </w:rPr>
            </w:pPr>
            <w:r>
              <w:rPr>
                <w:rFonts w:ascii="Arial" w:cs="Arial" w:eastAsia="Arial" w:hAnsi="Arial"/>
                <w:sz w:val="16"/>
                <w:szCs w:val="16"/>
                <w:color w:val="auto"/>
              </w:rPr>
              <w:t>3.68%</w:t>
            </w:r>
          </w:p>
        </w:tc>
        <w:tc>
          <w:tcPr>
            <w:tcW w:w="1900" w:type="dxa"/>
            <w:vAlign w:val="bottom"/>
          </w:tcPr>
          <w:p>
            <w:pPr>
              <w:jc w:val="right"/>
              <w:ind w:right="499"/>
              <w:spacing w:after="0"/>
              <w:rPr>
                <w:sz w:val="20"/>
                <w:szCs w:val="20"/>
                <w:color w:val="auto"/>
              </w:rPr>
            </w:pPr>
            <w:r>
              <w:rPr>
                <w:rFonts w:ascii="Arial" w:cs="Arial" w:eastAsia="Arial" w:hAnsi="Arial"/>
                <w:sz w:val="16"/>
                <w:szCs w:val="16"/>
                <w:color w:val="auto"/>
              </w:rPr>
              <w:t>10.0</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10.0</w:t>
            </w:r>
          </w:p>
        </w:tc>
      </w:tr>
      <w:tr>
        <w:trPr>
          <w:trHeight w:val="189"/>
        </w:trPr>
        <w:tc>
          <w:tcPr>
            <w:tcW w:w="1820" w:type="dxa"/>
            <w:vAlign w:val="bottom"/>
          </w:tcPr>
          <w:p>
            <w:pPr>
              <w:jc w:val="center"/>
              <w:ind w:right="319"/>
              <w:spacing w:after="0"/>
              <w:rPr>
                <w:sz w:val="20"/>
                <w:szCs w:val="20"/>
                <w:color w:val="auto"/>
              </w:rPr>
            </w:pPr>
            <w:r>
              <w:rPr>
                <w:rFonts w:ascii="Arial" w:cs="Arial" w:eastAsia="Arial" w:hAnsi="Arial"/>
                <w:sz w:val="16"/>
                <w:szCs w:val="16"/>
                <w:color w:val="auto"/>
              </w:rPr>
              <w:t>November 20, 2037</w:t>
            </w:r>
          </w:p>
        </w:tc>
        <w:tc>
          <w:tcPr>
            <w:tcW w:w="1420" w:type="dxa"/>
            <w:vAlign w:val="bottom"/>
          </w:tcPr>
          <w:p>
            <w:pPr>
              <w:jc w:val="right"/>
              <w:ind w:right="479"/>
              <w:spacing w:after="0"/>
              <w:rPr>
                <w:sz w:val="20"/>
                <w:szCs w:val="20"/>
                <w:color w:val="auto"/>
              </w:rPr>
            </w:pPr>
            <w:r>
              <w:rPr>
                <w:rFonts w:ascii="Arial" w:cs="Arial" w:eastAsia="Arial" w:hAnsi="Arial"/>
                <w:sz w:val="16"/>
                <w:szCs w:val="16"/>
                <w:color w:val="auto"/>
              </w:rPr>
              <w:t>6.67%</w:t>
            </w:r>
          </w:p>
        </w:tc>
        <w:tc>
          <w:tcPr>
            <w:tcW w:w="1900" w:type="dxa"/>
            <w:vAlign w:val="bottom"/>
          </w:tcPr>
          <w:p>
            <w:pPr>
              <w:jc w:val="right"/>
              <w:ind w:right="499"/>
              <w:spacing w:after="0"/>
              <w:rPr>
                <w:sz w:val="20"/>
                <w:szCs w:val="20"/>
                <w:color w:val="auto"/>
              </w:rPr>
            </w:pPr>
            <w:r>
              <w:rPr>
                <w:rFonts w:ascii="Arial" w:cs="Arial" w:eastAsia="Arial" w:hAnsi="Arial"/>
                <w:sz w:val="16"/>
                <w:szCs w:val="16"/>
                <w:color w:val="auto"/>
              </w:rPr>
              <w:t>110.0</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110.0</w:t>
            </w:r>
          </w:p>
        </w:tc>
      </w:tr>
      <w:tr>
        <w:trPr>
          <w:trHeight w:val="203"/>
        </w:trPr>
        <w:tc>
          <w:tcPr>
            <w:tcW w:w="1820" w:type="dxa"/>
            <w:vAlign w:val="bottom"/>
          </w:tcPr>
          <w:p>
            <w:pPr>
              <w:jc w:val="center"/>
              <w:ind w:right="319"/>
              <w:spacing w:after="0"/>
              <w:rPr>
                <w:sz w:val="20"/>
                <w:szCs w:val="20"/>
                <w:color w:val="auto"/>
              </w:rPr>
            </w:pPr>
            <w:r>
              <w:rPr>
                <w:rFonts w:ascii="Arial" w:cs="Arial" w:eastAsia="Arial" w:hAnsi="Arial"/>
                <w:sz w:val="16"/>
                <w:szCs w:val="16"/>
                <w:color w:val="auto"/>
              </w:rPr>
              <w:t>October 20, 2044</w:t>
            </w:r>
          </w:p>
        </w:tc>
        <w:tc>
          <w:tcPr>
            <w:tcW w:w="1420" w:type="dxa"/>
            <w:vAlign w:val="bottom"/>
          </w:tcPr>
          <w:p>
            <w:pPr>
              <w:jc w:val="right"/>
              <w:ind w:right="479"/>
              <w:spacing w:after="0"/>
              <w:rPr>
                <w:sz w:val="20"/>
                <w:szCs w:val="20"/>
                <w:color w:val="auto"/>
              </w:rPr>
            </w:pPr>
            <w:r>
              <w:rPr>
                <w:rFonts w:ascii="Arial" w:cs="Arial" w:eastAsia="Arial" w:hAnsi="Arial"/>
                <w:sz w:val="16"/>
                <w:szCs w:val="16"/>
                <w:color w:val="auto"/>
              </w:rPr>
              <w:t>4.53%</w:t>
            </w:r>
          </w:p>
        </w:tc>
        <w:tc>
          <w:tcPr>
            <w:tcW w:w="1900" w:type="dxa"/>
            <w:vAlign w:val="bottom"/>
          </w:tcPr>
          <w:p>
            <w:pPr>
              <w:jc w:val="right"/>
              <w:ind w:right="499"/>
              <w:spacing w:after="0"/>
              <w:rPr>
                <w:sz w:val="20"/>
                <w:szCs w:val="20"/>
                <w:color w:val="auto"/>
              </w:rPr>
            </w:pPr>
            <w:r>
              <w:rPr>
                <w:rFonts w:ascii="Arial" w:cs="Arial" w:eastAsia="Arial" w:hAnsi="Arial"/>
                <w:sz w:val="16"/>
                <w:szCs w:val="16"/>
                <w:color w:val="auto"/>
              </w:rPr>
              <w:t>75.0</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75.0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-1464945</wp:posOffset>
            </wp:positionV>
            <wp:extent cx="7132320" cy="1200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-1224915</wp:posOffset>
            </wp:positionV>
            <wp:extent cx="7132320" cy="1200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-976630</wp:posOffset>
            </wp:positionV>
            <wp:extent cx="7132320" cy="1200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-728345</wp:posOffset>
            </wp:positionV>
            <wp:extent cx="7132320" cy="1289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-479425</wp:posOffset>
            </wp:positionV>
            <wp:extent cx="7132320" cy="1200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-239395</wp:posOffset>
            </wp:positionV>
            <wp:extent cx="7132320" cy="1200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360" w:space="720"/>
            <w:col w:w="616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83"/>
        </w:trPr>
        <w:tc>
          <w:tcPr>
            <w:tcW w:w="8320" w:type="dxa"/>
            <w:vAlign w:val="bottom"/>
            <w:shd w:val="clear" w:color="auto" w:fill="CFF0FC"/>
          </w:tcPr>
          <w:p>
            <w:pPr>
              <w:ind w:left="120"/>
              <w:spacing w:after="0" w:line="183" w:lineRule="exact"/>
              <w:rPr>
                <w:sz w:val="20"/>
                <w:szCs w:val="20"/>
                <w:color w:val="auto"/>
              </w:rPr>
            </w:pPr>
            <w:r>
              <w:rPr>
                <w:rFonts w:ascii="Arial" w:cs="Arial" w:eastAsia="Arial" w:hAnsi="Arial"/>
                <w:sz w:val="16"/>
                <w:szCs w:val="16"/>
                <w:color w:val="auto"/>
              </w:rPr>
              <w:t>Total Wyoming Electric debt</w:t>
            </w:r>
          </w:p>
        </w:tc>
        <w:tc>
          <w:tcPr>
            <w:tcW w:w="44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195.0</w:t>
            </w:r>
          </w:p>
        </w:tc>
        <w:tc>
          <w:tcPr>
            <w:tcW w:w="46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195.0</w:t>
            </w:r>
          </w:p>
        </w:tc>
        <w:tc>
          <w:tcPr>
            <w:tcW w:w="0" w:type="dxa"/>
            <w:vAlign w:val="bottom"/>
          </w:tcPr>
          <w:p>
            <w:pPr>
              <w:spacing w:after="0"/>
              <w:rPr>
                <w:sz w:val="1"/>
                <w:szCs w:val="1"/>
                <w:color w:val="auto"/>
              </w:rPr>
            </w:pPr>
          </w:p>
        </w:tc>
      </w:tr>
      <w:tr>
        <w:trPr>
          <w:trHeight w:val="189"/>
        </w:trPr>
        <w:tc>
          <w:tcPr>
            <w:tcW w:w="8320" w:type="dxa"/>
            <w:vAlign w:val="bottom"/>
          </w:tcPr>
          <w:p>
            <w:pPr>
              <w:ind w:left="20"/>
              <w:spacing w:after="0"/>
              <w:rPr>
                <w:sz w:val="20"/>
                <w:szCs w:val="20"/>
                <w:color w:val="auto"/>
              </w:rPr>
            </w:pPr>
            <w:r>
              <w:rPr>
                <w:rFonts w:ascii="Arial" w:cs="Arial" w:eastAsia="Arial" w:hAnsi="Arial"/>
                <w:sz w:val="16"/>
                <w:szCs w:val="16"/>
                <w:color w:val="auto"/>
              </w:rPr>
              <w:t>Less unamortized debt discount</w:t>
            </w: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8320" w:type="dxa"/>
            <w:vAlign w:val="bottom"/>
            <w:tcBorders>
              <w:bottom w:val="single" w:sz="8" w:color="CFF0FC"/>
            </w:tcBorders>
            <w:shd w:val="clear" w:color="auto" w:fill="CFF0FC"/>
          </w:tcPr>
          <w:p>
            <w:pPr>
              <w:ind w:left="200"/>
              <w:spacing w:after="0" w:line="183" w:lineRule="exact"/>
              <w:rPr>
                <w:sz w:val="20"/>
                <w:szCs w:val="20"/>
                <w:color w:val="auto"/>
              </w:rPr>
            </w:pPr>
            <w:r>
              <w:rPr>
                <w:rFonts w:ascii="Arial" w:cs="Arial" w:eastAsia="Arial" w:hAnsi="Arial"/>
                <w:sz w:val="16"/>
                <w:szCs w:val="16"/>
                <w:color w:val="auto"/>
              </w:rPr>
              <w:t>Total Wyoming Electric debt, net</w:t>
            </w:r>
          </w:p>
        </w:tc>
        <w:tc>
          <w:tcPr>
            <w:tcW w:w="44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195.0</w:t>
            </w:r>
          </w:p>
        </w:tc>
        <w:tc>
          <w:tcPr>
            <w:tcW w:w="46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195.0</w:t>
            </w:r>
          </w:p>
        </w:tc>
        <w:tc>
          <w:tcPr>
            <w:tcW w:w="0" w:type="dxa"/>
            <w:vAlign w:val="bottom"/>
          </w:tcPr>
          <w:p>
            <w:pPr>
              <w:spacing w:after="0"/>
              <w:rPr>
                <w:sz w:val="1"/>
                <w:szCs w:val="1"/>
                <w:color w:val="auto"/>
              </w:rPr>
            </w:pPr>
          </w:p>
        </w:tc>
      </w:tr>
      <w:tr>
        <w:trPr>
          <w:trHeight w:val="183"/>
        </w:trPr>
        <w:tc>
          <w:tcPr>
            <w:tcW w:w="8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long-term debt</w:t>
            </w:r>
          </w:p>
        </w:tc>
        <w:tc>
          <w:tcPr>
            <w:tcW w:w="44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4,276.3</w:t>
            </w:r>
          </w:p>
        </w:tc>
        <w:tc>
          <w:tcPr>
            <w:tcW w:w="4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4,426.0</w:t>
            </w:r>
          </w:p>
        </w:tc>
        <w:tc>
          <w:tcPr>
            <w:tcW w:w="0" w:type="dxa"/>
            <w:vAlign w:val="bottom"/>
          </w:tcPr>
          <w:p>
            <w:pPr>
              <w:spacing w:after="0"/>
              <w:rPr>
                <w:sz w:val="1"/>
                <w:szCs w:val="1"/>
                <w:color w:val="auto"/>
              </w:rPr>
            </w:pPr>
          </w:p>
        </w:tc>
      </w:tr>
      <w:tr>
        <w:trPr>
          <w:trHeight w:val="189"/>
        </w:trPr>
        <w:tc>
          <w:tcPr>
            <w:tcW w:w="8320" w:type="dxa"/>
            <w:vAlign w:val="bottom"/>
          </w:tcPr>
          <w:p>
            <w:pPr>
              <w:ind w:left="20"/>
              <w:spacing w:after="0"/>
              <w:rPr>
                <w:sz w:val="20"/>
                <w:szCs w:val="20"/>
                <w:color w:val="auto"/>
              </w:rPr>
            </w:pPr>
            <w:r>
              <w:rPr>
                <w:rFonts w:ascii="Arial" w:cs="Arial" w:eastAsia="Arial" w:hAnsi="Arial"/>
                <w:sz w:val="16"/>
                <w:szCs w:val="16"/>
                <w:color w:val="auto"/>
              </w:rPr>
              <w:t>Less current maturities</w:t>
            </w:r>
          </w:p>
        </w:tc>
        <w:tc>
          <w:tcPr>
            <w:tcW w:w="440" w:type="dxa"/>
            <w:vAlign w:val="bottom"/>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(600.0 )</w:t>
            </w:r>
          </w:p>
        </w:tc>
        <w:tc>
          <w:tcPr>
            <w:tcW w:w="0" w:type="dxa"/>
            <w:vAlign w:val="bottom"/>
          </w:tcPr>
          <w:p>
            <w:pPr>
              <w:spacing w:after="0"/>
              <w:rPr>
                <w:sz w:val="1"/>
                <w:szCs w:val="1"/>
                <w:color w:val="auto"/>
              </w:rPr>
            </w:pPr>
          </w:p>
        </w:tc>
      </w:tr>
      <w:tr>
        <w:trPr>
          <w:trHeight w:val="189"/>
        </w:trPr>
        <w:tc>
          <w:tcPr>
            <w:tcW w:w="8320" w:type="dxa"/>
            <w:vAlign w:val="bottom"/>
            <w:tcBorders>
              <w:bottom w:val="single" w:sz="8" w:color="CFF0FC"/>
            </w:tcBorders>
            <w:shd w:val="clear" w:color="auto" w:fill="CFF0FC"/>
          </w:tcPr>
          <w:p>
            <w:pPr>
              <w:ind w:left="20"/>
              <w:spacing w:after="0" w:line="189" w:lineRule="exact"/>
              <w:rPr>
                <w:sz w:val="20"/>
                <w:szCs w:val="20"/>
                <w:color w:val="auto"/>
              </w:rPr>
            </w:pPr>
            <w:r>
              <w:rPr>
                <w:rFonts w:ascii="Arial" w:cs="Arial" w:eastAsia="Arial" w:hAnsi="Arial"/>
                <w:sz w:val="16"/>
                <w:szCs w:val="16"/>
                <w:color w:val="auto"/>
              </w:rPr>
              <w:t xml:space="preserve">Less unamortized deferred financing costs </w:t>
            </w:r>
            <w:r>
              <w:rPr>
                <w:rFonts w:ascii="Arial" w:cs="Arial" w:eastAsia="Arial" w:hAnsi="Arial"/>
                <w:sz w:val="21"/>
                <w:szCs w:val="21"/>
                <w:color w:val="auto"/>
                <w:vertAlign w:val="superscript"/>
              </w:rPr>
              <w:t>(d)</w:t>
            </w:r>
          </w:p>
        </w:tc>
        <w:tc>
          <w:tcPr>
            <w:tcW w:w="44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(26.1 )</w:t>
            </w:r>
          </w:p>
        </w:tc>
        <w:tc>
          <w:tcPr>
            <w:tcW w:w="46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(24.8 )</w:t>
            </w:r>
          </w:p>
        </w:tc>
        <w:tc>
          <w:tcPr>
            <w:tcW w:w="0" w:type="dxa"/>
            <w:vAlign w:val="bottom"/>
          </w:tcPr>
          <w:p>
            <w:pPr>
              <w:spacing w:after="0"/>
              <w:rPr>
                <w:sz w:val="1"/>
                <w:szCs w:val="1"/>
                <w:color w:val="auto"/>
              </w:rPr>
            </w:pPr>
          </w:p>
        </w:tc>
      </w:tr>
      <w:tr>
        <w:trPr>
          <w:trHeight w:val="168"/>
        </w:trPr>
        <w:tc>
          <w:tcPr>
            <w:tcW w:w="8320" w:type="dxa"/>
            <w:vAlign w:val="bottom"/>
          </w:tcPr>
          <w:p>
            <w:pPr>
              <w:ind w:left="120"/>
              <w:spacing w:after="0" w:line="168" w:lineRule="exact"/>
              <w:rPr>
                <w:sz w:val="20"/>
                <w:szCs w:val="20"/>
                <w:color w:val="auto"/>
              </w:rPr>
            </w:pPr>
            <w:r>
              <w:rPr>
                <w:rFonts w:ascii="Arial" w:cs="Arial" w:eastAsia="Arial" w:hAnsi="Arial"/>
                <w:sz w:val="16"/>
                <w:szCs w:val="16"/>
                <w:color w:val="auto"/>
              </w:rPr>
              <w:t>Long-term debt, net of current maturities and deferred financing</w:t>
            </w:r>
          </w:p>
        </w:tc>
        <w:tc>
          <w:tcPr>
            <w:tcW w:w="440" w:type="dxa"/>
            <w:vAlign w:val="bottom"/>
            <w:vMerge w:val="restart"/>
          </w:tcPr>
          <w:p>
            <w:pPr>
              <w:jc w:val="right"/>
              <w:ind w:right="259"/>
              <w:spacing w:after="0"/>
              <w:rPr>
                <w:sz w:val="20"/>
                <w:szCs w:val="20"/>
                <w:color w:val="auto"/>
              </w:rPr>
            </w:pPr>
            <w:r>
              <w:rPr>
                <w:rFonts w:ascii="Arial" w:cs="Arial" w:eastAsia="Arial" w:hAnsi="Arial"/>
                <w:sz w:val="16"/>
                <w:szCs w:val="16"/>
                <w:color w:val="auto"/>
                <w:w w:val="89"/>
              </w:rPr>
              <w:t>$</w:t>
            </w:r>
          </w:p>
        </w:tc>
        <w:tc>
          <w:tcPr>
            <w:tcW w:w="1000" w:type="dxa"/>
            <w:vAlign w:val="bottom"/>
            <w:vMerge w:val="restart"/>
          </w:tcPr>
          <w:p>
            <w:pPr>
              <w:jc w:val="right"/>
              <w:ind w:right="39"/>
              <w:spacing w:after="0"/>
              <w:rPr>
                <w:sz w:val="20"/>
                <w:szCs w:val="20"/>
                <w:color w:val="auto"/>
              </w:rPr>
            </w:pPr>
            <w:r>
              <w:rPr>
                <w:rFonts w:ascii="Arial" w:cs="Arial" w:eastAsia="Arial" w:hAnsi="Arial"/>
                <w:sz w:val="16"/>
                <w:szCs w:val="16"/>
                <w:color w:val="auto"/>
              </w:rPr>
              <w:t>4,250.2</w:t>
            </w:r>
          </w:p>
        </w:tc>
        <w:tc>
          <w:tcPr>
            <w:tcW w:w="460" w:type="dxa"/>
            <w:vAlign w:val="bottom"/>
            <w:vMerge w:val="restart"/>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vMerge w:val="restart"/>
          </w:tcPr>
          <w:p>
            <w:pPr>
              <w:jc w:val="right"/>
              <w:ind w:right="59"/>
              <w:spacing w:after="0"/>
              <w:rPr>
                <w:sz w:val="20"/>
                <w:szCs w:val="20"/>
                <w:color w:val="auto"/>
              </w:rPr>
            </w:pPr>
            <w:r>
              <w:rPr>
                <w:rFonts w:ascii="Arial" w:cs="Arial" w:eastAsia="Arial" w:hAnsi="Arial"/>
                <w:sz w:val="16"/>
                <w:szCs w:val="16"/>
                <w:color w:val="auto"/>
              </w:rPr>
              <w:t>3,801.2</w:t>
            </w:r>
          </w:p>
        </w:tc>
        <w:tc>
          <w:tcPr>
            <w:tcW w:w="0" w:type="dxa"/>
            <w:vAlign w:val="bottom"/>
          </w:tcPr>
          <w:p>
            <w:pPr>
              <w:spacing w:after="0"/>
              <w:rPr>
                <w:sz w:val="1"/>
                <w:szCs w:val="1"/>
                <w:color w:val="auto"/>
              </w:rPr>
            </w:pPr>
          </w:p>
        </w:tc>
      </w:tr>
      <w:tr>
        <w:trPr>
          <w:trHeight w:val="168"/>
        </w:trPr>
        <w:tc>
          <w:tcPr>
            <w:tcW w:w="8320" w:type="dxa"/>
            <w:vAlign w:val="bottom"/>
          </w:tcPr>
          <w:p>
            <w:pPr>
              <w:ind w:left="120"/>
              <w:spacing w:after="0" w:line="143" w:lineRule="exact"/>
              <w:rPr>
                <w:sz w:val="20"/>
                <w:szCs w:val="20"/>
                <w:color w:val="auto"/>
              </w:rPr>
            </w:pPr>
            <w:r>
              <w:rPr>
                <w:rFonts w:ascii="Arial" w:cs="Arial" w:eastAsia="Arial" w:hAnsi="Arial"/>
                <w:sz w:val="16"/>
                <w:szCs w:val="16"/>
                <w:color w:val="auto"/>
              </w:rPr>
              <w:t>costs</w:t>
            </w:r>
          </w:p>
        </w:tc>
        <w:tc>
          <w:tcPr>
            <w:tcW w:w="440" w:type="dxa"/>
            <w:vAlign w:val="bottom"/>
            <w:tcBorders>
              <w:bottom w:val="single" w:sz="8" w:color="auto"/>
            </w:tcBorders>
            <w:vMerge w:val="continue"/>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214312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60" w:lineRule="exact"/>
        <w:rPr>
          <w:sz w:val="20"/>
          <w:szCs w:val="20"/>
          <w:color w:val="auto"/>
        </w:rPr>
      </w:pPr>
    </w:p>
    <w:p>
      <w:pPr>
        <w:ind w:left="520" w:right="40" w:hanging="512"/>
        <w:spacing w:after="0" w:line="271" w:lineRule="auto"/>
        <w:tabs>
          <w:tab w:leader="none" w:pos="5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Substantially all of the tangible utility property of South Dakota Electric and Wyoming Electric is subject to the lien of indentures securing their first mortgage bonds. First mortgage bonds of South Dakota Electric and Wyoming Electric may be issued in amounts limited by property, earnings and other provisions of the mortgage indentures.</w:t>
      </w:r>
    </w:p>
    <w:p>
      <w:pPr>
        <w:spacing w:after="0" w:line="162" w:lineRule="exact"/>
        <w:rPr>
          <w:rFonts w:ascii="Arial" w:cs="Arial" w:eastAsia="Arial" w:hAnsi="Arial"/>
          <w:sz w:val="14"/>
          <w:szCs w:val="14"/>
          <w:color w:val="auto"/>
        </w:rPr>
      </w:pPr>
    </w:p>
    <w:p>
      <w:pPr>
        <w:ind w:left="520" w:hanging="512"/>
        <w:spacing w:after="0"/>
        <w:tabs>
          <w:tab w:leader="none" w:pos="5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Variable interest rate.</w:t>
      </w:r>
    </w:p>
    <w:p>
      <w:pPr>
        <w:spacing w:after="0" w:line="15" w:lineRule="exact"/>
        <w:rPr>
          <w:rFonts w:ascii="Arial" w:cs="Arial" w:eastAsia="Arial" w:hAnsi="Arial"/>
          <w:sz w:val="14"/>
          <w:szCs w:val="14"/>
          <w:color w:val="auto"/>
        </w:rPr>
      </w:pPr>
    </w:p>
    <w:p>
      <w:pPr>
        <w:ind w:left="520" w:right="100" w:hanging="512"/>
        <w:spacing w:after="0" w:line="241" w:lineRule="auto"/>
        <w:tabs>
          <w:tab w:leader="none" w:pos="5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A reimbursement agreement is in place with Wells Fargo on behalf of Wyoming Electric for the $10 million bonds due March 1, 2027. In the case of default, we hold the assumption of liability for drawings on Wyoming Electric’s Letter of Credit attached to these bonds.</w:t>
      </w:r>
    </w:p>
    <w:p>
      <w:pPr>
        <w:ind w:left="520" w:right="480" w:hanging="512"/>
        <w:spacing w:after="0" w:line="264" w:lineRule="auto"/>
        <w:tabs>
          <w:tab w:leader="none" w:pos="5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Includes deferred financing costs associated with our Revolving Credit Facility of $2.4 million and $1.1 million as of December 31, 2024, and December 31, 2023, respectively.</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2" w:name="page83"/>
    <w:bookmarkEnd w:id="8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Scheduled maturities of long-term debt and associated interest payments by year are shown below:</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4"/>
          </w:tcPr>
          <w:p>
            <w:pPr>
              <w:jc w:val="center"/>
              <w:ind w:left="459"/>
              <w:spacing w:after="0"/>
              <w:rPr>
                <w:sz w:val="20"/>
                <w:szCs w:val="20"/>
                <w:color w:val="auto"/>
              </w:rPr>
            </w:pPr>
            <w:r>
              <w:rPr>
                <w:rFonts w:ascii="Arial" w:cs="Arial" w:eastAsia="Arial" w:hAnsi="Arial"/>
                <w:sz w:val="16"/>
                <w:szCs w:val="16"/>
                <w:b w:val="1"/>
                <w:bCs w:val="1"/>
                <w:color w:val="auto"/>
              </w:rPr>
              <w:t>Payments Due by Period</w:t>
            </w:r>
          </w:p>
        </w:tc>
        <w:tc>
          <w:tcPr>
            <w:tcW w:w="8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183"/>
        </w:trPr>
        <w:tc>
          <w:tcPr>
            <w:tcW w:w="29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19"/>
              <w:spacing w:after="0" w:line="183" w:lineRule="exact"/>
              <w:rPr>
                <w:sz w:val="20"/>
                <w:szCs w:val="20"/>
                <w:color w:val="auto"/>
              </w:rPr>
            </w:pPr>
            <w:r>
              <w:rPr>
                <w:rFonts w:ascii="Arial" w:cs="Arial" w:eastAsia="Arial" w:hAnsi="Arial"/>
                <w:sz w:val="16"/>
                <w:szCs w:val="16"/>
                <w:b w:val="1"/>
                <w:bCs w:val="1"/>
                <w:color w:val="auto"/>
              </w:rPr>
              <w:t>2025</w:t>
            </w:r>
          </w:p>
        </w:tc>
        <w:tc>
          <w:tcPr>
            <w:tcW w:w="900" w:type="dxa"/>
            <w:vAlign w:val="bottom"/>
            <w:tcBorders>
              <w:bottom w:val="single" w:sz="8" w:color="auto"/>
            </w:tcBorders>
          </w:tcPr>
          <w:p>
            <w:pPr>
              <w:jc w:val="right"/>
              <w:ind w:right="339"/>
              <w:spacing w:after="0" w:line="183" w:lineRule="exact"/>
              <w:rPr>
                <w:sz w:val="20"/>
                <w:szCs w:val="20"/>
                <w:color w:val="auto"/>
              </w:rPr>
            </w:pPr>
            <w:r>
              <w:rPr>
                <w:rFonts w:ascii="Arial" w:cs="Arial" w:eastAsia="Arial" w:hAnsi="Arial"/>
                <w:sz w:val="16"/>
                <w:szCs w:val="16"/>
                <w:b w:val="1"/>
                <w:bCs w:val="1"/>
                <w:color w:val="auto"/>
              </w:rPr>
              <w:t>2026</w:t>
            </w: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19"/>
              <w:spacing w:after="0" w:line="183" w:lineRule="exact"/>
              <w:rPr>
                <w:sz w:val="20"/>
                <w:szCs w:val="20"/>
                <w:color w:val="auto"/>
              </w:rPr>
            </w:pPr>
            <w:r>
              <w:rPr>
                <w:rFonts w:ascii="Arial" w:cs="Arial" w:eastAsia="Arial" w:hAnsi="Arial"/>
                <w:sz w:val="16"/>
                <w:szCs w:val="16"/>
                <w:b w:val="1"/>
                <w:bCs w:val="1"/>
                <w:color w:val="auto"/>
              </w:rPr>
              <w:t>2027</w:t>
            </w: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99"/>
              <w:spacing w:after="0" w:line="183" w:lineRule="exact"/>
              <w:rPr>
                <w:sz w:val="20"/>
                <w:szCs w:val="20"/>
                <w:color w:val="auto"/>
              </w:rPr>
            </w:pPr>
            <w:r>
              <w:rPr>
                <w:rFonts w:ascii="Arial" w:cs="Arial" w:eastAsia="Arial" w:hAnsi="Arial"/>
                <w:sz w:val="16"/>
                <w:szCs w:val="16"/>
                <w:b w:val="1"/>
                <w:bCs w:val="1"/>
                <w:color w:val="auto"/>
              </w:rPr>
              <w:t>2028</w:t>
            </w:r>
          </w:p>
        </w:tc>
        <w:tc>
          <w:tcPr>
            <w:tcW w:w="3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19"/>
              <w:spacing w:after="0" w:line="183" w:lineRule="exact"/>
              <w:rPr>
                <w:sz w:val="20"/>
                <w:szCs w:val="20"/>
                <w:color w:val="auto"/>
              </w:rPr>
            </w:pPr>
            <w:r>
              <w:rPr>
                <w:rFonts w:ascii="Arial" w:cs="Arial" w:eastAsia="Arial" w:hAnsi="Arial"/>
                <w:sz w:val="16"/>
                <w:szCs w:val="16"/>
                <w:b w:val="1"/>
                <w:bCs w:val="1"/>
                <w:color w:val="auto"/>
              </w:rPr>
              <w:t>2029</w:t>
            </w: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b w:val="1"/>
                <w:bCs w:val="1"/>
                <w:color w:val="auto"/>
              </w:rPr>
              <w:t>Thereafter</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9"/>
              <w:spacing w:after="0" w:line="183" w:lineRule="exact"/>
              <w:rPr>
                <w:sz w:val="20"/>
                <w:szCs w:val="20"/>
                <w:color w:val="auto"/>
              </w:rPr>
            </w:pPr>
            <w:r>
              <w:rPr>
                <w:rFonts w:ascii="Arial" w:cs="Arial" w:eastAsia="Arial" w:hAnsi="Arial"/>
                <w:sz w:val="16"/>
                <w:szCs w:val="16"/>
                <w:b w:val="1"/>
                <w:bCs w:val="1"/>
                <w:color w:val="auto"/>
              </w:rPr>
              <w:t>Total</w:t>
            </w:r>
          </w:p>
        </w:tc>
      </w:tr>
      <w:tr>
        <w:trPr>
          <w:trHeight w:val="183"/>
        </w:trPr>
        <w:tc>
          <w:tcPr>
            <w:tcW w:w="29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79"/>
              <w:spacing w:after="0" w:line="183" w:lineRule="exact"/>
              <w:rPr>
                <w:sz w:val="20"/>
                <w:szCs w:val="20"/>
                <w:color w:val="auto"/>
              </w:rPr>
            </w:pPr>
            <w:r>
              <w:rPr>
                <w:rFonts w:ascii="Arial" w:cs="Arial" w:eastAsia="Arial" w:hAnsi="Arial"/>
                <w:sz w:val="16"/>
                <w:szCs w:val="16"/>
                <w:color w:val="auto"/>
              </w:rPr>
              <w:t>(in millions)</w:t>
            </w:r>
          </w:p>
        </w:tc>
        <w:tc>
          <w:tcPr>
            <w:tcW w:w="3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142"/>
        </w:trPr>
        <w:tc>
          <w:tcPr>
            <w:tcW w:w="2920" w:type="dxa"/>
            <w:vAlign w:val="bottom"/>
            <w:shd w:val="clear" w:color="auto" w:fill="CFF0FC"/>
          </w:tcPr>
          <w:p>
            <w:pPr>
              <w:ind w:left="20"/>
              <w:spacing w:after="0" w:line="142" w:lineRule="exact"/>
              <w:rPr>
                <w:sz w:val="20"/>
                <w:szCs w:val="20"/>
                <w:color w:val="auto"/>
              </w:rPr>
            </w:pPr>
            <w:r>
              <w:rPr>
                <w:rFonts w:ascii="Arial" w:cs="Arial" w:eastAsia="Arial" w:hAnsi="Arial"/>
                <w:sz w:val="16"/>
                <w:szCs w:val="16"/>
                <w:color w:val="auto"/>
              </w:rPr>
              <w:t>Principal payments on Long-term debt</w:t>
            </w:r>
          </w:p>
        </w:tc>
        <w:tc>
          <w:tcPr>
            <w:tcW w:w="2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r>
      <w:tr>
        <w:trPr>
          <w:trHeight w:val="229"/>
        </w:trPr>
        <w:tc>
          <w:tcPr>
            <w:tcW w:w="2920" w:type="dxa"/>
            <w:vAlign w:val="bottom"/>
            <w:shd w:val="clear" w:color="auto" w:fill="CFF0FC"/>
          </w:tcPr>
          <w:p>
            <w:pPr>
              <w:ind w:left="20"/>
              <w:spacing w:after="0" w:line="230" w:lineRule="exact"/>
              <w:rPr>
                <w:sz w:val="20"/>
                <w:szCs w:val="20"/>
                <w:color w:val="auto"/>
              </w:rPr>
            </w:pPr>
            <w:r>
              <w:rPr>
                <w:rFonts w:ascii="Arial" w:cs="Arial" w:eastAsia="Arial" w:hAnsi="Arial"/>
                <w:sz w:val="16"/>
                <w:szCs w:val="16"/>
                <w:color w:val="auto"/>
              </w:rPr>
              <w:t xml:space="preserve">including current maturities </w:t>
            </w:r>
            <w:r>
              <w:rPr>
                <w:rFonts w:ascii="Arial" w:cs="Arial" w:eastAsia="Arial" w:hAnsi="Arial"/>
                <w:sz w:val="21"/>
                <w:szCs w:val="21"/>
                <w:color w:val="auto"/>
                <w:vertAlign w:val="superscript"/>
              </w:rPr>
              <w:t>(a)</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  $</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300.0</w:t>
            </w:r>
          </w:p>
        </w:tc>
        <w:tc>
          <w:tcPr>
            <w:tcW w:w="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410.0</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350.0</w:t>
            </w:r>
          </w:p>
        </w:tc>
        <w:tc>
          <w:tcPr>
            <w:tcW w:w="38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400.0</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2,825.0</w:t>
            </w:r>
          </w:p>
        </w:tc>
        <w:tc>
          <w:tcPr>
            <w:tcW w:w="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4,285.0</w:t>
            </w:r>
          </w:p>
        </w:tc>
      </w:tr>
      <w:tr>
        <w:trPr>
          <w:trHeight w:val="290"/>
        </w:trPr>
        <w:tc>
          <w:tcPr>
            <w:tcW w:w="2920" w:type="dxa"/>
            <w:vAlign w:val="bottom"/>
          </w:tcPr>
          <w:p>
            <w:pPr>
              <w:ind w:left="20"/>
              <w:spacing w:after="0"/>
              <w:rPr>
                <w:sz w:val="20"/>
                <w:szCs w:val="20"/>
                <w:color w:val="auto"/>
              </w:rPr>
            </w:pPr>
            <w:r>
              <w:rPr>
                <w:rFonts w:ascii="Arial" w:cs="Arial" w:eastAsia="Arial" w:hAnsi="Arial"/>
                <w:sz w:val="16"/>
                <w:szCs w:val="16"/>
                <w:color w:val="auto"/>
              </w:rPr>
              <w:t xml:space="preserve">Interest payments on Long-term debt </w:t>
            </w:r>
            <w:r>
              <w:rPr>
                <w:rFonts w:ascii="Arial" w:cs="Arial" w:eastAsia="Arial" w:hAnsi="Arial"/>
                <w:sz w:val="21"/>
                <w:szCs w:val="21"/>
                <w:color w:val="auto"/>
                <w:vertAlign w:val="superscript"/>
              </w:rPr>
              <w:t>(a)</w:t>
            </w:r>
          </w:p>
        </w:tc>
        <w:tc>
          <w:tcPr>
            <w:tcW w:w="240" w:type="dxa"/>
            <w:vAlign w:val="bottom"/>
          </w:tcPr>
          <w:p>
            <w:pPr>
              <w:spacing w:after="0"/>
              <w:rPr>
                <w:sz w:val="24"/>
                <w:szCs w:val="24"/>
                <w:color w:val="auto"/>
              </w:rPr>
            </w:pPr>
          </w:p>
        </w:tc>
        <w:tc>
          <w:tcPr>
            <w:tcW w:w="1180" w:type="dxa"/>
            <w:vAlign w:val="bottom"/>
          </w:tcPr>
          <w:p>
            <w:pPr>
              <w:jc w:val="right"/>
              <w:ind w:right="279"/>
              <w:spacing w:after="0"/>
              <w:rPr>
                <w:sz w:val="20"/>
                <w:szCs w:val="20"/>
                <w:color w:val="auto"/>
              </w:rPr>
            </w:pPr>
            <w:r>
              <w:rPr>
                <w:rFonts w:ascii="Arial" w:cs="Arial" w:eastAsia="Arial" w:hAnsi="Arial"/>
                <w:sz w:val="16"/>
                <w:szCs w:val="16"/>
                <w:color w:val="auto"/>
              </w:rPr>
              <w:t>199.5</w:t>
            </w:r>
          </w:p>
        </w:tc>
        <w:tc>
          <w:tcPr>
            <w:tcW w:w="900" w:type="dxa"/>
            <w:vAlign w:val="bottom"/>
          </w:tcPr>
          <w:p>
            <w:pPr>
              <w:jc w:val="right"/>
              <w:spacing w:after="0"/>
              <w:rPr>
                <w:sz w:val="20"/>
                <w:szCs w:val="20"/>
                <w:color w:val="auto"/>
              </w:rPr>
            </w:pPr>
            <w:r>
              <w:rPr>
                <w:rFonts w:ascii="Arial" w:cs="Arial" w:eastAsia="Arial" w:hAnsi="Arial"/>
                <w:sz w:val="16"/>
                <w:szCs w:val="16"/>
                <w:color w:val="auto"/>
              </w:rPr>
              <w:t>189.2</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176.6</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159.9</w:t>
            </w:r>
          </w:p>
        </w:tc>
        <w:tc>
          <w:tcPr>
            <w:tcW w:w="3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149.4</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1,078.3</w:t>
            </w:r>
          </w:p>
        </w:tc>
        <w:tc>
          <w:tcPr>
            <w:tcW w:w="280" w:type="dxa"/>
            <w:vAlign w:val="bottom"/>
          </w:tcPr>
          <w:p>
            <w:pPr>
              <w:spacing w:after="0"/>
              <w:rPr>
                <w:sz w:val="24"/>
                <w:szCs w:val="24"/>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1,952.9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190309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59" w:lineRule="exact"/>
        <w:rPr>
          <w:sz w:val="20"/>
          <w:szCs w:val="20"/>
          <w:color w:val="auto"/>
        </w:rPr>
      </w:pPr>
    </w:p>
    <w:p>
      <w:pPr>
        <w:ind w:left="520" w:right="100" w:hanging="512"/>
        <w:spacing w:after="0" w:line="285" w:lineRule="auto"/>
        <w:tabs>
          <w:tab w:leader="none" w:pos="5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Long-term debt amounts do not include deferred financing costs or discounts or premiums on debt. Estimated interest payments on variable rate debt are calculated by utilizing the applicable rates as of December 31, 2024.</w:t>
      </w:r>
    </w:p>
    <w:p>
      <w:pPr>
        <w:spacing w:after="0" w:line="126"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We believe it is probable that we will be able to successfully re-finance our $300 million, 3.95%, senior unsecured notes due on January 15, 2026, at or before maturity date.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Debt Transactions</w:t>
      </w:r>
    </w:p>
    <w:p>
      <w:pPr>
        <w:spacing w:after="0" w:line="194" w:lineRule="exact"/>
        <w:rPr>
          <w:sz w:val="20"/>
          <w:szCs w:val="20"/>
          <w:color w:val="auto"/>
        </w:rPr>
      </w:pPr>
    </w:p>
    <w:p>
      <w:pPr>
        <w:ind w:right="320"/>
        <w:spacing w:after="0" w:line="259" w:lineRule="auto"/>
        <w:rPr>
          <w:sz w:val="20"/>
          <w:szCs w:val="20"/>
          <w:color w:val="auto"/>
        </w:rPr>
      </w:pPr>
      <w:r>
        <w:rPr>
          <w:rFonts w:ascii="Arial" w:cs="Arial" w:eastAsia="Arial" w:hAnsi="Arial"/>
          <w:sz w:val="16"/>
          <w:szCs w:val="16"/>
          <w:color w:val="auto"/>
        </w:rPr>
        <w:t>On May 16, 2024, we completed a public debt offering of $450 million, 6.00% senior unsecured notes due January 15, 2035. Proceeds from the offering, which were net of $5.2 million of deferred financing costs, along with available cash and short-term borrowings under our existing facilities were used to repay all $600 million principal amount outstanding of our 1.04% senior unsecured notes on their August 23, 2024, maturity date and for other general corporate purposes.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Covenants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Revolving Credit Facility</w:t>
      </w:r>
    </w:p>
    <w:p>
      <w:pPr>
        <w:spacing w:after="0" w:line="194"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We were in compliance with all of our Revolving Credit Facility covenants as of December 31, 2024. We are required to maintain a Consolidated Indebtedness to Capitalization Ratio not to exceed 0.65 to 1.00. Subject to applicable cure periods, a violation of this covenant would constitute an event of default that entitles the lenders to terminate their remaining commitments and accelerate all principal and interest outstanding. As of December 31, 2024, our Consolidated Indebtedness to Capitalization Ratio was 0.56 to 1.00.</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Wyoming Electric</w:t>
      </w:r>
    </w:p>
    <w:p>
      <w:pPr>
        <w:spacing w:after="0" w:line="19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Wyoming Electric was in compliance with all covenants within its financing agreements as of December 31, 2024. Wyoming Electric is required to maintain a debt to capitalization ratio of no more than 0.60 to 1.00. As of December 31, 2024, Wyoming Electric's debt to capitalization ratio was 0.51 to 1.00.</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 Restrictions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Our Revolving Credit Facility and other debt obligations contain restrictions on the payment of cash dividends when a default or event of default occurs.</w:t>
      </w:r>
    </w:p>
    <w:p>
      <w:pPr>
        <w:spacing w:after="0" w:line="194"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Due to our holding company structure, substantially all of our operating cash flows are provided by dividends paid or distributions made by our subsidiaries. The cash to pay dividends to our shareholders is derived from these cash flows. As a result, certain statutory limitations or regulatory or financing agreements could affect the levels of distributions allowed to be made by our subsidiaries.</w:t>
      </w:r>
    </w:p>
    <w:p>
      <w:pPr>
        <w:spacing w:after="0" w:line="144"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Our Utilities are generally limited to the amount of dividends allowed to be paid to our utility holding company under the Federal Power Act and settlement agreements with state regulatory jurisdictions. As of December 31, 2024, the amount of restricted net assets at our Utilities that may not be distributed to our utility holding company in the form of a loan or dividend was approximately $152.2 million.</w:t>
      </w:r>
    </w:p>
    <w:p>
      <w:pPr>
        <w:spacing w:after="0" w:line="144"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South Dakota Electric and Wyoming Electric are generally limited to the amount of dividends allowed to be paid to our utility holding company under certain financing agreements.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w:t>
      </w:r>
    </w:p>
    <w:p>
      <w:pPr>
        <w:spacing w:after="0" w:line="194"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Although our aforementioned shelf registration statement does not limit our issuance capacity, our ability to issue securities is limited to the authority granted by our Board of Directors, certain covenants in our financing arrangements and restrictions imposed by federal and state regulatory authorities. Our articles of incorporation authorize the issuance of 100 million shares of common stock and 25 million shares of preferred stock. As of December 31, 2024, we had 71.7 million shares of common stock outstanding and no shares of preferred stock outstanding.</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At-the-Market Equity Offering Program</w:t>
      </w:r>
    </w:p>
    <w:p>
      <w:pPr>
        <w:spacing w:after="0" w:line="194"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On June 16, 2023, we entered into a new Equity Distribution Sales Agreement which allows us to sell shares of common stock up to an aggregate of $400 million, from time to time, through our ATM program utilizing our shelf registration statement. On June 16, 2023, we also terminated our August 4, 2020, Equity Distribution Sales Agreement, which had similar terms and conditions to our new agreement.</w:t>
      </w:r>
    </w:p>
    <w:p>
      <w:pPr>
        <w:spacing w:after="0" w:line="144"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6600" w:type="dxa"/>
            <w:vAlign w:val="bottom"/>
            <w:gridSpan w:val="3"/>
          </w:tcPr>
          <w:p>
            <w:pPr>
              <w:spacing w:after="0"/>
              <w:rPr>
                <w:sz w:val="20"/>
                <w:szCs w:val="20"/>
                <w:color w:val="auto"/>
              </w:rPr>
            </w:pPr>
            <w:r>
              <w:rPr>
                <w:rFonts w:ascii="Arial" w:cs="Arial" w:eastAsia="Arial" w:hAnsi="Arial"/>
                <w:sz w:val="16"/>
                <w:szCs w:val="16"/>
                <w:color w:val="auto"/>
              </w:rPr>
              <w:t>ATM activity for the years ended December 31 was as follows: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52"/>
        </w:trPr>
        <w:tc>
          <w:tcPr>
            <w:tcW w:w="2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ind w:right="179"/>
              <w:spacing w:after="0"/>
              <w:rPr>
                <w:sz w:val="20"/>
                <w:szCs w:val="20"/>
                <w:color w:val="auto"/>
              </w:rPr>
            </w:pPr>
            <w:r>
              <w:rPr>
                <w:rFonts w:ascii="Arial" w:cs="Arial" w:eastAsia="Arial" w:hAnsi="Arial"/>
                <w:sz w:val="16"/>
                <w:szCs w:val="16"/>
                <w:b w:val="1"/>
                <w:bCs w:val="1"/>
                <w:color w:val="auto"/>
              </w:rPr>
              <w:t>December 31,</w:t>
            </w:r>
          </w:p>
        </w:tc>
        <w:tc>
          <w:tcPr>
            <w:tcW w:w="200" w:type="dxa"/>
            <w:vAlign w:val="bottom"/>
          </w:tcPr>
          <w:p>
            <w:pPr>
              <w:spacing w:after="0"/>
              <w:rPr>
                <w:sz w:val="24"/>
                <w:szCs w:val="24"/>
                <w:color w:val="auto"/>
              </w:rPr>
            </w:pPr>
          </w:p>
        </w:tc>
        <w:tc>
          <w:tcPr>
            <w:tcW w:w="1340" w:type="dxa"/>
            <w:vAlign w:val="bottom"/>
          </w:tcPr>
          <w:p>
            <w:pPr>
              <w:jc w:val="center"/>
              <w:ind w:right="159"/>
              <w:spacing w:after="0"/>
              <w:rPr>
                <w:sz w:val="20"/>
                <w:szCs w:val="20"/>
                <w:color w:val="auto"/>
              </w:rPr>
            </w:pPr>
            <w:r>
              <w:rPr>
                <w:rFonts w:ascii="Arial" w:cs="Arial" w:eastAsia="Arial" w:hAnsi="Arial"/>
                <w:sz w:val="16"/>
                <w:szCs w:val="16"/>
                <w:b w:val="1"/>
                <w:bCs w:val="1"/>
                <w:color w:val="auto"/>
              </w:rPr>
              <w:t>December 31,</w:t>
            </w:r>
          </w:p>
        </w:tc>
        <w:tc>
          <w:tcPr>
            <w:tcW w:w="200" w:type="dxa"/>
            <w:vAlign w:val="bottom"/>
          </w:tcPr>
          <w:p>
            <w:pPr>
              <w:spacing w:after="0"/>
              <w:rPr>
                <w:sz w:val="24"/>
                <w:szCs w:val="24"/>
                <w:color w:val="auto"/>
              </w:rPr>
            </w:pPr>
          </w:p>
        </w:tc>
        <w:tc>
          <w:tcPr>
            <w:tcW w:w="1420" w:type="dxa"/>
            <w:vAlign w:val="bottom"/>
          </w:tcPr>
          <w:p>
            <w:pPr>
              <w:jc w:val="right"/>
              <w:ind w:right="259"/>
              <w:spacing w:after="0"/>
              <w:rPr>
                <w:sz w:val="20"/>
                <w:szCs w:val="20"/>
                <w:color w:val="auto"/>
              </w:rPr>
            </w:pPr>
            <w:r>
              <w:rPr>
                <w:rFonts w:ascii="Arial" w:cs="Arial" w:eastAsia="Arial" w:hAnsi="Arial"/>
                <w:sz w:val="16"/>
                <w:szCs w:val="16"/>
                <w:b w:val="1"/>
                <w:bCs w:val="1"/>
                <w:color w:val="auto"/>
              </w:rPr>
              <w:t>December 31,</w:t>
            </w:r>
          </w:p>
        </w:tc>
      </w:tr>
      <w:tr>
        <w:trPr>
          <w:trHeight w:val="203"/>
        </w:trPr>
        <w:tc>
          <w:tcPr>
            <w:tcW w:w="2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2023</w:t>
            </w: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r>
      <w:tr>
        <w:trPr>
          <w:trHeight w:val="183"/>
        </w:trPr>
        <w:tc>
          <w:tcPr>
            <w:tcW w:w="2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500" w:type="dxa"/>
            <w:vAlign w:val="bottom"/>
            <w:tcBorders>
              <w:bottom w:val="single" w:sz="8" w:color="auto"/>
            </w:tcBorders>
            <w:gridSpan w:val="5"/>
          </w:tcPr>
          <w:p>
            <w:pPr>
              <w:jc w:val="center"/>
              <w:ind w:right="199"/>
              <w:spacing w:after="0" w:line="183" w:lineRule="exact"/>
              <w:rPr>
                <w:sz w:val="20"/>
                <w:szCs w:val="20"/>
                <w:color w:val="auto"/>
              </w:rPr>
            </w:pPr>
            <w:r>
              <w:rPr>
                <w:rFonts w:ascii="Arial" w:cs="Arial" w:eastAsia="Arial" w:hAnsi="Arial"/>
                <w:sz w:val="16"/>
                <w:szCs w:val="16"/>
                <w:color w:val="auto"/>
              </w:rPr>
              <w:t>(in millions, except per share amounts)</w:t>
            </w:r>
          </w:p>
        </w:tc>
      </w:tr>
      <w:tr>
        <w:trPr>
          <w:trHeight w:val="155"/>
        </w:trPr>
        <w:tc>
          <w:tcPr>
            <w:tcW w:w="6600" w:type="dxa"/>
            <w:vAlign w:val="bottom"/>
            <w:tcBorders>
              <w:left w:val="single" w:sz="8" w:color="CFF0FC"/>
            </w:tcBorders>
            <w:gridSpan w:val="3"/>
            <w:shd w:val="clear" w:color="auto" w:fill="CFF0FC"/>
          </w:tcPr>
          <w:p>
            <w:pPr>
              <w:ind w:left="20"/>
              <w:spacing w:after="0" w:line="155" w:lineRule="exact"/>
              <w:rPr>
                <w:sz w:val="20"/>
                <w:szCs w:val="20"/>
                <w:color w:val="auto"/>
              </w:rPr>
            </w:pPr>
            <w:r>
              <w:rPr>
                <w:rFonts w:ascii="Arial" w:cs="Arial" w:eastAsia="Arial" w:hAnsi="Arial"/>
                <w:sz w:val="16"/>
                <w:szCs w:val="16"/>
                <w:i w:val="1"/>
                <w:iCs w:val="1"/>
                <w:color w:val="auto"/>
              </w:rPr>
              <w:t>August 4, 2020 ATM Program</w:t>
            </w:r>
          </w:p>
        </w:tc>
        <w:tc>
          <w:tcPr>
            <w:tcW w:w="14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r>
      <w:tr>
        <w:trPr>
          <w:trHeight w:val="27"/>
        </w:trPr>
        <w:tc>
          <w:tcPr>
            <w:tcW w:w="2160" w:type="dxa"/>
            <w:vAlign w:val="bottom"/>
            <w:tcBorders>
              <w:left w:val="single" w:sz="8" w:color="CFF0FC"/>
              <w:right w:val="single" w:sz="8" w:color="auto"/>
            </w:tcBorders>
            <w:shd w:val="clear" w:color="auto" w:fill="000000"/>
          </w:tcPr>
          <w:p>
            <w:pPr>
              <w:spacing w:after="0"/>
              <w:rPr>
                <w:sz w:val="2"/>
                <w:szCs w:val="2"/>
                <w:color w:val="auto"/>
              </w:rPr>
            </w:pPr>
          </w:p>
        </w:tc>
        <w:tc>
          <w:tcPr>
            <w:tcW w:w="720" w:type="dxa"/>
            <w:vAlign w:val="bottom"/>
            <w:shd w:val="clear" w:color="auto" w:fill="CFF0FC"/>
          </w:tcPr>
          <w:p>
            <w:pPr>
              <w:spacing w:after="0"/>
              <w:rPr>
                <w:sz w:val="2"/>
                <w:szCs w:val="2"/>
                <w:color w:val="auto"/>
              </w:rPr>
            </w:pPr>
          </w:p>
        </w:tc>
        <w:tc>
          <w:tcPr>
            <w:tcW w:w="372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34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34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420" w:type="dxa"/>
            <w:vAlign w:val="bottom"/>
            <w:shd w:val="clear" w:color="auto" w:fill="CFF0FC"/>
          </w:tcPr>
          <w:p>
            <w:pPr>
              <w:spacing w:after="0"/>
              <w:rPr>
                <w:sz w:val="2"/>
                <w:szCs w:val="2"/>
                <w:color w:val="auto"/>
              </w:rPr>
            </w:pPr>
          </w:p>
        </w:tc>
      </w:tr>
      <w:tr>
        <w:trPr>
          <w:trHeight w:val="189"/>
        </w:trPr>
        <w:tc>
          <w:tcPr>
            <w:tcW w:w="6600" w:type="dxa"/>
            <w:vAlign w:val="bottom"/>
            <w:gridSpan w:val="3"/>
          </w:tcPr>
          <w:p>
            <w:pPr>
              <w:ind w:left="20"/>
              <w:spacing w:after="0"/>
              <w:rPr>
                <w:sz w:val="20"/>
                <w:szCs w:val="20"/>
                <w:color w:val="auto"/>
              </w:rPr>
            </w:pPr>
            <w:r>
              <w:rPr>
                <w:rFonts w:ascii="Arial" w:cs="Arial" w:eastAsia="Arial" w:hAnsi="Arial"/>
                <w:sz w:val="16"/>
                <w:szCs w:val="16"/>
                <w:color w:val="auto"/>
              </w:rPr>
              <w:t>Proceeds, (net of issuance costs of $0.0, $(0.5), and $(0.9), respectively)</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48.5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90.3</w:t>
            </w:r>
          </w:p>
        </w:tc>
      </w:tr>
      <w:tr>
        <w:trPr>
          <w:trHeight w:val="189"/>
        </w:trPr>
        <w:tc>
          <w:tcPr>
            <w:tcW w:w="6600" w:type="dxa"/>
            <w:vAlign w:val="bottom"/>
            <w:tcBorders>
              <w:left w:val="single" w:sz="8" w:color="CFF0FC"/>
            </w:tcBorders>
            <w:gridSpan w:val="3"/>
            <w:shd w:val="clear" w:color="auto" w:fill="CFF0FC"/>
          </w:tcPr>
          <w:p>
            <w:pPr>
              <w:ind w:left="20"/>
              <w:spacing w:after="0"/>
              <w:rPr>
                <w:sz w:val="20"/>
                <w:szCs w:val="20"/>
                <w:color w:val="auto"/>
              </w:rPr>
            </w:pPr>
            <w:r>
              <w:rPr>
                <w:rFonts w:ascii="Arial" w:cs="Arial" w:eastAsia="Arial" w:hAnsi="Arial"/>
                <w:sz w:val="16"/>
                <w:szCs w:val="16"/>
                <w:color w:val="auto"/>
              </w:rPr>
              <w:t>Number of shares issued</w:t>
            </w: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0.8</w:t>
            </w:r>
          </w:p>
        </w:tc>
        <w:tc>
          <w:tcPr>
            <w:tcW w:w="200" w:type="dxa"/>
            <w:vAlign w:val="bottom"/>
            <w:shd w:val="clear" w:color="auto" w:fill="CFF0FC"/>
          </w:tcPr>
          <w:p>
            <w:pPr>
              <w:spacing w:after="0"/>
              <w:rPr>
                <w:sz w:val="16"/>
                <w:szCs w:val="16"/>
                <w:color w:val="auto"/>
              </w:rPr>
            </w:pPr>
          </w:p>
        </w:tc>
        <w:tc>
          <w:tcPr>
            <w:tcW w:w="14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1.3</w:t>
            </w:r>
          </w:p>
        </w:tc>
      </w:tr>
      <w:tr>
        <w:trPr>
          <w:trHeight w:val="189"/>
        </w:trPr>
        <w:tc>
          <w:tcPr>
            <w:tcW w:w="2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62"/>
        </w:trPr>
        <w:tc>
          <w:tcPr>
            <w:tcW w:w="6600" w:type="dxa"/>
            <w:vAlign w:val="bottom"/>
            <w:tcBorders>
              <w:left w:val="single" w:sz="8" w:color="CFF0FC"/>
            </w:tcBorders>
            <w:gridSpan w:val="3"/>
            <w:shd w:val="clear" w:color="auto" w:fill="CFF0FC"/>
          </w:tcPr>
          <w:p>
            <w:pPr>
              <w:ind w:left="20"/>
              <w:spacing w:after="0" w:line="162" w:lineRule="exact"/>
              <w:rPr>
                <w:sz w:val="20"/>
                <w:szCs w:val="20"/>
                <w:color w:val="auto"/>
              </w:rPr>
            </w:pPr>
            <w:r>
              <w:rPr>
                <w:rFonts w:ascii="Arial" w:cs="Arial" w:eastAsia="Arial" w:hAnsi="Arial"/>
                <w:sz w:val="16"/>
                <w:szCs w:val="16"/>
                <w:i w:val="1"/>
                <w:iCs w:val="1"/>
                <w:color w:val="auto"/>
              </w:rPr>
              <w:t>June 16, 2023 ATM Program</w:t>
            </w:r>
          </w:p>
        </w:tc>
        <w:tc>
          <w:tcPr>
            <w:tcW w:w="14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r>
      <w:tr>
        <w:trPr>
          <w:trHeight w:val="27"/>
        </w:trPr>
        <w:tc>
          <w:tcPr>
            <w:tcW w:w="2160" w:type="dxa"/>
            <w:vAlign w:val="bottom"/>
            <w:tcBorders>
              <w:left w:val="single" w:sz="8" w:color="CFF0FC"/>
              <w:right w:val="single" w:sz="8" w:color="CFF0FC"/>
            </w:tcBorders>
            <w:shd w:val="clear" w:color="auto" w:fill="000000"/>
          </w:tcPr>
          <w:p>
            <w:pPr>
              <w:spacing w:after="0"/>
              <w:rPr>
                <w:sz w:val="2"/>
                <w:szCs w:val="2"/>
                <w:color w:val="auto"/>
              </w:rPr>
            </w:pPr>
          </w:p>
        </w:tc>
        <w:tc>
          <w:tcPr>
            <w:tcW w:w="720" w:type="dxa"/>
            <w:vAlign w:val="bottom"/>
            <w:shd w:val="clear" w:color="auto" w:fill="CFF0FC"/>
          </w:tcPr>
          <w:p>
            <w:pPr>
              <w:spacing w:after="0"/>
              <w:rPr>
                <w:sz w:val="2"/>
                <w:szCs w:val="2"/>
                <w:color w:val="auto"/>
              </w:rPr>
            </w:pPr>
          </w:p>
        </w:tc>
        <w:tc>
          <w:tcPr>
            <w:tcW w:w="372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34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34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420" w:type="dxa"/>
            <w:vAlign w:val="bottom"/>
            <w:shd w:val="clear" w:color="auto" w:fill="CFF0FC"/>
          </w:tcPr>
          <w:p>
            <w:pPr>
              <w:spacing w:after="0"/>
              <w:rPr>
                <w:sz w:val="2"/>
                <w:szCs w:val="2"/>
                <w:color w:val="auto"/>
              </w:rPr>
            </w:pPr>
          </w:p>
        </w:tc>
      </w:tr>
      <w:tr>
        <w:trPr>
          <w:trHeight w:val="189"/>
        </w:trPr>
        <w:tc>
          <w:tcPr>
            <w:tcW w:w="6600" w:type="dxa"/>
            <w:vAlign w:val="bottom"/>
            <w:gridSpan w:val="3"/>
          </w:tcPr>
          <w:p>
            <w:pPr>
              <w:ind w:left="20"/>
              <w:spacing w:after="0"/>
              <w:rPr>
                <w:sz w:val="20"/>
                <w:szCs w:val="20"/>
                <w:color w:val="auto"/>
              </w:rPr>
            </w:pPr>
            <w:r>
              <w:rPr>
                <w:rFonts w:ascii="Arial" w:cs="Arial" w:eastAsia="Arial" w:hAnsi="Arial"/>
                <w:sz w:val="16"/>
                <w:szCs w:val="16"/>
                <w:color w:val="auto"/>
              </w:rPr>
              <w:t>Proceeds, (net of issuance costs of $(1.8), $(0.7), and $0, respectively</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181.6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70.2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189"/>
        </w:trPr>
        <w:tc>
          <w:tcPr>
            <w:tcW w:w="6600" w:type="dxa"/>
            <w:vAlign w:val="bottom"/>
            <w:tcBorders>
              <w:left w:val="single" w:sz="8" w:color="CFF0FC"/>
            </w:tcBorders>
            <w:gridSpan w:val="3"/>
            <w:shd w:val="clear" w:color="auto" w:fill="CFF0FC"/>
          </w:tcPr>
          <w:p>
            <w:pPr>
              <w:ind w:left="20"/>
              <w:spacing w:after="0"/>
              <w:rPr>
                <w:sz w:val="20"/>
                <w:szCs w:val="20"/>
                <w:color w:val="auto"/>
              </w:rPr>
            </w:pPr>
            <w:r>
              <w:rPr>
                <w:rFonts w:ascii="Arial" w:cs="Arial" w:eastAsia="Arial" w:hAnsi="Arial"/>
                <w:sz w:val="16"/>
                <w:szCs w:val="16"/>
                <w:color w:val="auto"/>
              </w:rPr>
              <w:t>Number of shares issued</w:t>
            </w: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20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200" w:type="dxa"/>
            <w:vAlign w:val="bottom"/>
            <w:shd w:val="clear" w:color="auto" w:fill="CFF0FC"/>
          </w:tcPr>
          <w:p>
            <w:pPr>
              <w:spacing w:after="0"/>
              <w:rPr>
                <w:sz w:val="16"/>
                <w:szCs w:val="16"/>
                <w:color w:val="auto"/>
              </w:rPr>
            </w:pPr>
          </w:p>
        </w:tc>
        <w:tc>
          <w:tcPr>
            <w:tcW w:w="14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r>
      <w:tr>
        <w:trPr>
          <w:trHeight w:val="189"/>
        </w:trPr>
        <w:tc>
          <w:tcPr>
            <w:tcW w:w="2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69"/>
        </w:trPr>
        <w:tc>
          <w:tcPr>
            <w:tcW w:w="2880" w:type="dxa"/>
            <w:vAlign w:val="bottom"/>
            <w:tcBorders>
              <w:left w:val="single" w:sz="8" w:color="CFF0FC"/>
              <w:bottom w:val="single" w:sz="8" w:color="auto"/>
            </w:tcBorders>
            <w:gridSpan w:val="2"/>
            <w:shd w:val="clear" w:color="auto" w:fill="CFF0FC"/>
          </w:tcPr>
          <w:p>
            <w:pPr>
              <w:ind w:left="20"/>
              <w:spacing w:after="0" w:line="162" w:lineRule="exact"/>
              <w:rPr>
                <w:sz w:val="20"/>
                <w:szCs w:val="20"/>
                <w:color w:val="auto"/>
              </w:rPr>
            </w:pPr>
            <w:r>
              <w:rPr>
                <w:rFonts w:ascii="Arial" w:cs="Arial" w:eastAsia="Arial" w:hAnsi="Arial"/>
                <w:sz w:val="16"/>
                <w:szCs w:val="16"/>
                <w:i w:val="1"/>
                <w:iCs w:val="1"/>
                <w:color w:val="auto"/>
              </w:rPr>
              <w:t>Total activity under both ATM Programs</w:t>
            </w:r>
          </w:p>
        </w:tc>
        <w:tc>
          <w:tcPr>
            <w:tcW w:w="37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34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134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1420" w:type="dxa"/>
            <w:vAlign w:val="bottom"/>
            <w:tcBorders>
              <w:bottom w:val="single" w:sz="8" w:color="CFF0FC"/>
            </w:tcBorders>
            <w:shd w:val="clear" w:color="auto" w:fill="CFF0FC"/>
          </w:tcPr>
          <w:p>
            <w:pPr>
              <w:spacing w:after="0"/>
              <w:rPr>
                <w:sz w:val="14"/>
                <w:szCs w:val="14"/>
                <w:color w:val="auto"/>
              </w:rPr>
            </w:pPr>
          </w:p>
        </w:tc>
      </w:tr>
      <w:tr>
        <w:trPr>
          <w:trHeight w:val="189"/>
        </w:trPr>
        <w:tc>
          <w:tcPr>
            <w:tcW w:w="6600" w:type="dxa"/>
            <w:vAlign w:val="bottom"/>
            <w:gridSpan w:val="3"/>
          </w:tcPr>
          <w:p>
            <w:pPr>
              <w:ind w:left="20"/>
              <w:spacing w:after="0"/>
              <w:rPr>
                <w:sz w:val="20"/>
                <w:szCs w:val="20"/>
                <w:color w:val="auto"/>
              </w:rPr>
            </w:pPr>
            <w:r>
              <w:rPr>
                <w:rFonts w:ascii="Arial" w:cs="Arial" w:eastAsia="Arial" w:hAnsi="Arial"/>
                <w:sz w:val="16"/>
                <w:szCs w:val="16"/>
                <w:color w:val="auto"/>
              </w:rPr>
              <w:t>Proceeds, (net of issuance costs of $(1.8), $(1.2), and $(0.9), respectively)</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181.6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118.7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90.3</w:t>
            </w:r>
          </w:p>
        </w:tc>
      </w:tr>
      <w:tr>
        <w:trPr>
          <w:trHeight w:val="189"/>
        </w:trPr>
        <w:tc>
          <w:tcPr>
            <w:tcW w:w="6600" w:type="dxa"/>
            <w:vAlign w:val="bottom"/>
            <w:tcBorders>
              <w:left w:val="single" w:sz="8" w:color="CFF0FC"/>
            </w:tcBorders>
            <w:gridSpan w:val="3"/>
            <w:shd w:val="clear" w:color="auto" w:fill="CFF0FC"/>
          </w:tcPr>
          <w:p>
            <w:pPr>
              <w:ind w:left="20"/>
              <w:spacing w:after="0"/>
              <w:rPr>
                <w:sz w:val="20"/>
                <w:szCs w:val="20"/>
                <w:color w:val="auto"/>
              </w:rPr>
            </w:pPr>
            <w:r>
              <w:rPr>
                <w:rFonts w:ascii="Arial" w:cs="Arial" w:eastAsia="Arial" w:hAnsi="Arial"/>
                <w:sz w:val="16"/>
                <w:szCs w:val="16"/>
                <w:color w:val="auto"/>
              </w:rPr>
              <w:t>Number of shares issued</w:t>
            </w: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20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200" w:type="dxa"/>
            <w:vAlign w:val="bottom"/>
            <w:shd w:val="clear" w:color="auto" w:fill="CFF0FC"/>
          </w:tcPr>
          <w:p>
            <w:pPr>
              <w:spacing w:after="0"/>
              <w:rPr>
                <w:sz w:val="16"/>
                <w:szCs w:val="16"/>
                <w:color w:val="auto"/>
              </w:rPr>
            </w:pPr>
          </w:p>
        </w:tc>
        <w:tc>
          <w:tcPr>
            <w:tcW w:w="14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1.3</w:t>
            </w:r>
          </w:p>
        </w:tc>
      </w:tr>
      <w:tr>
        <w:trPr>
          <w:trHeight w:val="215"/>
        </w:trPr>
        <w:tc>
          <w:tcPr>
            <w:tcW w:w="6600" w:type="dxa"/>
            <w:vAlign w:val="bottom"/>
            <w:gridSpan w:val="3"/>
          </w:tcPr>
          <w:p>
            <w:pPr>
              <w:ind w:left="20"/>
              <w:spacing w:after="0"/>
              <w:rPr>
                <w:sz w:val="20"/>
                <w:szCs w:val="20"/>
                <w:color w:val="auto"/>
              </w:rPr>
            </w:pPr>
            <w:r>
              <w:rPr>
                <w:rFonts w:ascii="Arial" w:cs="Arial" w:eastAsia="Arial" w:hAnsi="Arial"/>
                <w:sz w:val="16"/>
                <w:szCs w:val="16"/>
                <w:color w:val="auto"/>
              </w:rPr>
              <w:t>Average price per share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55.63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59.04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69.74</w:t>
            </w:r>
          </w:p>
        </w:tc>
      </w:tr>
    </w:tbl>
    <w:p>
      <w:pPr>
        <w:spacing w:after="0" w:line="338" w:lineRule="exact"/>
        <w:rPr>
          <w:sz w:val="20"/>
          <w:szCs w:val="20"/>
          <w:color w:val="auto"/>
        </w:rPr>
      </w:pPr>
    </w:p>
    <w:p>
      <w:pPr>
        <w:ind w:right="7860" w:firstLine="8"/>
        <w:spacing w:after="0" w:line="493" w:lineRule="auto"/>
        <w:tabs>
          <w:tab w:leader="none" w:pos="243" w:val="left"/>
        </w:tabs>
        <w:numPr>
          <w:ilvl w:val="0"/>
          <w:numId w:val="62"/>
        </w:numPr>
        <w:rPr>
          <w:rFonts w:ascii="Arial" w:cs="Arial" w:eastAsia="Arial" w:hAnsi="Arial"/>
          <w:sz w:val="16"/>
          <w:szCs w:val="16"/>
          <w:b w:val="1"/>
          <w:bCs w:val="1"/>
          <w:color w:val="auto"/>
        </w:rPr>
      </w:pPr>
      <w:r>
        <w:rPr>
          <w:rFonts w:ascii="Arial" w:cs="Arial" w:eastAsia="Arial" w:hAnsi="Arial"/>
          <w:sz w:val="16"/>
          <w:szCs w:val="16"/>
          <w:b w:val="1"/>
          <w:bCs w:val="1"/>
          <w:color w:val="auto"/>
        </w:rPr>
        <w:t>RISK MANAGEMENT AND DERIVATIVES Market and Credit Risk Disclosures</w:t>
      </w:r>
    </w:p>
    <w:p>
      <w:pPr>
        <w:ind w:right="40"/>
        <w:spacing w:after="0" w:line="286" w:lineRule="auto"/>
        <w:rPr>
          <w:sz w:val="20"/>
          <w:szCs w:val="20"/>
          <w:color w:val="auto"/>
        </w:rPr>
      </w:pPr>
      <w:r>
        <w:rPr>
          <w:rFonts w:ascii="Arial" w:cs="Arial" w:eastAsia="Arial" w:hAnsi="Arial"/>
          <w:sz w:val="16"/>
          <w:szCs w:val="16"/>
          <w:color w:val="auto"/>
        </w:rPr>
        <w:t>Our activities in the energy industry expose us to a number of risks in the normal operations of our businesses. Depending on the activity, we are exposed to varying degrees of market risk and credit risk.</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Market Risk</w:t>
      </w:r>
    </w:p>
    <w:p>
      <w:pPr>
        <w:spacing w:after="0" w:line="194" w:lineRule="exact"/>
        <w:rPr>
          <w:sz w:val="20"/>
          <w:szCs w:val="20"/>
          <w:color w:val="auto"/>
        </w:rPr>
      </w:pPr>
    </w:p>
    <w:p>
      <w:pPr>
        <w:ind w:right="480"/>
        <w:spacing w:after="0" w:line="286" w:lineRule="auto"/>
        <w:rPr>
          <w:sz w:val="20"/>
          <w:szCs w:val="20"/>
          <w:color w:val="auto"/>
        </w:rPr>
      </w:pPr>
      <w:r>
        <w:rPr>
          <w:rFonts w:ascii="Arial" w:cs="Arial" w:eastAsia="Arial" w:hAnsi="Arial"/>
          <w:sz w:val="16"/>
          <w:szCs w:val="16"/>
          <w:color w:val="auto"/>
        </w:rPr>
        <w:t>Market risk is the potential loss that may occur as a result of an adverse change in market price, rate or supply. We are exposed, but not limited to, the following market risks:</w:t>
      </w:r>
    </w:p>
    <w:p>
      <w:pPr>
        <w:spacing w:after="0" w:line="129" w:lineRule="exact"/>
        <w:rPr>
          <w:sz w:val="20"/>
          <w:szCs w:val="20"/>
          <w:color w:val="auto"/>
        </w:rPr>
      </w:pPr>
    </w:p>
    <w:p>
      <w:pPr>
        <w:ind w:left="1020" w:right="300" w:hanging="503"/>
        <w:spacing w:after="0" w:line="259" w:lineRule="auto"/>
        <w:tabs>
          <w:tab w:leader="none" w:pos="1020" w:val="left"/>
        </w:tabs>
        <w:numPr>
          <w:ilvl w:val="0"/>
          <w:numId w:val="63"/>
        </w:numPr>
        <w:rPr>
          <w:rFonts w:ascii="Times New Roman" w:cs="Times New Roman" w:eastAsia="Times New Roman" w:hAnsi="Times New Roman"/>
          <w:sz w:val="16"/>
          <w:szCs w:val="16"/>
          <w:color w:val="auto"/>
        </w:rPr>
      </w:pPr>
      <w:r>
        <w:rPr>
          <w:rFonts w:ascii="Arial" w:cs="Arial" w:eastAsia="Arial" w:hAnsi="Arial"/>
          <w:sz w:val="16"/>
          <w:szCs w:val="16"/>
          <w:color w:val="auto"/>
        </w:rPr>
        <w:t>Commodity price risk associated with our retail natural gas and wholesale electric power marketing activities and our fuel procurement for several of our gas-fired generation assets, which include market fluctuations due to unpredictable factors such as weather, wildfires, geopolitical events, pandemics, market speculation, recession, inflation, pipeline constraints, and other factors that may impact natural gas and electric supply and demand; and</w:t>
      </w:r>
    </w:p>
    <w:p>
      <w:pPr>
        <w:spacing w:after="0" w:line="150"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63"/>
        </w:numPr>
        <w:rPr>
          <w:rFonts w:ascii="Times New Roman" w:cs="Times New Roman" w:eastAsia="Times New Roman" w:hAnsi="Times New Roman"/>
          <w:sz w:val="16"/>
          <w:szCs w:val="16"/>
          <w:color w:val="auto"/>
        </w:rPr>
      </w:pPr>
      <w:r>
        <w:rPr>
          <w:rFonts w:ascii="Arial" w:cs="Arial" w:eastAsia="Arial" w:hAnsi="Arial"/>
          <w:sz w:val="16"/>
          <w:szCs w:val="16"/>
          <w:color w:val="auto"/>
        </w:rPr>
        <w:t>Interest rate risk associated with future debt, including reduced access to liquidity during periods of extreme capital markets volatility.</w:t>
      </w:r>
    </w:p>
    <w:p>
      <w:pPr>
        <w:spacing w:after="0" w:line="206"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Credit Risk</w:t>
      </w:r>
    </w:p>
    <w:p>
      <w:pPr>
        <w:spacing w:after="0" w:line="19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Arial" w:cs="Arial" w:eastAsia="Arial" w:hAnsi="Arial"/>
          <w:sz w:val="16"/>
          <w:szCs w:val="16"/>
          <w:color w:val="auto"/>
        </w:rPr>
        <w:t>Credit risk is the risk of financial loss resulting from non-performance of contractual obligations by a counterparty.</w:t>
      </w:r>
    </w:p>
    <w:p>
      <w:pPr>
        <w:spacing w:after="0" w:line="194" w:lineRule="exact"/>
        <w:rPr>
          <w:sz w:val="20"/>
          <w:szCs w:val="20"/>
          <w:color w:val="auto"/>
        </w:rPr>
      </w:pPr>
    </w:p>
    <w:p>
      <w:pPr>
        <w:ind w:right="280"/>
        <w:spacing w:after="0" w:line="266" w:lineRule="auto"/>
        <w:rPr>
          <w:sz w:val="20"/>
          <w:szCs w:val="20"/>
          <w:color w:val="auto"/>
        </w:rPr>
      </w:pPr>
      <w:r>
        <w:rPr>
          <w:rFonts w:ascii="Arial" w:cs="Arial" w:eastAsia="Arial" w:hAnsi="Arial"/>
          <w:sz w:val="16"/>
          <w:szCs w:val="16"/>
          <w:color w:val="auto"/>
        </w:rPr>
        <w:t>We attempt to mitigate our credit exposure by conducting business primarily with high credit quality entities, setting tenor, and credit limits commensurate with counterparty financial strength, obtaining master netting agreements, and mitigating credit exposure with less creditworthy counterparties through parental guarantees, cash collateral requirements, letters of credit, and other security agreements.</w:t>
      </w:r>
    </w:p>
    <w:p>
      <w:pPr>
        <w:spacing w:after="0" w:line="144"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We perform periodic credit evaluations of our customers and adjust credit limits based upon payment history and the customer’s current creditworthiness, as determined by review of their current credit information. We maintain a provision for estimated credit losses based upon historical experience, changes in current market conditions, expected losses, and any specific customer collection issue that is identified.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Derivatives and Hedging Activity</w:t>
      </w:r>
    </w:p>
    <w:p>
      <w:pPr>
        <w:spacing w:after="0" w:line="194"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 xml:space="preserve">Our derivative and hedging activities included in the accompanying Consolidated Balance Sheets, Consolidated Statements of Income, and Consolidated Statements of Comprehensive Income (Loss) are detailed below and within </w:t>
      </w:r>
      <w:r>
        <w:rPr>
          <w:rFonts w:ascii="Arial" w:cs="Arial" w:eastAsia="Arial" w:hAnsi="Arial"/>
          <w:sz w:val="16"/>
          <w:szCs w:val="16"/>
          <w:u w:val="single" w:color="auto"/>
          <w:color w:val="0000FF"/>
        </w:rPr>
        <w:t>Note 10</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3453130</wp:posOffset>
            </wp:positionH>
            <wp:positionV relativeFrom="paragraph">
              <wp:posOffset>-45720</wp:posOffset>
            </wp:positionV>
            <wp:extent cx="36004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109" w:lineRule="exact"/>
        <w:rPr>
          <w:sz w:val="20"/>
          <w:szCs w:val="20"/>
          <w:color w:val="auto"/>
        </w:rPr>
      </w:pPr>
    </w:p>
    <w:p>
      <w:pPr>
        <w:ind w:right="180"/>
        <w:spacing w:after="0" w:line="254" w:lineRule="auto"/>
        <w:rPr>
          <w:sz w:val="20"/>
          <w:szCs w:val="20"/>
          <w:color w:val="auto"/>
        </w:rPr>
      </w:pPr>
      <w:r>
        <w:rPr>
          <w:rFonts w:ascii="Arial" w:cs="Arial" w:eastAsia="Arial" w:hAnsi="Arial"/>
          <w:sz w:val="16"/>
          <w:szCs w:val="16"/>
          <w:color w:val="auto"/>
        </w:rPr>
        <w:t>The operations of our Utilities, including natural gas sold by our Gas Utilities and natural gas used by our Electric Utilities’ generation plants or those plants under PPAs where our Electric Utilities must provide the generation fuel (tolling agreements), expose our utility customers to natural gas price volatility. Therefore, as allowed or required by state utility commissions, we have entered into commission approved hedging programs utilizing natural gas futures, options, over-the-counter swaps, and basis swaps to reduce our customers’ underlying exposure to these fluctuations. These transactions are considered derivatives, and in accordance with accounting standards for derivatives and hedging, mark-to-market adjustments are recorded as Derivative assets or Derivative liabilities on the accompanying Consolidated Balance Sheets, net of balance sheet offsetting as permitted by GAAP.</w:t>
      </w:r>
    </w:p>
    <w:p>
      <w:pPr>
        <w:spacing w:after="0" w:line="155"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For our regulated Utilities’ hedging plans, unrealized and realized gains and losses, as well as option premiums and commissions on these transactions are recorded as Regulatory assets or Regulatory liabilities in the accompanying Consolidated Balance Sheets in accordance with state regulatory commission guidelines. When the related costs are recovered through our rates, the hedging activity is recognized in the Consolidated Statements of Income.</w:t>
      </w:r>
    </w:p>
    <w:p>
      <w:pPr>
        <w:spacing w:after="0" w:line="144"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Through Black Hills Energy Services, our non-regulated natural gas commodity supplier, we buy, sell, and deliver natural gas in Nebraska and Wyoming at competitive prices by managing commodity price risk. As a result of these activities, this area of our business is exposed to risks associated with changes in the market price of natural gas. We manage our exposure to such risks using over-the-counter and exchange traded options and swaps with counterparties in anticipation of forecasted purchases and sales during time frames ranging from January 2025 through September 2026. A portion of our over-the-counter swaps have been designated as cash flow hedges to mitigate the commodity price risk associated with deliveries under fixed price forward contracts to deliver gas to our Choice Gas Program customers. The gain or loss on these designated derivatives is reported in AOCI in the accompanying Consolidated Balance Sheets and reclassified into earnings in the same period that the underlying hedged item is recognized in earnings. Effectiveness of our hedging position is evaluated at least quarterly.</w:t>
      </w:r>
    </w:p>
    <w:p>
      <w:pPr>
        <w:spacing w:after="0" w:line="156"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The contract or notional amounts and terms of the natural gas derivative commodity instruments held by our Utilities are comprised of both short and long positions. We had the following net long positions as of:</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20" w:type="dxa"/>
            <w:vAlign w:val="bottom"/>
            <w:tcBorders>
              <w:bottom w:val="single" w:sz="8" w:color="auto"/>
            </w:tcBorders>
            <w:gridSpan w:val="2"/>
          </w:tcPr>
          <w:p>
            <w:pPr>
              <w:ind w:left="920"/>
              <w:spacing w:after="0"/>
              <w:rPr>
                <w:sz w:val="20"/>
                <w:szCs w:val="20"/>
                <w:color w:val="auto"/>
              </w:rPr>
            </w:pPr>
            <w:r>
              <w:rPr>
                <w:rFonts w:ascii="Arial" w:cs="Arial" w:eastAsia="Arial" w:hAnsi="Arial"/>
                <w:sz w:val="16"/>
                <w:szCs w:val="16"/>
                <w:b w:val="1"/>
                <w:bCs w:val="1"/>
                <w:color w:val="auto"/>
              </w:rPr>
              <w:t>December 31, 2024</w:t>
            </w:r>
          </w:p>
        </w:tc>
        <w:tc>
          <w:tcPr>
            <w:tcW w:w="3240" w:type="dxa"/>
            <w:vAlign w:val="bottom"/>
            <w:tcBorders>
              <w:bottom w:val="single" w:sz="8" w:color="auto"/>
            </w:tcBorders>
            <w:gridSpan w:val="2"/>
          </w:tcPr>
          <w:p>
            <w:pPr>
              <w:ind w:left="920"/>
              <w:spacing w:after="0"/>
              <w:rPr>
                <w:sz w:val="20"/>
                <w:szCs w:val="20"/>
                <w:color w:val="auto"/>
              </w:rPr>
            </w:pPr>
            <w:r>
              <w:rPr>
                <w:rFonts w:ascii="Arial" w:cs="Arial" w:eastAsia="Arial" w:hAnsi="Arial"/>
                <w:sz w:val="16"/>
                <w:szCs w:val="16"/>
                <w:b w:val="1"/>
                <w:bCs w:val="1"/>
                <w:color w:val="auto"/>
              </w:rPr>
              <w:t>December 31, 2023</w:t>
            </w:r>
          </w:p>
        </w:tc>
      </w:tr>
      <w:tr>
        <w:trPr>
          <w:trHeight w:val="142"/>
        </w:trPr>
        <w:tc>
          <w:tcPr>
            <w:tcW w:w="35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tcPr>
          <w:p>
            <w:pPr>
              <w:jc w:val="center"/>
              <w:spacing w:after="0" w:line="142" w:lineRule="exact"/>
              <w:rPr>
                <w:sz w:val="20"/>
                <w:szCs w:val="20"/>
                <w:color w:val="auto"/>
              </w:rPr>
            </w:pPr>
            <w:r>
              <w:rPr>
                <w:rFonts w:ascii="Arial" w:cs="Arial" w:eastAsia="Arial" w:hAnsi="Arial"/>
                <w:sz w:val="16"/>
                <w:szCs w:val="16"/>
                <w:b w:val="1"/>
                <w:bCs w:val="1"/>
                <w:color w:val="auto"/>
              </w:rPr>
              <w:t>Maximum Term</w:t>
            </w:r>
          </w:p>
        </w:tc>
        <w:tc>
          <w:tcPr>
            <w:tcW w:w="1680" w:type="dxa"/>
            <w:vAlign w:val="bottom"/>
          </w:tcPr>
          <w:p>
            <w:pPr>
              <w:spacing w:after="0"/>
              <w:rPr>
                <w:sz w:val="12"/>
                <w:szCs w:val="12"/>
                <w:color w:val="auto"/>
              </w:rPr>
            </w:pPr>
          </w:p>
        </w:tc>
        <w:tc>
          <w:tcPr>
            <w:tcW w:w="1560" w:type="dxa"/>
            <w:vAlign w:val="bottom"/>
          </w:tcPr>
          <w:p>
            <w:pPr>
              <w:jc w:val="center"/>
              <w:ind w:right="19"/>
              <w:spacing w:after="0" w:line="142" w:lineRule="exact"/>
              <w:rPr>
                <w:sz w:val="20"/>
                <w:szCs w:val="20"/>
                <w:color w:val="auto"/>
              </w:rPr>
            </w:pPr>
            <w:r>
              <w:rPr>
                <w:rFonts w:ascii="Arial" w:cs="Arial" w:eastAsia="Arial" w:hAnsi="Arial"/>
                <w:sz w:val="16"/>
                <w:szCs w:val="16"/>
                <w:b w:val="1"/>
                <w:bCs w:val="1"/>
                <w:color w:val="auto"/>
              </w:rPr>
              <w:t>Maximum Term</w:t>
            </w:r>
          </w:p>
        </w:tc>
      </w:tr>
      <w:tr>
        <w:trPr>
          <w:trHeight w:val="230"/>
        </w:trPr>
        <w:tc>
          <w:tcPr>
            <w:tcW w:w="3580" w:type="dxa"/>
            <w:vAlign w:val="bottom"/>
          </w:tcPr>
          <w:p>
            <w:pPr>
              <w:spacing w:after="0"/>
              <w:rPr>
                <w:sz w:val="19"/>
                <w:szCs w:val="19"/>
                <w:color w:val="auto"/>
              </w:rPr>
            </w:pPr>
          </w:p>
        </w:tc>
        <w:tc>
          <w:tcPr>
            <w:tcW w:w="1200" w:type="dxa"/>
            <w:vAlign w:val="bottom"/>
          </w:tcPr>
          <w:p>
            <w:pPr>
              <w:jc w:val="center"/>
              <w:ind w:left="279"/>
              <w:spacing w:after="0"/>
              <w:rPr>
                <w:sz w:val="20"/>
                <w:szCs w:val="20"/>
                <w:color w:val="auto"/>
              </w:rPr>
            </w:pPr>
            <w:r>
              <w:rPr>
                <w:rFonts w:ascii="Arial" w:cs="Arial" w:eastAsia="Arial" w:hAnsi="Arial"/>
                <w:sz w:val="16"/>
                <w:szCs w:val="16"/>
                <w:b w:val="1"/>
                <w:bCs w:val="1"/>
                <w:color w:val="auto"/>
                <w:w w:val="99"/>
              </w:rPr>
              <w:t>Units</w:t>
            </w:r>
          </w:p>
        </w:tc>
        <w:tc>
          <w:tcPr>
            <w:tcW w:w="17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Notional Amounts</w:t>
            </w:r>
          </w:p>
        </w:tc>
        <w:tc>
          <w:tcPr>
            <w:tcW w:w="150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6"/>
                <w:szCs w:val="16"/>
                <w:b w:val="1"/>
                <w:bCs w:val="1"/>
                <w:color w:val="auto"/>
                <w:w w:val="97"/>
              </w:rPr>
              <w:t xml:space="preserve">(months) </w:t>
            </w:r>
            <w:r>
              <w:rPr>
                <w:rFonts w:ascii="Arial" w:cs="Arial" w:eastAsia="Arial" w:hAnsi="Arial"/>
                <w:sz w:val="21"/>
                <w:szCs w:val="21"/>
                <w:b w:val="1"/>
                <w:bCs w:val="1"/>
                <w:color w:val="auto"/>
                <w:w w:val="97"/>
                <w:vertAlign w:val="superscript"/>
              </w:rPr>
              <w:t>(a)</w:t>
            </w:r>
          </w:p>
        </w:tc>
        <w:tc>
          <w:tcPr>
            <w:tcW w:w="168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Notional Amounts</w:t>
            </w:r>
          </w:p>
        </w:tc>
        <w:tc>
          <w:tcPr>
            <w:tcW w:w="156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6"/>
                <w:szCs w:val="16"/>
                <w:b w:val="1"/>
                <w:bCs w:val="1"/>
                <w:color w:val="auto"/>
                <w:w w:val="97"/>
              </w:rPr>
              <w:t xml:space="preserve">(months) </w:t>
            </w:r>
            <w:r>
              <w:rPr>
                <w:rFonts w:ascii="Arial" w:cs="Arial" w:eastAsia="Arial" w:hAnsi="Arial"/>
                <w:sz w:val="21"/>
                <w:szCs w:val="21"/>
                <w:b w:val="1"/>
                <w:bCs w:val="1"/>
                <w:color w:val="auto"/>
                <w:w w:val="97"/>
                <w:vertAlign w:val="superscript"/>
              </w:rPr>
              <w:t>(a)</w:t>
            </w:r>
          </w:p>
        </w:tc>
      </w:tr>
      <w:tr>
        <w:trPr>
          <w:trHeight w:val="183"/>
        </w:trPr>
        <w:tc>
          <w:tcPr>
            <w:tcW w:w="358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Natural gas futures purchased</w:t>
            </w:r>
          </w:p>
        </w:tc>
        <w:tc>
          <w:tcPr>
            <w:tcW w:w="1200" w:type="dxa"/>
            <w:vAlign w:val="bottom"/>
            <w:shd w:val="clear" w:color="auto" w:fill="CFF0FC"/>
          </w:tcPr>
          <w:p>
            <w:pPr>
              <w:jc w:val="center"/>
              <w:ind w:left="279"/>
              <w:spacing w:after="0" w:line="183" w:lineRule="exact"/>
              <w:rPr>
                <w:sz w:val="20"/>
                <w:szCs w:val="20"/>
                <w:color w:val="auto"/>
              </w:rPr>
            </w:pPr>
            <w:r>
              <w:rPr>
                <w:rFonts w:ascii="Arial" w:cs="Arial" w:eastAsia="Arial" w:hAnsi="Arial"/>
                <w:sz w:val="16"/>
                <w:szCs w:val="16"/>
                <w:color w:val="auto"/>
              </w:rPr>
              <w:t>MMBtus</w:t>
            </w:r>
          </w:p>
        </w:tc>
        <w:tc>
          <w:tcPr>
            <w:tcW w:w="172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660,000</w:t>
            </w:r>
          </w:p>
        </w:tc>
        <w:tc>
          <w:tcPr>
            <w:tcW w:w="1500" w:type="dxa"/>
            <w:vAlign w:val="bottom"/>
            <w:shd w:val="clear" w:color="auto" w:fill="CFF0FC"/>
          </w:tcPr>
          <w:p>
            <w:pPr>
              <w:jc w:val="center"/>
              <w:spacing w:after="0" w:line="183" w:lineRule="exact"/>
              <w:rPr>
                <w:sz w:val="20"/>
                <w:szCs w:val="20"/>
                <w:color w:val="auto"/>
              </w:rPr>
            </w:pPr>
            <w:r>
              <w:rPr>
                <w:rFonts w:ascii="Arial" w:cs="Arial" w:eastAsia="Arial" w:hAnsi="Arial"/>
                <w:sz w:val="16"/>
                <w:szCs w:val="16"/>
                <w:color w:val="auto"/>
                <w:w w:val="89"/>
              </w:rPr>
              <w:t>3</w:t>
            </w:r>
          </w:p>
        </w:tc>
        <w:tc>
          <w:tcPr>
            <w:tcW w:w="1680" w:type="dxa"/>
            <w:vAlign w:val="bottom"/>
            <w:shd w:val="clear" w:color="auto" w:fill="CFF0FC"/>
          </w:tcPr>
          <w:p>
            <w:pPr>
              <w:jc w:val="center"/>
              <w:spacing w:after="0" w:line="183" w:lineRule="exact"/>
              <w:rPr>
                <w:sz w:val="20"/>
                <w:szCs w:val="20"/>
                <w:color w:val="auto"/>
              </w:rPr>
            </w:pPr>
            <w:r>
              <w:rPr>
                <w:rFonts w:ascii="Arial" w:cs="Arial" w:eastAsia="Arial" w:hAnsi="Arial"/>
                <w:sz w:val="16"/>
                <w:szCs w:val="16"/>
                <w:color w:val="auto"/>
              </w:rPr>
              <w:t>650,000</w:t>
            </w:r>
          </w:p>
        </w:tc>
        <w:tc>
          <w:tcPr>
            <w:tcW w:w="1560" w:type="dxa"/>
            <w:vAlign w:val="bottom"/>
            <w:shd w:val="clear" w:color="auto" w:fill="CFF0FC"/>
          </w:tcPr>
          <w:p>
            <w:pPr>
              <w:jc w:val="center"/>
              <w:spacing w:after="0" w:line="183" w:lineRule="exact"/>
              <w:rPr>
                <w:sz w:val="20"/>
                <w:szCs w:val="20"/>
                <w:color w:val="auto"/>
              </w:rPr>
            </w:pPr>
            <w:r>
              <w:rPr>
                <w:rFonts w:ascii="Arial" w:cs="Arial" w:eastAsia="Arial" w:hAnsi="Arial"/>
                <w:sz w:val="16"/>
                <w:szCs w:val="16"/>
                <w:color w:val="auto"/>
                <w:w w:val="89"/>
              </w:rPr>
              <w:t>3</w:t>
            </w:r>
          </w:p>
        </w:tc>
      </w:tr>
      <w:tr>
        <w:trPr>
          <w:trHeight w:val="189"/>
        </w:trPr>
        <w:tc>
          <w:tcPr>
            <w:tcW w:w="3580" w:type="dxa"/>
            <w:vAlign w:val="bottom"/>
          </w:tcPr>
          <w:p>
            <w:pPr>
              <w:ind w:left="20"/>
              <w:spacing w:after="0"/>
              <w:rPr>
                <w:sz w:val="20"/>
                <w:szCs w:val="20"/>
                <w:color w:val="auto"/>
              </w:rPr>
            </w:pPr>
            <w:r>
              <w:rPr>
                <w:rFonts w:ascii="Arial" w:cs="Arial" w:eastAsia="Arial" w:hAnsi="Arial"/>
                <w:sz w:val="16"/>
                <w:szCs w:val="16"/>
                <w:color w:val="auto"/>
              </w:rPr>
              <w:t>Natural gas options purchased, net</w:t>
            </w:r>
          </w:p>
        </w:tc>
        <w:tc>
          <w:tcPr>
            <w:tcW w:w="1200" w:type="dxa"/>
            <w:vAlign w:val="bottom"/>
          </w:tcPr>
          <w:p>
            <w:pPr>
              <w:jc w:val="center"/>
              <w:ind w:left="279"/>
              <w:spacing w:after="0"/>
              <w:rPr>
                <w:sz w:val="20"/>
                <w:szCs w:val="20"/>
                <w:color w:val="auto"/>
              </w:rPr>
            </w:pPr>
            <w:r>
              <w:rPr>
                <w:rFonts w:ascii="Arial" w:cs="Arial" w:eastAsia="Arial" w:hAnsi="Arial"/>
                <w:sz w:val="16"/>
                <w:szCs w:val="16"/>
                <w:color w:val="auto"/>
              </w:rPr>
              <w:t>MMBtus</w:t>
            </w: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2,780,000</w:t>
            </w:r>
          </w:p>
        </w:tc>
        <w:tc>
          <w:tcPr>
            <w:tcW w:w="150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1680" w:type="dxa"/>
            <w:vAlign w:val="bottom"/>
          </w:tcPr>
          <w:p>
            <w:pPr>
              <w:jc w:val="center"/>
              <w:spacing w:after="0"/>
              <w:rPr>
                <w:sz w:val="20"/>
                <w:szCs w:val="20"/>
                <w:color w:val="auto"/>
              </w:rPr>
            </w:pPr>
            <w:r>
              <w:rPr>
                <w:rFonts w:ascii="Arial" w:cs="Arial" w:eastAsia="Arial" w:hAnsi="Arial"/>
                <w:sz w:val="16"/>
                <w:szCs w:val="16"/>
                <w:color w:val="auto"/>
              </w:rPr>
              <w:t>2,850,000</w:t>
            </w:r>
          </w:p>
        </w:tc>
        <w:tc>
          <w:tcPr>
            <w:tcW w:w="1560" w:type="dxa"/>
            <w:vAlign w:val="bottom"/>
          </w:tcPr>
          <w:p>
            <w:pPr>
              <w:jc w:val="center"/>
              <w:spacing w:after="0"/>
              <w:rPr>
                <w:sz w:val="20"/>
                <w:szCs w:val="20"/>
                <w:color w:val="auto"/>
              </w:rPr>
            </w:pPr>
            <w:r>
              <w:rPr>
                <w:rFonts w:ascii="Arial" w:cs="Arial" w:eastAsia="Arial" w:hAnsi="Arial"/>
                <w:sz w:val="16"/>
                <w:szCs w:val="16"/>
                <w:color w:val="auto"/>
                <w:w w:val="89"/>
              </w:rPr>
              <w:t>3</w:t>
            </w:r>
          </w:p>
        </w:tc>
      </w:tr>
      <w:tr>
        <w:trPr>
          <w:trHeight w:val="189"/>
        </w:trPr>
        <w:tc>
          <w:tcPr>
            <w:tcW w:w="3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Natural gas basis swaps purchased</w:t>
            </w:r>
          </w:p>
        </w:tc>
        <w:tc>
          <w:tcPr>
            <w:tcW w:w="1200" w:type="dxa"/>
            <w:vAlign w:val="bottom"/>
            <w:shd w:val="clear" w:color="auto" w:fill="CFF0FC"/>
          </w:tcPr>
          <w:p>
            <w:pPr>
              <w:jc w:val="center"/>
              <w:ind w:left="279"/>
              <w:spacing w:after="0"/>
              <w:rPr>
                <w:sz w:val="20"/>
                <w:szCs w:val="20"/>
                <w:color w:val="auto"/>
              </w:rPr>
            </w:pPr>
            <w:r>
              <w:rPr>
                <w:rFonts w:ascii="Arial" w:cs="Arial" w:eastAsia="Arial" w:hAnsi="Arial"/>
                <w:sz w:val="16"/>
                <w:szCs w:val="16"/>
                <w:color w:val="auto"/>
              </w:rPr>
              <w:t>MMBtus</w:t>
            </w:r>
          </w:p>
        </w:tc>
        <w:tc>
          <w:tcPr>
            <w:tcW w:w="17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1,080,000</w:t>
            </w:r>
          </w:p>
        </w:tc>
        <w:tc>
          <w:tcPr>
            <w:tcW w:w="15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3</w:t>
            </w:r>
          </w:p>
        </w:tc>
        <w:tc>
          <w:tcPr>
            <w:tcW w:w="16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1,050,000</w:t>
            </w:r>
          </w:p>
        </w:tc>
        <w:tc>
          <w:tcPr>
            <w:tcW w:w="15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3</w:t>
            </w:r>
          </w:p>
        </w:tc>
      </w:tr>
      <w:tr>
        <w:trPr>
          <w:trHeight w:val="189"/>
        </w:trPr>
        <w:tc>
          <w:tcPr>
            <w:tcW w:w="3580" w:type="dxa"/>
            <w:vAlign w:val="bottom"/>
          </w:tcPr>
          <w:p>
            <w:pPr>
              <w:ind w:left="20"/>
              <w:spacing w:after="0" w:line="189" w:lineRule="exact"/>
              <w:rPr>
                <w:sz w:val="20"/>
                <w:szCs w:val="20"/>
                <w:color w:val="auto"/>
              </w:rPr>
            </w:pPr>
            <w:r>
              <w:rPr>
                <w:rFonts w:ascii="Arial" w:cs="Arial" w:eastAsia="Arial" w:hAnsi="Arial"/>
                <w:sz w:val="16"/>
                <w:szCs w:val="16"/>
                <w:color w:val="auto"/>
              </w:rPr>
              <w:t xml:space="preserve">Natural gas over-the-counter swaps, net </w:t>
            </w:r>
            <w:r>
              <w:rPr>
                <w:rFonts w:ascii="Arial" w:cs="Arial" w:eastAsia="Arial" w:hAnsi="Arial"/>
                <w:sz w:val="21"/>
                <w:szCs w:val="21"/>
                <w:color w:val="auto"/>
                <w:vertAlign w:val="superscript"/>
              </w:rPr>
              <w:t>(b)</w:t>
            </w:r>
          </w:p>
        </w:tc>
        <w:tc>
          <w:tcPr>
            <w:tcW w:w="1200" w:type="dxa"/>
            <w:vAlign w:val="bottom"/>
          </w:tcPr>
          <w:p>
            <w:pPr>
              <w:jc w:val="center"/>
              <w:ind w:left="279"/>
              <w:spacing w:after="0"/>
              <w:rPr>
                <w:sz w:val="20"/>
                <w:szCs w:val="20"/>
                <w:color w:val="auto"/>
              </w:rPr>
            </w:pPr>
            <w:r>
              <w:rPr>
                <w:rFonts w:ascii="Arial" w:cs="Arial" w:eastAsia="Arial" w:hAnsi="Arial"/>
                <w:sz w:val="16"/>
                <w:szCs w:val="16"/>
                <w:color w:val="auto"/>
              </w:rPr>
              <w:t>MMBtus</w:t>
            </w: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3,480,000</w:t>
            </w:r>
          </w:p>
        </w:tc>
        <w:tc>
          <w:tcPr>
            <w:tcW w:w="1500" w:type="dxa"/>
            <w:vAlign w:val="bottom"/>
          </w:tcPr>
          <w:p>
            <w:pPr>
              <w:jc w:val="center"/>
              <w:spacing w:after="0"/>
              <w:rPr>
                <w:sz w:val="20"/>
                <w:szCs w:val="20"/>
                <w:color w:val="auto"/>
              </w:rPr>
            </w:pPr>
            <w:r>
              <w:rPr>
                <w:rFonts w:ascii="Arial" w:cs="Arial" w:eastAsia="Arial" w:hAnsi="Arial"/>
                <w:sz w:val="16"/>
                <w:szCs w:val="16"/>
                <w:color w:val="auto"/>
              </w:rPr>
              <w:t>20</w:t>
            </w:r>
          </w:p>
        </w:tc>
        <w:tc>
          <w:tcPr>
            <w:tcW w:w="1680" w:type="dxa"/>
            <w:vAlign w:val="bottom"/>
          </w:tcPr>
          <w:p>
            <w:pPr>
              <w:jc w:val="center"/>
              <w:spacing w:after="0"/>
              <w:rPr>
                <w:sz w:val="20"/>
                <w:szCs w:val="20"/>
                <w:color w:val="auto"/>
              </w:rPr>
            </w:pPr>
            <w:r>
              <w:rPr>
                <w:rFonts w:ascii="Arial" w:cs="Arial" w:eastAsia="Arial" w:hAnsi="Arial"/>
                <w:sz w:val="16"/>
                <w:szCs w:val="16"/>
                <w:color w:val="auto"/>
              </w:rPr>
              <w:t>3,890,000</w:t>
            </w:r>
          </w:p>
        </w:tc>
        <w:tc>
          <w:tcPr>
            <w:tcW w:w="1560" w:type="dxa"/>
            <w:vAlign w:val="bottom"/>
          </w:tcPr>
          <w:p>
            <w:pPr>
              <w:jc w:val="center"/>
              <w:spacing w:after="0"/>
              <w:rPr>
                <w:sz w:val="20"/>
                <w:szCs w:val="20"/>
                <w:color w:val="auto"/>
              </w:rPr>
            </w:pPr>
            <w:r>
              <w:rPr>
                <w:rFonts w:ascii="Arial" w:cs="Arial" w:eastAsia="Arial" w:hAnsi="Arial"/>
                <w:sz w:val="16"/>
                <w:szCs w:val="16"/>
                <w:color w:val="auto"/>
              </w:rPr>
              <w:t>21</w:t>
            </w:r>
          </w:p>
        </w:tc>
      </w:tr>
      <w:tr>
        <w:trPr>
          <w:trHeight w:val="189"/>
        </w:trPr>
        <w:tc>
          <w:tcPr>
            <w:tcW w:w="3580" w:type="dxa"/>
            <w:vAlign w:val="bottom"/>
            <w:shd w:val="clear" w:color="auto" w:fill="CFF0FC"/>
          </w:tcPr>
          <w:p>
            <w:pPr>
              <w:ind w:left="20"/>
              <w:spacing w:after="0" w:line="189" w:lineRule="exact"/>
              <w:rPr>
                <w:sz w:val="20"/>
                <w:szCs w:val="20"/>
                <w:color w:val="auto"/>
              </w:rPr>
            </w:pPr>
            <w:r>
              <w:rPr>
                <w:rFonts w:ascii="Arial" w:cs="Arial" w:eastAsia="Arial" w:hAnsi="Arial"/>
                <w:sz w:val="16"/>
                <w:szCs w:val="16"/>
                <w:color w:val="auto"/>
              </w:rPr>
              <w:t xml:space="preserve">Natural gas physical commitments, net </w:t>
            </w:r>
            <w:r>
              <w:rPr>
                <w:rFonts w:ascii="Arial" w:cs="Arial" w:eastAsia="Arial" w:hAnsi="Arial"/>
                <w:sz w:val="21"/>
                <w:szCs w:val="21"/>
                <w:color w:val="auto"/>
                <w:vertAlign w:val="superscript"/>
              </w:rPr>
              <w:t>(c)</w:t>
            </w:r>
          </w:p>
        </w:tc>
        <w:tc>
          <w:tcPr>
            <w:tcW w:w="1200" w:type="dxa"/>
            <w:vAlign w:val="bottom"/>
            <w:shd w:val="clear" w:color="auto" w:fill="CFF0FC"/>
          </w:tcPr>
          <w:p>
            <w:pPr>
              <w:jc w:val="center"/>
              <w:ind w:left="279"/>
              <w:spacing w:after="0"/>
              <w:rPr>
                <w:sz w:val="20"/>
                <w:szCs w:val="20"/>
                <w:color w:val="auto"/>
              </w:rPr>
            </w:pPr>
            <w:r>
              <w:rPr>
                <w:rFonts w:ascii="Arial" w:cs="Arial" w:eastAsia="Arial" w:hAnsi="Arial"/>
                <w:sz w:val="16"/>
                <w:szCs w:val="16"/>
                <w:color w:val="auto"/>
              </w:rPr>
              <w:t>MMBtus</w:t>
            </w:r>
          </w:p>
        </w:tc>
        <w:tc>
          <w:tcPr>
            <w:tcW w:w="17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20,276,230</w:t>
            </w:r>
          </w:p>
        </w:tc>
        <w:tc>
          <w:tcPr>
            <w:tcW w:w="150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10</w:t>
            </w:r>
          </w:p>
        </w:tc>
        <w:tc>
          <w:tcPr>
            <w:tcW w:w="16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12,582,415</w:t>
            </w:r>
          </w:p>
        </w:tc>
        <w:tc>
          <w:tcPr>
            <w:tcW w:w="15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214312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60" w:lineRule="exact"/>
        <w:rPr>
          <w:sz w:val="20"/>
          <w:szCs w:val="20"/>
          <w:color w:val="auto"/>
        </w:rPr>
      </w:pPr>
    </w:p>
    <w:p>
      <w:pPr>
        <w:ind w:left="520" w:hanging="512"/>
        <w:spacing w:after="0"/>
        <w:tabs>
          <w:tab w:leader="none" w:pos="5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Term reflects the maximum forward period hedged.</w:t>
      </w:r>
    </w:p>
    <w:p>
      <w:pPr>
        <w:spacing w:after="0" w:line="15" w:lineRule="exact"/>
        <w:rPr>
          <w:rFonts w:ascii="Arial" w:cs="Arial" w:eastAsia="Arial" w:hAnsi="Arial"/>
          <w:sz w:val="14"/>
          <w:szCs w:val="14"/>
          <w:color w:val="auto"/>
        </w:rPr>
      </w:pPr>
    </w:p>
    <w:p>
      <w:pPr>
        <w:ind w:left="520" w:hanging="512"/>
        <w:spacing w:after="0"/>
        <w:tabs>
          <w:tab w:leader="none" w:pos="5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As of December 31, 2024, 1,427,000 MMBtus of natural gas over-the-counter swaps purchased were designated as cash flow hedges.</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Volumes exclude derivative contracts that qualify for the normal purchase, normal sales exception permitted by GAAP.</w:t>
      </w:r>
    </w:p>
    <w:p>
      <w:pPr>
        <w:spacing w:after="0" w:line="171" w:lineRule="exact"/>
        <w:rPr>
          <w:sz w:val="20"/>
          <w:szCs w:val="20"/>
          <w:color w:val="auto"/>
        </w:rPr>
      </w:pPr>
    </w:p>
    <w:p>
      <w:pPr>
        <w:ind w:right="400"/>
        <w:spacing w:after="0" w:line="266" w:lineRule="auto"/>
        <w:rPr>
          <w:sz w:val="20"/>
          <w:szCs w:val="20"/>
          <w:color w:val="auto"/>
        </w:rPr>
      </w:pPr>
      <w:r>
        <w:rPr>
          <w:rFonts w:ascii="Arial" w:cs="Arial" w:eastAsia="Arial" w:hAnsi="Arial"/>
          <w:sz w:val="16"/>
          <w:szCs w:val="16"/>
          <w:color w:val="auto"/>
        </w:rPr>
        <w:t>We have certain derivative contracts which contain credit provisions. These credit provisions may require the Company to post collateral when credit exposure to the Company is in excess of a negotiated line of unsecured credit. At December 31, 2024, the Company posted $0.3 million related to such provisions, which is included in Other current assets on the Consolidated Balance Sheets.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40" w:type="dxa"/>
            <w:vAlign w:val="bottom"/>
            <w:gridSpan w:val="2"/>
          </w:tcPr>
          <w:p>
            <w:pPr>
              <w:spacing w:after="0"/>
              <w:rPr>
                <w:sz w:val="20"/>
                <w:szCs w:val="20"/>
                <w:color w:val="auto"/>
              </w:rPr>
            </w:pPr>
            <w:r>
              <w:rPr>
                <w:rFonts w:ascii="Arial" w:cs="Arial" w:eastAsia="Arial" w:hAnsi="Arial"/>
                <w:sz w:val="16"/>
                <w:szCs w:val="16"/>
                <w:color w:val="auto"/>
              </w:rPr>
              <w:t>Derivatives by Balance Sheet Classification</w:t>
            </w:r>
          </w:p>
        </w:tc>
        <w:tc>
          <w:tcPr>
            <w:tcW w:w="3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120" w:type="dxa"/>
            <w:vAlign w:val="bottom"/>
            <w:shd w:val="clear" w:color="auto" w:fill="000000"/>
          </w:tcPr>
          <w:p>
            <w:pPr>
              <w:spacing w:after="0" w:line="20" w:lineRule="exact"/>
              <w:rPr>
                <w:sz w:val="1"/>
                <w:szCs w:val="1"/>
                <w:color w:val="auto"/>
              </w:rPr>
            </w:pPr>
          </w:p>
        </w:tc>
        <w:tc>
          <w:tcPr>
            <w:tcW w:w="614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9260" w:type="dxa"/>
            <w:vAlign w:val="bottom"/>
            <w:gridSpan w:val="5"/>
          </w:tcPr>
          <w:p>
            <w:pPr>
              <w:spacing w:after="0"/>
              <w:rPr>
                <w:sz w:val="20"/>
                <w:szCs w:val="20"/>
                <w:color w:val="auto"/>
              </w:rPr>
            </w:pPr>
            <w:r>
              <w:rPr>
                <w:rFonts w:ascii="Arial" w:cs="Arial" w:eastAsia="Arial" w:hAnsi="Arial"/>
                <w:sz w:val="16"/>
                <w:szCs w:val="16"/>
                <w:color w:val="auto"/>
              </w:rPr>
              <w:t>The following tables present the fair value and balance sheet classification of our derivative instruments as of December 31:</w:t>
            </w: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3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0" w:type="dxa"/>
            <w:vAlign w:val="bottom"/>
            <w:tcBorders>
              <w:bottom w:val="single" w:sz="8" w:color="auto"/>
            </w:tcBorders>
          </w:tcPr>
          <w:p>
            <w:pPr>
              <w:ind w:left="1120"/>
              <w:spacing w:after="0"/>
              <w:rPr>
                <w:sz w:val="20"/>
                <w:szCs w:val="20"/>
                <w:color w:val="auto"/>
              </w:rPr>
            </w:pPr>
            <w:r>
              <w:rPr>
                <w:rFonts w:ascii="Arial" w:cs="Arial" w:eastAsia="Arial" w:hAnsi="Arial"/>
                <w:sz w:val="16"/>
                <w:szCs w:val="16"/>
                <w:b w:val="1"/>
                <w:bCs w:val="1"/>
                <w:color w:val="auto"/>
              </w:rPr>
              <w:t>Balance Sheet Location</w:t>
            </w:r>
          </w:p>
        </w:tc>
        <w:tc>
          <w:tcPr>
            <w:tcW w:w="20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2024</w:t>
            </w:r>
          </w:p>
        </w:tc>
        <w:tc>
          <w:tcPr>
            <w:tcW w:w="8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83"/>
        </w:trPr>
        <w:tc>
          <w:tcPr>
            <w:tcW w:w="4240" w:type="dxa"/>
            <w:vAlign w:val="bottom"/>
            <w:gridSpan w:val="2"/>
            <w:vMerge w:val="restart"/>
          </w:tcPr>
          <w:p>
            <w:pPr>
              <w:ind w:left="20"/>
              <w:spacing w:after="0"/>
              <w:rPr>
                <w:sz w:val="20"/>
                <w:szCs w:val="20"/>
                <w:color w:val="auto"/>
              </w:rPr>
            </w:pPr>
            <w:r>
              <w:rPr>
                <w:rFonts w:ascii="Arial" w:cs="Arial" w:eastAsia="Arial" w:hAnsi="Arial"/>
                <w:sz w:val="16"/>
                <w:szCs w:val="16"/>
                <w:color w:val="auto"/>
              </w:rPr>
              <w:t>Derivatives designated as hedges:</w:t>
            </w:r>
          </w:p>
        </w:tc>
        <w:tc>
          <w:tcPr>
            <w:tcW w:w="300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2"/>
          </w:tcPr>
          <w:p>
            <w:pPr>
              <w:jc w:val="right"/>
              <w:ind w:right="1180"/>
              <w:spacing w:after="0" w:line="183" w:lineRule="exact"/>
              <w:rPr>
                <w:sz w:val="20"/>
                <w:szCs w:val="20"/>
                <w:color w:val="auto"/>
              </w:rPr>
            </w:pPr>
            <w:r>
              <w:rPr>
                <w:rFonts w:ascii="Arial" w:cs="Arial" w:eastAsia="Arial" w:hAnsi="Arial"/>
                <w:sz w:val="16"/>
                <w:szCs w:val="16"/>
                <w:color w:val="auto"/>
              </w:rPr>
              <w:t>(in millions)</w:t>
            </w:r>
          </w:p>
        </w:tc>
        <w:tc>
          <w:tcPr>
            <w:tcW w:w="8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240" w:type="dxa"/>
            <w:vAlign w:val="bottom"/>
            <w:gridSpan w:val="2"/>
            <w:vMerge w:val="continue"/>
          </w:tcPr>
          <w:p>
            <w:pPr>
              <w:spacing w:after="0"/>
              <w:rPr>
                <w:sz w:val="15"/>
                <w:szCs w:val="15"/>
                <w:color w:val="auto"/>
              </w:rPr>
            </w:pPr>
          </w:p>
        </w:tc>
        <w:tc>
          <w:tcPr>
            <w:tcW w:w="3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4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Liability derivative instruments:</w:t>
            </w:r>
          </w:p>
        </w:tc>
        <w:tc>
          <w:tcPr>
            <w:tcW w:w="30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2"/>
          </w:tcPr>
          <w:p>
            <w:pPr>
              <w:ind w:left="200"/>
              <w:spacing w:after="0"/>
              <w:rPr>
                <w:sz w:val="20"/>
                <w:szCs w:val="20"/>
                <w:color w:val="auto"/>
              </w:rPr>
            </w:pPr>
            <w:r>
              <w:rPr>
                <w:rFonts w:ascii="Arial" w:cs="Arial" w:eastAsia="Arial" w:hAnsi="Arial"/>
                <w:sz w:val="16"/>
                <w:szCs w:val="16"/>
                <w:color w:val="auto"/>
              </w:rPr>
              <w:t>Current commodity derivatives</w:t>
            </w:r>
          </w:p>
        </w:tc>
        <w:tc>
          <w:tcPr>
            <w:tcW w:w="3000" w:type="dxa"/>
            <w:vAlign w:val="bottom"/>
          </w:tcPr>
          <w:p>
            <w:pPr>
              <w:spacing w:after="0"/>
              <w:rPr>
                <w:sz w:val="20"/>
                <w:szCs w:val="20"/>
                <w:color w:val="auto"/>
              </w:rPr>
            </w:pPr>
            <w:r>
              <w:rPr>
                <w:rFonts w:ascii="Arial" w:cs="Arial" w:eastAsia="Arial" w:hAnsi="Arial"/>
                <w:sz w:val="16"/>
                <w:szCs w:val="16"/>
                <w:color w:val="auto"/>
              </w:rPr>
              <w:t>Derivative liabilities - current</w:t>
            </w:r>
          </w:p>
        </w:tc>
        <w:tc>
          <w:tcPr>
            <w:tcW w:w="2020" w:type="dxa"/>
            <w:vAlign w:val="bottom"/>
            <w:gridSpan w:val="2"/>
          </w:tcPr>
          <w:p>
            <w:pPr>
              <w:jc w:val="right"/>
              <w:ind w:right="84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(0.7 ) $</w:t>
            </w:r>
          </w:p>
        </w:tc>
        <w:tc>
          <w:tcPr>
            <w:tcW w:w="1180" w:type="dxa"/>
            <w:vAlign w:val="bottom"/>
          </w:tcPr>
          <w:p>
            <w:pPr>
              <w:jc w:val="right"/>
              <w:spacing w:after="0"/>
              <w:rPr>
                <w:sz w:val="20"/>
                <w:szCs w:val="20"/>
                <w:color w:val="auto"/>
              </w:rPr>
            </w:pPr>
            <w:r>
              <w:rPr>
                <w:rFonts w:ascii="Arial" w:cs="Arial" w:eastAsia="Arial" w:hAnsi="Arial"/>
                <w:sz w:val="16"/>
                <w:szCs w:val="16"/>
                <w:color w:val="auto"/>
              </w:rPr>
              <w:t>(2.7 )</w:t>
            </w:r>
          </w:p>
        </w:tc>
        <w:tc>
          <w:tcPr>
            <w:tcW w:w="0" w:type="dxa"/>
            <w:vAlign w:val="bottom"/>
          </w:tcPr>
          <w:p>
            <w:pPr>
              <w:spacing w:after="0"/>
              <w:rPr>
                <w:sz w:val="1"/>
                <w:szCs w:val="1"/>
                <w:color w:val="auto"/>
              </w:rPr>
            </w:pPr>
          </w:p>
        </w:tc>
      </w:tr>
      <w:tr>
        <w:trPr>
          <w:trHeight w:val="189"/>
        </w:trPr>
        <w:tc>
          <w:tcPr>
            <w:tcW w:w="424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6"/>
                <w:szCs w:val="16"/>
                <w:color w:val="auto"/>
              </w:rPr>
              <w:t>Noncurrent commodity derivatives</w:t>
            </w:r>
          </w:p>
        </w:tc>
        <w:tc>
          <w:tcPr>
            <w:tcW w:w="3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deferred credits and other liabilities</w:t>
            </w:r>
          </w:p>
        </w:tc>
        <w:tc>
          <w:tcPr>
            <w:tcW w:w="1080" w:type="dxa"/>
            <w:vAlign w:val="bottom"/>
            <w:tcBorders>
              <w:bottom w:val="single" w:sz="8" w:color="CFF0FC"/>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jc w:val="right"/>
              <w:ind w:right="3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(0.2 )</w:t>
            </w:r>
          </w:p>
        </w:tc>
        <w:tc>
          <w:tcPr>
            <w:tcW w:w="0" w:type="dxa"/>
            <w:vAlign w:val="bottom"/>
          </w:tcPr>
          <w:p>
            <w:pPr>
              <w:spacing w:after="0"/>
              <w:rPr>
                <w:sz w:val="1"/>
                <w:szCs w:val="1"/>
                <w:color w:val="auto"/>
              </w:rPr>
            </w:pPr>
          </w:p>
        </w:tc>
      </w:tr>
      <w:tr>
        <w:trPr>
          <w:trHeight w:val="183"/>
        </w:trPr>
        <w:tc>
          <w:tcPr>
            <w:tcW w:w="4240" w:type="dxa"/>
            <w:vAlign w:val="bottom"/>
            <w:gridSpan w:val="2"/>
          </w:tcPr>
          <w:p>
            <w:pPr>
              <w:ind w:left="20"/>
              <w:spacing w:after="0" w:line="183" w:lineRule="exact"/>
              <w:rPr>
                <w:sz w:val="20"/>
                <w:szCs w:val="20"/>
                <w:color w:val="auto"/>
              </w:rPr>
            </w:pPr>
            <w:r>
              <w:rPr>
                <w:rFonts w:ascii="Arial" w:cs="Arial" w:eastAsia="Arial" w:hAnsi="Arial"/>
                <w:sz w:val="16"/>
                <w:szCs w:val="16"/>
                <w:color w:val="auto"/>
              </w:rPr>
              <w:t>Total derivatives designated as hedges</w:t>
            </w:r>
          </w:p>
        </w:tc>
        <w:tc>
          <w:tcPr>
            <w:tcW w:w="3000" w:type="dxa"/>
            <w:vAlign w:val="bottom"/>
          </w:tcPr>
          <w:p>
            <w:pPr>
              <w:spacing w:after="0"/>
              <w:rPr>
                <w:sz w:val="15"/>
                <w:szCs w:val="15"/>
                <w:color w:val="auto"/>
              </w:rPr>
            </w:pPr>
          </w:p>
        </w:tc>
        <w:tc>
          <w:tcPr>
            <w:tcW w:w="2020" w:type="dxa"/>
            <w:vAlign w:val="bottom"/>
            <w:gridSpan w:val="2"/>
          </w:tcPr>
          <w:p>
            <w:pPr>
              <w:jc w:val="right"/>
              <w:ind w:right="840"/>
              <w:spacing w:after="0" w:line="183" w:lineRule="exact"/>
              <w:rPr>
                <w:sz w:val="20"/>
                <w:szCs w:val="20"/>
                <w:color w:val="auto"/>
              </w:rPr>
            </w:pPr>
            <w:r>
              <w:rPr>
                <w:rFonts w:ascii="Arial" w:cs="Arial" w:eastAsia="Arial" w:hAnsi="Arial"/>
                <w:sz w:val="16"/>
                <w:szCs w:val="16"/>
                <w:color w:val="auto"/>
              </w:rPr>
              <w:t>$</w:t>
            </w:r>
          </w:p>
        </w:tc>
        <w:tc>
          <w:tcPr>
            <w:tcW w:w="800" w:type="dxa"/>
            <w:vAlign w:val="bottom"/>
          </w:tcPr>
          <w:p>
            <w:pPr>
              <w:jc w:val="right"/>
              <w:ind w:right="99"/>
              <w:spacing w:after="0" w:line="183" w:lineRule="exact"/>
              <w:rPr>
                <w:sz w:val="20"/>
                <w:szCs w:val="20"/>
                <w:color w:val="auto"/>
              </w:rPr>
            </w:pPr>
            <w:r>
              <w:rPr>
                <w:rFonts w:ascii="Arial" w:cs="Arial" w:eastAsia="Arial" w:hAnsi="Arial"/>
                <w:sz w:val="16"/>
                <w:szCs w:val="16"/>
                <w:color w:val="auto"/>
              </w:rPr>
              <w:t>(0.7 ) $</w:t>
            </w:r>
          </w:p>
        </w:tc>
        <w:tc>
          <w:tcPr>
            <w:tcW w:w="1180" w:type="dxa"/>
            <w:vAlign w:val="bottom"/>
          </w:tcPr>
          <w:p>
            <w:pPr>
              <w:jc w:val="right"/>
              <w:spacing w:after="0" w:line="183" w:lineRule="exact"/>
              <w:rPr>
                <w:sz w:val="20"/>
                <w:szCs w:val="20"/>
                <w:color w:val="auto"/>
              </w:rPr>
            </w:pPr>
            <w:r>
              <w:rPr>
                <w:rFonts w:ascii="Arial" w:cs="Arial" w:eastAsia="Arial" w:hAnsi="Arial"/>
                <w:sz w:val="16"/>
                <w:szCs w:val="16"/>
                <w:color w:val="auto"/>
              </w:rPr>
              <w:t>(2.9 )</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1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30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240" w:type="dxa"/>
            <w:vAlign w:val="bottom"/>
            <w:gridSpan w:val="2"/>
          </w:tcPr>
          <w:p>
            <w:pPr>
              <w:ind w:left="20"/>
              <w:spacing w:after="0"/>
              <w:rPr>
                <w:sz w:val="20"/>
                <w:szCs w:val="20"/>
                <w:color w:val="auto"/>
              </w:rPr>
            </w:pPr>
            <w:r>
              <w:rPr>
                <w:rFonts w:ascii="Arial" w:cs="Arial" w:eastAsia="Arial" w:hAnsi="Arial"/>
                <w:sz w:val="16"/>
                <w:szCs w:val="16"/>
                <w:color w:val="auto"/>
              </w:rPr>
              <w:t>Derivatives not designated as hedges:</w:t>
            </w:r>
          </w:p>
        </w:tc>
        <w:tc>
          <w:tcPr>
            <w:tcW w:w="3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Liability derivative instruments:</w:t>
            </w:r>
          </w:p>
        </w:tc>
        <w:tc>
          <w:tcPr>
            <w:tcW w:w="30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2"/>
          </w:tcPr>
          <w:p>
            <w:pPr>
              <w:ind w:left="200"/>
              <w:spacing w:after="0"/>
              <w:rPr>
                <w:sz w:val="20"/>
                <w:szCs w:val="20"/>
                <w:color w:val="auto"/>
              </w:rPr>
            </w:pPr>
            <w:r>
              <w:rPr>
                <w:rFonts w:ascii="Arial" w:cs="Arial" w:eastAsia="Arial" w:hAnsi="Arial"/>
                <w:sz w:val="16"/>
                <w:szCs w:val="16"/>
                <w:color w:val="auto"/>
              </w:rPr>
              <w:t>Current commodity derivatives</w:t>
            </w:r>
          </w:p>
        </w:tc>
        <w:tc>
          <w:tcPr>
            <w:tcW w:w="3000" w:type="dxa"/>
            <w:vAlign w:val="bottom"/>
          </w:tcPr>
          <w:p>
            <w:pPr>
              <w:spacing w:after="0"/>
              <w:rPr>
                <w:sz w:val="20"/>
                <w:szCs w:val="20"/>
                <w:color w:val="auto"/>
              </w:rPr>
            </w:pPr>
            <w:r>
              <w:rPr>
                <w:rFonts w:ascii="Arial" w:cs="Arial" w:eastAsia="Arial" w:hAnsi="Arial"/>
                <w:sz w:val="16"/>
                <w:szCs w:val="16"/>
                <w:color w:val="auto"/>
              </w:rPr>
              <w:t>Derivative liabilities - current</w:t>
            </w:r>
          </w:p>
        </w:tc>
        <w:tc>
          <w:tcPr>
            <w:tcW w:w="2020" w:type="dxa"/>
            <w:vAlign w:val="bottom"/>
            <w:gridSpan w:val="2"/>
          </w:tcPr>
          <w:p>
            <w:pPr>
              <w:jc w:val="right"/>
              <w:ind w:right="84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(3.5 ) $</w:t>
            </w:r>
          </w:p>
        </w:tc>
        <w:tc>
          <w:tcPr>
            <w:tcW w:w="1180" w:type="dxa"/>
            <w:vAlign w:val="bottom"/>
          </w:tcPr>
          <w:p>
            <w:pPr>
              <w:jc w:val="right"/>
              <w:spacing w:after="0"/>
              <w:rPr>
                <w:sz w:val="20"/>
                <w:szCs w:val="20"/>
                <w:color w:val="auto"/>
              </w:rPr>
            </w:pPr>
            <w:r>
              <w:rPr>
                <w:rFonts w:ascii="Arial" w:cs="Arial" w:eastAsia="Arial" w:hAnsi="Arial"/>
                <w:sz w:val="16"/>
                <w:szCs w:val="16"/>
                <w:color w:val="auto"/>
              </w:rPr>
              <w:t>(3.8 )</w:t>
            </w:r>
          </w:p>
        </w:tc>
        <w:tc>
          <w:tcPr>
            <w:tcW w:w="0" w:type="dxa"/>
            <w:vAlign w:val="bottom"/>
          </w:tcPr>
          <w:p>
            <w:pPr>
              <w:spacing w:after="0"/>
              <w:rPr>
                <w:sz w:val="1"/>
                <w:szCs w:val="1"/>
                <w:color w:val="auto"/>
              </w:rPr>
            </w:pPr>
          </w:p>
        </w:tc>
      </w:tr>
      <w:tr>
        <w:trPr>
          <w:trHeight w:val="189"/>
        </w:trPr>
        <w:tc>
          <w:tcPr>
            <w:tcW w:w="424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6"/>
                <w:szCs w:val="16"/>
                <w:color w:val="auto"/>
              </w:rPr>
              <w:t>Noncurrent commodity derivatives</w:t>
            </w:r>
          </w:p>
        </w:tc>
        <w:tc>
          <w:tcPr>
            <w:tcW w:w="3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deferred credits and other liabilities</w:t>
            </w:r>
          </w:p>
        </w:tc>
        <w:tc>
          <w:tcPr>
            <w:tcW w:w="1080" w:type="dxa"/>
            <w:vAlign w:val="bottom"/>
            <w:tcBorders>
              <w:bottom w:val="single" w:sz="8" w:color="CFF0FC"/>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jc w:val="right"/>
              <w:ind w:right="3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183"/>
        </w:trPr>
        <w:tc>
          <w:tcPr>
            <w:tcW w:w="4240" w:type="dxa"/>
            <w:vAlign w:val="bottom"/>
            <w:gridSpan w:val="2"/>
          </w:tcPr>
          <w:p>
            <w:pPr>
              <w:ind w:left="20"/>
              <w:spacing w:after="0" w:line="183" w:lineRule="exact"/>
              <w:rPr>
                <w:sz w:val="20"/>
                <w:szCs w:val="20"/>
                <w:color w:val="auto"/>
              </w:rPr>
            </w:pPr>
            <w:r>
              <w:rPr>
                <w:rFonts w:ascii="Arial" w:cs="Arial" w:eastAsia="Arial" w:hAnsi="Arial"/>
                <w:sz w:val="16"/>
                <w:szCs w:val="16"/>
                <w:color w:val="auto"/>
              </w:rPr>
              <w:t>Total derivatives not designated as hedges</w:t>
            </w:r>
          </w:p>
        </w:tc>
        <w:tc>
          <w:tcPr>
            <w:tcW w:w="3000" w:type="dxa"/>
            <w:vAlign w:val="bottom"/>
          </w:tcPr>
          <w:p>
            <w:pPr>
              <w:spacing w:after="0"/>
              <w:rPr>
                <w:sz w:val="15"/>
                <w:szCs w:val="15"/>
                <w:color w:val="auto"/>
              </w:rPr>
            </w:pPr>
          </w:p>
        </w:tc>
        <w:tc>
          <w:tcPr>
            <w:tcW w:w="2020" w:type="dxa"/>
            <w:vAlign w:val="bottom"/>
            <w:gridSpan w:val="2"/>
          </w:tcPr>
          <w:p>
            <w:pPr>
              <w:jc w:val="right"/>
              <w:ind w:right="840"/>
              <w:spacing w:after="0" w:line="183" w:lineRule="exact"/>
              <w:rPr>
                <w:sz w:val="20"/>
                <w:szCs w:val="20"/>
                <w:color w:val="auto"/>
              </w:rPr>
            </w:pPr>
            <w:r>
              <w:rPr>
                <w:rFonts w:ascii="Arial" w:cs="Arial" w:eastAsia="Arial" w:hAnsi="Arial"/>
                <w:sz w:val="16"/>
                <w:szCs w:val="16"/>
                <w:color w:val="auto"/>
              </w:rPr>
              <w:t>$</w:t>
            </w:r>
          </w:p>
        </w:tc>
        <w:tc>
          <w:tcPr>
            <w:tcW w:w="800" w:type="dxa"/>
            <w:vAlign w:val="bottom"/>
          </w:tcPr>
          <w:p>
            <w:pPr>
              <w:jc w:val="right"/>
              <w:ind w:right="99"/>
              <w:spacing w:after="0" w:line="183" w:lineRule="exact"/>
              <w:rPr>
                <w:sz w:val="20"/>
                <w:szCs w:val="20"/>
                <w:color w:val="auto"/>
              </w:rPr>
            </w:pPr>
            <w:r>
              <w:rPr>
                <w:rFonts w:ascii="Arial" w:cs="Arial" w:eastAsia="Arial" w:hAnsi="Arial"/>
                <w:sz w:val="16"/>
                <w:szCs w:val="16"/>
                <w:color w:val="auto"/>
              </w:rPr>
              <w:t>(3.5 ) $</w:t>
            </w:r>
          </w:p>
        </w:tc>
        <w:tc>
          <w:tcPr>
            <w:tcW w:w="1180" w:type="dxa"/>
            <w:vAlign w:val="bottom"/>
          </w:tcPr>
          <w:p>
            <w:pPr>
              <w:jc w:val="right"/>
              <w:spacing w:after="0" w:line="183" w:lineRule="exact"/>
              <w:rPr>
                <w:sz w:val="20"/>
                <w:szCs w:val="20"/>
                <w:color w:val="auto"/>
              </w:rPr>
            </w:pPr>
            <w:r>
              <w:rPr>
                <w:rFonts w:ascii="Arial" w:cs="Arial" w:eastAsia="Arial" w:hAnsi="Arial"/>
                <w:sz w:val="16"/>
                <w:szCs w:val="16"/>
                <w:color w:val="auto"/>
              </w:rPr>
              <w:t>(3.9 )</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Derivatives Designated as Hedge Instruments</w:t>
      </w:r>
    </w:p>
    <w:p>
      <w:pPr>
        <w:spacing w:after="0" w:line="194"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The impact of cash flow hedges on our Consolidated Statements of Comprehensive Income and Consolidated Statements of Income is presented below for the years ended December 31, 2024, 2023, and 2022. Note that this presentation does not reflect the gains or losses arising from the underlying physical transactions; therefore, it is not indicative of the economic profit or loss we realized when the underlying physical and financial transactions were settled.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Derivatives in Cash Flow Hedging</w:t>
            </w: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2023</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25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2024</w:t>
            </w:r>
          </w:p>
        </w:tc>
        <w:tc>
          <w:tcPr>
            <w:tcW w:w="1000" w:type="dxa"/>
            <w:vAlign w:val="bottom"/>
            <w:tcBorders>
              <w:bottom w:val="single" w:sz="8" w:color="auto"/>
            </w:tcBorders>
          </w:tcPr>
          <w:p>
            <w:pPr>
              <w:jc w:val="center"/>
              <w:ind w:right="399"/>
              <w:spacing w:after="0"/>
              <w:rPr>
                <w:sz w:val="20"/>
                <w:szCs w:val="20"/>
                <w:color w:val="auto"/>
              </w:rPr>
            </w:pPr>
            <w:r>
              <w:rPr>
                <w:rFonts w:ascii="Arial" w:cs="Arial" w:eastAsia="Arial" w:hAnsi="Arial"/>
                <w:sz w:val="16"/>
                <w:szCs w:val="16"/>
                <w:b w:val="1"/>
                <w:bCs w:val="1"/>
                <w:color w:val="auto"/>
              </w:rPr>
              <w:t>2023</w:t>
            </w: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68"/>
        </w:trPr>
        <w:tc>
          <w:tcPr>
            <w:tcW w:w="2840" w:type="dxa"/>
            <w:vAlign w:val="bottom"/>
            <w:vMerge w:val="continue"/>
          </w:tcPr>
          <w:p>
            <w:pPr>
              <w:spacing w:after="0"/>
              <w:rPr>
                <w:sz w:val="14"/>
                <w:szCs w:val="14"/>
                <w:color w:val="auto"/>
              </w:rPr>
            </w:pPr>
          </w:p>
        </w:tc>
        <w:tc>
          <w:tcPr>
            <w:tcW w:w="2880" w:type="dxa"/>
            <w:vAlign w:val="bottom"/>
            <w:gridSpan w:val="6"/>
          </w:tcPr>
          <w:p>
            <w:pPr>
              <w:jc w:val="center"/>
              <w:ind w:right="59"/>
              <w:spacing w:after="0" w:line="168" w:lineRule="exact"/>
              <w:rPr>
                <w:sz w:val="20"/>
                <w:szCs w:val="20"/>
                <w:color w:val="auto"/>
              </w:rPr>
            </w:pPr>
            <w:r>
              <w:rPr>
                <w:rFonts w:ascii="Arial" w:cs="Arial" w:eastAsia="Arial" w:hAnsi="Arial"/>
                <w:sz w:val="16"/>
                <w:szCs w:val="16"/>
                <w:b w:val="1"/>
                <w:bCs w:val="1"/>
                <w:color w:val="auto"/>
              </w:rPr>
              <w:t>Amount of Gain/(Loss) Recognized</w:t>
            </w:r>
          </w:p>
        </w:tc>
        <w:tc>
          <w:tcPr>
            <w:tcW w:w="2500" w:type="dxa"/>
            <w:vAlign w:val="bottom"/>
          </w:tcPr>
          <w:p>
            <w:pPr>
              <w:spacing w:after="0"/>
              <w:rPr>
                <w:sz w:val="14"/>
                <w:szCs w:val="14"/>
                <w:color w:val="auto"/>
              </w:rPr>
            </w:pPr>
          </w:p>
        </w:tc>
        <w:tc>
          <w:tcPr>
            <w:tcW w:w="3020" w:type="dxa"/>
            <w:vAlign w:val="bottom"/>
            <w:gridSpan w:val="4"/>
          </w:tcPr>
          <w:p>
            <w:pPr>
              <w:jc w:val="center"/>
              <w:ind w:right="79"/>
              <w:spacing w:after="0" w:line="168" w:lineRule="exact"/>
              <w:rPr>
                <w:sz w:val="20"/>
                <w:szCs w:val="20"/>
                <w:color w:val="auto"/>
              </w:rPr>
            </w:pPr>
            <w:r>
              <w:rPr>
                <w:rFonts w:ascii="Arial" w:cs="Arial" w:eastAsia="Arial" w:hAnsi="Arial"/>
                <w:sz w:val="16"/>
                <w:szCs w:val="16"/>
                <w:b w:val="1"/>
                <w:bCs w:val="1"/>
                <w:color w:val="auto"/>
              </w:rPr>
              <w:t>Amount of Gain/(Loss) Reclassified</w:t>
            </w:r>
          </w:p>
        </w:tc>
        <w:tc>
          <w:tcPr>
            <w:tcW w:w="0" w:type="dxa"/>
            <w:vAlign w:val="bottom"/>
          </w:tcPr>
          <w:p>
            <w:pPr>
              <w:spacing w:after="0"/>
              <w:rPr>
                <w:sz w:val="1"/>
                <w:szCs w:val="1"/>
                <w:color w:val="auto"/>
              </w:rPr>
            </w:pPr>
          </w:p>
        </w:tc>
      </w:tr>
      <w:tr>
        <w:trPr>
          <w:trHeight w:val="203"/>
        </w:trPr>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Relationships</w:t>
            </w: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in OCI</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Income Statement Location</w:t>
            </w:r>
          </w:p>
        </w:tc>
        <w:tc>
          <w:tcPr>
            <w:tcW w:w="18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3"/>
          </w:tcPr>
          <w:p>
            <w:pPr>
              <w:ind w:left="380"/>
              <w:spacing w:after="0"/>
              <w:rPr>
                <w:sz w:val="20"/>
                <w:szCs w:val="20"/>
                <w:color w:val="auto"/>
              </w:rPr>
            </w:pPr>
            <w:r>
              <w:rPr>
                <w:rFonts w:ascii="Arial" w:cs="Arial" w:eastAsia="Arial" w:hAnsi="Arial"/>
                <w:sz w:val="16"/>
                <w:szCs w:val="16"/>
                <w:b w:val="1"/>
                <w:bCs w:val="1"/>
                <w:color w:val="auto"/>
              </w:rPr>
              <w:t>from AOCI into Income</w:t>
            </w:r>
          </w:p>
        </w:tc>
        <w:tc>
          <w:tcPr>
            <w:tcW w:w="0" w:type="dxa"/>
            <w:vAlign w:val="bottom"/>
          </w:tcPr>
          <w:p>
            <w:pPr>
              <w:spacing w:after="0"/>
              <w:rPr>
                <w:sz w:val="1"/>
                <w:szCs w:val="1"/>
                <w:color w:val="auto"/>
              </w:rPr>
            </w:pPr>
          </w:p>
        </w:tc>
      </w:tr>
      <w:tr>
        <w:trPr>
          <w:trHeight w:val="183"/>
        </w:trPr>
        <w:tc>
          <w:tcPr>
            <w:tcW w:w="28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spacing w:after="0" w:line="183" w:lineRule="exact"/>
              <w:rPr>
                <w:sz w:val="20"/>
                <w:szCs w:val="20"/>
                <w:color w:val="auto"/>
              </w:rPr>
            </w:pPr>
            <w:r>
              <w:rPr>
                <w:rFonts w:ascii="Arial" w:cs="Arial" w:eastAsia="Arial" w:hAnsi="Arial"/>
                <w:sz w:val="16"/>
                <w:szCs w:val="16"/>
                <w:color w:val="auto"/>
              </w:rPr>
              <w:t>(in millions)</w:t>
            </w: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5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2"/>
          </w:tcPr>
          <w:p>
            <w:pPr>
              <w:jc w:val="center"/>
              <w:ind w:left="479"/>
              <w:spacing w:after="0" w:line="183" w:lineRule="exact"/>
              <w:rPr>
                <w:sz w:val="20"/>
                <w:szCs w:val="20"/>
                <w:color w:val="auto"/>
              </w:rPr>
            </w:pPr>
            <w:r>
              <w:rPr>
                <w:rFonts w:ascii="Arial" w:cs="Arial" w:eastAsia="Arial" w:hAnsi="Arial"/>
                <w:sz w:val="16"/>
                <w:szCs w:val="16"/>
                <w:color w:val="auto"/>
              </w:rPr>
              <w:t>(in millions)</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4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Interest rate swaps</w:t>
            </w:r>
          </w:p>
        </w:tc>
        <w:tc>
          <w:tcPr>
            <w:tcW w:w="1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7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2.9</w:t>
            </w:r>
          </w:p>
        </w:tc>
        <w:tc>
          <w:tcPr>
            <w:tcW w:w="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2.9</w:t>
            </w:r>
          </w:p>
        </w:tc>
        <w:tc>
          <w:tcPr>
            <w:tcW w:w="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3280" w:type="dxa"/>
            <w:vAlign w:val="bottom"/>
            <w:gridSpan w:val="2"/>
            <w:shd w:val="clear" w:color="auto" w:fill="CFF0FC"/>
          </w:tcPr>
          <w:p>
            <w:pPr>
              <w:ind w:left="420"/>
              <w:spacing w:after="0" w:line="183" w:lineRule="exact"/>
              <w:rPr>
                <w:sz w:val="20"/>
                <w:szCs w:val="20"/>
                <w:color w:val="auto"/>
              </w:rPr>
            </w:pPr>
            <w:r>
              <w:rPr>
                <w:rFonts w:ascii="Arial" w:cs="Arial" w:eastAsia="Arial" w:hAnsi="Arial"/>
                <w:sz w:val="16"/>
                <w:szCs w:val="16"/>
                <w:color w:val="auto"/>
              </w:rPr>
              <w:t>2.8  Interest expense</w:t>
            </w:r>
          </w:p>
        </w:tc>
        <w:tc>
          <w:tcPr>
            <w:tcW w:w="1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ind w:left="380"/>
              <w:spacing w:after="0" w:line="183" w:lineRule="exact"/>
              <w:rPr>
                <w:sz w:val="20"/>
                <w:szCs w:val="20"/>
                <w:color w:val="auto"/>
              </w:rPr>
            </w:pPr>
            <w:r>
              <w:rPr>
                <w:rFonts w:ascii="Arial" w:cs="Arial" w:eastAsia="Arial" w:hAnsi="Arial"/>
                <w:sz w:val="16"/>
                <w:szCs w:val="16"/>
                <w:color w:val="auto"/>
              </w:rPr>
              <w:t>(2.9 ) $</w:t>
            </w:r>
          </w:p>
        </w:tc>
        <w:tc>
          <w:tcPr>
            <w:tcW w:w="1000" w:type="dxa"/>
            <w:vAlign w:val="bottom"/>
            <w:shd w:val="clear" w:color="auto" w:fill="CFF0FC"/>
          </w:tcPr>
          <w:p>
            <w:pPr>
              <w:ind w:left="400"/>
              <w:spacing w:after="0" w:line="183" w:lineRule="exact"/>
              <w:rPr>
                <w:sz w:val="20"/>
                <w:szCs w:val="20"/>
                <w:color w:val="auto"/>
              </w:rPr>
            </w:pPr>
            <w:r>
              <w:rPr>
                <w:rFonts w:ascii="Arial" w:cs="Arial" w:eastAsia="Arial" w:hAnsi="Arial"/>
                <w:sz w:val="16"/>
                <w:szCs w:val="16"/>
                <w:color w:val="auto"/>
              </w:rPr>
              <w:t>(2.9 ) $</w:t>
            </w:r>
          </w:p>
        </w:tc>
        <w:tc>
          <w:tcPr>
            <w:tcW w:w="8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(2.8 )</w:t>
            </w:r>
          </w:p>
        </w:tc>
        <w:tc>
          <w:tcPr>
            <w:tcW w:w="0" w:type="dxa"/>
            <w:vAlign w:val="bottom"/>
          </w:tcPr>
          <w:p>
            <w:pPr>
              <w:spacing w:after="0"/>
              <w:rPr>
                <w:sz w:val="1"/>
                <w:szCs w:val="1"/>
                <w:color w:val="auto"/>
              </w:rPr>
            </w:pPr>
          </w:p>
        </w:tc>
      </w:tr>
      <w:tr>
        <w:trPr>
          <w:trHeight w:val="175"/>
        </w:trPr>
        <w:tc>
          <w:tcPr>
            <w:tcW w:w="2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500" w:type="dxa"/>
            <w:vAlign w:val="bottom"/>
          </w:tcPr>
          <w:p>
            <w:pPr>
              <w:ind w:left="20"/>
              <w:spacing w:after="0" w:line="175" w:lineRule="exact"/>
              <w:rPr>
                <w:sz w:val="20"/>
                <w:szCs w:val="20"/>
                <w:color w:val="auto"/>
              </w:rPr>
            </w:pPr>
            <w:r>
              <w:rPr>
                <w:rFonts w:ascii="Arial" w:cs="Arial" w:eastAsia="Arial" w:hAnsi="Arial"/>
                <w:sz w:val="16"/>
                <w:szCs w:val="16"/>
                <w:color w:val="auto"/>
              </w:rPr>
              <w:t>Fuel, purchased power and cost</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840" w:type="dxa"/>
            <w:vAlign w:val="bottom"/>
          </w:tcPr>
          <w:p>
            <w:pPr>
              <w:ind w:left="20"/>
              <w:spacing w:after="0"/>
              <w:rPr>
                <w:sz w:val="20"/>
                <w:szCs w:val="20"/>
                <w:color w:val="auto"/>
              </w:rPr>
            </w:pPr>
            <w:r>
              <w:rPr>
                <w:rFonts w:ascii="Arial" w:cs="Arial" w:eastAsia="Arial" w:hAnsi="Arial"/>
                <w:sz w:val="16"/>
                <w:szCs w:val="16"/>
                <w:color w:val="auto"/>
              </w:rPr>
              <w:t>Commodity derivatives</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(1.6 )</w:t>
            </w:r>
          </w:p>
        </w:tc>
        <w:tc>
          <w:tcPr>
            <w:tcW w:w="200" w:type="dxa"/>
            <w:vAlign w:val="bottom"/>
          </w:tcPr>
          <w:p>
            <w:pPr>
              <w:spacing w:after="0"/>
              <w:rPr>
                <w:sz w:val="17"/>
                <w:szCs w:val="17"/>
                <w:color w:val="auto"/>
              </w:rPr>
            </w:pPr>
          </w:p>
        </w:tc>
        <w:tc>
          <w:tcPr>
            <w:tcW w:w="3280" w:type="dxa"/>
            <w:vAlign w:val="bottom"/>
            <w:gridSpan w:val="2"/>
          </w:tcPr>
          <w:p>
            <w:pPr>
              <w:ind w:left="360"/>
              <w:spacing w:after="0"/>
              <w:rPr>
                <w:sz w:val="20"/>
                <w:szCs w:val="20"/>
                <w:color w:val="auto"/>
              </w:rPr>
            </w:pPr>
            <w:r>
              <w:rPr>
                <w:rFonts w:ascii="Arial" w:cs="Arial" w:eastAsia="Arial" w:hAnsi="Arial"/>
                <w:sz w:val="16"/>
                <w:szCs w:val="16"/>
                <w:color w:val="auto"/>
              </w:rPr>
              <w:t>(3.5 ) of natural gas sold</w:t>
            </w:r>
          </w:p>
        </w:tc>
        <w:tc>
          <w:tcPr>
            <w:tcW w:w="180" w:type="dxa"/>
            <w:vAlign w:val="bottom"/>
          </w:tcPr>
          <w:p>
            <w:pPr>
              <w:spacing w:after="0"/>
              <w:rPr>
                <w:sz w:val="17"/>
                <w:szCs w:val="17"/>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(3.5 )</w:t>
            </w:r>
          </w:p>
        </w:tc>
        <w:tc>
          <w:tcPr>
            <w:tcW w:w="1000" w:type="dxa"/>
            <w:vAlign w:val="bottom"/>
          </w:tcPr>
          <w:p>
            <w:pPr>
              <w:ind w:left="400"/>
              <w:spacing w:after="0"/>
              <w:rPr>
                <w:sz w:val="20"/>
                <w:szCs w:val="20"/>
                <w:color w:val="auto"/>
              </w:rPr>
            </w:pPr>
            <w:r>
              <w:rPr>
                <w:rFonts w:ascii="Arial" w:cs="Arial" w:eastAsia="Arial" w:hAnsi="Arial"/>
                <w:sz w:val="16"/>
                <w:szCs w:val="16"/>
                <w:color w:val="auto"/>
              </w:rPr>
              <w:t>(3.0 )</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23"/>
        </w:trPr>
        <w:tc>
          <w:tcPr>
            <w:tcW w:w="284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5.8</w:t>
            </w:r>
          </w:p>
        </w:tc>
        <w:tc>
          <w:tcPr>
            <w:tcW w:w="2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1.3</w:t>
            </w:r>
          </w:p>
        </w:tc>
        <w:tc>
          <w:tcPr>
            <w:tcW w:w="2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FF0FC"/>
          </w:tcPr>
          <w:p>
            <w:pPr>
              <w:ind w:left="360"/>
              <w:spacing w:after="0" w:line="183" w:lineRule="exact"/>
              <w:rPr>
                <w:sz w:val="20"/>
                <w:szCs w:val="20"/>
                <w:color w:val="auto"/>
              </w:rPr>
            </w:pPr>
            <w:r>
              <w:rPr>
                <w:rFonts w:ascii="Arial" w:cs="Arial" w:eastAsia="Arial" w:hAnsi="Arial"/>
                <w:sz w:val="16"/>
                <w:szCs w:val="16"/>
                <w:color w:val="auto"/>
              </w:rPr>
              <w:t>(0.7 )</w:t>
            </w:r>
          </w:p>
        </w:tc>
        <w:tc>
          <w:tcPr>
            <w:tcW w:w="25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shd w:val="clear" w:color="auto" w:fill="CFF0FC"/>
          </w:tcPr>
          <w:p>
            <w:pPr>
              <w:ind w:left="380"/>
              <w:spacing w:after="0" w:line="183" w:lineRule="exact"/>
              <w:rPr>
                <w:sz w:val="20"/>
                <w:szCs w:val="20"/>
                <w:color w:val="auto"/>
              </w:rPr>
            </w:pPr>
            <w:r>
              <w:rPr>
                <w:rFonts w:ascii="Arial" w:cs="Arial" w:eastAsia="Arial" w:hAnsi="Arial"/>
                <w:sz w:val="16"/>
                <w:szCs w:val="16"/>
                <w:color w:val="auto"/>
              </w:rPr>
              <w:t>(6.4 ) $</w:t>
            </w:r>
          </w:p>
        </w:tc>
        <w:tc>
          <w:tcPr>
            <w:tcW w:w="1000" w:type="dxa"/>
            <w:vAlign w:val="bottom"/>
            <w:tcBorders>
              <w:top w:val="single" w:sz="8" w:color="auto"/>
              <w:bottom w:val="single" w:sz="8" w:color="auto"/>
            </w:tcBorders>
            <w:shd w:val="clear" w:color="auto" w:fill="CFF0FC"/>
          </w:tcPr>
          <w:p>
            <w:pPr>
              <w:ind w:left="400"/>
              <w:spacing w:after="0" w:line="183" w:lineRule="exact"/>
              <w:rPr>
                <w:sz w:val="20"/>
                <w:szCs w:val="20"/>
                <w:color w:val="auto"/>
              </w:rPr>
            </w:pPr>
            <w:r>
              <w:rPr>
                <w:rFonts w:ascii="Arial" w:cs="Arial" w:eastAsia="Arial" w:hAnsi="Arial"/>
                <w:sz w:val="16"/>
                <w:szCs w:val="16"/>
                <w:color w:val="auto"/>
              </w:rPr>
              <w:t>(5.9 ) $</w:t>
            </w:r>
          </w:p>
        </w:tc>
        <w:tc>
          <w:tcPr>
            <w:tcW w:w="8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-24765</wp:posOffset>
            </wp:positionV>
            <wp:extent cx="159448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594485"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-8255</wp:posOffset>
            </wp:positionV>
            <wp:extent cx="159448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594485" cy="8890"/>
                    </a:xfrm>
                    <a:prstGeom prst="rect">
                      <a:avLst/>
                    </a:prstGeom>
                    <a:noFill/>
                  </pic:spPr>
                </pic:pic>
              </a:graphicData>
            </a:graphic>
          </wp:anchor>
        </w:drawing>
      </w:r>
    </w:p>
    <w:p>
      <w:pPr>
        <w:spacing w:after="0" w:line="155"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As of December 31, 2024, $3.3 million of net losses related to our interest rate swaps and commodity derivatives are expected to be reclassified from AOCI into earnings within the next 12 months. As market prices fluctuate, estimated and actual realized gains or losses will change during future periods.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Derivatives Not Designated as Hedge Instruments</w:t>
      </w:r>
    </w:p>
    <w:p>
      <w:pPr>
        <w:spacing w:after="0" w:line="194"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The following table summarizes the impacts of derivative instruments not designated as hedge instruments on our Consolidated Statements of Income for the years ended December 31, 2024, 2023, and 2022. Note that this presentation does not reflect the expected gains or losses arising from the underlying physical transactions; therefore, it is not indicative of the economic gross profit we realized when the underlying physical and financial transactions were settled.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20" w:type="dxa"/>
            <w:vAlign w:val="bottom"/>
            <w:vMerge w:val="restart"/>
          </w:tcPr>
          <w:p>
            <w:pPr>
              <w:jc w:val="center"/>
              <w:ind w:left="99"/>
              <w:spacing w:after="0"/>
              <w:rPr>
                <w:sz w:val="20"/>
                <w:szCs w:val="20"/>
                <w:color w:val="auto"/>
              </w:rPr>
            </w:pPr>
            <w:r>
              <w:rPr>
                <w:rFonts w:ascii="Arial" w:cs="Arial" w:eastAsia="Arial" w:hAnsi="Arial"/>
                <w:sz w:val="16"/>
                <w:szCs w:val="16"/>
                <w:b w:val="1"/>
                <w:bCs w:val="1"/>
                <w:color w:val="auto"/>
              </w:rPr>
              <w:t>Derivatives Not Designated as Hedging</w:t>
            </w:r>
          </w:p>
        </w:tc>
        <w:tc>
          <w:tcPr>
            <w:tcW w:w="396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Location of Gain/(Loss) on Derivatives</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2024</w:t>
            </w: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419"/>
              <w:spacing w:after="0"/>
              <w:rPr>
                <w:sz w:val="20"/>
                <w:szCs w:val="20"/>
                <w:color w:val="auto"/>
              </w:rPr>
            </w:pPr>
            <w:r>
              <w:rPr>
                <w:rFonts w:ascii="Arial" w:cs="Arial" w:eastAsia="Arial" w:hAnsi="Arial"/>
                <w:sz w:val="16"/>
                <w:szCs w:val="16"/>
                <w:b w:val="1"/>
                <w:bCs w:val="1"/>
                <w:color w:val="auto"/>
              </w:rPr>
              <w:t>2023</w:t>
            </w:r>
          </w:p>
        </w:tc>
        <w:tc>
          <w:tcPr>
            <w:tcW w:w="9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68"/>
        </w:trPr>
        <w:tc>
          <w:tcPr>
            <w:tcW w:w="3720" w:type="dxa"/>
            <w:vAlign w:val="bottom"/>
            <w:vMerge w:val="continue"/>
          </w:tcPr>
          <w:p>
            <w:pPr>
              <w:spacing w:after="0"/>
              <w:rPr>
                <w:sz w:val="14"/>
                <w:szCs w:val="14"/>
                <w:color w:val="auto"/>
              </w:rPr>
            </w:pPr>
          </w:p>
        </w:tc>
        <w:tc>
          <w:tcPr>
            <w:tcW w:w="39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3380" w:type="dxa"/>
            <w:vAlign w:val="bottom"/>
            <w:gridSpan w:val="4"/>
          </w:tcPr>
          <w:p>
            <w:pPr>
              <w:jc w:val="center"/>
              <w:ind w:right="279"/>
              <w:spacing w:after="0" w:line="168" w:lineRule="exact"/>
              <w:rPr>
                <w:sz w:val="20"/>
                <w:szCs w:val="20"/>
                <w:color w:val="auto"/>
              </w:rPr>
            </w:pPr>
            <w:r>
              <w:rPr>
                <w:rFonts w:ascii="Arial" w:cs="Arial" w:eastAsia="Arial" w:hAnsi="Arial"/>
                <w:sz w:val="16"/>
                <w:szCs w:val="16"/>
                <w:b w:val="1"/>
                <w:bCs w:val="1"/>
                <w:color w:val="auto"/>
              </w:rPr>
              <w:t>Amount of Gain/(Loss) on Derivatives</w:t>
            </w:r>
          </w:p>
        </w:tc>
        <w:tc>
          <w:tcPr>
            <w:tcW w:w="0" w:type="dxa"/>
            <w:vAlign w:val="bottom"/>
          </w:tcPr>
          <w:p>
            <w:pPr>
              <w:spacing w:after="0"/>
              <w:rPr>
                <w:sz w:val="1"/>
                <w:szCs w:val="1"/>
                <w:color w:val="auto"/>
              </w:rPr>
            </w:pPr>
          </w:p>
        </w:tc>
      </w:tr>
      <w:tr>
        <w:trPr>
          <w:trHeight w:val="203"/>
        </w:trPr>
        <w:tc>
          <w:tcPr>
            <w:tcW w:w="372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b w:val="1"/>
                <w:bCs w:val="1"/>
                <w:color w:val="auto"/>
              </w:rPr>
              <w:t>Instruments</w:t>
            </w:r>
          </w:p>
        </w:tc>
        <w:tc>
          <w:tcPr>
            <w:tcW w:w="4140" w:type="dxa"/>
            <w:vAlign w:val="bottom"/>
            <w:tcBorders>
              <w:bottom w:val="single" w:sz="8" w:color="auto"/>
            </w:tcBorders>
            <w:gridSpan w:val="2"/>
          </w:tcPr>
          <w:p>
            <w:pPr>
              <w:jc w:val="right"/>
              <w:ind w:right="1119"/>
              <w:spacing w:after="0"/>
              <w:rPr>
                <w:sz w:val="20"/>
                <w:szCs w:val="20"/>
                <w:color w:val="auto"/>
              </w:rPr>
            </w:pPr>
            <w:r>
              <w:rPr>
                <w:rFonts w:ascii="Arial" w:cs="Arial" w:eastAsia="Arial" w:hAnsi="Arial"/>
                <w:sz w:val="16"/>
                <w:szCs w:val="16"/>
                <w:b w:val="1"/>
                <w:bCs w:val="1"/>
                <w:color w:val="auto"/>
              </w:rPr>
              <w:t>Recognized in Income</w:t>
            </w:r>
          </w:p>
        </w:tc>
        <w:tc>
          <w:tcPr>
            <w:tcW w:w="2460" w:type="dxa"/>
            <w:vAlign w:val="bottom"/>
            <w:tcBorders>
              <w:bottom w:val="single" w:sz="8" w:color="auto"/>
            </w:tcBorders>
            <w:gridSpan w:val="3"/>
          </w:tcPr>
          <w:p>
            <w:pPr>
              <w:jc w:val="center"/>
              <w:ind w:left="539"/>
              <w:spacing w:after="0"/>
              <w:rPr>
                <w:sz w:val="20"/>
                <w:szCs w:val="20"/>
                <w:color w:val="auto"/>
              </w:rPr>
            </w:pPr>
            <w:r>
              <w:rPr>
                <w:rFonts w:ascii="Arial" w:cs="Arial" w:eastAsia="Arial" w:hAnsi="Arial"/>
                <w:sz w:val="16"/>
                <w:szCs w:val="16"/>
                <w:b w:val="1"/>
                <w:bCs w:val="1"/>
                <w:color w:val="auto"/>
              </w:rPr>
              <w:t>Recognized in Income</w:t>
            </w: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7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439"/>
              <w:spacing w:after="0" w:line="183" w:lineRule="exact"/>
              <w:rPr>
                <w:sz w:val="20"/>
                <w:szCs w:val="20"/>
                <w:color w:val="auto"/>
              </w:rPr>
            </w:pPr>
            <w:r>
              <w:rPr>
                <w:rFonts w:ascii="Arial" w:cs="Arial" w:eastAsia="Arial" w:hAnsi="Arial"/>
                <w:sz w:val="16"/>
                <w:szCs w:val="16"/>
                <w:color w:val="auto"/>
              </w:rPr>
              <w:t>(in millions)</w:t>
            </w: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7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Commodity derivatives - Natural Gas</w:t>
            </w:r>
          </w:p>
        </w:tc>
        <w:tc>
          <w:tcPr>
            <w:tcW w:w="414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Fuel, purchased power and cost of natural gas sold $</w:t>
            </w:r>
          </w:p>
        </w:tc>
        <w:tc>
          <w:tcPr>
            <w:tcW w:w="9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0.7</w:t>
            </w:r>
          </w:p>
        </w:tc>
        <w:tc>
          <w:tcPr>
            <w:tcW w:w="1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(4.2 ) $</w:t>
            </w:r>
          </w:p>
        </w:tc>
        <w:tc>
          <w:tcPr>
            <w:tcW w:w="9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(0.8 )</w:t>
            </w:r>
          </w:p>
        </w:tc>
        <w:tc>
          <w:tcPr>
            <w:tcW w:w="0" w:type="dxa"/>
            <w:vAlign w:val="bottom"/>
          </w:tcPr>
          <w:p>
            <w:pPr>
              <w:spacing w:after="0"/>
              <w:rPr>
                <w:sz w:val="1"/>
                <w:szCs w:val="1"/>
                <w:color w:val="auto"/>
              </w:rPr>
            </w:pPr>
          </w:p>
        </w:tc>
      </w:tr>
      <w:tr>
        <w:trPr>
          <w:trHeight w:val="183"/>
        </w:trPr>
        <w:tc>
          <w:tcPr>
            <w:tcW w:w="3720" w:type="dxa"/>
            <w:vAlign w:val="bottom"/>
            <w:tcBorders>
              <w:top w:val="single" w:sz="8" w:color="CFF0FC"/>
            </w:tcBorders>
          </w:tcPr>
          <w:p>
            <w:pPr>
              <w:spacing w:after="0"/>
              <w:rPr>
                <w:sz w:val="15"/>
                <w:szCs w:val="15"/>
                <w:color w:val="auto"/>
              </w:rPr>
            </w:pPr>
          </w:p>
        </w:tc>
        <w:tc>
          <w:tcPr>
            <w:tcW w:w="3960" w:type="dxa"/>
            <w:vAlign w:val="bottom"/>
            <w:tcBorders>
              <w:top w:val="single" w:sz="8" w:color="CFF0FC"/>
            </w:tcBorders>
          </w:tcPr>
          <w:p>
            <w:pPr>
              <w:spacing w:after="0"/>
              <w:rPr>
                <w:sz w:val="15"/>
                <w:szCs w:val="15"/>
                <w:color w:val="auto"/>
              </w:rPr>
            </w:pPr>
          </w:p>
        </w:tc>
        <w:tc>
          <w:tcPr>
            <w:tcW w:w="1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0.7</w:t>
            </w:r>
          </w:p>
        </w:tc>
        <w:tc>
          <w:tcPr>
            <w:tcW w:w="1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(4.2 ) $</w:t>
            </w:r>
          </w:p>
        </w:tc>
        <w:tc>
          <w:tcPr>
            <w:tcW w:w="9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(0.8 )</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As discussed above, financial instruments used in our regulated Gas Utilities are not designated as cash flow hedges. However, there is no earnings impact because the unrealized gains and losses arising from the use of these financial instruments are recorded as Regulatory assets or Regulatory liabilities. The net unrealized losses included in a Regulatory asset related to these financial instruments used in our Gas Utilities were $2.9 million and $5.1 million at December 31, 2024, and 2023, respectively.</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FAIR VALUE MEASUREMENTS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Recurring Fair Value Measurements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Derivatives</w:t>
      </w:r>
    </w:p>
    <w:p>
      <w:pPr>
        <w:spacing w:after="0" w:line="19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 xml:space="preserve">Valuation methodologies for our derivatives are detailed within </w:t>
      </w:r>
      <w:r>
        <w:rPr>
          <w:rFonts w:ascii="Arial" w:cs="Arial" w:eastAsia="Arial" w:hAnsi="Arial"/>
          <w:sz w:val="16"/>
          <w:szCs w:val="16"/>
          <w:u w:val="single" w:color="auto"/>
          <w:color w:val="0000FF"/>
        </w:rPr>
        <w:t>Note 1</w:t>
      </w:r>
      <w:r>
        <w:rPr>
          <w:rFonts w:ascii="Arial" w:cs="Arial" w:eastAsia="Arial" w:hAnsi="Arial"/>
          <w:sz w:val="16"/>
          <w:szCs w:val="16"/>
          <w:color w:val="auto"/>
        </w:rPr>
        <w:t>. The following tables set forth, by level within the fair value hierarchy, our gross assets and gross liabilities and related offsetting as permitted by GAAP that were accounted for at fair value on a recurring basis for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2863850</wp:posOffset>
            </wp:positionH>
            <wp:positionV relativeFrom="paragraph">
              <wp:posOffset>-165735</wp:posOffset>
            </wp:positionV>
            <wp:extent cx="30289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580" w:type="dxa"/>
            <w:vAlign w:val="bottom"/>
            <w:tcBorders>
              <w:bottom w:val="single" w:sz="8" w:color="auto"/>
            </w:tcBorders>
            <w:gridSpan w:val="5"/>
          </w:tcPr>
          <w:p>
            <w:pPr>
              <w:jc w:val="right"/>
              <w:ind w:right="1579"/>
              <w:spacing w:after="0"/>
              <w:rPr>
                <w:sz w:val="20"/>
                <w:szCs w:val="20"/>
                <w:color w:val="auto"/>
              </w:rPr>
            </w:pPr>
            <w:r>
              <w:rPr>
                <w:rFonts w:ascii="Arial" w:cs="Arial" w:eastAsia="Arial" w:hAnsi="Arial"/>
                <w:sz w:val="16"/>
                <w:szCs w:val="16"/>
                <w:b w:val="1"/>
                <w:bCs w:val="1"/>
                <w:color w:val="auto"/>
              </w:rPr>
              <w:t>As of December 31, 2024</w:t>
            </w:r>
          </w:p>
        </w:tc>
        <w:tc>
          <w:tcPr>
            <w:tcW w:w="1180" w:type="dxa"/>
            <w:vAlign w:val="bottom"/>
            <w:tcBorders>
              <w:bottom w:val="single" w:sz="8" w:color="auto"/>
            </w:tcBorders>
          </w:tcPr>
          <w:p>
            <w:pPr>
              <w:spacing w:after="0"/>
              <w:rPr>
                <w:sz w:val="17"/>
                <w:szCs w:val="17"/>
                <w:color w:val="auto"/>
              </w:rPr>
            </w:pPr>
          </w:p>
        </w:tc>
      </w:tr>
      <w:tr>
        <w:trPr>
          <w:trHeight w:val="168"/>
        </w:trPr>
        <w:tc>
          <w:tcPr>
            <w:tcW w:w="3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tcPr>
          <w:p>
            <w:pPr>
              <w:jc w:val="center"/>
              <w:ind w:right="479"/>
              <w:spacing w:after="0" w:line="168" w:lineRule="exact"/>
              <w:rPr>
                <w:sz w:val="20"/>
                <w:szCs w:val="20"/>
                <w:color w:val="auto"/>
              </w:rPr>
            </w:pPr>
            <w:r>
              <w:rPr>
                <w:rFonts w:ascii="Arial" w:cs="Arial" w:eastAsia="Arial" w:hAnsi="Arial"/>
                <w:sz w:val="16"/>
                <w:szCs w:val="16"/>
                <w:b w:val="1"/>
                <w:bCs w:val="1"/>
                <w:color w:val="auto"/>
              </w:rPr>
              <w:t>Cash Collateral</w:t>
            </w:r>
          </w:p>
        </w:tc>
        <w:tc>
          <w:tcPr>
            <w:tcW w:w="1180" w:type="dxa"/>
            <w:vAlign w:val="bottom"/>
          </w:tcPr>
          <w:p>
            <w:pPr>
              <w:spacing w:after="0"/>
              <w:rPr>
                <w:sz w:val="14"/>
                <w:szCs w:val="14"/>
                <w:color w:val="auto"/>
              </w:rPr>
            </w:pPr>
          </w:p>
        </w:tc>
      </w:tr>
      <w:tr>
        <w:trPr>
          <w:trHeight w:val="163"/>
        </w:trPr>
        <w:tc>
          <w:tcPr>
            <w:tcW w:w="3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940" w:type="dxa"/>
            <w:vAlign w:val="bottom"/>
            <w:gridSpan w:val="2"/>
          </w:tcPr>
          <w:p>
            <w:pPr>
              <w:jc w:val="center"/>
              <w:ind w:right="319"/>
              <w:spacing w:after="0" w:line="163" w:lineRule="exact"/>
              <w:rPr>
                <w:sz w:val="20"/>
                <w:szCs w:val="20"/>
                <w:color w:val="auto"/>
              </w:rPr>
            </w:pPr>
            <w:r>
              <w:rPr>
                <w:rFonts w:ascii="Arial" w:cs="Arial" w:eastAsia="Arial" w:hAnsi="Arial"/>
                <w:sz w:val="16"/>
                <w:szCs w:val="16"/>
                <w:b w:val="1"/>
                <w:bCs w:val="1"/>
                <w:color w:val="auto"/>
              </w:rPr>
              <w:t>and Counterparty</w:t>
            </w:r>
          </w:p>
        </w:tc>
        <w:tc>
          <w:tcPr>
            <w:tcW w:w="1180" w:type="dxa"/>
            <w:vAlign w:val="bottom"/>
          </w:tcPr>
          <w:p>
            <w:pPr>
              <w:spacing w:after="0"/>
              <w:rPr>
                <w:sz w:val="14"/>
                <w:szCs w:val="14"/>
                <w:color w:val="auto"/>
              </w:rPr>
            </w:pPr>
          </w:p>
        </w:tc>
      </w:tr>
      <w:tr>
        <w:trPr>
          <w:trHeight w:val="229"/>
        </w:trPr>
        <w:tc>
          <w:tcPr>
            <w:tcW w:w="3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Level 1</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Level 2</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Level 3</w:t>
            </w:r>
          </w:p>
        </w:tc>
        <w:tc>
          <w:tcPr>
            <w:tcW w:w="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center"/>
              <w:ind w:right="439"/>
              <w:spacing w:after="0" w:line="230" w:lineRule="exact"/>
              <w:rPr>
                <w:sz w:val="20"/>
                <w:szCs w:val="20"/>
                <w:color w:val="auto"/>
              </w:rPr>
            </w:pPr>
            <w:r>
              <w:rPr>
                <w:rFonts w:ascii="Arial" w:cs="Arial" w:eastAsia="Arial" w:hAnsi="Arial"/>
                <w:sz w:val="16"/>
                <w:szCs w:val="16"/>
                <w:b w:val="1"/>
                <w:bCs w:val="1"/>
                <w:color w:val="auto"/>
                <w:w w:val="96"/>
              </w:rPr>
              <w:t xml:space="preserve">Netting </w:t>
            </w:r>
            <w:r>
              <w:rPr>
                <w:rFonts w:ascii="Arial" w:cs="Arial" w:eastAsia="Arial" w:hAnsi="Arial"/>
                <w:sz w:val="21"/>
                <w:szCs w:val="21"/>
                <w:b w:val="1"/>
                <w:bCs w:val="1"/>
                <w:color w:val="auto"/>
                <w:w w:val="96"/>
                <w:vertAlign w:val="superscript"/>
              </w:rPr>
              <w:t>(a)</w:t>
            </w: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Total</w:t>
            </w:r>
          </w:p>
        </w:tc>
      </w:tr>
      <w:tr>
        <w:trPr>
          <w:trHeight w:val="183"/>
        </w:trPr>
        <w:tc>
          <w:tcPr>
            <w:tcW w:w="3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ind w:left="120"/>
              <w:spacing w:after="0" w:line="183" w:lineRule="exact"/>
              <w:rPr>
                <w:sz w:val="20"/>
                <w:szCs w:val="20"/>
                <w:color w:val="auto"/>
              </w:rPr>
            </w:pPr>
            <w:r>
              <w:rPr>
                <w:rFonts w:ascii="Arial" w:cs="Arial" w:eastAsia="Arial" w:hAnsi="Arial"/>
                <w:sz w:val="16"/>
                <w:szCs w:val="16"/>
                <w:color w:val="auto"/>
              </w:rPr>
              <w:t>(in millions)</w:t>
            </w:r>
          </w:p>
        </w:tc>
        <w:tc>
          <w:tcPr>
            <w:tcW w:w="1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r>
      <w:tr>
        <w:trPr>
          <w:trHeight w:val="183"/>
        </w:trPr>
        <w:tc>
          <w:tcPr>
            <w:tcW w:w="3760" w:type="dxa"/>
            <w:vAlign w:val="bottom"/>
            <w:gridSpan w:val="2"/>
            <w:shd w:val="clear" w:color="auto" w:fill="CFF0FC"/>
          </w:tcPr>
          <w:p>
            <w:pPr>
              <w:ind w:left="20"/>
              <w:spacing w:after="0" w:line="183" w:lineRule="exact"/>
              <w:rPr>
                <w:sz w:val="20"/>
                <w:szCs w:val="20"/>
                <w:color w:val="auto"/>
              </w:rPr>
            </w:pPr>
            <w:r>
              <w:rPr>
                <w:rFonts w:ascii="Arial" w:cs="Arial" w:eastAsia="Arial" w:hAnsi="Arial"/>
                <w:sz w:val="16"/>
                <w:szCs w:val="16"/>
                <w:color w:val="auto"/>
              </w:rPr>
              <w:t>Assets:</w:t>
            </w:r>
          </w:p>
        </w:tc>
        <w:tc>
          <w:tcPr>
            <w:tcW w:w="26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78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r>
      <w:tr>
        <w:trPr>
          <w:trHeight w:val="189"/>
        </w:trPr>
        <w:tc>
          <w:tcPr>
            <w:tcW w:w="3760" w:type="dxa"/>
            <w:vAlign w:val="bottom"/>
            <w:gridSpan w:val="2"/>
          </w:tcPr>
          <w:p>
            <w:pPr>
              <w:ind w:left="200"/>
              <w:spacing w:after="0"/>
              <w:rPr>
                <w:sz w:val="20"/>
                <w:szCs w:val="20"/>
                <w:color w:val="auto"/>
              </w:rPr>
            </w:pPr>
            <w:r>
              <w:rPr>
                <w:rFonts w:ascii="Arial" w:cs="Arial" w:eastAsia="Arial" w:hAnsi="Arial"/>
                <w:sz w:val="16"/>
                <w:szCs w:val="16"/>
                <w:color w:val="auto"/>
              </w:rPr>
              <w:t>Commodity derivatives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ind w:left="9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ind w:left="9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(2.2 ) $</w:t>
            </w: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r>
      <w:tr>
        <w:trPr>
          <w:trHeight w:val="223"/>
        </w:trPr>
        <w:tc>
          <w:tcPr>
            <w:tcW w:w="3760" w:type="dxa"/>
            <w:vAlign w:val="bottom"/>
            <w:tcBorders>
              <w:bottom w:val="single" w:sz="8" w:color="CFF0FC"/>
            </w:tcBorders>
            <w:gridSpan w:val="2"/>
            <w:shd w:val="clear" w:color="auto" w:fill="CFF0FC"/>
          </w:tcPr>
          <w:p>
            <w:pPr>
              <w:ind w:left="200"/>
              <w:spacing w:after="0" w:line="183" w:lineRule="exact"/>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FF0FC"/>
          </w:tcPr>
          <w:p>
            <w:pPr>
              <w:ind w:left="920"/>
              <w:spacing w:after="0" w:line="183" w:lineRule="exact"/>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2.2</w:t>
            </w:r>
          </w:p>
        </w:tc>
        <w:tc>
          <w:tcPr>
            <w:tcW w:w="28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FF0FC"/>
          </w:tcPr>
          <w:p>
            <w:pPr>
              <w:ind w:left="960"/>
              <w:spacing w:after="0" w:line="183" w:lineRule="exact"/>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(2.2 ) $</w:t>
            </w:r>
          </w:p>
        </w:tc>
        <w:tc>
          <w:tcPr>
            <w:tcW w:w="118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w:t>
            </w:r>
          </w:p>
        </w:tc>
      </w:tr>
      <w:tr>
        <w:trPr>
          <w:trHeight w:val="170"/>
        </w:trPr>
        <w:tc>
          <w:tcPr>
            <w:tcW w:w="3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89"/>
        </w:trPr>
        <w:tc>
          <w:tcPr>
            <w:tcW w:w="37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Liabilities:</w:t>
            </w:r>
          </w:p>
        </w:tc>
        <w:tc>
          <w:tcPr>
            <w:tcW w:w="26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78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r>
      <w:tr>
        <w:trPr>
          <w:trHeight w:val="189"/>
        </w:trPr>
        <w:tc>
          <w:tcPr>
            <w:tcW w:w="3760" w:type="dxa"/>
            <w:vAlign w:val="bottom"/>
            <w:gridSpan w:val="2"/>
          </w:tcPr>
          <w:p>
            <w:pPr>
              <w:ind w:left="200"/>
              <w:spacing w:after="0"/>
              <w:rPr>
                <w:sz w:val="20"/>
                <w:szCs w:val="20"/>
                <w:color w:val="auto"/>
              </w:rPr>
            </w:pPr>
            <w:r>
              <w:rPr>
                <w:rFonts w:ascii="Arial" w:cs="Arial" w:eastAsia="Arial" w:hAnsi="Arial"/>
                <w:sz w:val="16"/>
                <w:szCs w:val="16"/>
                <w:color w:val="auto"/>
              </w:rPr>
              <w:t>Commodity derivatives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ind w:left="9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ind w:left="9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(0.6 ) $</w:t>
            </w: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4.2</w:t>
            </w:r>
          </w:p>
        </w:tc>
      </w:tr>
      <w:tr>
        <w:trPr>
          <w:trHeight w:val="223"/>
        </w:trPr>
        <w:tc>
          <w:tcPr>
            <w:tcW w:w="3760" w:type="dxa"/>
            <w:vAlign w:val="bottom"/>
            <w:tcBorders>
              <w:bottom w:val="single" w:sz="8" w:color="CFF0FC"/>
            </w:tcBorders>
            <w:gridSpan w:val="2"/>
            <w:shd w:val="clear" w:color="auto" w:fill="CFF0FC"/>
          </w:tcPr>
          <w:p>
            <w:pPr>
              <w:ind w:left="200"/>
              <w:spacing w:after="0" w:line="183" w:lineRule="exact"/>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FF0FC"/>
          </w:tcPr>
          <w:p>
            <w:pPr>
              <w:ind w:left="920"/>
              <w:spacing w:after="0" w:line="183" w:lineRule="exact"/>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4.8</w:t>
            </w:r>
          </w:p>
        </w:tc>
        <w:tc>
          <w:tcPr>
            <w:tcW w:w="28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FF0FC"/>
          </w:tcPr>
          <w:p>
            <w:pPr>
              <w:ind w:left="960"/>
              <w:spacing w:after="0" w:line="183" w:lineRule="exact"/>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(0.6 ) $</w:t>
            </w:r>
          </w:p>
        </w:tc>
        <w:tc>
          <w:tcPr>
            <w:tcW w:w="118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4.2</w:t>
            </w:r>
          </w:p>
        </w:tc>
      </w:tr>
      <w:tr>
        <w:trPr>
          <w:trHeight w:val="116"/>
        </w:trPr>
        <w:tc>
          <w:tcPr>
            <w:tcW w:w="338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180" w:type="dxa"/>
            <w:vAlign w:val="bottom"/>
          </w:tcPr>
          <w:p>
            <w:pPr>
              <w:spacing w:after="0"/>
              <w:rPr>
                <w:sz w:val="10"/>
                <w:szCs w:val="10"/>
                <w:color w:val="auto"/>
              </w:rPr>
            </w:pPr>
          </w:p>
        </w:tc>
      </w:tr>
    </w:tbl>
    <w:p>
      <w:pPr>
        <w:spacing w:after="0" w:line="31" w:lineRule="exact"/>
        <w:rPr>
          <w:sz w:val="20"/>
          <w:szCs w:val="20"/>
          <w:color w:val="auto"/>
        </w:rPr>
      </w:pPr>
    </w:p>
    <w:p>
      <w:pPr>
        <w:ind w:left="520" w:right="240" w:hanging="512"/>
        <w:spacing w:after="0" w:line="285" w:lineRule="auto"/>
        <w:tabs>
          <w:tab w:leader="none" w:pos="5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As of December 31, 2024, $2.2 million of our commodity derivative gross assets and $0.6 million of our commodity derivative gross liabilities, as well as related gross collateral amounts, were subject to master netting agreements.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580" w:type="dxa"/>
            <w:vAlign w:val="bottom"/>
            <w:tcBorders>
              <w:bottom w:val="single" w:sz="8" w:color="auto"/>
            </w:tcBorders>
            <w:gridSpan w:val="5"/>
          </w:tcPr>
          <w:p>
            <w:pPr>
              <w:jc w:val="right"/>
              <w:ind w:right="1579"/>
              <w:spacing w:after="0"/>
              <w:rPr>
                <w:sz w:val="20"/>
                <w:szCs w:val="20"/>
                <w:color w:val="auto"/>
              </w:rPr>
            </w:pPr>
            <w:r>
              <w:rPr>
                <w:rFonts w:ascii="Arial" w:cs="Arial" w:eastAsia="Arial" w:hAnsi="Arial"/>
                <w:sz w:val="16"/>
                <w:szCs w:val="16"/>
                <w:b w:val="1"/>
                <w:bCs w:val="1"/>
                <w:color w:val="auto"/>
              </w:rPr>
              <w:t>As of December 31, 2023</w:t>
            </w:r>
          </w:p>
        </w:tc>
        <w:tc>
          <w:tcPr>
            <w:tcW w:w="1180" w:type="dxa"/>
            <w:vAlign w:val="bottom"/>
            <w:tcBorders>
              <w:bottom w:val="single" w:sz="8" w:color="auto"/>
            </w:tcBorders>
          </w:tcPr>
          <w:p>
            <w:pPr>
              <w:spacing w:after="0"/>
              <w:rPr>
                <w:sz w:val="17"/>
                <w:szCs w:val="17"/>
                <w:color w:val="auto"/>
              </w:rPr>
            </w:pPr>
          </w:p>
        </w:tc>
      </w:tr>
      <w:tr>
        <w:trPr>
          <w:trHeight w:val="168"/>
        </w:trPr>
        <w:tc>
          <w:tcPr>
            <w:tcW w:w="3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tcPr>
          <w:p>
            <w:pPr>
              <w:jc w:val="center"/>
              <w:ind w:right="479"/>
              <w:spacing w:after="0" w:line="168" w:lineRule="exact"/>
              <w:rPr>
                <w:sz w:val="20"/>
                <w:szCs w:val="20"/>
                <w:color w:val="auto"/>
              </w:rPr>
            </w:pPr>
            <w:r>
              <w:rPr>
                <w:rFonts w:ascii="Arial" w:cs="Arial" w:eastAsia="Arial" w:hAnsi="Arial"/>
                <w:sz w:val="16"/>
                <w:szCs w:val="16"/>
                <w:b w:val="1"/>
                <w:bCs w:val="1"/>
                <w:color w:val="auto"/>
              </w:rPr>
              <w:t>Cash Collateral</w:t>
            </w:r>
          </w:p>
        </w:tc>
        <w:tc>
          <w:tcPr>
            <w:tcW w:w="1180" w:type="dxa"/>
            <w:vAlign w:val="bottom"/>
          </w:tcPr>
          <w:p>
            <w:pPr>
              <w:spacing w:after="0"/>
              <w:rPr>
                <w:sz w:val="14"/>
                <w:szCs w:val="14"/>
                <w:color w:val="auto"/>
              </w:rPr>
            </w:pPr>
          </w:p>
        </w:tc>
      </w:tr>
      <w:tr>
        <w:trPr>
          <w:trHeight w:val="163"/>
        </w:trPr>
        <w:tc>
          <w:tcPr>
            <w:tcW w:w="3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940" w:type="dxa"/>
            <w:vAlign w:val="bottom"/>
            <w:gridSpan w:val="2"/>
          </w:tcPr>
          <w:p>
            <w:pPr>
              <w:jc w:val="center"/>
              <w:ind w:right="319"/>
              <w:spacing w:after="0" w:line="163" w:lineRule="exact"/>
              <w:rPr>
                <w:sz w:val="20"/>
                <w:szCs w:val="20"/>
                <w:color w:val="auto"/>
              </w:rPr>
            </w:pPr>
            <w:r>
              <w:rPr>
                <w:rFonts w:ascii="Arial" w:cs="Arial" w:eastAsia="Arial" w:hAnsi="Arial"/>
                <w:sz w:val="16"/>
                <w:szCs w:val="16"/>
                <w:b w:val="1"/>
                <w:bCs w:val="1"/>
                <w:color w:val="auto"/>
              </w:rPr>
              <w:t>and Counterparty</w:t>
            </w:r>
          </w:p>
        </w:tc>
        <w:tc>
          <w:tcPr>
            <w:tcW w:w="1180" w:type="dxa"/>
            <w:vAlign w:val="bottom"/>
          </w:tcPr>
          <w:p>
            <w:pPr>
              <w:spacing w:after="0"/>
              <w:rPr>
                <w:sz w:val="14"/>
                <w:szCs w:val="14"/>
                <w:color w:val="auto"/>
              </w:rPr>
            </w:pPr>
          </w:p>
        </w:tc>
      </w:tr>
      <w:tr>
        <w:trPr>
          <w:trHeight w:val="230"/>
        </w:trPr>
        <w:tc>
          <w:tcPr>
            <w:tcW w:w="3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Level 1</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Level 2</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Level 3</w:t>
            </w:r>
          </w:p>
        </w:tc>
        <w:tc>
          <w:tcPr>
            <w:tcW w:w="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center"/>
              <w:ind w:right="439"/>
              <w:spacing w:after="0" w:line="230" w:lineRule="exact"/>
              <w:rPr>
                <w:sz w:val="20"/>
                <w:szCs w:val="20"/>
                <w:color w:val="auto"/>
              </w:rPr>
            </w:pPr>
            <w:r>
              <w:rPr>
                <w:rFonts w:ascii="Arial" w:cs="Arial" w:eastAsia="Arial" w:hAnsi="Arial"/>
                <w:sz w:val="16"/>
                <w:szCs w:val="16"/>
                <w:b w:val="1"/>
                <w:bCs w:val="1"/>
                <w:color w:val="auto"/>
                <w:w w:val="96"/>
              </w:rPr>
              <w:t xml:space="preserve">Netting </w:t>
            </w:r>
            <w:r>
              <w:rPr>
                <w:rFonts w:ascii="Arial" w:cs="Arial" w:eastAsia="Arial" w:hAnsi="Arial"/>
                <w:sz w:val="21"/>
                <w:szCs w:val="21"/>
                <w:b w:val="1"/>
                <w:bCs w:val="1"/>
                <w:color w:val="auto"/>
                <w:w w:val="96"/>
                <w:vertAlign w:val="superscript"/>
              </w:rPr>
              <w:t>(a)</w:t>
            </w: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Total</w:t>
            </w:r>
          </w:p>
        </w:tc>
      </w:tr>
      <w:tr>
        <w:trPr>
          <w:trHeight w:val="183"/>
        </w:trPr>
        <w:tc>
          <w:tcPr>
            <w:tcW w:w="3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ind w:left="120"/>
              <w:spacing w:after="0" w:line="183" w:lineRule="exact"/>
              <w:rPr>
                <w:sz w:val="20"/>
                <w:szCs w:val="20"/>
                <w:color w:val="auto"/>
              </w:rPr>
            </w:pPr>
            <w:r>
              <w:rPr>
                <w:rFonts w:ascii="Arial" w:cs="Arial" w:eastAsia="Arial" w:hAnsi="Arial"/>
                <w:sz w:val="16"/>
                <w:szCs w:val="16"/>
                <w:color w:val="auto"/>
              </w:rPr>
              <w:t>(in millions)</w:t>
            </w:r>
          </w:p>
        </w:tc>
        <w:tc>
          <w:tcPr>
            <w:tcW w:w="1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r>
      <w:tr>
        <w:trPr>
          <w:trHeight w:val="183"/>
        </w:trPr>
        <w:tc>
          <w:tcPr>
            <w:tcW w:w="3760" w:type="dxa"/>
            <w:vAlign w:val="bottom"/>
            <w:gridSpan w:val="2"/>
            <w:shd w:val="clear" w:color="auto" w:fill="CFF0FC"/>
          </w:tcPr>
          <w:p>
            <w:pPr>
              <w:ind w:left="20"/>
              <w:spacing w:after="0" w:line="183" w:lineRule="exact"/>
              <w:rPr>
                <w:sz w:val="20"/>
                <w:szCs w:val="20"/>
                <w:color w:val="auto"/>
              </w:rPr>
            </w:pPr>
            <w:r>
              <w:rPr>
                <w:rFonts w:ascii="Arial" w:cs="Arial" w:eastAsia="Arial" w:hAnsi="Arial"/>
                <w:sz w:val="16"/>
                <w:szCs w:val="16"/>
                <w:color w:val="auto"/>
              </w:rPr>
              <w:t>Assets:</w:t>
            </w:r>
          </w:p>
        </w:tc>
        <w:tc>
          <w:tcPr>
            <w:tcW w:w="26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78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r>
      <w:tr>
        <w:trPr>
          <w:trHeight w:val="189"/>
        </w:trPr>
        <w:tc>
          <w:tcPr>
            <w:tcW w:w="3760" w:type="dxa"/>
            <w:vAlign w:val="bottom"/>
            <w:gridSpan w:val="2"/>
          </w:tcPr>
          <w:p>
            <w:pPr>
              <w:ind w:left="200"/>
              <w:spacing w:after="0"/>
              <w:rPr>
                <w:sz w:val="20"/>
                <w:szCs w:val="20"/>
                <w:color w:val="auto"/>
              </w:rPr>
            </w:pPr>
            <w:r>
              <w:rPr>
                <w:rFonts w:ascii="Arial" w:cs="Arial" w:eastAsia="Arial" w:hAnsi="Arial"/>
                <w:sz w:val="16"/>
                <w:szCs w:val="16"/>
                <w:color w:val="auto"/>
              </w:rPr>
              <w:t>Commodity derivatives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ind w:left="9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ind w:left="9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(1.9 ) $</w:t>
            </w: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r>
      <w:tr>
        <w:trPr>
          <w:trHeight w:val="223"/>
        </w:trPr>
        <w:tc>
          <w:tcPr>
            <w:tcW w:w="3760" w:type="dxa"/>
            <w:vAlign w:val="bottom"/>
            <w:tcBorders>
              <w:bottom w:val="single" w:sz="8" w:color="CFF0FC"/>
            </w:tcBorders>
            <w:gridSpan w:val="2"/>
            <w:shd w:val="clear" w:color="auto" w:fill="CFF0FC"/>
          </w:tcPr>
          <w:p>
            <w:pPr>
              <w:ind w:left="200"/>
              <w:spacing w:after="0" w:line="183" w:lineRule="exact"/>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FF0FC"/>
          </w:tcPr>
          <w:p>
            <w:pPr>
              <w:ind w:left="920"/>
              <w:spacing w:after="0" w:line="183" w:lineRule="exact"/>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1.9</w:t>
            </w:r>
          </w:p>
        </w:tc>
        <w:tc>
          <w:tcPr>
            <w:tcW w:w="28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FF0FC"/>
          </w:tcPr>
          <w:p>
            <w:pPr>
              <w:ind w:left="960"/>
              <w:spacing w:after="0" w:line="183" w:lineRule="exact"/>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(1.9 ) $</w:t>
            </w:r>
          </w:p>
        </w:tc>
        <w:tc>
          <w:tcPr>
            <w:tcW w:w="118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w:t>
            </w:r>
          </w:p>
        </w:tc>
      </w:tr>
      <w:tr>
        <w:trPr>
          <w:trHeight w:val="170"/>
        </w:trPr>
        <w:tc>
          <w:tcPr>
            <w:tcW w:w="3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89"/>
        </w:trPr>
        <w:tc>
          <w:tcPr>
            <w:tcW w:w="37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Liabilities:</w:t>
            </w:r>
          </w:p>
        </w:tc>
        <w:tc>
          <w:tcPr>
            <w:tcW w:w="26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78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r>
      <w:tr>
        <w:trPr>
          <w:trHeight w:val="189"/>
        </w:trPr>
        <w:tc>
          <w:tcPr>
            <w:tcW w:w="3760" w:type="dxa"/>
            <w:vAlign w:val="bottom"/>
            <w:gridSpan w:val="2"/>
          </w:tcPr>
          <w:p>
            <w:pPr>
              <w:ind w:left="200"/>
              <w:spacing w:after="0"/>
              <w:rPr>
                <w:sz w:val="20"/>
                <w:szCs w:val="20"/>
                <w:color w:val="auto"/>
              </w:rPr>
            </w:pPr>
            <w:r>
              <w:rPr>
                <w:rFonts w:ascii="Arial" w:cs="Arial" w:eastAsia="Arial" w:hAnsi="Arial"/>
                <w:sz w:val="16"/>
                <w:szCs w:val="16"/>
                <w:color w:val="auto"/>
              </w:rPr>
              <w:t>Commodity derivatives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ind w:left="9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ind w:left="9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(3.3 ) $</w:t>
            </w: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6.8</w:t>
            </w:r>
          </w:p>
        </w:tc>
      </w:tr>
      <w:tr>
        <w:trPr>
          <w:trHeight w:val="223"/>
        </w:trPr>
        <w:tc>
          <w:tcPr>
            <w:tcW w:w="3760" w:type="dxa"/>
            <w:vAlign w:val="bottom"/>
            <w:tcBorders>
              <w:bottom w:val="single" w:sz="8" w:color="CFF0FC"/>
            </w:tcBorders>
            <w:gridSpan w:val="2"/>
            <w:shd w:val="clear" w:color="auto" w:fill="CFF0FC"/>
          </w:tcPr>
          <w:p>
            <w:pPr>
              <w:ind w:left="200"/>
              <w:spacing w:after="0" w:line="183" w:lineRule="exact"/>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FF0FC"/>
          </w:tcPr>
          <w:p>
            <w:pPr>
              <w:ind w:left="920"/>
              <w:spacing w:after="0" w:line="183" w:lineRule="exact"/>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10.1</w:t>
            </w:r>
          </w:p>
        </w:tc>
        <w:tc>
          <w:tcPr>
            <w:tcW w:w="28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FF0FC"/>
          </w:tcPr>
          <w:p>
            <w:pPr>
              <w:ind w:left="960"/>
              <w:spacing w:after="0" w:line="183" w:lineRule="exact"/>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(3.3 ) $</w:t>
            </w:r>
          </w:p>
        </w:tc>
        <w:tc>
          <w:tcPr>
            <w:tcW w:w="118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6.8</w:t>
            </w:r>
          </w:p>
        </w:tc>
      </w:tr>
      <w:tr>
        <w:trPr>
          <w:trHeight w:val="115"/>
        </w:trPr>
        <w:tc>
          <w:tcPr>
            <w:tcW w:w="338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180" w:type="dxa"/>
            <w:vAlign w:val="bottom"/>
          </w:tcPr>
          <w:p>
            <w:pPr>
              <w:spacing w:after="0"/>
              <w:rPr>
                <w:sz w:val="10"/>
                <w:szCs w:val="10"/>
                <w:color w:val="auto"/>
              </w:rPr>
            </w:pPr>
          </w:p>
        </w:tc>
      </w:tr>
    </w:tbl>
    <w:p>
      <w:pPr>
        <w:spacing w:after="0" w:line="31" w:lineRule="exact"/>
        <w:rPr>
          <w:sz w:val="20"/>
          <w:szCs w:val="20"/>
          <w:color w:val="auto"/>
        </w:rPr>
      </w:pPr>
    </w:p>
    <w:p>
      <w:pPr>
        <w:ind w:left="520" w:right="400" w:hanging="512"/>
        <w:spacing w:after="0" w:line="285" w:lineRule="auto"/>
        <w:tabs>
          <w:tab w:leader="none" w:pos="5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As of December 31, 2023, $1.9 million of our commodity derivative assets and $3.3 million of our commodity derivative liabilities, as well as related gross collateral amounts, were subject to master netting agreements.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Pension and Retiree Plan Assets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 discussion of the fair value of our Pension and Retiree Plan assets is included in </w:t>
      </w:r>
      <w:r>
        <w:rPr>
          <w:rFonts w:ascii="Arial" w:cs="Arial" w:eastAsia="Arial" w:hAnsi="Arial"/>
          <w:sz w:val="16"/>
          <w:szCs w:val="16"/>
          <w:u w:val="single" w:color="auto"/>
          <w:color w:val="0000FF"/>
        </w:rPr>
        <w:t>Note 13</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-4445</wp:posOffset>
            </wp:positionV>
            <wp:extent cx="36004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Fair Value Measurements</w:t>
      </w:r>
    </w:p>
    <w:p>
      <w:pPr>
        <w:spacing w:after="0" w:line="194"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The carrying amount of cash and cash equivalents, restricted cash and equivalents, and short-term borrowings approximates fair value due to their liquid or short-term nature. Cash, cash equivalents, and restricted cash are classified in Level 1 in the fair value hierarchy. Notes payable consist of commercial paper borrowings and are not traded on an exchange; therefore, they are classified as Level 2 in the fair value hierarchy.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carrying amounts and fair values of financial instruments not recorded at fair value on the Consolidated Balance Sheets 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b w:val="1"/>
                <w:bCs w:val="1"/>
                <w:color w:val="auto"/>
              </w:rPr>
              <w:t>2024</w:t>
            </w:r>
          </w:p>
        </w:tc>
        <w:tc>
          <w:tcPr>
            <w:tcW w:w="1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2023</w:t>
            </w:r>
          </w:p>
        </w:tc>
        <w:tc>
          <w:tcPr>
            <w:tcW w:w="1340" w:type="dxa"/>
            <w:vAlign w:val="bottom"/>
            <w:tcBorders>
              <w:bottom w:val="single" w:sz="8" w:color="auto"/>
            </w:tcBorders>
          </w:tcPr>
          <w:p>
            <w:pPr>
              <w:spacing w:after="0"/>
              <w:rPr>
                <w:sz w:val="17"/>
                <w:szCs w:val="17"/>
                <w:color w:val="auto"/>
              </w:rPr>
            </w:pPr>
          </w:p>
        </w:tc>
      </w:tr>
      <w:tr>
        <w:trPr>
          <w:trHeight w:val="183"/>
        </w:trPr>
        <w:tc>
          <w:tcPr>
            <w:tcW w:w="5080" w:type="dxa"/>
            <w:vAlign w:val="bottom"/>
          </w:tcPr>
          <w:p>
            <w:pPr>
              <w:spacing w:after="0"/>
              <w:rPr>
                <w:sz w:val="15"/>
                <w:szCs w:val="15"/>
                <w:color w:val="auto"/>
              </w:rPr>
            </w:pPr>
          </w:p>
        </w:tc>
        <w:tc>
          <w:tcPr>
            <w:tcW w:w="1460" w:type="dxa"/>
            <w:vAlign w:val="bottom"/>
            <w:tcBorders>
              <w:bottom w:val="single" w:sz="8" w:color="auto"/>
            </w:tcBorders>
            <w:gridSpan w:val="2"/>
          </w:tcPr>
          <w:p>
            <w:pPr>
              <w:jc w:val="right"/>
              <w:ind w:right="19"/>
              <w:spacing w:after="0" w:line="183" w:lineRule="exact"/>
              <w:rPr>
                <w:sz w:val="20"/>
                <w:szCs w:val="20"/>
                <w:color w:val="auto"/>
              </w:rPr>
            </w:pPr>
            <w:r>
              <w:rPr>
                <w:rFonts w:ascii="Arial" w:cs="Arial" w:eastAsia="Arial" w:hAnsi="Arial"/>
                <w:sz w:val="16"/>
                <w:szCs w:val="16"/>
                <w:b w:val="1"/>
                <w:bCs w:val="1"/>
                <w:color w:val="auto"/>
              </w:rPr>
              <w:t>Carrying Amount</w:t>
            </w: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299"/>
              <w:spacing w:after="0" w:line="183" w:lineRule="exact"/>
              <w:rPr>
                <w:sz w:val="20"/>
                <w:szCs w:val="20"/>
                <w:color w:val="auto"/>
              </w:rPr>
            </w:pPr>
            <w:r>
              <w:rPr>
                <w:rFonts w:ascii="Arial" w:cs="Arial" w:eastAsia="Arial" w:hAnsi="Arial"/>
                <w:sz w:val="16"/>
                <w:szCs w:val="16"/>
                <w:b w:val="1"/>
                <w:bCs w:val="1"/>
                <w:color w:val="auto"/>
              </w:rPr>
              <w:t>Fair Value</w:t>
            </w:r>
          </w:p>
        </w:tc>
        <w:tc>
          <w:tcPr>
            <w:tcW w:w="1540" w:type="dxa"/>
            <w:vAlign w:val="bottom"/>
            <w:tcBorders>
              <w:bottom w:val="single" w:sz="8" w:color="auto"/>
            </w:tcBorders>
            <w:gridSpan w:val="2"/>
          </w:tcPr>
          <w:p>
            <w:pPr>
              <w:jc w:val="right"/>
              <w:ind w:right="19"/>
              <w:spacing w:after="0" w:line="183" w:lineRule="exact"/>
              <w:rPr>
                <w:sz w:val="20"/>
                <w:szCs w:val="20"/>
                <w:color w:val="auto"/>
              </w:rPr>
            </w:pPr>
            <w:r>
              <w:rPr>
                <w:rFonts w:ascii="Arial" w:cs="Arial" w:eastAsia="Arial" w:hAnsi="Arial"/>
                <w:sz w:val="16"/>
                <w:szCs w:val="16"/>
                <w:b w:val="1"/>
                <w:bCs w:val="1"/>
                <w:color w:val="auto"/>
              </w:rPr>
              <w:t>Carrying Amount</w:t>
            </w:r>
          </w:p>
        </w:tc>
        <w:tc>
          <w:tcPr>
            <w:tcW w:w="2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379"/>
              <w:spacing w:after="0" w:line="183" w:lineRule="exact"/>
              <w:rPr>
                <w:sz w:val="20"/>
                <w:szCs w:val="20"/>
                <w:color w:val="auto"/>
              </w:rPr>
            </w:pPr>
            <w:r>
              <w:rPr>
                <w:rFonts w:ascii="Arial" w:cs="Arial" w:eastAsia="Arial" w:hAnsi="Arial"/>
                <w:sz w:val="16"/>
                <w:szCs w:val="16"/>
                <w:b w:val="1"/>
                <w:bCs w:val="1"/>
                <w:color w:val="auto"/>
              </w:rPr>
              <w:t>Fair Value</w:t>
            </w:r>
          </w:p>
        </w:tc>
      </w:tr>
      <w:tr>
        <w:trPr>
          <w:trHeight w:val="183"/>
        </w:trPr>
        <w:tc>
          <w:tcPr>
            <w:tcW w:w="508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2"/>
          </w:tcPr>
          <w:p>
            <w:pPr>
              <w:jc w:val="right"/>
              <w:ind w:right="179"/>
              <w:spacing w:after="0" w:line="183" w:lineRule="exact"/>
              <w:rPr>
                <w:sz w:val="20"/>
                <w:szCs w:val="20"/>
                <w:color w:val="auto"/>
              </w:rPr>
            </w:pPr>
            <w:r>
              <w:rPr>
                <w:rFonts w:ascii="Arial" w:cs="Arial" w:eastAsia="Arial" w:hAnsi="Arial"/>
                <w:sz w:val="16"/>
                <w:szCs w:val="16"/>
                <w:color w:val="auto"/>
              </w:rPr>
              <w:t>(in millions)</w:t>
            </w:r>
          </w:p>
        </w:tc>
        <w:tc>
          <w:tcPr>
            <w:tcW w:w="8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r>
      <w:tr>
        <w:trPr>
          <w:trHeight w:val="183"/>
        </w:trPr>
        <w:tc>
          <w:tcPr>
            <w:tcW w:w="508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 xml:space="preserve">Long-term debt, including current maturities </w:t>
            </w:r>
            <w:r>
              <w:rPr>
                <w:rFonts w:ascii="Arial" w:cs="Arial" w:eastAsia="Arial" w:hAnsi="Arial"/>
                <w:sz w:val="21"/>
                <w:szCs w:val="21"/>
                <w:color w:val="auto"/>
                <w:vertAlign w:val="superscript"/>
              </w:rPr>
              <w:t>(a)</w:t>
            </w:r>
          </w:p>
        </w:tc>
        <w:tc>
          <w:tcPr>
            <w:tcW w:w="480" w:type="dxa"/>
            <w:vAlign w:val="bottom"/>
            <w:shd w:val="clear" w:color="auto" w:fill="CFF0FC"/>
          </w:tcPr>
          <w:p>
            <w:pPr>
              <w:jc w:val="right"/>
              <w:ind w:right="299"/>
              <w:spacing w:after="0" w:line="183" w:lineRule="exact"/>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4,250.2</w:t>
            </w:r>
          </w:p>
        </w:tc>
        <w:tc>
          <w:tcPr>
            <w:tcW w:w="30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4,059.1</w:t>
            </w:r>
          </w:p>
        </w:tc>
        <w:tc>
          <w:tcPr>
            <w:tcW w:w="680" w:type="dxa"/>
            <w:vAlign w:val="bottom"/>
            <w:shd w:val="clear" w:color="auto" w:fill="CFF0FC"/>
          </w:tcPr>
          <w:p>
            <w:pPr>
              <w:jc w:val="right"/>
              <w:ind w:right="419"/>
              <w:spacing w:after="0" w:line="183" w:lineRule="exact"/>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4,401.2</w:t>
            </w:r>
          </w:p>
        </w:tc>
        <w:tc>
          <w:tcPr>
            <w:tcW w:w="28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4,215.6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214312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60" w:lineRule="exact"/>
        <w:rPr>
          <w:sz w:val="20"/>
          <w:szCs w:val="20"/>
          <w:color w:val="auto"/>
        </w:rPr>
      </w:pPr>
    </w:p>
    <w:p>
      <w:pPr>
        <w:ind w:left="520" w:right="220" w:hanging="512"/>
        <w:spacing w:after="0" w:line="285" w:lineRule="auto"/>
        <w:tabs>
          <w:tab w:leader="none" w:pos="5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Long-term debt is valued based on observable inputs available either directly or indirectly for similar liabilities in active markets and therefore is classified in Level 2 in the fair value hierarchy. Carrying amount of long-term debt is net of deferred financing costs.</w:t>
      </w: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OTHER COMPREHENSIVE INCOME</w:t>
      </w:r>
    </w:p>
    <w:p>
      <w:pPr>
        <w:spacing w:after="0" w:line="194"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We record deferred gains (losses) in AOCI related to interest rate swaps designated as cash flow hedges, commodity contracts designated as cash flow hedges, and the amortization of components of our defined benefit plans. Deferred gains (losses) for our commodity contracts designated as cash flow hedges are recognized in earnings upon settlement, while deferred gains (losses) related to our interest rate swaps are recognized in earnings as they are amortized.</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details reclassifications out of AOCI and into Net income. The amounts in parentheses below indicate decreases to Net income in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Consolidated Statements of Income for the period, net of tax:</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00" w:type="dxa"/>
            <w:vAlign w:val="bottom"/>
          </w:tcPr>
          <w:p>
            <w:pPr>
              <w:spacing w:after="0"/>
              <w:rPr>
                <w:sz w:val="16"/>
                <w:szCs w:val="16"/>
                <w:color w:val="auto"/>
              </w:rPr>
            </w:pPr>
          </w:p>
        </w:tc>
        <w:tc>
          <w:tcPr>
            <w:tcW w:w="2980" w:type="dxa"/>
            <w:vAlign w:val="bottom"/>
          </w:tcPr>
          <w:p>
            <w:pPr>
              <w:ind w:left="360"/>
              <w:spacing w:after="0"/>
              <w:rPr>
                <w:sz w:val="20"/>
                <w:szCs w:val="20"/>
                <w:color w:val="auto"/>
              </w:rPr>
            </w:pPr>
            <w:r>
              <w:rPr>
                <w:rFonts w:ascii="Arial" w:cs="Arial" w:eastAsia="Arial" w:hAnsi="Arial"/>
                <w:sz w:val="16"/>
                <w:szCs w:val="16"/>
                <w:b w:val="1"/>
                <w:bCs w:val="1"/>
                <w:color w:val="auto"/>
              </w:rPr>
              <w:t>Location on the Consolidated</w:t>
            </w:r>
          </w:p>
        </w:tc>
        <w:tc>
          <w:tcPr>
            <w:tcW w:w="280" w:type="dxa"/>
            <w:vAlign w:val="bottom"/>
          </w:tcPr>
          <w:p>
            <w:pPr>
              <w:spacing w:after="0"/>
              <w:rPr>
                <w:sz w:val="16"/>
                <w:szCs w:val="16"/>
                <w:color w:val="auto"/>
              </w:rPr>
            </w:pPr>
          </w:p>
        </w:tc>
        <w:tc>
          <w:tcPr>
            <w:tcW w:w="2700" w:type="dxa"/>
            <w:vAlign w:val="bottom"/>
            <w:gridSpan w:val="2"/>
          </w:tcPr>
          <w:p>
            <w:pPr>
              <w:jc w:val="right"/>
              <w:spacing w:after="0"/>
              <w:rPr>
                <w:sz w:val="20"/>
                <w:szCs w:val="20"/>
                <w:color w:val="auto"/>
              </w:rPr>
            </w:pPr>
            <w:r>
              <w:rPr>
                <w:rFonts w:ascii="Arial" w:cs="Arial" w:eastAsia="Arial" w:hAnsi="Arial"/>
                <w:sz w:val="16"/>
                <w:szCs w:val="16"/>
                <w:b w:val="1"/>
                <w:bCs w:val="1"/>
                <w:color w:val="auto"/>
              </w:rPr>
              <w:t>Amount Reclassified from AOCI</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80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tcPr>
          <w:p>
            <w:pPr>
              <w:ind w:left="660"/>
              <w:spacing w:after="0"/>
              <w:rPr>
                <w:sz w:val="20"/>
                <w:szCs w:val="20"/>
                <w:color w:val="auto"/>
              </w:rPr>
            </w:pPr>
            <w:r>
              <w:rPr>
                <w:rFonts w:ascii="Arial" w:cs="Arial" w:eastAsia="Arial" w:hAnsi="Arial"/>
                <w:sz w:val="16"/>
                <w:szCs w:val="16"/>
                <w:b w:val="1"/>
                <w:bCs w:val="1"/>
                <w:color w:val="auto"/>
              </w:rPr>
              <w:t>Statements of Income</w:t>
            </w:r>
          </w:p>
        </w:tc>
        <w:tc>
          <w:tcPr>
            <w:tcW w:w="174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6"/>
                <w:szCs w:val="16"/>
                <w:b w:val="1"/>
                <w:bCs w:val="1"/>
                <w:color w:val="auto"/>
              </w:rPr>
              <w:t>December 31, 2024</w:t>
            </w:r>
          </w:p>
        </w:tc>
        <w:tc>
          <w:tcPr>
            <w:tcW w:w="172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6"/>
                <w:szCs w:val="16"/>
                <w:b w:val="1"/>
                <w:bCs w:val="1"/>
                <w:color w:val="auto"/>
              </w:rPr>
              <w:t>December 31, 2023</w:t>
            </w:r>
          </w:p>
        </w:tc>
        <w:tc>
          <w:tcPr>
            <w:tcW w:w="0" w:type="dxa"/>
            <w:vAlign w:val="bottom"/>
          </w:tcPr>
          <w:p>
            <w:pPr>
              <w:spacing w:after="0"/>
              <w:rPr>
                <w:sz w:val="1"/>
                <w:szCs w:val="1"/>
                <w:color w:val="auto"/>
              </w:rPr>
            </w:pPr>
          </w:p>
        </w:tc>
      </w:tr>
      <w:tr>
        <w:trPr>
          <w:trHeight w:val="183"/>
        </w:trPr>
        <w:tc>
          <w:tcPr>
            <w:tcW w:w="480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2"/>
          </w:tcPr>
          <w:p>
            <w:pPr>
              <w:jc w:val="right"/>
              <w:ind w:right="819"/>
              <w:spacing w:after="0" w:line="183" w:lineRule="exact"/>
              <w:rPr>
                <w:sz w:val="20"/>
                <w:szCs w:val="20"/>
                <w:color w:val="auto"/>
              </w:rPr>
            </w:pPr>
            <w:r>
              <w:rPr>
                <w:rFonts w:ascii="Arial" w:cs="Arial" w:eastAsia="Arial" w:hAnsi="Arial"/>
                <w:sz w:val="16"/>
                <w:szCs w:val="16"/>
                <w:color w:val="auto"/>
              </w:rPr>
              <w:t>(in millions)</w:t>
            </w:r>
          </w:p>
        </w:tc>
        <w:tc>
          <w:tcPr>
            <w:tcW w:w="4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80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Gains and (losses) on cash flow hedges:</w:t>
            </w:r>
          </w:p>
        </w:tc>
        <w:tc>
          <w:tcPr>
            <w:tcW w:w="29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00" w:type="dxa"/>
            <w:vAlign w:val="bottom"/>
          </w:tcPr>
          <w:p>
            <w:pPr>
              <w:ind w:left="200"/>
              <w:spacing w:after="0"/>
              <w:rPr>
                <w:sz w:val="20"/>
                <w:szCs w:val="20"/>
                <w:color w:val="auto"/>
              </w:rPr>
            </w:pPr>
            <w:r>
              <w:rPr>
                <w:rFonts w:ascii="Arial" w:cs="Arial" w:eastAsia="Arial" w:hAnsi="Arial"/>
                <w:sz w:val="16"/>
                <w:szCs w:val="16"/>
                <w:color w:val="auto"/>
              </w:rPr>
              <w:t>Interest rate swaps</w:t>
            </w:r>
          </w:p>
        </w:tc>
        <w:tc>
          <w:tcPr>
            <w:tcW w:w="2980" w:type="dxa"/>
            <w:vAlign w:val="bottom"/>
          </w:tcPr>
          <w:p>
            <w:pPr>
              <w:ind w:left="60"/>
              <w:spacing w:after="0"/>
              <w:rPr>
                <w:sz w:val="20"/>
                <w:szCs w:val="20"/>
                <w:color w:val="auto"/>
              </w:rPr>
            </w:pPr>
            <w:r>
              <w:rPr>
                <w:rFonts w:ascii="Arial" w:cs="Arial" w:eastAsia="Arial" w:hAnsi="Arial"/>
                <w:sz w:val="16"/>
                <w:szCs w:val="16"/>
                <w:color w:val="auto"/>
              </w:rPr>
              <w:t>Interest expense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2700" w:type="dxa"/>
            <w:vAlign w:val="bottom"/>
            <w:gridSpan w:val="2"/>
          </w:tcPr>
          <w:p>
            <w:pPr>
              <w:jc w:val="right"/>
              <w:ind w:right="1039"/>
              <w:spacing w:after="0"/>
              <w:rPr>
                <w:sz w:val="20"/>
                <w:szCs w:val="20"/>
                <w:color w:val="auto"/>
              </w:rPr>
            </w:pPr>
            <w:r>
              <w:rPr>
                <w:rFonts w:ascii="Arial" w:cs="Arial" w:eastAsia="Arial" w:hAnsi="Arial"/>
                <w:sz w:val="16"/>
                <w:szCs w:val="16"/>
                <w:color w:val="auto"/>
              </w:rPr>
              <w:t>(2.9 ) $</w:t>
            </w:r>
          </w:p>
        </w:tc>
        <w:tc>
          <w:tcPr>
            <w:tcW w:w="480" w:type="dxa"/>
            <w:vAlign w:val="bottom"/>
          </w:tcPr>
          <w:p>
            <w:pPr>
              <w:jc w:val="right"/>
              <w:spacing w:after="0"/>
              <w:rPr>
                <w:sz w:val="20"/>
                <w:szCs w:val="20"/>
                <w:color w:val="auto"/>
              </w:rPr>
            </w:pPr>
            <w:r>
              <w:rPr>
                <w:rFonts w:ascii="Arial" w:cs="Arial" w:eastAsia="Arial" w:hAnsi="Arial"/>
                <w:sz w:val="16"/>
                <w:szCs w:val="16"/>
                <w:color w:val="auto"/>
              </w:rPr>
              <w:t>(2.9 )</w:t>
            </w:r>
          </w:p>
        </w:tc>
        <w:tc>
          <w:tcPr>
            <w:tcW w:w="0" w:type="dxa"/>
            <w:vAlign w:val="bottom"/>
          </w:tcPr>
          <w:p>
            <w:pPr>
              <w:spacing w:after="0"/>
              <w:rPr>
                <w:sz w:val="1"/>
                <w:szCs w:val="1"/>
                <w:color w:val="auto"/>
              </w:rPr>
            </w:pPr>
          </w:p>
        </w:tc>
      </w:tr>
      <w:tr>
        <w:trPr>
          <w:trHeight w:val="175"/>
        </w:trPr>
        <w:tc>
          <w:tcPr>
            <w:tcW w:w="4800" w:type="dxa"/>
            <w:vAlign w:val="bottom"/>
            <w:shd w:val="clear" w:color="auto" w:fill="CFF0FC"/>
          </w:tcPr>
          <w:p>
            <w:pPr>
              <w:ind w:left="200"/>
              <w:spacing w:after="0" w:line="175" w:lineRule="exact"/>
              <w:rPr>
                <w:sz w:val="20"/>
                <w:szCs w:val="20"/>
                <w:color w:val="auto"/>
              </w:rPr>
            </w:pPr>
            <w:r>
              <w:rPr>
                <w:rFonts w:ascii="Arial" w:cs="Arial" w:eastAsia="Arial" w:hAnsi="Arial"/>
                <w:sz w:val="16"/>
                <w:szCs w:val="16"/>
                <w:color w:val="auto"/>
              </w:rPr>
              <w:t>Commodity contracts</w:t>
            </w:r>
          </w:p>
        </w:tc>
        <w:tc>
          <w:tcPr>
            <w:tcW w:w="2980" w:type="dxa"/>
            <w:vAlign w:val="bottom"/>
            <w:shd w:val="clear" w:color="auto" w:fill="CFF0FC"/>
          </w:tcPr>
          <w:p>
            <w:pPr>
              <w:ind w:left="60"/>
              <w:spacing w:after="0" w:line="175" w:lineRule="exact"/>
              <w:rPr>
                <w:sz w:val="20"/>
                <w:szCs w:val="20"/>
                <w:color w:val="auto"/>
              </w:rPr>
            </w:pPr>
            <w:r>
              <w:rPr>
                <w:rFonts w:ascii="Arial" w:cs="Arial" w:eastAsia="Arial" w:hAnsi="Arial"/>
                <w:sz w:val="16"/>
                <w:szCs w:val="16"/>
                <w:color w:val="auto"/>
              </w:rPr>
              <w:t>Fuel, purchased power, and cost of</w:t>
            </w:r>
          </w:p>
        </w:tc>
        <w:tc>
          <w:tcPr>
            <w:tcW w:w="280" w:type="dxa"/>
            <w:vAlign w:val="bottom"/>
            <w:shd w:val="clear" w:color="auto" w:fill="CFF0FC"/>
          </w:tcPr>
          <w:p>
            <w:pPr>
              <w:spacing w:after="0"/>
              <w:rPr>
                <w:sz w:val="15"/>
                <w:szCs w:val="15"/>
                <w:color w:val="auto"/>
              </w:rPr>
            </w:pPr>
          </w:p>
        </w:tc>
        <w:tc>
          <w:tcPr>
            <w:tcW w:w="14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(3.5 )</w:t>
            </w:r>
          </w:p>
        </w:tc>
        <w:tc>
          <w:tcPr>
            <w:tcW w:w="1240" w:type="dxa"/>
            <w:vAlign w:val="bottom"/>
            <w:shd w:val="clear" w:color="auto" w:fill="CFF0FC"/>
          </w:tcPr>
          <w:p>
            <w:pPr>
              <w:spacing w:after="0"/>
              <w:rPr>
                <w:sz w:val="15"/>
                <w:szCs w:val="15"/>
                <w:color w:val="auto"/>
              </w:rPr>
            </w:pP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(3.0 )</w:t>
            </w:r>
          </w:p>
        </w:tc>
        <w:tc>
          <w:tcPr>
            <w:tcW w:w="0" w:type="dxa"/>
            <w:vAlign w:val="bottom"/>
          </w:tcPr>
          <w:p>
            <w:pPr>
              <w:spacing w:after="0"/>
              <w:rPr>
                <w:sz w:val="1"/>
                <w:szCs w:val="1"/>
                <w:color w:val="auto"/>
              </w:rPr>
            </w:pPr>
          </w:p>
        </w:tc>
      </w:tr>
      <w:tr>
        <w:trPr>
          <w:trHeight w:val="190"/>
        </w:trPr>
        <w:tc>
          <w:tcPr>
            <w:tcW w:w="4800" w:type="dxa"/>
            <w:vAlign w:val="bottom"/>
            <w:tcBorders>
              <w:bottom w:val="single" w:sz="8" w:color="CFF0FC"/>
            </w:tcBorders>
            <w:shd w:val="clear" w:color="auto" w:fill="CFF0FC"/>
          </w:tcPr>
          <w:p>
            <w:pPr>
              <w:spacing w:after="0"/>
              <w:rPr>
                <w:sz w:val="16"/>
                <w:szCs w:val="16"/>
                <w:color w:val="auto"/>
              </w:rPr>
            </w:pPr>
          </w:p>
        </w:tc>
        <w:tc>
          <w:tcPr>
            <w:tcW w:w="298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6"/>
                <w:szCs w:val="16"/>
                <w:color w:val="auto"/>
              </w:rPr>
              <w:t>natural gas sold</w:t>
            </w:r>
          </w:p>
        </w:tc>
        <w:tc>
          <w:tcPr>
            <w:tcW w:w="28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vMerge w:val="continue"/>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spacing w:after="0"/>
              <w:rPr>
                <w:sz w:val="16"/>
                <w:szCs w:val="16"/>
                <w:color w:val="auto"/>
              </w:rPr>
            </w:pPr>
          </w:p>
        </w:tc>
        <w:tc>
          <w:tcPr>
            <w:tcW w:w="480" w:type="dxa"/>
            <w:vAlign w:val="bottom"/>
            <w:tcBorders>
              <w:bottom w:val="single" w:sz="8" w:color="auto"/>
            </w:tcBorders>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80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jc w:val="right"/>
              <w:spacing w:after="0" w:line="183" w:lineRule="exact"/>
              <w:rPr>
                <w:sz w:val="20"/>
                <w:szCs w:val="20"/>
                <w:color w:val="auto"/>
              </w:rPr>
            </w:pPr>
            <w:r>
              <w:rPr>
                <w:rFonts w:ascii="Arial" w:cs="Arial" w:eastAsia="Arial" w:hAnsi="Arial"/>
                <w:sz w:val="16"/>
                <w:szCs w:val="16"/>
                <w:color w:val="auto"/>
              </w:rPr>
              <w:t>(6.4 )</w:t>
            </w:r>
          </w:p>
        </w:tc>
        <w:tc>
          <w:tcPr>
            <w:tcW w:w="1240" w:type="dxa"/>
            <w:vAlign w:val="bottom"/>
          </w:tcPr>
          <w:p>
            <w:pPr>
              <w:spacing w:after="0"/>
              <w:rPr>
                <w:sz w:val="15"/>
                <w:szCs w:val="15"/>
                <w:color w:val="auto"/>
              </w:rPr>
            </w:pPr>
          </w:p>
        </w:tc>
        <w:tc>
          <w:tcPr>
            <w:tcW w:w="480" w:type="dxa"/>
            <w:vAlign w:val="bottom"/>
          </w:tcPr>
          <w:p>
            <w:pPr>
              <w:jc w:val="right"/>
              <w:spacing w:after="0" w:line="183" w:lineRule="exact"/>
              <w:rPr>
                <w:sz w:val="20"/>
                <w:szCs w:val="20"/>
                <w:color w:val="auto"/>
              </w:rPr>
            </w:pPr>
            <w:r>
              <w:rPr>
                <w:rFonts w:ascii="Arial" w:cs="Arial" w:eastAsia="Arial" w:hAnsi="Arial"/>
                <w:sz w:val="16"/>
                <w:szCs w:val="16"/>
                <w:color w:val="auto"/>
              </w:rPr>
              <w:t>(5.9 )</w:t>
            </w:r>
          </w:p>
        </w:tc>
        <w:tc>
          <w:tcPr>
            <w:tcW w:w="0" w:type="dxa"/>
            <w:vAlign w:val="bottom"/>
          </w:tcPr>
          <w:p>
            <w:pPr>
              <w:spacing w:after="0"/>
              <w:rPr>
                <w:sz w:val="1"/>
                <w:szCs w:val="1"/>
                <w:color w:val="auto"/>
              </w:rPr>
            </w:pPr>
          </w:p>
        </w:tc>
      </w:tr>
      <w:tr>
        <w:trPr>
          <w:trHeight w:val="189"/>
        </w:trPr>
        <w:tc>
          <w:tcPr>
            <w:tcW w:w="48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Income tax</w:t>
            </w:r>
          </w:p>
        </w:tc>
        <w:tc>
          <w:tcPr>
            <w:tcW w:w="298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6"/>
                <w:szCs w:val="16"/>
                <w:color w:val="auto"/>
              </w:rPr>
              <w:t>Income tax benefit (expense)</w:t>
            </w:r>
          </w:p>
        </w:tc>
        <w:tc>
          <w:tcPr>
            <w:tcW w:w="28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1.4</w:t>
            </w:r>
          </w:p>
        </w:tc>
        <w:tc>
          <w:tcPr>
            <w:tcW w:w="1240" w:type="dxa"/>
            <w:vAlign w:val="bottom"/>
            <w:tcBorders>
              <w:bottom w:val="single" w:sz="8" w:color="auto"/>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68"/>
        </w:trPr>
        <w:tc>
          <w:tcPr>
            <w:tcW w:w="4800" w:type="dxa"/>
            <w:vAlign w:val="bottom"/>
          </w:tcPr>
          <w:p>
            <w:pPr>
              <w:ind w:left="20"/>
              <w:spacing w:after="0" w:line="168" w:lineRule="exact"/>
              <w:rPr>
                <w:sz w:val="20"/>
                <w:szCs w:val="20"/>
                <w:color w:val="auto"/>
              </w:rPr>
            </w:pPr>
            <w:r>
              <w:rPr>
                <w:rFonts w:ascii="Arial" w:cs="Arial" w:eastAsia="Arial" w:hAnsi="Arial"/>
                <w:sz w:val="16"/>
                <w:szCs w:val="16"/>
                <w:color w:val="auto"/>
              </w:rPr>
              <w:t>Total reclassification adjustments related to cash flow hedges, net</w:t>
            </w:r>
          </w:p>
        </w:tc>
        <w:tc>
          <w:tcPr>
            <w:tcW w:w="2980" w:type="dxa"/>
            <w:vAlign w:val="bottom"/>
          </w:tcPr>
          <w:p>
            <w:pPr>
              <w:spacing w:after="0"/>
              <w:rPr>
                <w:sz w:val="14"/>
                <w:szCs w:val="14"/>
                <w:color w:val="auto"/>
              </w:rPr>
            </w:pP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color w:val="auto"/>
                <w:w w:val="89"/>
              </w:rPr>
              <w:t>$</w:t>
            </w:r>
          </w:p>
        </w:tc>
        <w:tc>
          <w:tcPr>
            <w:tcW w:w="2700" w:type="dxa"/>
            <w:vAlign w:val="bottom"/>
            <w:gridSpan w:val="2"/>
            <w:vMerge w:val="restart"/>
          </w:tcPr>
          <w:p>
            <w:pPr>
              <w:jc w:val="right"/>
              <w:ind w:right="1039"/>
              <w:spacing w:after="0"/>
              <w:rPr>
                <w:sz w:val="20"/>
                <w:szCs w:val="20"/>
                <w:color w:val="auto"/>
              </w:rPr>
            </w:pPr>
            <w:r>
              <w:rPr>
                <w:rFonts w:ascii="Arial" w:cs="Arial" w:eastAsia="Arial" w:hAnsi="Arial"/>
                <w:sz w:val="16"/>
                <w:szCs w:val="16"/>
                <w:color w:val="auto"/>
              </w:rPr>
              <w:t>(5.0 ) $</w:t>
            </w: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(4.5 )</w:t>
            </w:r>
          </w:p>
        </w:tc>
        <w:tc>
          <w:tcPr>
            <w:tcW w:w="0" w:type="dxa"/>
            <w:vAlign w:val="bottom"/>
          </w:tcPr>
          <w:p>
            <w:pPr>
              <w:spacing w:after="0"/>
              <w:rPr>
                <w:sz w:val="1"/>
                <w:szCs w:val="1"/>
                <w:color w:val="auto"/>
              </w:rPr>
            </w:pPr>
          </w:p>
        </w:tc>
      </w:tr>
      <w:tr>
        <w:trPr>
          <w:trHeight w:val="168"/>
        </w:trPr>
        <w:tc>
          <w:tcPr>
            <w:tcW w:w="4800" w:type="dxa"/>
            <w:vAlign w:val="bottom"/>
          </w:tcPr>
          <w:p>
            <w:pPr>
              <w:ind w:left="20"/>
              <w:spacing w:after="0" w:line="143" w:lineRule="exact"/>
              <w:rPr>
                <w:sz w:val="20"/>
                <w:szCs w:val="20"/>
                <w:color w:val="auto"/>
              </w:rPr>
            </w:pPr>
            <w:r>
              <w:rPr>
                <w:rFonts w:ascii="Arial" w:cs="Arial" w:eastAsia="Arial" w:hAnsi="Arial"/>
                <w:sz w:val="16"/>
                <w:szCs w:val="16"/>
                <w:color w:val="auto"/>
              </w:rPr>
              <w:t>of tax</w:t>
            </w:r>
          </w:p>
        </w:tc>
        <w:tc>
          <w:tcPr>
            <w:tcW w:w="2980" w:type="dxa"/>
            <w:vAlign w:val="bottom"/>
          </w:tcPr>
          <w:p>
            <w:pPr>
              <w:spacing w:after="0"/>
              <w:rPr>
                <w:sz w:val="14"/>
                <w:szCs w:val="14"/>
                <w:color w:val="auto"/>
              </w:rPr>
            </w:pPr>
          </w:p>
        </w:tc>
        <w:tc>
          <w:tcPr>
            <w:tcW w:w="280" w:type="dxa"/>
            <w:vAlign w:val="bottom"/>
            <w:tcBorders>
              <w:bottom w:val="single" w:sz="8" w:color="auto"/>
            </w:tcBorders>
            <w:vMerge w:val="continue"/>
          </w:tcPr>
          <w:p>
            <w:pPr>
              <w:spacing w:after="0"/>
              <w:rPr>
                <w:sz w:val="14"/>
                <w:szCs w:val="14"/>
                <w:color w:val="auto"/>
              </w:rPr>
            </w:pPr>
          </w:p>
        </w:tc>
        <w:tc>
          <w:tcPr>
            <w:tcW w:w="2700" w:type="dxa"/>
            <w:vAlign w:val="bottom"/>
            <w:tcBorders>
              <w:bottom w:val="single" w:sz="8" w:color="auto"/>
            </w:tcBorders>
            <w:gridSpan w:val="2"/>
            <w:vMerge w:val="continue"/>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800" w:type="dxa"/>
            <w:vAlign w:val="bottom"/>
            <w:shd w:val="clear" w:color="auto" w:fill="CFF0FC"/>
          </w:tcPr>
          <w:p>
            <w:pPr>
              <w:spacing w:after="0"/>
              <w:rPr>
                <w:sz w:val="14"/>
                <w:szCs w:val="14"/>
                <w:color w:val="auto"/>
              </w:rPr>
            </w:pPr>
          </w:p>
        </w:tc>
        <w:tc>
          <w:tcPr>
            <w:tcW w:w="29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800" w:type="dxa"/>
            <w:vAlign w:val="bottom"/>
          </w:tcPr>
          <w:p>
            <w:pPr>
              <w:ind w:left="20"/>
              <w:spacing w:after="0"/>
              <w:rPr>
                <w:sz w:val="20"/>
                <w:szCs w:val="20"/>
                <w:color w:val="auto"/>
              </w:rPr>
            </w:pPr>
            <w:r>
              <w:rPr>
                <w:rFonts w:ascii="Arial" w:cs="Arial" w:eastAsia="Arial" w:hAnsi="Arial"/>
                <w:sz w:val="16"/>
                <w:szCs w:val="16"/>
                <w:color w:val="auto"/>
              </w:rPr>
              <w:t>Amortization of components of defined benefit plans:</w:t>
            </w:r>
          </w:p>
        </w:tc>
        <w:tc>
          <w:tcPr>
            <w:tcW w:w="2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Prior service cost</w:t>
            </w:r>
          </w:p>
        </w:tc>
        <w:tc>
          <w:tcPr>
            <w:tcW w:w="2980" w:type="dxa"/>
            <w:vAlign w:val="bottom"/>
            <w:shd w:val="clear" w:color="auto" w:fill="CFF0FC"/>
          </w:tcPr>
          <w:p>
            <w:pPr>
              <w:ind w:left="60"/>
              <w:spacing w:after="0"/>
              <w:rPr>
                <w:sz w:val="20"/>
                <w:szCs w:val="20"/>
                <w:color w:val="auto"/>
              </w:rPr>
            </w:pPr>
            <w:r>
              <w:rPr>
                <w:rFonts w:ascii="Arial" w:cs="Arial" w:eastAsia="Arial" w:hAnsi="Arial"/>
                <w:sz w:val="16"/>
                <w:szCs w:val="16"/>
                <w:color w:val="auto"/>
              </w:rPr>
              <w:t>Operations and maintenance</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1039"/>
              <w:spacing w:after="0"/>
              <w:rPr>
                <w:sz w:val="20"/>
                <w:szCs w:val="20"/>
                <w:color w:val="auto"/>
              </w:rPr>
            </w:pPr>
            <w:r>
              <w:rPr>
                <w:rFonts w:ascii="Arial" w:cs="Arial" w:eastAsia="Arial" w:hAnsi="Arial"/>
                <w:sz w:val="16"/>
                <w:szCs w:val="16"/>
                <w:color w:val="auto"/>
              </w:rPr>
              <w:t>$</w:t>
            </w:r>
          </w:p>
        </w:tc>
        <w:tc>
          <w:tcPr>
            <w:tcW w:w="4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8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Actuarial gain (loss)</w:t>
            </w:r>
          </w:p>
        </w:tc>
        <w:tc>
          <w:tcPr>
            <w:tcW w:w="298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6"/>
                <w:szCs w:val="16"/>
                <w:color w:val="auto"/>
              </w:rPr>
              <w:t>Operations and maintenance</w:t>
            </w:r>
          </w:p>
        </w:tc>
        <w:tc>
          <w:tcPr>
            <w:tcW w:w="28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(0.2 )</w:t>
            </w:r>
          </w:p>
        </w:tc>
        <w:tc>
          <w:tcPr>
            <w:tcW w:w="1240" w:type="dxa"/>
            <w:vAlign w:val="bottom"/>
            <w:tcBorders>
              <w:bottom w:val="single" w:sz="8" w:color="auto"/>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(0.2 )</w:t>
            </w:r>
          </w:p>
        </w:tc>
        <w:tc>
          <w:tcPr>
            <w:tcW w:w="0" w:type="dxa"/>
            <w:vAlign w:val="bottom"/>
          </w:tcPr>
          <w:p>
            <w:pPr>
              <w:spacing w:after="0"/>
              <w:rPr>
                <w:sz w:val="1"/>
                <w:szCs w:val="1"/>
                <w:color w:val="auto"/>
              </w:rPr>
            </w:pPr>
          </w:p>
        </w:tc>
      </w:tr>
      <w:tr>
        <w:trPr>
          <w:trHeight w:val="183"/>
        </w:trPr>
        <w:tc>
          <w:tcPr>
            <w:tcW w:w="480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(0.2 )</w:t>
            </w:r>
          </w:p>
        </w:tc>
        <w:tc>
          <w:tcPr>
            <w:tcW w:w="12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(0.2 )</w:t>
            </w:r>
          </w:p>
        </w:tc>
        <w:tc>
          <w:tcPr>
            <w:tcW w:w="0" w:type="dxa"/>
            <w:vAlign w:val="bottom"/>
          </w:tcPr>
          <w:p>
            <w:pPr>
              <w:spacing w:after="0"/>
              <w:rPr>
                <w:sz w:val="1"/>
                <w:szCs w:val="1"/>
                <w:color w:val="auto"/>
              </w:rPr>
            </w:pPr>
          </w:p>
        </w:tc>
      </w:tr>
      <w:tr>
        <w:trPr>
          <w:trHeight w:val="183"/>
        </w:trPr>
        <w:tc>
          <w:tcPr>
            <w:tcW w:w="4800" w:type="dxa"/>
            <w:vAlign w:val="bottom"/>
            <w:tcBorders>
              <w:bottom w:val="single" w:sz="8" w:color="CFF0FC"/>
            </w:tcBorders>
            <w:shd w:val="clear" w:color="auto" w:fill="CFF0FC"/>
          </w:tcPr>
          <w:p>
            <w:pPr>
              <w:ind w:left="200"/>
              <w:spacing w:after="0" w:line="183" w:lineRule="exact"/>
              <w:rPr>
                <w:sz w:val="20"/>
                <w:szCs w:val="20"/>
                <w:color w:val="auto"/>
              </w:rPr>
            </w:pPr>
            <w:r>
              <w:rPr>
                <w:rFonts w:ascii="Arial" w:cs="Arial" w:eastAsia="Arial" w:hAnsi="Arial"/>
                <w:sz w:val="16"/>
                <w:szCs w:val="16"/>
                <w:color w:val="auto"/>
              </w:rPr>
              <w:t>Income tax</w:t>
            </w:r>
          </w:p>
        </w:tc>
        <w:tc>
          <w:tcPr>
            <w:tcW w:w="2980" w:type="dxa"/>
            <w:vAlign w:val="bottom"/>
            <w:tcBorders>
              <w:bottom w:val="single" w:sz="8" w:color="CFF0FC"/>
            </w:tcBorders>
            <w:shd w:val="clear" w:color="auto" w:fill="CFF0FC"/>
          </w:tcPr>
          <w:p>
            <w:pPr>
              <w:ind w:left="60"/>
              <w:spacing w:after="0" w:line="183" w:lineRule="exact"/>
              <w:rPr>
                <w:sz w:val="20"/>
                <w:szCs w:val="20"/>
                <w:color w:val="auto"/>
              </w:rPr>
            </w:pPr>
            <w:r>
              <w:rPr>
                <w:rFonts w:ascii="Arial" w:cs="Arial" w:eastAsia="Arial" w:hAnsi="Arial"/>
                <w:sz w:val="16"/>
                <w:szCs w:val="16"/>
                <w:color w:val="auto"/>
              </w:rPr>
              <w:t>Income tax benefit (expense)</w:t>
            </w:r>
          </w:p>
        </w:tc>
        <w:tc>
          <w:tcPr>
            <w:tcW w:w="28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0.1</w:t>
            </w:r>
          </w:p>
        </w:tc>
        <w:tc>
          <w:tcPr>
            <w:tcW w:w="1240" w:type="dxa"/>
            <w:vAlign w:val="bottom"/>
            <w:tcBorders>
              <w:bottom w:val="single" w:sz="8" w:color="auto"/>
            </w:tcBorders>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8"/>
        </w:trPr>
        <w:tc>
          <w:tcPr>
            <w:tcW w:w="4800" w:type="dxa"/>
            <w:vAlign w:val="bottom"/>
          </w:tcPr>
          <w:p>
            <w:pPr>
              <w:ind w:left="20"/>
              <w:spacing w:after="0" w:line="168" w:lineRule="exact"/>
              <w:rPr>
                <w:sz w:val="20"/>
                <w:szCs w:val="20"/>
                <w:color w:val="auto"/>
              </w:rPr>
            </w:pPr>
            <w:r>
              <w:rPr>
                <w:rFonts w:ascii="Arial" w:cs="Arial" w:eastAsia="Arial" w:hAnsi="Arial"/>
                <w:sz w:val="16"/>
                <w:szCs w:val="16"/>
                <w:color w:val="auto"/>
              </w:rPr>
              <w:t>Total reclassification adjustments related to defined benefit plans,</w:t>
            </w:r>
          </w:p>
        </w:tc>
        <w:tc>
          <w:tcPr>
            <w:tcW w:w="2980" w:type="dxa"/>
            <w:vAlign w:val="bottom"/>
          </w:tcPr>
          <w:p>
            <w:pPr>
              <w:spacing w:after="0"/>
              <w:rPr>
                <w:sz w:val="14"/>
                <w:szCs w:val="14"/>
                <w:color w:val="auto"/>
              </w:rPr>
            </w:pP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color w:val="auto"/>
                <w:w w:val="89"/>
              </w:rPr>
              <w:t>$</w:t>
            </w:r>
          </w:p>
        </w:tc>
        <w:tc>
          <w:tcPr>
            <w:tcW w:w="2700" w:type="dxa"/>
            <w:vAlign w:val="bottom"/>
            <w:gridSpan w:val="2"/>
            <w:vMerge w:val="restart"/>
          </w:tcPr>
          <w:p>
            <w:pPr>
              <w:jc w:val="right"/>
              <w:ind w:right="1039"/>
              <w:spacing w:after="0"/>
              <w:rPr>
                <w:sz w:val="20"/>
                <w:szCs w:val="20"/>
                <w:color w:val="auto"/>
              </w:rPr>
            </w:pPr>
            <w:r>
              <w:rPr>
                <w:rFonts w:ascii="Arial" w:cs="Arial" w:eastAsia="Arial" w:hAnsi="Arial"/>
                <w:sz w:val="16"/>
                <w:szCs w:val="16"/>
                <w:color w:val="auto"/>
              </w:rPr>
              <w:t>(0.1 ) $</w:t>
            </w: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(0.2 )</w:t>
            </w:r>
          </w:p>
        </w:tc>
        <w:tc>
          <w:tcPr>
            <w:tcW w:w="0" w:type="dxa"/>
            <w:vAlign w:val="bottom"/>
          </w:tcPr>
          <w:p>
            <w:pPr>
              <w:spacing w:after="0"/>
              <w:rPr>
                <w:sz w:val="1"/>
                <w:szCs w:val="1"/>
                <w:color w:val="auto"/>
              </w:rPr>
            </w:pPr>
          </w:p>
        </w:tc>
      </w:tr>
      <w:tr>
        <w:trPr>
          <w:trHeight w:val="168"/>
        </w:trPr>
        <w:tc>
          <w:tcPr>
            <w:tcW w:w="4800" w:type="dxa"/>
            <w:vAlign w:val="bottom"/>
          </w:tcPr>
          <w:p>
            <w:pPr>
              <w:ind w:left="20"/>
              <w:spacing w:after="0" w:line="143" w:lineRule="exact"/>
              <w:rPr>
                <w:sz w:val="20"/>
                <w:szCs w:val="20"/>
                <w:color w:val="auto"/>
              </w:rPr>
            </w:pPr>
            <w:r>
              <w:rPr>
                <w:rFonts w:ascii="Arial" w:cs="Arial" w:eastAsia="Arial" w:hAnsi="Arial"/>
                <w:sz w:val="16"/>
                <w:szCs w:val="16"/>
                <w:color w:val="auto"/>
              </w:rPr>
              <w:t>net of tax</w:t>
            </w:r>
          </w:p>
        </w:tc>
        <w:tc>
          <w:tcPr>
            <w:tcW w:w="2980" w:type="dxa"/>
            <w:vAlign w:val="bottom"/>
          </w:tcPr>
          <w:p>
            <w:pPr>
              <w:spacing w:after="0"/>
              <w:rPr>
                <w:sz w:val="14"/>
                <w:szCs w:val="14"/>
                <w:color w:val="auto"/>
              </w:rPr>
            </w:pPr>
          </w:p>
        </w:tc>
        <w:tc>
          <w:tcPr>
            <w:tcW w:w="280" w:type="dxa"/>
            <w:vAlign w:val="bottom"/>
            <w:tcBorders>
              <w:bottom w:val="single" w:sz="8" w:color="auto"/>
            </w:tcBorders>
            <w:vMerge w:val="continue"/>
          </w:tcPr>
          <w:p>
            <w:pPr>
              <w:spacing w:after="0"/>
              <w:rPr>
                <w:sz w:val="14"/>
                <w:szCs w:val="14"/>
                <w:color w:val="auto"/>
              </w:rPr>
            </w:pPr>
          </w:p>
        </w:tc>
        <w:tc>
          <w:tcPr>
            <w:tcW w:w="2700" w:type="dxa"/>
            <w:vAlign w:val="bottom"/>
            <w:tcBorders>
              <w:bottom w:val="single" w:sz="8" w:color="auto"/>
            </w:tcBorders>
            <w:gridSpan w:val="2"/>
            <w:vMerge w:val="continue"/>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800" w:type="dxa"/>
            <w:vAlign w:val="bottom"/>
            <w:tcBorders>
              <w:bottom w:val="single" w:sz="8" w:color="CFF0FC"/>
            </w:tcBorders>
            <w:shd w:val="clear" w:color="auto" w:fill="CFF0FC"/>
          </w:tcPr>
          <w:p>
            <w:pPr>
              <w:spacing w:after="0"/>
              <w:rPr>
                <w:sz w:val="14"/>
                <w:szCs w:val="14"/>
                <w:color w:val="auto"/>
              </w:rPr>
            </w:pPr>
          </w:p>
        </w:tc>
        <w:tc>
          <w:tcPr>
            <w:tcW w:w="298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2700" w:type="dxa"/>
            <w:vAlign w:val="bottom"/>
            <w:tcBorders>
              <w:bottom w:val="single" w:sz="8" w:color="auto"/>
            </w:tcBorders>
            <w:gridSpan w:val="2"/>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800" w:type="dxa"/>
            <w:vAlign w:val="bottom"/>
          </w:tcPr>
          <w:p>
            <w:pPr>
              <w:ind w:left="20"/>
              <w:spacing w:after="0" w:line="183" w:lineRule="exact"/>
              <w:rPr>
                <w:sz w:val="20"/>
                <w:szCs w:val="20"/>
                <w:color w:val="auto"/>
              </w:rPr>
            </w:pPr>
            <w:r>
              <w:rPr>
                <w:rFonts w:ascii="Arial" w:cs="Arial" w:eastAsia="Arial" w:hAnsi="Arial"/>
                <w:sz w:val="16"/>
                <w:szCs w:val="16"/>
                <w:color w:val="auto"/>
              </w:rPr>
              <w:t>Total reclassifications</w:t>
            </w:r>
          </w:p>
        </w:tc>
        <w:tc>
          <w:tcPr>
            <w:tcW w:w="2980" w:type="dxa"/>
            <w:vAlign w:val="bottom"/>
          </w:tcPr>
          <w:p>
            <w:pPr>
              <w:spacing w:after="0"/>
              <w:rPr>
                <w:sz w:val="15"/>
                <w:szCs w:val="15"/>
                <w:color w:val="auto"/>
              </w:rPr>
            </w:pPr>
          </w:p>
        </w:tc>
        <w:tc>
          <w:tcPr>
            <w:tcW w:w="28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2700" w:type="dxa"/>
            <w:vAlign w:val="bottom"/>
            <w:tcBorders>
              <w:bottom w:val="single" w:sz="8" w:color="auto"/>
            </w:tcBorders>
            <w:gridSpan w:val="2"/>
          </w:tcPr>
          <w:p>
            <w:pPr>
              <w:jc w:val="right"/>
              <w:ind w:right="1039"/>
              <w:spacing w:after="0" w:line="183" w:lineRule="exact"/>
              <w:rPr>
                <w:sz w:val="20"/>
                <w:szCs w:val="20"/>
                <w:color w:val="auto"/>
              </w:rPr>
            </w:pPr>
            <w:r>
              <w:rPr>
                <w:rFonts w:ascii="Arial" w:cs="Arial" w:eastAsia="Arial" w:hAnsi="Arial"/>
                <w:sz w:val="16"/>
                <w:szCs w:val="16"/>
                <w:color w:val="auto"/>
              </w:rPr>
              <w:t>(5.1 ) $</w:t>
            </w:r>
          </w:p>
        </w:tc>
        <w:tc>
          <w:tcPr>
            <w:tcW w:w="4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(4.7 )</w:t>
            </w:r>
          </w:p>
        </w:tc>
        <w:tc>
          <w:tcPr>
            <w:tcW w:w="0" w:type="dxa"/>
            <w:vAlign w:val="bottom"/>
          </w:tcPr>
          <w:p>
            <w:pPr>
              <w:spacing w:after="0"/>
              <w:rPr>
                <w:sz w:val="1"/>
                <w:szCs w:val="1"/>
                <w:color w:val="auto"/>
              </w:rPr>
            </w:pPr>
          </w:p>
        </w:tc>
      </w:tr>
      <w:tr>
        <w:trPr>
          <w:trHeight w:val="410"/>
        </w:trPr>
        <w:tc>
          <w:tcPr>
            <w:tcW w:w="4800" w:type="dxa"/>
            <w:vAlign w:val="bottom"/>
          </w:tcPr>
          <w:p>
            <w:pPr>
              <w:spacing w:after="0"/>
              <w:rPr>
                <w:sz w:val="24"/>
                <w:szCs w:val="24"/>
                <w:color w:val="auto"/>
              </w:rPr>
            </w:pPr>
          </w:p>
        </w:tc>
        <w:tc>
          <w:tcPr>
            <w:tcW w:w="2980" w:type="dxa"/>
            <w:vAlign w:val="bottom"/>
          </w:tcPr>
          <w:p>
            <w:pPr>
              <w:ind w:left="740"/>
              <w:spacing w:after="0"/>
              <w:rPr>
                <w:sz w:val="20"/>
                <w:szCs w:val="20"/>
                <w:color w:val="auto"/>
              </w:rPr>
            </w:pPr>
            <w:r>
              <w:rPr>
                <w:rFonts w:ascii="Arial" w:cs="Arial" w:eastAsia="Arial" w:hAnsi="Arial"/>
                <w:sz w:val="16"/>
                <w:szCs w:val="16"/>
                <w:color w:val="auto"/>
              </w:rPr>
              <w:t>88</w:t>
            </w: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1"/>
        </w:trPr>
        <w:tc>
          <w:tcPr>
            <w:tcW w:w="480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Balances by classification included within AOCI, net of tax on the accompanying Consolidated Balance Sheets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60" w:type="dxa"/>
            <w:vAlign w:val="bottom"/>
            <w:gridSpan w:val="2"/>
          </w:tcPr>
          <w:p>
            <w:pPr>
              <w:jc w:val="center"/>
              <w:spacing w:after="0"/>
              <w:rPr>
                <w:sz w:val="20"/>
                <w:szCs w:val="20"/>
                <w:color w:val="auto"/>
              </w:rPr>
            </w:pPr>
            <w:r>
              <w:rPr>
                <w:rFonts w:ascii="Arial" w:cs="Arial" w:eastAsia="Arial" w:hAnsi="Arial"/>
                <w:sz w:val="16"/>
                <w:szCs w:val="16"/>
                <w:b w:val="1"/>
                <w:bCs w:val="1"/>
                <w:color w:val="auto"/>
              </w:rPr>
              <w:t>Derivatives Designated as</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Cash Flow Hedges</w:t>
            </w:r>
          </w:p>
        </w:tc>
        <w:tc>
          <w:tcPr>
            <w:tcW w:w="5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vMerge w:val="restart"/>
          </w:tcPr>
          <w:p>
            <w:pPr>
              <w:jc w:val="right"/>
              <w:ind w:right="579"/>
              <w:spacing w:after="0"/>
              <w:rPr>
                <w:sz w:val="20"/>
                <w:szCs w:val="20"/>
                <w:color w:val="auto"/>
              </w:rPr>
            </w:pPr>
            <w:r>
              <w:rPr>
                <w:rFonts w:ascii="Arial" w:cs="Arial" w:eastAsia="Arial" w:hAnsi="Arial"/>
                <w:sz w:val="16"/>
                <w:szCs w:val="16"/>
                <w:b w:val="1"/>
                <w:bCs w:val="1"/>
                <w:color w:val="auto"/>
              </w:rPr>
              <w:t>Employee Benefit</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40" w:type="dxa"/>
            <w:vAlign w:val="bottom"/>
          </w:tcPr>
          <w:p>
            <w:pPr>
              <w:jc w:val="center"/>
              <w:ind w:left="19"/>
              <w:spacing w:after="0" w:line="168" w:lineRule="exact"/>
              <w:rPr>
                <w:sz w:val="20"/>
                <w:szCs w:val="20"/>
                <w:color w:val="auto"/>
              </w:rPr>
            </w:pPr>
            <w:r>
              <w:rPr>
                <w:rFonts w:ascii="Arial" w:cs="Arial" w:eastAsia="Arial" w:hAnsi="Arial"/>
                <w:sz w:val="16"/>
                <w:szCs w:val="16"/>
                <w:b w:val="1"/>
                <w:bCs w:val="1"/>
                <w:color w:val="auto"/>
              </w:rPr>
              <w:t>Commodity</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vMerge w:val="continue"/>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100" w:type="dxa"/>
            <w:vAlign w:val="bottom"/>
          </w:tcPr>
          <w:p>
            <w:pPr>
              <w:spacing w:after="0"/>
              <w:rPr>
                <w:sz w:val="17"/>
                <w:szCs w:val="17"/>
                <w:color w:val="auto"/>
              </w:rPr>
            </w:pPr>
          </w:p>
        </w:tc>
        <w:tc>
          <w:tcPr>
            <w:tcW w:w="2020" w:type="dxa"/>
            <w:vAlign w:val="bottom"/>
            <w:tcBorders>
              <w:bottom w:val="single" w:sz="8" w:color="auto"/>
            </w:tcBorders>
            <w:gridSpan w:val="2"/>
          </w:tcPr>
          <w:p>
            <w:pPr>
              <w:jc w:val="right"/>
              <w:ind w:right="339"/>
              <w:spacing w:after="0"/>
              <w:rPr>
                <w:sz w:val="20"/>
                <w:szCs w:val="20"/>
                <w:color w:val="auto"/>
              </w:rPr>
            </w:pPr>
            <w:r>
              <w:rPr>
                <w:rFonts w:ascii="Arial" w:cs="Arial" w:eastAsia="Arial" w:hAnsi="Arial"/>
                <w:sz w:val="16"/>
                <w:szCs w:val="16"/>
                <w:b w:val="1"/>
                <w:bCs w:val="1"/>
                <w:color w:val="auto"/>
              </w:rPr>
              <w:t>Interest Rate Swaps</w:t>
            </w:r>
          </w:p>
        </w:tc>
        <w:tc>
          <w:tcPr>
            <w:tcW w:w="1040" w:type="dxa"/>
            <w:vAlign w:val="bottom"/>
            <w:tcBorders>
              <w:bottom w:val="single" w:sz="8" w:color="auto"/>
            </w:tcBorders>
          </w:tcPr>
          <w:p>
            <w:pPr>
              <w:jc w:val="center"/>
              <w:ind w:left="59"/>
              <w:spacing w:after="0"/>
              <w:rPr>
                <w:sz w:val="20"/>
                <w:szCs w:val="20"/>
                <w:color w:val="auto"/>
              </w:rPr>
            </w:pPr>
            <w:r>
              <w:rPr>
                <w:rFonts w:ascii="Arial" w:cs="Arial" w:eastAsia="Arial" w:hAnsi="Arial"/>
                <w:sz w:val="16"/>
                <w:szCs w:val="16"/>
                <w:b w:val="1"/>
                <w:bCs w:val="1"/>
                <w:color w:val="auto"/>
              </w:rPr>
              <w:t>Derivatives</w:t>
            </w: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jc w:val="right"/>
              <w:ind w:right="1039"/>
              <w:spacing w:after="0"/>
              <w:rPr>
                <w:sz w:val="20"/>
                <w:szCs w:val="20"/>
                <w:color w:val="auto"/>
              </w:rPr>
            </w:pPr>
            <w:r>
              <w:rPr>
                <w:rFonts w:ascii="Arial" w:cs="Arial" w:eastAsia="Arial" w:hAnsi="Arial"/>
                <w:sz w:val="16"/>
                <w:szCs w:val="16"/>
                <w:b w:val="1"/>
                <w:bCs w:val="1"/>
                <w:color w:val="auto"/>
              </w:rPr>
              <w:t>Plans</w:t>
            </w:r>
          </w:p>
        </w:tc>
        <w:tc>
          <w:tcPr>
            <w:tcW w:w="142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83"/>
        </w:trPr>
        <w:tc>
          <w:tcPr>
            <w:tcW w:w="4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3"/>
          </w:tcPr>
          <w:p>
            <w:pPr>
              <w:jc w:val="right"/>
              <w:ind w:right="1719"/>
              <w:spacing w:after="0" w:line="183" w:lineRule="exact"/>
              <w:rPr>
                <w:sz w:val="20"/>
                <w:szCs w:val="20"/>
                <w:color w:val="auto"/>
              </w:rPr>
            </w:pPr>
            <w:r>
              <w:rPr>
                <w:rFonts w:ascii="Arial" w:cs="Arial" w:eastAsia="Arial" w:hAnsi="Arial"/>
                <w:sz w:val="16"/>
                <w:szCs w:val="16"/>
                <w:color w:val="auto"/>
              </w:rPr>
              <w:t>(in millions)</w:t>
            </w:r>
          </w:p>
        </w:tc>
        <w:tc>
          <w:tcPr>
            <w:tcW w:w="14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10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As of December 31, 2022</w:t>
            </w:r>
          </w:p>
        </w:tc>
        <w:tc>
          <w:tcPr>
            <w:tcW w:w="400" w:type="dxa"/>
            <w:vAlign w:val="bottom"/>
            <w:shd w:val="clear" w:color="auto" w:fill="CFF0FC"/>
          </w:tcPr>
          <w:p>
            <w:pPr>
              <w:jc w:val="right"/>
              <w:ind w:right="219"/>
              <w:spacing w:after="0" w:line="183" w:lineRule="exact"/>
              <w:rPr>
                <w:sz w:val="20"/>
                <w:szCs w:val="20"/>
                <w:color w:val="auto"/>
              </w:rPr>
            </w:pPr>
            <w:r>
              <w:rPr>
                <w:rFonts w:ascii="Arial" w:cs="Arial" w:eastAsia="Arial" w:hAnsi="Arial"/>
                <w:sz w:val="16"/>
                <w:szCs w:val="16"/>
                <w:color w:val="auto"/>
                <w:w w:val="89"/>
              </w:rPr>
              <w:t>$</w:t>
            </w:r>
          </w:p>
        </w:tc>
        <w:tc>
          <w:tcPr>
            <w:tcW w:w="162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(8.3 ) $</w:t>
            </w:r>
          </w:p>
        </w:tc>
        <w:tc>
          <w:tcPr>
            <w:tcW w:w="104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(1.2 ) $</w:t>
            </w:r>
          </w:p>
        </w:tc>
        <w:tc>
          <w:tcPr>
            <w:tcW w:w="2040" w:type="dxa"/>
            <w:vAlign w:val="bottom"/>
            <w:shd w:val="clear" w:color="auto" w:fill="CFF0FC"/>
          </w:tcPr>
          <w:p>
            <w:pPr>
              <w:jc w:val="right"/>
              <w:ind w:right="199"/>
              <w:spacing w:after="0" w:line="183" w:lineRule="exact"/>
              <w:rPr>
                <w:sz w:val="20"/>
                <w:szCs w:val="20"/>
                <w:color w:val="auto"/>
              </w:rPr>
            </w:pPr>
            <w:r>
              <w:rPr>
                <w:rFonts w:ascii="Arial" w:cs="Arial" w:eastAsia="Arial" w:hAnsi="Arial"/>
                <w:sz w:val="16"/>
                <w:szCs w:val="16"/>
                <w:color w:val="auto"/>
              </w:rPr>
              <w:t>(6.1 ) $</w:t>
            </w:r>
          </w:p>
        </w:tc>
        <w:tc>
          <w:tcPr>
            <w:tcW w:w="14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(15.6 )</w:t>
            </w:r>
          </w:p>
        </w:tc>
        <w:tc>
          <w:tcPr>
            <w:tcW w:w="0" w:type="dxa"/>
            <w:vAlign w:val="bottom"/>
          </w:tcPr>
          <w:p>
            <w:pPr>
              <w:spacing w:after="0"/>
              <w:rPr>
                <w:sz w:val="1"/>
                <w:szCs w:val="1"/>
                <w:color w:val="auto"/>
              </w:rPr>
            </w:pPr>
          </w:p>
        </w:tc>
      </w:tr>
      <w:tr>
        <w:trPr>
          <w:trHeight w:val="189"/>
        </w:trPr>
        <w:tc>
          <w:tcPr>
            <w:tcW w:w="410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4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before reclassifications</w:t>
            </w:r>
          </w:p>
        </w:tc>
        <w:tc>
          <w:tcPr>
            <w:tcW w:w="400" w:type="dxa"/>
            <w:vAlign w:val="bottom"/>
            <w:shd w:val="clear" w:color="auto" w:fill="CFF0FC"/>
          </w:tcPr>
          <w:p>
            <w:pPr>
              <w:spacing w:after="0"/>
              <w:rPr>
                <w:sz w:val="16"/>
                <w:szCs w:val="16"/>
                <w:color w:val="auto"/>
              </w:rPr>
            </w:pPr>
          </w:p>
        </w:tc>
        <w:tc>
          <w:tcPr>
            <w:tcW w:w="162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(3.6 )</w:t>
            </w:r>
          </w:p>
        </w:tc>
        <w:tc>
          <w:tcPr>
            <w:tcW w:w="120" w:type="dxa"/>
            <w:vAlign w:val="bottom"/>
            <w:shd w:val="clear" w:color="auto" w:fill="CFF0FC"/>
          </w:tcPr>
          <w:p>
            <w:pPr>
              <w:spacing w:after="0"/>
              <w:rPr>
                <w:sz w:val="16"/>
                <w:szCs w:val="16"/>
                <w:color w:val="auto"/>
              </w:rPr>
            </w:pPr>
          </w:p>
        </w:tc>
        <w:tc>
          <w:tcPr>
            <w:tcW w:w="2040" w:type="dxa"/>
            <w:vAlign w:val="bottom"/>
            <w:shd w:val="clear" w:color="auto" w:fill="CFF0FC"/>
          </w:tcPr>
          <w:p>
            <w:pPr>
              <w:jc w:val="right"/>
              <w:ind w:right="339"/>
              <w:spacing w:after="0"/>
              <w:rPr>
                <w:sz w:val="20"/>
                <w:szCs w:val="20"/>
                <w:color w:val="auto"/>
              </w:rPr>
            </w:pPr>
            <w:r>
              <w:rPr>
                <w:rFonts w:ascii="Arial" w:cs="Arial" w:eastAsia="Arial" w:hAnsi="Arial"/>
                <w:sz w:val="16"/>
                <w:szCs w:val="16"/>
                <w:color w:val="auto"/>
              </w:rPr>
              <w:t>(0.3 )</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(3.9 )</w:t>
            </w:r>
          </w:p>
        </w:tc>
        <w:tc>
          <w:tcPr>
            <w:tcW w:w="0" w:type="dxa"/>
            <w:vAlign w:val="bottom"/>
          </w:tcPr>
          <w:p>
            <w:pPr>
              <w:spacing w:after="0"/>
              <w:rPr>
                <w:sz w:val="1"/>
                <w:szCs w:val="1"/>
                <w:color w:val="auto"/>
              </w:rPr>
            </w:pPr>
          </w:p>
        </w:tc>
      </w:tr>
      <w:tr>
        <w:trPr>
          <w:trHeight w:val="189"/>
        </w:trPr>
        <w:tc>
          <w:tcPr>
            <w:tcW w:w="4100" w:type="dxa"/>
            <w:vAlign w:val="bottom"/>
          </w:tcPr>
          <w:p>
            <w:pPr>
              <w:ind w:left="20"/>
              <w:spacing w:after="0"/>
              <w:rPr>
                <w:sz w:val="20"/>
                <w:szCs w:val="20"/>
                <w:color w:val="auto"/>
              </w:rPr>
            </w:pPr>
            <w:r>
              <w:rPr>
                <w:rFonts w:ascii="Arial" w:cs="Arial" w:eastAsia="Arial" w:hAnsi="Arial"/>
                <w:sz w:val="16"/>
                <w:szCs w:val="16"/>
                <w:color w:val="auto"/>
              </w:rPr>
              <w:t>Amounts reclassified from AOCI</w:t>
            </w:r>
          </w:p>
        </w:tc>
        <w:tc>
          <w:tcPr>
            <w:tcW w:w="4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2.2</w:t>
            </w:r>
          </w:p>
        </w:tc>
        <w:tc>
          <w:tcPr>
            <w:tcW w:w="10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0.2</w:t>
            </w:r>
          </w:p>
        </w:tc>
        <w:tc>
          <w:tcPr>
            <w:tcW w:w="14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83"/>
        </w:trPr>
        <w:tc>
          <w:tcPr>
            <w:tcW w:w="410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As of December 31, 2023</w:t>
            </w:r>
          </w:p>
        </w:tc>
        <w:tc>
          <w:tcPr>
            <w:tcW w:w="400" w:type="dxa"/>
            <w:vAlign w:val="bottom"/>
            <w:shd w:val="clear" w:color="auto" w:fill="CFF0FC"/>
          </w:tcPr>
          <w:p>
            <w:pPr>
              <w:jc w:val="right"/>
              <w:ind w:right="219"/>
              <w:spacing w:after="0" w:line="183" w:lineRule="exact"/>
              <w:rPr>
                <w:sz w:val="20"/>
                <w:szCs w:val="20"/>
                <w:color w:val="auto"/>
              </w:rPr>
            </w:pPr>
            <w:r>
              <w:rPr>
                <w:rFonts w:ascii="Arial" w:cs="Arial" w:eastAsia="Arial" w:hAnsi="Arial"/>
                <w:sz w:val="16"/>
                <w:szCs w:val="16"/>
                <w:color w:val="auto"/>
                <w:w w:val="89"/>
              </w:rPr>
              <w:t>$</w:t>
            </w:r>
          </w:p>
        </w:tc>
        <w:tc>
          <w:tcPr>
            <w:tcW w:w="162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(6.1 ) $</w:t>
            </w:r>
          </w:p>
        </w:tc>
        <w:tc>
          <w:tcPr>
            <w:tcW w:w="104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(2.5 ) $</w:t>
            </w:r>
          </w:p>
        </w:tc>
        <w:tc>
          <w:tcPr>
            <w:tcW w:w="2040" w:type="dxa"/>
            <w:vAlign w:val="bottom"/>
            <w:shd w:val="clear" w:color="auto" w:fill="CFF0FC"/>
          </w:tcPr>
          <w:p>
            <w:pPr>
              <w:jc w:val="right"/>
              <w:ind w:right="199"/>
              <w:spacing w:after="0" w:line="183" w:lineRule="exact"/>
              <w:rPr>
                <w:sz w:val="20"/>
                <w:szCs w:val="20"/>
                <w:color w:val="auto"/>
              </w:rPr>
            </w:pPr>
            <w:r>
              <w:rPr>
                <w:rFonts w:ascii="Arial" w:cs="Arial" w:eastAsia="Arial" w:hAnsi="Arial"/>
                <w:sz w:val="16"/>
                <w:szCs w:val="16"/>
                <w:color w:val="auto"/>
              </w:rPr>
              <w:t>(6.2 ) $</w:t>
            </w:r>
          </w:p>
        </w:tc>
        <w:tc>
          <w:tcPr>
            <w:tcW w:w="14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(14.8 )</w:t>
            </w:r>
          </w:p>
        </w:tc>
        <w:tc>
          <w:tcPr>
            <w:tcW w:w="0" w:type="dxa"/>
            <w:vAlign w:val="bottom"/>
          </w:tcPr>
          <w:p>
            <w:pPr>
              <w:spacing w:after="0"/>
              <w:rPr>
                <w:sz w:val="1"/>
                <w:szCs w:val="1"/>
                <w:color w:val="auto"/>
              </w:rPr>
            </w:pPr>
          </w:p>
        </w:tc>
      </w:tr>
      <w:tr>
        <w:trPr>
          <w:trHeight w:val="189"/>
        </w:trPr>
        <w:tc>
          <w:tcPr>
            <w:tcW w:w="410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4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before reclassifications</w:t>
            </w:r>
          </w:p>
        </w:tc>
        <w:tc>
          <w:tcPr>
            <w:tcW w:w="400" w:type="dxa"/>
            <w:vAlign w:val="bottom"/>
            <w:shd w:val="clear" w:color="auto" w:fill="CFF0FC"/>
          </w:tcPr>
          <w:p>
            <w:pPr>
              <w:spacing w:after="0"/>
              <w:rPr>
                <w:sz w:val="16"/>
                <w:szCs w:val="16"/>
                <w:color w:val="auto"/>
              </w:rPr>
            </w:pPr>
          </w:p>
        </w:tc>
        <w:tc>
          <w:tcPr>
            <w:tcW w:w="162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(0.5 )</w:t>
            </w:r>
          </w:p>
        </w:tc>
        <w:tc>
          <w:tcPr>
            <w:tcW w:w="120" w:type="dxa"/>
            <w:vAlign w:val="bottom"/>
            <w:shd w:val="clear" w:color="auto" w:fill="CFF0FC"/>
          </w:tcPr>
          <w:p>
            <w:pPr>
              <w:spacing w:after="0"/>
              <w:rPr>
                <w:sz w:val="16"/>
                <w:szCs w:val="16"/>
                <w:color w:val="auto"/>
              </w:rPr>
            </w:pPr>
          </w:p>
        </w:tc>
        <w:tc>
          <w:tcPr>
            <w:tcW w:w="2040" w:type="dxa"/>
            <w:vAlign w:val="bottom"/>
            <w:shd w:val="clear" w:color="auto" w:fill="CFF0FC"/>
          </w:tcPr>
          <w:p>
            <w:pPr>
              <w:jc w:val="right"/>
              <w:ind w:right="419"/>
              <w:spacing w:after="0"/>
              <w:rPr>
                <w:sz w:val="20"/>
                <w:szCs w:val="20"/>
                <w:color w:val="auto"/>
              </w:rPr>
            </w:pPr>
            <w:r>
              <w:rPr>
                <w:rFonts w:ascii="Arial" w:cs="Arial" w:eastAsia="Arial" w:hAnsi="Arial"/>
                <w:sz w:val="16"/>
                <w:szCs w:val="16"/>
                <w:color w:val="auto"/>
              </w:rPr>
              <w:t>0.8</w:t>
            </w:r>
          </w:p>
        </w:tc>
        <w:tc>
          <w:tcPr>
            <w:tcW w:w="14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189"/>
        </w:trPr>
        <w:tc>
          <w:tcPr>
            <w:tcW w:w="4100" w:type="dxa"/>
            <w:vAlign w:val="bottom"/>
          </w:tcPr>
          <w:p>
            <w:pPr>
              <w:ind w:left="20"/>
              <w:spacing w:after="0"/>
              <w:rPr>
                <w:sz w:val="20"/>
                <w:szCs w:val="20"/>
                <w:color w:val="auto"/>
              </w:rPr>
            </w:pPr>
            <w:r>
              <w:rPr>
                <w:rFonts w:ascii="Arial" w:cs="Arial" w:eastAsia="Arial" w:hAnsi="Arial"/>
                <w:sz w:val="16"/>
                <w:szCs w:val="16"/>
                <w:color w:val="auto"/>
              </w:rPr>
              <w:t>Amounts reclassified from AOCI</w:t>
            </w:r>
          </w:p>
        </w:tc>
        <w:tc>
          <w:tcPr>
            <w:tcW w:w="4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2.3</w:t>
            </w:r>
          </w:p>
        </w:tc>
        <w:tc>
          <w:tcPr>
            <w:tcW w:w="10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0.1</w:t>
            </w:r>
          </w:p>
        </w:tc>
        <w:tc>
          <w:tcPr>
            <w:tcW w:w="14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23"/>
        </w:trPr>
        <w:tc>
          <w:tcPr>
            <w:tcW w:w="410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As of December 31, 2024</w:t>
            </w:r>
          </w:p>
        </w:tc>
        <w:tc>
          <w:tcPr>
            <w:tcW w:w="400" w:type="dxa"/>
            <w:vAlign w:val="bottom"/>
            <w:tcBorders>
              <w:bottom w:val="single" w:sz="8" w:color="auto"/>
            </w:tcBorders>
            <w:shd w:val="clear" w:color="auto" w:fill="CFF0FC"/>
          </w:tcPr>
          <w:p>
            <w:pPr>
              <w:jc w:val="right"/>
              <w:ind w:right="219"/>
              <w:spacing w:after="0" w:line="183" w:lineRule="exact"/>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(3.8 ) $</w:t>
            </w:r>
          </w:p>
        </w:tc>
        <w:tc>
          <w:tcPr>
            <w:tcW w:w="10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(0.3 ) $</w:t>
            </w:r>
          </w:p>
        </w:tc>
        <w:tc>
          <w:tcPr>
            <w:tcW w:w="2040" w:type="dxa"/>
            <w:vAlign w:val="bottom"/>
            <w:tcBorders>
              <w:bottom w:val="single" w:sz="8" w:color="auto"/>
            </w:tcBorders>
            <w:shd w:val="clear" w:color="auto" w:fill="CFF0FC"/>
          </w:tcPr>
          <w:p>
            <w:pPr>
              <w:jc w:val="right"/>
              <w:ind w:right="199"/>
              <w:spacing w:after="0" w:line="183" w:lineRule="exact"/>
              <w:rPr>
                <w:sz w:val="20"/>
                <w:szCs w:val="20"/>
                <w:color w:val="auto"/>
              </w:rPr>
            </w:pPr>
            <w:r>
              <w:rPr>
                <w:rFonts w:ascii="Arial" w:cs="Arial" w:eastAsia="Arial" w:hAnsi="Arial"/>
                <w:sz w:val="16"/>
                <w:szCs w:val="16"/>
                <w:color w:val="auto"/>
              </w:rPr>
              <w:t>(5.3 ) $</w:t>
            </w:r>
          </w:p>
        </w:tc>
        <w:tc>
          <w:tcPr>
            <w:tcW w:w="14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(9.4 )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VARIABLE INTEREST ENTITY</w:t>
      </w:r>
    </w:p>
    <w:p>
      <w:pPr>
        <w:spacing w:after="0" w:line="194"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Black Hills Colorado IPP owns and operates a 200 MW, combined-cycle natural gas generating facility located in Pueblo, Colorado. In 2016, Black Hills Electric Generation sold a 49.9%, non-controlling interest in Black Hills Colorado IPP to a third-party buyer. Black Hills Electric Generation is the operator of the facility, which is contracted to provide capacity and energy through 2031 to Colorado Electric.</w:t>
      </w:r>
    </w:p>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Net income available for common stock for the years ended December 31, 2024, 2023, and 2022 was reduced by $10.6 million, $13.8 million, and $12.4 million, respectively, attributable to this non-controlling interest. The net income allocable to the non-controlling interest holder is based on ownership interest with the exception of certain agreed upon adjustments. Distributions of net income attributable to this non-controlling interest are due within 30 days following the end of a quarter but may be withheld as necessary by Black Hills Electric Generation.</w:t>
      </w:r>
    </w:p>
    <w:p>
      <w:pPr>
        <w:spacing w:after="0" w:line="151" w:lineRule="exact"/>
        <w:rPr>
          <w:sz w:val="20"/>
          <w:szCs w:val="20"/>
          <w:color w:val="auto"/>
        </w:rPr>
      </w:pPr>
    </w:p>
    <w:p>
      <w:pPr>
        <w:ind w:right="140"/>
        <w:spacing w:after="0" w:line="254" w:lineRule="auto"/>
        <w:rPr>
          <w:sz w:val="20"/>
          <w:szCs w:val="20"/>
          <w:color w:val="auto"/>
        </w:rPr>
      </w:pPr>
      <w:r>
        <w:rPr>
          <w:rFonts w:ascii="Arial" w:cs="Arial" w:eastAsia="Arial" w:hAnsi="Arial"/>
          <w:sz w:val="16"/>
          <w:szCs w:val="16"/>
          <w:color w:val="auto"/>
        </w:rPr>
        <w:t>Black Hills Colorado IPP has been determined to be a VIE in which the Company has a variable interest. Black Hills Electric Generation has been determined to be the primary beneficiary of the VIE as Black Hills Electric Generation is the operator and manager of the generation facility and, as such, has the power to direct the activities that most significantly impact Black Hills Colorado IPP’s economic performance. Black Hills Electric Generation, as the primary beneficiary, continues to consolidate Black Hills Colorado IPP. Black Hills Colorado IPP has not received financial or other support from the Company outside of pre-existing contractual arrangements during the reporting period. Black Hills Colorado IPP does not have any debt and its cash flows from operations are sufficient to support its ongoing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We have recorded the following assets and liabilities on our Consolidated Balance Sheets related to the VIE described above as of December 31: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2024</w:t>
            </w:r>
          </w:p>
        </w:tc>
        <w:tc>
          <w:tcPr>
            <w:tcW w:w="5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2023</w:t>
            </w:r>
          </w:p>
        </w:tc>
      </w:tr>
      <w:tr>
        <w:trPr>
          <w:trHeight w:val="183"/>
        </w:trPr>
        <w:tc>
          <w:tcPr>
            <w:tcW w:w="396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2"/>
          </w:tcPr>
          <w:p>
            <w:pPr>
              <w:jc w:val="right"/>
              <w:ind w:right="59"/>
              <w:spacing w:after="0" w:line="183" w:lineRule="exact"/>
              <w:rPr>
                <w:sz w:val="20"/>
                <w:szCs w:val="20"/>
                <w:color w:val="auto"/>
              </w:rPr>
            </w:pPr>
            <w:r>
              <w:rPr>
                <w:rFonts w:ascii="Arial" w:cs="Arial" w:eastAsia="Arial" w:hAnsi="Arial"/>
                <w:sz w:val="16"/>
                <w:szCs w:val="16"/>
                <w:color w:val="auto"/>
              </w:rPr>
              <w:t>(in millions)</w:t>
            </w:r>
          </w:p>
        </w:tc>
        <w:tc>
          <w:tcPr>
            <w:tcW w:w="1240" w:type="dxa"/>
            <w:vAlign w:val="bottom"/>
            <w:tcBorders>
              <w:bottom w:val="single" w:sz="8" w:color="auto"/>
            </w:tcBorders>
          </w:tcPr>
          <w:p>
            <w:pPr>
              <w:spacing w:after="0"/>
              <w:rPr>
                <w:sz w:val="15"/>
                <w:szCs w:val="15"/>
                <w:color w:val="auto"/>
              </w:rPr>
            </w:pPr>
          </w:p>
        </w:tc>
      </w:tr>
      <w:tr>
        <w:trPr>
          <w:trHeight w:val="183"/>
        </w:trPr>
        <w:tc>
          <w:tcPr>
            <w:tcW w:w="39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Assets:</w:t>
            </w:r>
          </w:p>
        </w:tc>
        <w:tc>
          <w:tcPr>
            <w:tcW w:w="38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r>
      <w:tr>
        <w:trPr>
          <w:trHeight w:val="189"/>
        </w:trPr>
        <w:tc>
          <w:tcPr>
            <w:tcW w:w="3960" w:type="dxa"/>
            <w:vAlign w:val="bottom"/>
          </w:tcPr>
          <w:p>
            <w:pPr>
              <w:ind w:left="200"/>
              <w:spacing w:after="0"/>
              <w:rPr>
                <w:sz w:val="20"/>
                <w:szCs w:val="20"/>
                <w:color w:val="auto"/>
              </w:rPr>
            </w:pPr>
            <w:r>
              <w:rPr>
                <w:rFonts w:ascii="Arial" w:cs="Arial" w:eastAsia="Arial" w:hAnsi="Arial"/>
                <w:sz w:val="16"/>
                <w:szCs w:val="16"/>
                <w:color w:val="auto"/>
              </w:rPr>
              <w:t>Current assets</w:t>
            </w:r>
          </w:p>
        </w:tc>
        <w:tc>
          <w:tcPr>
            <w:tcW w:w="41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11.7</w:t>
            </w:r>
          </w:p>
        </w:tc>
        <w:tc>
          <w:tcPr>
            <w:tcW w:w="5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15.1</w:t>
            </w:r>
          </w:p>
        </w:tc>
      </w:tr>
      <w:tr>
        <w:trPr>
          <w:trHeight w:val="189"/>
        </w:trPr>
        <w:tc>
          <w:tcPr>
            <w:tcW w:w="39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Property, plant and equipment</w:t>
            </w:r>
          </w:p>
        </w:tc>
        <w:tc>
          <w:tcPr>
            <w:tcW w:w="41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160.4</w:t>
            </w:r>
          </w:p>
        </w:tc>
        <w:tc>
          <w:tcPr>
            <w:tcW w:w="54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166.8</w:t>
            </w:r>
          </w:p>
        </w:tc>
      </w:tr>
      <w:tr>
        <w:trPr>
          <w:trHeight w:val="189"/>
        </w:trPr>
        <w:tc>
          <w:tcPr>
            <w:tcW w:w="396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9"/>
        </w:trPr>
        <w:tc>
          <w:tcPr>
            <w:tcW w:w="3960" w:type="dxa"/>
            <w:vAlign w:val="bottom"/>
            <w:shd w:val="clear" w:color="auto" w:fill="CFF0FC"/>
          </w:tcPr>
          <w:p>
            <w:pPr>
              <w:ind w:left="20"/>
              <w:spacing w:after="0"/>
              <w:rPr>
                <w:sz w:val="20"/>
                <w:szCs w:val="20"/>
                <w:color w:val="auto"/>
              </w:rPr>
            </w:pPr>
            <w:r>
              <w:rPr>
                <w:rFonts w:ascii="Arial" w:cs="Arial" w:eastAsia="Arial" w:hAnsi="Arial"/>
                <w:sz w:val="16"/>
                <w:szCs w:val="16"/>
                <w:color w:val="auto"/>
              </w:rPr>
              <w:t>Liabilities:</w:t>
            </w:r>
          </w:p>
        </w:tc>
        <w:tc>
          <w:tcPr>
            <w:tcW w:w="38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r>
      <w:tr>
        <w:trPr>
          <w:trHeight w:val="215"/>
        </w:trPr>
        <w:tc>
          <w:tcPr>
            <w:tcW w:w="3960" w:type="dxa"/>
            <w:vAlign w:val="bottom"/>
          </w:tcPr>
          <w:p>
            <w:pPr>
              <w:ind w:left="200"/>
              <w:spacing w:after="0"/>
              <w:rPr>
                <w:sz w:val="20"/>
                <w:szCs w:val="20"/>
                <w:color w:val="auto"/>
              </w:rPr>
            </w:pPr>
            <w:r>
              <w:rPr>
                <w:rFonts w:ascii="Arial" w:cs="Arial" w:eastAsia="Arial" w:hAnsi="Arial"/>
                <w:sz w:val="16"/>
                <w:szCs w:val="16"/>
                <w:color w:val="auto"/>
              </w:rPr>
              <w:t>Current liabilities</w:t>
            </w:r>
          </w:p>
        </w:tc>
        <w:tc>
          <w:tcPr>
            <w:tcW w:w="41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8.3</w:t>
            </w:r>
          </w:p>
        </w:tc>
        <w:tc>
          <w:tcPr>
            <w:tcW w:w="5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4.8</w:t>
            </w:r>
          </w:p>
        </w:tc>
      </w:tr>
      <w:tr>
        <w:trPr>
          <w:trHeight w:val="580"/>
        </w:trPr>
        <w:tc>
          <w:tcPr>
            <w:tcW w:w="3960" w:type="dxa"/>
            <w:vAlign w:val="bottom"/>
          </w:tcPr>
          <w:p>
            <w:pPr>
              <w:spacing w:after="0"/>
              <w:rPr>
                <w:sz w:val="24"/>
                <w:szCs w:val="24"/>
                <w:color w:val="auto"/>
              </w:rPr>
            </w:pPr>
          </w:p>
        </w:tc>
        <w:tc>
          <w:tcPr>
            <w:tcW w:w="3820" w:type="dxa"/>
            <w:vAlign w:val="bottom"/>
          </w:tcPr>
          <w:p>
            <w:pPr>
              <w:jc w:val="right"/>
              <w:ind w:right="1979"/>
              <w:spacing w:after="0"/>
              <w:rPr>
                <w:sz w:val="20"/>
                <w:szCs w:val="20"/>
                <w:color w:val="auto"/>
              </w:rPr>
            </w:pPr>
            <w:r>
              <w:rPr>
                <w:rFonts w:ascii="Arial" w:cs="Arial" w:eastAsia="Arial" w:hAnsi="Arial"/>
                <w:sz w:val="16"/>
                <w:szCs w:val="16"/>
                <w:color w:val="auto"/>
              </w:rPr>
              <w:t>89</w:t>
            </w: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751"/>
        </w:trPr>
        <w:tc>
          <w:tcPr>
            <w:tcW w:w="396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8660" w:firstLine="8"/>
        <w:spacing w:after="0" w:line="493" w:lineRule="auto"/>
        <w:tabs>
          <w:tab w:leader="none" w:pos="333" w:val="left"/>
        </w:tabs>
        <w:numPr>
          <w:ilvl w:val="0"/>
          <w:numId w:val="68"/>
        </w:numPr>
        <w:rPr>
          <w:rFonts w:ascii="Arial" w:cs="Arial" w:eastAsia="Arial" w:hAnsi="Arial"/>
          <w:sz w:val="16"/>
          <w:szCs w:val="16"/>
          <w:b w:val="1"/>
          <w:bCs w:val="1"/>
          <w:color w:val="auto"/>
        </w:rPr>
      </w:pPr>
      <w:r>
        <w:rPr>
          <w:rFonts w:ascii="Arial" w:cs="Arial" w:eastAsia="Arial" w:hAnsi="Arial"/>
          <w:sz w:val="16"/>
          <w:szCs w:val="16"/>
          <w:b w:val="1"/>
          <w:bCs w:val="1"/>
          <w:color w:val="auto"/>
        </w:rPr>
        <w:t>EMPLOYEE BENEFIT PLANS Defined Contribution Plans</w:t>
      </w:r>
    </w:p>
    <w:p>
      <w:pPr>
        <w:ind w:right="20"/>
        <w:spacing w:after="0" w:line="266" w:lineRule="auto"/>
        <w:rPr>
          <w:sz w:val="20"/>
          <w:szCs w:val="20"/>
          <w:color w:val="auto"/>
        </w:rPr>
      </w:pPr>
      <w:r>
        <w:rPr>
          <w:rFonts w:ascii="Arial" w:cs="Arial" w:eastAsia="Arial" w:hAnsi="Arial"/>
          <w:sz w:val="16"/>
          <w:szCs w:val="16"/>
          <w:color w:val="auto"/>
        </w:rPr>
        <w:t>We sponsor a 401(k) retirement savings plan (the 401(k) Plan). Participants in the 401(k) Plan may elect to invest a portion of their eligible compensation in the 401(k) Plan up to the maximum amounts established by the IRS. The 401(k) Plan provides employees the opportunity to invest up to 50% of their eligible compensation on a pre-tax or after-tax basis.</w:t>
      </w:r>
    </w:p>
    <w:p>
      <w:pPr>
        <w:spacing w:after="0" w:line="144"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The 401(k) Plan provides a Company matching contribution for all eligible participants. Certain eligible participants who are not currently accruing a benefit in the Pension Plan also receive a Company retirement contribution based on the participant’s age and years of service. Vesting of all Company and matching contributions occurs at 20% per year with 100% vesting when the participant has 5 years of service with the Company.</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Defined Benefit Pension Plan</w:t>
      </w:r>
    </w:p>
    <w:p>
      <w:pPr>
        <w:spacing w:after="0" w:line="194" w:lineRule="exact"/>
        <w:rPr>
          <w:sz w:val="20"/>
          <w:szCs w:val="20"/>
          <w:color w:val="auto"/>
        </w:rPr>
      </w:pPr>
    </w:p>
    <w:p>
      <w:pPr>
        <w:jc w:val="both"/>
        <w:ind w:right="540"/>
        <w:spacing w:after="0" w:line="266" w:lineRule="auto"/>
        <w:rPr>
          <w:sz w:val="20"/>
          <w:szCs w:val="20"/>
          <w:color w:val="auto"/>
        </w:rPr>
      </w:pPr>
      <w:r>
        <w:rPr>
          <w:rFonts w:ascii="Arial" w:cs="Arial" w:eastAsia="Arial" w:hAnsi="Arial"/>
          <w:sz w:val="16"/>
          <w:szCs w:val="16"/>
          <w:color w:val="auto"/>
        </w:rPr>
        <w:t>We have one defined benefit pension plan, the Black Hills Retirement Plan (Pension Plan). The Pension Plan covers certain eligible employees of the Company. The benefits for the Pension Plan are based on years of service and calculations of average earnings during a specific time period prior to retirement. The Pension Plan is closed to new employees and frozen for certain employees who did not meet age and service-based criteria.</w:t>
      </w:r>
    </w:p>
    <w:p>
      <w:pPr>
        <w:spacing w:after="0" w:line="144"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The Pension Plan assets are held in a Master Trust. Our Board of Directors has approved the Pension Plan’s investment policy. The objective of the investment policy is to manage assets in such a way that will allow the eventual settlement of our obligations to the Pension Plan’s beneficiaries. To meet this objective, our pension assets are managed by an outside adviser using a portfolio strategy that will provide liquidity to meet the Pension Plan’s benefit payment obligations. The Pension Plan’s assets consist primarily of equity, fixed income and hedged investments.</w:t>
      </w:r>
    </w:p>
    <w:p>
      <w:pPr>
        <w:spacing w:after="0" w:line="151"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The expected rate of return on the Pension Plan assets is determined by reviewing the historical and expected returns of both equity and fixed income markets, taking into account asset allocation, the correlation between asset class returns and the mix of active and passive investments. The Pension Plan utilizes a dynamic asset allocation where the target range to return-seeking and liability-hedging assets is determined based on the funded status of the Plan. As of December 31, 2024, the expected rate of return on pension plan assets was based on the targeted asset allocation range of 20% to 28% return-seeking assets and 72% to 80% liability-hedging assets. For 2025, the expected rate of return on pension plan assets is based on the targeted asset allocation range of 26% to 34% return-seeking assets and 66% to 74% liability-hedging assets.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Our Pension Plan is funded in compliance with the federal government’s funding requirements.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Plan Assets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percentages of total plan asset by investment category for our Pension Plan at December 31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20" w:type="dxa"/>
            <w:vAlign w:val="bottom"/>
          </w:tcPr>
          <w:p>
            <w:pPr>
              <w:ind w:left="20"/>
              <w:spacing w:after="0"/>
              <w:rPr>
                <w:sz w:val="20"/>
                <w:szCs w:val="20"/>
                <w:color w:val="auto"/>
              </w:rPr>
            </w:pPr>
            <w:r>
              <w:rPr>
                <w:rFonts w:ascii="Arial" w:cs="Arial" w:eastAsia="Arial" w:hAnsi="Arial"/>
                <w:sz w:val="16"/>
                <w:szCs w:val="16"/>
                <w:b w:val="1"/>
                <w:bCs w:val="1"/>
                <w:color w:val="auto"/>
              </w:rPr>
              <w:t>Return-seeking Assets</w:t>
            </w: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2024</w:t>
            </w: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2023</w:t>
            </w:r>
          </w:p>
        </w:tc>
      </w:tr>
      <w:tr>
        <w:trPr>
          <w:trHeight w:val="183"/>
        </w:trPr>
        <w:tc>
          <w:tcPr>
            <w:tcW w:w="43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Equity</w:t>
            </w:r>
          </w:p>
        </w:tc>
        <w:tc>
          <w:tcPr>
            <w:tcW w:w="3460" w:type="dxa"/>
            <w:vAlign w:val="bottom"/>
            <w:shd w:val="clear" w:color="auto" w:fill="CFF0FC"/>
          </w:tcPr>
          <w:p>
            <w:pPr>
              <w:jc w:val="center"/>
              <w:spacing w:after="0" w:line="183" w:lineRule="exact"/>
              <w:rPr>
                <w:sz w:val="20"/>
                <w:szCs w:val="20"/>
                <w:color w:val="auto"/>
              </w:rPr>
            </w:pPr>
            <w:r>
              <w:rPr>
                <w:rFonts w:ascii="Arial" w:cs="Arial" w:eastAsia="Arial" w:hAnsi="Arial"/>
                <w:sz w:val="16"/>
                <w:szCs w:val="16"/>
                <w:color w:val="auto"/>
                <w:w w:val="99"/>
              </w:rPr>
              <w:t>19%</w:t>
            </w:r>
          </w:p>
        </w:tc>
        <w:tc>
          <w:tcPr>
            <w:tcW w:w="3460" w:type="dxa"/>
            <w:vAlign w:val="bottom"/>
            <w:shd w:val="clear" w:color="auto" w:fill="CFF0FC"/>
          </w:tcPr>
          <w:p>
            <w:pPr>
              <w:jc w:val="center"/>
              <w:spacing w:after="0" w:line="183" w:lineRule="exact"/>
              <w:rPr>
                <w:sz w:val="20"/>
                <w:szCs w:val="20"/>
                <w:color w:val="auto"/>
              </w:rPr>
            </w:pPr>
            <w:r>
              <w:rPr>
                <w:rFonts w:ascii="Arial" w:cs="Arial" w:eastAsia="Arial" w:hAnsi="Arial"/>
                <w:sz w:val="16"/>
                <w:szCs w:val="16"/>
                <w:color w:val="auto"/>
                <w:w w:val="99"/>
              </w:rPr>
              <w:t>14%</w:t>
            </w:r>
          </w:p>
        </w:tc>
      </w:tr>
      <w:tr>
        <w:trPr>
          <w:trHeight w:val="189"/>
        </w:trPr>
        <w:tc>
          <w:tcPr>
            <w:tcW w:w="4320" w:type="dxa"/>
            <w:vAlign w:val="bottom"/>
          </w:tcPr>
          <w:p>
            <w:pPr>
              <w:ind w:left="20"/>
              <w:spacing w:after="0"/>
              <w:rPr>
                <w:sz w:val="20"/>
                <w:szCs w:val="20"/>
                <w:color w:val="auto"/>
              </w:rPr>
            </w:pPr>
            <w:r>
              <w:rPr>
                <w:rFonts w:ascii="Arial" w:cs="Arial" w:eastAsia="Arial" w:hAnsi="Arial"/>
                <w:sz w:val="16"/>
                <w:szCs w:val="16"/>
                <w:color w:val="auto"/>
              </w:rPr>
              <w:t>Real estate</w:t>
            </w:r>
          </w:p>
        </w:tc>
        <w:tc>
          <w:tcPr>
            <w:tcW w:w="3460" w:type="dxa"/>
            <w:vAlign w:val="bottom"/>
          </w:tcPr>
          <w:p>
            <w:pPr>
              <w:jc w:val="center"/>
              <w:spacing w:after="0"/>
              <w:rPr>
                <w:sz w:val="20"/>
                <w:szCs w:val="20"/>
                <w:color w:val="auto"/>
              </w:rPr>
            </w:pPr>
            <w:r>
              <w:rPr>
                <w:rFonts w:ascii="Arial" w:cs="Arial" w:eastAsia="Arial" w:hAnsi="Arial"/>
                <w:sz w:val="16"/>
                <w:szCs w:val="16"/>
                <w:color w:val="auto"/>
              </w:rPr>
              <w:t>5%</w:t>
            </w:r>
          </w:p>
        </w:tc>
        <w:tc>
          <w:tcPr>
            <w:tcW w:w="3460" w:type="dxa"/>
            <w:vAlign w:val="bottom"/>
          </w:tcPr>
          <w:p>
            <w:pPr>
              <w:jc w:val="center"/>
              <w:spacing w:after="0"/>
              <w:rPr>
                <w:sz w:val="20"/>
                <w:szCs w:val="20"/>
                <w:color w:val="auto"/>
              </w:rPr>
            </w:pPr>
            <w:r>
              <w:rPr>
                <w:rFonts w:ascii="Arial" w:cs="Arial" w:eastAsia="Arial" w:hAnsi="Arial"/>
                <w:sz w:val="16"/>
                <w:szCs w:val="16"/>
                <w:color w:val="auto"/>
              </w:rPr>
              <w:t>5%</w:t>
            </w:r>
          </w:p>
        </w:tc>
      </w:tr>
      <w:tr>
        <w:trPr>
          <w:trHeight w:val="189"/>
        </w:trPr>
        <w:tc>
          <w:tcPr>
            <w:tcW w:w="4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Hedge funds</w:t>
            </w:r>
          </w:p>
        </w:tc>
        <w:tc>
          <w:tcPr>
            <w:tcW w:w="34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3%</w:t>
            </w:r>
          </w:p>
        </w:tc>
        <w:tc>
          <w:tcPr>
            <w:tcW w:w="34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3%</w:t>
            </w:r>
          </w:p>
        </w:tc>
      </w:tr>
      <w:tr>
        <w:trPr>
          <w:trHeight w:val="189"/>
        </w:trPr>
        <w:tc>
          <w:tcPr>
            <w:tcW w:w="4320" w:type="dxa"/>
            <w:vAlign w:val="bottom"/>
            <w:tcBorders>
              <w:bottom w:val="single" w:sz="8" w:color="CFF0FC"/>
            </w:tcBorders>
          </w:tcPr>
          <w:p>
            <w:pPr>
              <w:ind w:left="20"/>
              <w:spacing w:after="0"/>
              <w:rPr>
                <w:sz w:val="20"/>
                <w:szCs w:val="20"/>
                <w:color w:val="auto"/>
              </w:rPr>
            </w:pPr>
            <w:r>
              <w:rPr>
                <w:rFonts w:ascii="Arial" w:cs="Arial" w:eastAsia="Arial" w:hAnsi="Arial"/>
                <w:sz w:val="16"/>
                <w:szCs w:val="16"/>
                <w:color w:val="auto"/>
              </w:rPr>
              <w:t>Fixed income</w:t>
            </w: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3%</w:t>
            </w: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w:t>
            </w:r>
          </w:p>
        </w:tc>
      </w:tr>
      <w:tr>
        <w:trPr>
          <w:trHeight w:val="183"/>
        </w:trPr>
        <w:tc>
          <w:tcPr>
            <w:tcW w:w="4320" w:type="dxa"/>
            <w:vAlign w:val="bottom"/>
            <w:tcBorders>
              <w:bottom w:val="single" w:sz="8" w:color="CFF0FC"/>
            </w:tcBorders>
            <w:shd w:val="clear" w:color="auto" w:fill="CFF0FC"/>
          </w:tcPr>
          <w:p>
            <w:pPr>
              <w:ind w:left="200"/>
              <w:spacing w:after="0" w:line="183" w:lineRule="exact"/>
              <w:rPr>
                <w:sz w:val="20"/>
                <w:szCs w:val="20"/>
                <w:color w:val="auto"/>
              </w:rPr>
            </w:pPr>
            <w:r>
              <w:rPr>
                <w:rFonts w:ascii="Arial" w:cs="Arial" w:eastAsia="Arial" w:hAnsi="Arial"/>
                <w:sz w:val="16"/>
                <w:szCs w:val="16"/>
                <w:color w:val="auto"/>
              </w:rPr>
              <w:t>Total</w:t>
            </w:r>
          </w:p>
        </w:tc>
        <w:tc>
          <w:tcPr>
            <w:tcW w:w="3460" w:type="dxa"/>
            <w:vAlign w:val="bottom"/>
            <w:tcBorders>
              <w:bottom w:val="single" w:sz="8" w:color="auto"/>
            </w:tcBorders>
            <w:shd w:val="clear" w:color="auto" w:fill="CFF0FC"/>
          </w:tcPr>
          <w:p>
            <w:pPr>
              <w:jc w:val="center"/>
              <w:spacing w:after="0" w:line="183" w:lineRule="exact"/>
              <w:rPr>
                <w:sz w:val="20"/>
                <w:szCs w:val="20"/>
                <w:color w:val="auto"/>
              </w:rPr>
            </w:pPr>
            <w:r>
              <w:rPr>
                <w:rFonts w:ascii="Arial" w:cs="Arial" w:eastAsia="Arial" w:hAnsi="Arial"/>
                <w:sz w:val="16"/>
                <w:szCs w:val="16"/>
                <w:color w:val="auto"/>
                <w:w w:val="99"/>
              </w:rPr>
              <w:t>30%</w:t>
            </w:r>
          </w:p>
        </w:tc>
        <w:tc>
          <w:tcPr>
            <w:tcW w:w="3460" w:type="dxa"/>
            <w:vAlign w:val="bottom"/>
            <w:tcBorders>
              <w:bottom w:val="single" w:sz="8" w:color="auto"/>
            </w:tcBorders>
            <w:shd w:val="clear" w:color="auto" w:fill="CFF0FC"/>
          </w:tcPr>
          <w:p>
            <w:pPr>
              <w:jc w:val="center"/>
              <w:spacing w:after="0" w:line="183" w:lineRule="exact"/>
              <w:rPr>
                <w:sz w:val="20"/>
                <w:szCs w:val="20"/>
                <w:color w:val="auto"/>
              </w:rPr>
            </w:pPr>
            <w:r>
              <w:rPr>
                <w:rFonts w:ascii="Arial" w:cs="Arial" w:eastAsia="Arial" w:hAnsi="Arial"/>
                <w:sz w:val="16"/>
                <w:szCs w:val="16"/>
                <w:color w:val="auto"/>
                <w:w w:val="99"/>
              </w:rPr>
              <w:t>24%</w:t>
            </w: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20" w:type="dxa"/>
            <w:vAlign w:val="bottom"/>
          </w:tcPr>
          <w:p>
            <w:pPr>
              <w:ind w:left="20"/>
              <w:spacing w:after="0"/>
              <w:rPr>
                <w:sz w:val="20"/>
                <w:szCs w:val="20"/>
                <w:color w:val="auto"/>
              </w:rPr>
            </w:pPr>
            <w:r>
              <w:rPr>
                <w:rFonts w:ascii="Arial" w:cs="Arial" w:eastAsia="Arial" w:hAnsi="Arial"/>
                <w:sz w:val="16"/>
                <w:szCs w:val="16"/>
                <w:b w:val="1"/>
                <w:bCs w:val="1"/>
                <w:color w:val="auto"/>
              </w:rPr>
              <w:t>Liability-hedging Assets</w:t>
            </w: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2024</w:t>
            </w: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2023</w:t>
            </w:r>
          </w:p>
        </w:tc>
      </w:tr>
      <w:tr>
        <w:trPr>
          <w:trHeight w:val="183"/>
        </w:trPr>
        <w:tc>
          <w:tcPr>
            <w:tcW w:w="43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Fixed income</w:t>
            </w:r>
          </w:p>
        </w:tc>
        <w:tc>
          <w:tcPr>
            <w:tcW w:w="3460" w:type="dxa"/>
            <w:vAlign w:val="bottom"/>
            <w:shd w:val="clear" w:color="auto" w:fill="CFF0FC"/>
          </w:tcPr>
          <w:p>
            <w:pPr>
              <w:jc w:val="center"/>
              <w:spacing w:after="0" w:line="183" w:lineRule="exact"/>
              <w:rPr>
                <w:sz w:val="20"/>
                <w:szCs w:val="20"/>
                <w:color w:val="auto"/>
              </w:rPr>
            </w:pPr>
            <w:r>
              <w:rPr>
                <w:rFonts w:ascii="Arial" w:cs="Arial" w:eastAsia="Arial" w:hAnsi="Arial"/>
                <w:sz w:val="16"/>
                <w:szCs w:val="16"/>
                <w:color w:val="auto"/>
                <w:w w:val="99"/>
              </w:rPr>
              <w:t>68%</w:t>
            </w:r>
          </w:p>
        </w:tc>
        <w:tc>
          <w:tcPr>
            <w:tcW w:w="3460" w:type="dxa"/>
            <w:vAlign w:val="bottom"/>
            <w:shd w:val="clear" w:color="auto" w:fill="CFF0FC"/>
          </w:tcPr>
          <w:p>
            <w:pPr>
              <w:jc w:val="center"/>
              <w:spacing w:after="0" w:line="183" w:lineRule="exact"/>
              <w:rPr>
                <w:sz w:val="20"/>
                <w:szCs w:val="20"/>
                <w:color w:val="auto"/>
              </w:rPr>
            </w:pPr>
            <w:r>
              <w:rPr>
                <w:rFonts w:ascii="Arial" w:cs="Arial" w:eastAsia="Arial" w:hAnsi="Arial"/>
                <w:sz w:val="16"/>
                <w:szCs w:val="16"/>
                <w:color w:val="auto"/>
                <w:w w:val="99"/>
              </w:rPr>
              <w:t>74%</w:t>
            </w:r>
          </w:p>
        </w:tc>
      </w:tr>
      <w:tr>
        <w:trPr>
          <w:trHeight w:val="189"/>
        </w:trPr>
        <w:tc>
          <w:tcPr>
            <w:tcW w:w="4320" w:type="dxa"/>
            <w:vAlign w:val="bottom"/>
            <w:tcBorders>
              <w:bottom w:val="single" w:sz="8" w:color="CFF0FC"/>
            </w:tcBorders>
          </w:tcPr>
          <w:p>
            <w:pPr>
              <w:ind w:left="20"/>
              <w:spacing w:after="0"/>
              <w:rPr>
                <w:sz w:val="20"/>
                <w:szCs w:val="20"/>
                <w:color w:val="auto"/>
              </w:rPr>
            </w:pPr>
            <w:r>
              <w:rPr>
                <w:rFonts w:ascii="Arial" w:cs="Arial" w:eastAsia="Arial" w:hAnsi="Arial"/>
                <w:sz w:val="16"/>
                <w:szCs w:val="16"/>
                <w:color w:val="auto"/>
              </w:rPr>
              <w:t>Cash</w:t>
            </w: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w:t>
            </w: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w:t>
            </w:r>
          </w:p>
        </w:tc>
      </w:tr>
      <w:tr>
        <w:trPr>
          <w:trHeight w:val="183"/>
        </w:trPr>
        <w:tc>
          <w:tcPr>
            <w:tcW w:w="4320" w:type="dxa"/>
            <w:vAlign w:val="bottom"/>
            <w:tcBorders>
              <w:bottom w:val="single" w:sz="8" w:color="CFF0FC"/>
            </w:tcBorders>
            <w:shd w:val="clear" w:color="auto" w:fill="CFF0FC"/>
          </w:tcPr>
          <w:p>
            <w:pPr>
              <w:ind w:left="200"/>
              <w:spacing w:after="0" w:line="183" w:lineRule="exact"/>
              <w:rPr>
                <w:sz w:val="20"/>
                <w:szCs w:val="20"/>
                <w:color w:val="auto"/>
              </w:rPr>
            </w:pPr>
            <w:r>
              <w:rPr>
                <w:rFonts w:ascii="Arial" w:cs="Arial" w:eastAsia="Arial" w:hAnsi="Arial"/>
                <w:sz w:val="16"/>
                <w:szCs w:val="16"/>
                <w:color w:val="auto"/>
              </w:rPr>
              <w:t>Total</w:t>
            </w:r>
          </w:p>
        </w:tc>
        <w:tc>
          <w:tcPr>
            <w:tcW w:w="3460" w:type="dxa"/>
            <w:vAlign w:val="bottom"/>
            <w:tcBorders>
              <w:bottom w:val="single" w:sz="8" w:color="auto"/>
            </w:tcBorders>
            <w:shd w:val="clear" w:color="auto" w:fill="CFF0FC"/>
          </w:tcPr>
          <w:p>
            <w:pPr>
              <w:jc w:val="center"/>
              <w:spacing w:after="0" w:line="183" w:lineRule="exact"/>
              <w:rPr>
                <w:sz w:val="20"/>
                <w:szCs w:val="20"/>
                <w:color w:val="auto"/>
              </w:rPr>
            </w:pPr>
            <w:r>
              <w:rPr>
                <w:rFonts w:ascii="Arial" w:cs="Arial" w:eastAsia="Arial" w:hAnsi="Arial"/>
                <w:sz w:val="16"/>
                <w:szCs w:val="16"/>
                <w:color w:val="auto"/>
                <w:w w:val="99"/>
              </w:rPr>
              <w:t>70%</w:t>
            </w:r>
          </w:p>
        </w:tc>
        <w:tc>
          <w:tcPr>
            <w:tcW w:w="3460" w:type="dxa"/>
            <w:vAlign w:val="bottom"/>
            <w:tcBorders>
              <w:bottom w:val="single" w:sz="8" w:color="auto"/>
            </w:tcBorders>
            <w:shd w:val="clear" w:color="auto" w:fill="CFF0FC"/>
          </w:tcPr>
          <w:p>
            <w:pPr>
              <w:jc w:val="center"/>
              <w:spacing w:after="0" w:line="183" w:lineRule="exact"/>
              <w:rPr>
                <w:sz w:val="20"/>
                <w:szCs w:val="20"/>
                <w:color w:val="auto"/>
              </w:rPr>
            </w:pPr>
            <w:r>
              <w:rPr>
                <w:rFonts w:ascii="Arial" w:cs="Arial" w:eastAsia="Arial" w:hAnsi="Arial"/>
                <w:sz w:val="16"/>
                <w:szCs w:val="16"/>
                <w:color w:val="auto"/>
                <w:w w:val="99"/>
              </w:rPr>
              <w:t>76%</w:t>
            </w:r>
          </w:p>
        </w:tc>
      </w:tr>
      <w:tr>
        <w:trPr>
          <w:trHeight w:val="183"/>
        </w:trPr>
        <w:tc>
          <w:tcPr>
            <w:tcW w:w="4320" w:type="dxa"/>
            <w:vAlign w:val="bottom"/>
          </w:tcPr>
          <w:p>
            <w:pPr>
              <w:spacing w:after="0"/>
              <w:rPr>
                <w:sz w:val="15"/>
                <w:szCs w:val="15"/>
                <w:color w:val="auto"/>
              </w:rPr>
            </w:pPr>
          </w:p>
        </w:tc>
        <w:tc>
          <w:tcPr>
            <w:tcW w:w="3460" w:type="dxa"/>
            <w:vAlign w:val="bottom"/>
            <w:tcBorders>
              <w:bottom w:val="single" w:sz="8" w:color="auto"/>
            </w:tcBorders>
          </w:tcPr>
          <w:p>
            <w:pPr>
              <w:spacing w:after="0"/>
              <w:rPr>
                <w:sz w:val="15"/>
                <w:szCs w:val="15"/>
                <w:color w:val="auto"/>
              </w:rPr>
            </w:pPr>
          </w:p>
        </w:tc>
        <w:tc>
          <w:tcPr>
            <w:tcW w:w="3460" w:type="dxa"/>
            <w:vAlign w:val="bottom"/>
            <w:tcBorders>
              <w:bottom w:val="single" w:sz="8" w:color="auto"/>
            </w:tcBorders>
          </w:tcPr>
          <w:p>
            <w:pPr>
              <w:spacing w:after="0"/>
              <w:rPr>
                <w:sz w:val="15"/>
                <w:szCs w:val="15"/>
                <w:color w:val="auto"/>
              </w:rPr>
            </w:pPr>
          </w:p>
        </w:tc>
      </w:tr>
      <w:tr>
        <w:trPr>
          <w:trHeight w:val="223"/>
        </w:trPr>
        <w:tc>
          <w:tcPr>
            <w:tcW w:w="4320" w:type="dxa"/>
            <w:vAlign w:val="bottom"/>
            <w:tcBorders>
              <w:bottom w:val="single" w:sz="8" w:color="CFF0FC"/>
            </w:tcBorders>
            <w:shd w:val="clear" w:color="auto" w:fill="CFF0FC"/>
          </w:tcPr>
          <w:p>
            <w:pPr>
              <w:ind w:left="20"/>
              <w:spacing w:after="0" w:line="169" w:lineRule="exact"/>
              <w:rPr>
                <w:sz w:val="20"/>
                <w:szCs w:val="20"/>
                <w:color w:val="auto"/>
              </w:rPr>
            </w:pPr>
            <w:r>
              <w:rPr>
                <w:rFonts w:ascii="Arial" w:cs="Arial" w:eastAsia="Arial" w:hAnsi="Arial"/>
                <w:sz w:val="16"/>
                <w:szCs w:val="16"/>
                <w:b w:val="1"/>
                <w:bCs w:val="1"/>
                <w:color w:val="auto"/>
              </w:rPr>
              <w:t>Total Assets</w:t>
            </w:r>
          </w:p>
        </w:tc>
        <w:tc>
          <w:tcPr>
            <w:tcW w:w="3460" w:type="dxa"/>
            <w:vAlign w:val="bottom"/>
            <w:tcBorders>
              <w:bottom w:val="single" w:sz="8" w:color="auto"/>
            </w:tcBorders>
            <w:shd w:val="clear" w:color="auto" w:fill="CFF0FC"/>
          </w:tcPr>
          <w:p>
            <w:pPr>
              <w:jc w:val="center"/>
              <w:spacing w:after="0" w:line="169" w:lineRule="exact"/>
              <w:rPr>
                <w:sz w:val="20"/>
                <w:szCs w:val="20"/>
                <w:color w:val="auto"/>
              </w:rPr>
            </w:pPr>
            <w:r>
              <w:rPr>
                <w:rFonts w:ascii="Arial" w:cs="Arial" w:eastAsia="Arial" w:hAnsi="Arial"/>
                <w:sz w:val="16"/>
                <w:szCs w:val="16"/>
                <w:color w:val="auto"/>
              </w:rPr>
              <w:t>100%</w:t>
            </w:r>
          </w:p>
        </w:tc>
        <w:tc>
          <w:tcPr>
            <w:tcW w:w="3460" w:type="dxa"/>
            <w:vAlign w:val="bottom"/>
            <w:tcBorders>
              <w:bottom w:val="single" w:sz="8" w:color="auto"/>
            </w:tcBorders>
            <w:shd w:val="clear" w:color="auto" w:fill="CFF0FC"/>
          </w:tcPr>
          <w:p>
            <w:pPr>
              <w:jc w:val="center"/>
              <w:spacing w:after="0" w:line="169" w:lineRule="exact"/>
              <w:rPr>
                <w:sz w:val="20"/>
                <w:szCs w:val="20"/>
                <w:color w:val="auto"/>
              </w:rPr>
            </w:pPr>
            <w:r>
              <w:rPr>
                <w:rFonts w:ascii="Arial" w:cs="Arial" w:eastAsia="Arial" w:hAnsi="Arial"/>
                <w:sz w:val="16"/>
                <w:szCs w:val="16"/>
                <w:color w:val="auto"/>
              </w:rPr>
              <w:t>100%</w:t>
            </w:r>
          </w:p>
        </w:tc>
      </w:tr>
      <w:tr>
        <w:trPr>
          <w:trHeight w:val="378"/>
        </w:trPr>
        <w:tc>
          <w:tcPr>
            <w:tcW w:w="4320" w:type="dxa"/>
            <w:vAlign w:val="bottom"/>
          </w:tcPr>
          <w:p>
            <w:pPr>
              <w:spacing w:after="0"/>
              <w:rPr>
                <w:sz w:val="20"/>
                <w:szCs w:val="20"/>
                <w:color w:val="auto"/>
              </w:rPr>
            </w:pPr>
            <w:r>
              <w:rPr>
                <w:rFonts w:ascii="Arial" w:cs="Arial" w:eastAsia="Arial" w:hAnsi="Arial"/>
                <w:sz w:val="16"/>
                <w:szCs w:val="16"/>
                <w:b w:val="1"/>
                <w:bCs w:val="1"/>
                <w:color w:val="auto"/>
              </w:rPr>
              <w:t>Supplemental Non-qualified Defined Benefit Plans</w:t>
            </w:r>
          </w:p>
        </w:tc>
        <w:tc>
          <w:tcPr>
            <w:tcW w:w="3460" w:type="dxa"/>
            <w:vAlign w:val="bottom"/>
          </w:tcPr>
          <w:p>
            <w:pPr>
              <w:spacing w:after="0"/>
              <w:rPr>
                <w:sz w:val="24"/>
                <w:szCs w:val="24"/>
                <w:color w:val="auto"/>
              </w:rPr>
            </w:pPr>
          </w:p>
        </w:tc>
        <w:tc>
          <w:tcPr>
            <w:tcW w:w="3460" w:type="dxa"/>
            <w:vAlign w:val="bottom"/>
          </w:tcPr>
          <w:p>
            <w:pPr>
              <w:spacing w:after="0"/>
              <w:rPr>
                <w:sz w:val="24"/>
                <w:szCs w:val="24"/>
                <w:color w:val="auto"/>
              </w:rPr>
            </w:pPr>
          </w:p>
        </w:tc>
      </w:tr>
    </w:tbl>
    <w:p>
      <w:pPr>
        <w:spacing w:after="0" w:line="155"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We have various supplemental retirement plans for key executives of the Company. The plans are non-qualified defined benefit and defined contribution plans (Supplemental Plans). The Supplemental Plans are subject to various vesting schedules and are funded on a cash basis as benefits are paid.</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0" w:name="page91"/>
    <w:bookmarkEnd w:id="9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Non-pension Defined Benefit Retiree Healthcare Plan</w:t>
      </w:r>
    </w:p>
    <w:p>
      <w:pPr>
        <w:spacing w:after="0" w:line="194"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BHC sponsors a retiree healthcare plan (Healthcare Plan) for employees who meet certain age and service requirements at retirement. Healthcare Plan benefits are subject to premiums, deductibles, co-payment provisions and other limitations. A portion of the Healthcare Plan for participating business units are pre-funded via VEBA trusts. Pre-65 retirees as well as a grandfathered group of post-65 retirees receive their retiree medical benefits through the Black Hills self-insured retiree medical plans.</w:t>
      </w:r>
    </w:p>
    <w:p>
      <w:pPr>
        <w:spacing w:after="0" w:line="151"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Healthcare coverage for post-65 Medicare-eligible retirees is provided through an individual market healthcare exchange. We fund the Healthcare Plan on a cash basis as benefits are paid. The Healthcare Plan provides for partial pre-funding via VEBA trusts. Assets related to this pre-funding are held in trust and are for the benefit of the union and non-union employees located in the states of Arkansas, Iowa, and Kansas. We do not pre-fund the Healthcare Plan for those employees outside Arkansas, Iowa, and Kansas.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Plan Contributions</w:t>
      </w:r>
    </w:p>
    <w:p>
      <w:pPr>
        <w:spacing w:after="0" w:line="194"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Contributions to the Pension Plan are cash contributions made directly to the Master Trust. Healthcare and Supplemental Plan contributions are made in the form of benefit payments. Healthcare benefits include company and participant paid premiums.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60" w:type="dxa"/>
            <w:vAlign w:val="bottom"/>
          </w:tcPr>
          <w:p>
            <w:pPr>
              <w:spacing w:after="0"/>
              <w:rPr>
                <w:sz w:val="20"/>
                <w:szCs w:val="20"/>
                <w:color w:val="auto"/>
              </w:rPr>
            </w:pPr>
            <w:r>
              <w:rPr>
                <w:rFonts w:ascii="Arial" w:cs="Arial" w:eastAsia="Arial" w:hAnsi="Arial"/>
                <w:sz w:val="16"/>
                <w:szCs w:val="16"/>
                <w:color w:val="auto"/>
              </w:rPr>
              <w:t>Contributions for the years ended December 31 were as follows:</w:t>
            </w:r>
          </w:p>
        </w:tc>
        <w:tc>
          <w:tcPr>
            <w:tcW w:w="1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367"/>
        </w:trPr>
        <w:tc>
          <w:tcPr>
            <w:tcW w:w="7360" w:type="dxa"/>
            <w:vAlign w:val="bottom"/>
          </w:tcPr>
          <w:p>
            <w:pPr>
              <w:spacing w:after="0"/>
              <w:rPr>
                <w:sz w:val="24"/>
                <w:szCs w:val="24"/>
                <w:color w:val="auto"/>
              </w:rPr>
            </w:pP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2024</w:t>
            </w:r>
          </w:p>
        </w:tc>
        <w:tc>
          <w:tcPr>
            <w:tcW w:w="6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2023</w:t>
            </w:r>
          </w:p>
        </w:tc>
      </w:tr>
      <w:tr>
        <w:trPr>
          <w:trHeight w:val="183"/>
        </w:trPr>
        <w:tc>
          <w:tcPr>
            <w:tcW w:w="7360" w:type="dxa"/>
            <w:vAlign w:val="bottom"/>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right"/>
              <w:ind w:right="119"/>
              <w:spacing w:after="0" w:line="183" w:lineRule="exact"/>
              <w:rPr>
                <w:sz w:val="20"/>
                <w:szCs w:val="20"/>
                <w:color w:val="auto"/>
              </w:rPr>
            </w:pPr>
            <w:r>
              <w:rPr>
                <w:rFonts w:ascii="Arial" w:cs="Arial" w:eastAsia="Arial" w:hAnsi="Arial"/>
                <w:sz w:val="16"/>
                <w:szCs w:val="16"/>
                <w:color w:val="auto"/>
              </w:rPr>
              <w:t>(in millions)</w:t>
            </w:r>
          </w:p>
        </w:tc>
        <w:tc>
          <w:tcPr>
            <w:tcW w:w="1400" w:type="dxa"/>
            <w:vAlign w:val="bottom"/>
            <w:tcBorders>
              <w:bottom w:val="single" w:sz="8" w:color="auto"/>
            </w:tcBorders>
          </w:tcPr>
          <w:p>
            <w:pPr>
              <w:spacing w:after="0"/>
              <w:rPr>
                <w:sz w:val="15"/>
                <w:szCs w:val="15"/>
                <w:color w:val="auto"/>
              </w:rPr>
            </w:pPr>
          </w:p>
        </w:tc>
      </w:tr>
      <w:tr>
        <w:trPr>
          <w:trHeight w:val="183"/>
        </w:trPr>
        <w:tc>
          <w:tcPr>
            <w:tcW w:w="73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Defined Contribution Plan</w:t>
            </w:r>
          </w:p>
        </w:tc>
        <w:tc>
          <w:tcPr>
            <w:tcW w:w="12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r>
      <w:tr>
        <w:trPr>
          <w:trHeight w:val="189"/>
        </w:trPr>
        <w:tc>
          <w:tcPr>
            <w:tcW w:w="7360" w:type="dxa"/>
            <w:vAlign w:val="bottom"/>
          </w:tcPr>
          <w:p>
            <w:pPr>
              <w:ind w:left="20"/>
              <w:spacing w:after="0"/>
              <w:rPr>
                <w:sz w:val="20"/>
                <w:szCs w:val="20"/>
                <w:color w:val="auto"/>
              </w:rPr>
            </w:pPr>
            <w:r>
              <w:rPr>
                <w:rFonts w:ascii="Arial" w:cs="Arial" w:eastAsia="Arial" w:hAnsi="Arial"/>
                <w:sz w:val="16"/>
                <w:szCs w:val="16"/>
                <w:color w:val="auto"/>
              </w:rPr>
              <w:t>Company retirement contributions</w:t>
            </w:r>
          </w:p>
        </w:tc>
        <w:tc>
          <w:tcPr>
            <w:tcW w:w="1280" w:type="dxa"/>
            <w:vAlign w:val="bottom"/>
          </w:tcPr>
          <w:p>
            <w:pPr>
              <w:jc w:val="right"/>
              <w:ind w:right="109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11.3</w:t>
            </w:r>
          </w:p>
        </w:tc>
        <w:tc>
          <w:tcPr>
            <w:tcW w:w="60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12.7</w:t>
            </w:r>
          </w:p>
        </w:tc>
      </w:tr>
      <w:tr>
        <w:trPr>
          <w:trHeight w:val="189"/>
        </w:trPr>
        <w:tc>
          <w:tcPr>
            <w:tcW w:w="7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Company matching contributions</w:t>
            </w:r>
          </w:p>
        </w:tc>
        <w:tc>
          <w:tcPr>
            <w:tcW w:w="128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w:t>
            </w:r>
          </w:p>
        </w:tc>
        <w:tc>
          <w:tcPr>
            <w:tcW w:w="600" w:type="dxa"/>
            <w:vAlign w:val="bottom"/>
            <w:shd w:val="clear" w:color="auto" w:fill="CFF0FC"/>
          </w:tcPr>
          <w:p>
            <w:pPr>
              <w:spacing w:after="0"/>
              <w:rPr>
                <w:sz w:val="16"/>
                <w:szCs w:val="16"/>
                <w:color w:val="auto"/>
              </w:rPr>
            </w:pPr>
          </w:p>
        </w:tc>
        <w:tc>
          <w:tcPr>
            <w:tcW w:w="14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17.1</w:t>
            </w:r>
          </w:p>
        </w:tc>
      </w:tr>
      <w:tr>
        <w:trPr>
          <w:trHeight w:val="189"/>
        </w:trPr>
        <w:tc>
          <w:tcPr>
            <w:tcW w:w="7360" w:type="dxa"/>
            <w:vAlign w:val="bottom"/>
          </w:tcPr>
          <w:p>
            <w:pPr>
              <w:ind w:left="20"/>
              <w:spacing w:after="0"/>
              <w:rPr>
                <w:sz w:val="20"/>
                <w:szCs w:val="20"/>
                <w:color w:val="auto"/>
              </w:rPr>
            </w:pPr>
            <w:r>
              <w:rPr>
                <w:rFonts w:ascii="Arial" w:cs="Arial" w:eastAsia="Arial" w:hAnsi="Arial"/>
                <w:sz w:val="16"/>
                <w:szCs w:val="16"/>
                <w:b w:val="1"/>
                <w:bCs w:val="1"/>
                <w:color w:val="auto"/>
              </w:rPr>
              <w:t>Defined Benefit Plans</w:t>
            </w:r>
          </w:p>
        </w:tc>
        <w:tc>
          <w:tcPr>
            <w:tcW w:w="1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9"/>
        </w:trPr>
        <w:tc>
          <w:tcPr>
            <w:tcW w:w="7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Pension Plan</w:t>
            </w:r>
          </w:p>
        </w:tc>
        <w:tc>
          <w:tcPr>
            <w:tcW w:w="1280" w:type="dxa"/>
            <w:vAlign w:val="bottom"/>
            <w:shd w:val="clear" w:color="auto" w:fill="CFF0FC"/>
          </w:tcPr>
          <w:p>
            <w:pPr>
              <w:jc w:val="right"/>
              <w:ind w:right="109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600" w:type="dxa"/>
            <w:vAlign w:val="bottom"/>
            <w:shd w:val="clear" w:color="auto" w:fill="CFF0FC"/>
          </w:tcPr>
          <w:p>
            <w:pPr>
              <w:jc w:val="right"/>
              <w:ind w:right="35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r>
      <w:tr>
        <w:trPr>
          <w:trHeight w:val="189"/>
        </w:trPr>
        <w:tc>
          <w:tcPr>
            <w:tcW w:w="7360" w:type="dxa"/>
            <w:vAlign w:val="bottom"/>
          </w:tcPr>
          <w:p>
            <w:pPr>
              <w:ind w:left="20"/>
              <w:spacing w:after="0"/>
              <w:rPr>
                <w:sz w:val="20"/>
                <w:szCs w:val="20"/>
                <w:color w:val="auto"/>
              </w:rPr>
            </w:pPr>
            <w:r>
              <w:rPr>
                <w:rFonts w:ascii="Arial" w:cs="Arial" w:eastAsia="Arial" w:hAnsi="Arial"/>
                <w:sz w:val="16"/>
                <w:szCs w:val="16"/>
                <w:color w:val="auto"/>
              </w:rPr>
              <w:t>Healthcare Plan</w:t>
            </w:r>
          </w:p>
        </w:tc>
        <w:tc>
          <w:tcPr>
            <w:tcW w:w="1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5.7</w:t>
            </w:r>
          </w:p>
        </w:tc>
        <w:tc>
          <w:tcPr>
            <w:tcW w:w="600" w:type="dxa"/>
            <w:vAlign w:val="bottom"/>
          </w:tcPr>
          <w:p>
            <w:pPr>
              <w:spacing w:after="0"/>
              <w:rPr>
                <w:sz w:val="16"/>
                <w:szCs w:val="16"/>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5.4</w:t>
            </w:r>
          </w:p>
        </w:tc>
      </w:tr>
      <w:tr>
        <w:trPr>
          <w:trHeight w:val="189"/>
        </w:trPr>
        <w:tc>
          <w:tcPr>
            <w:tcW w:w="7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Supplemental Plans</w:t>
            </w:r>
          </w:p>
        </w:tc>
        <w:tc>
          <w:tcPr>
            <w:tcW w:w="128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w:t>
            </w:r>
          </w:p>
        </w:tc>
        <w:tc>
          <w:tcPr>
            <w:tcW w:w="600" w:type="dxa"/>
            <w:vAlign w:val="bottom"/>
            <w:shd w:val="clear" w:color="auto" w:fill="CFF0FC"/>
          </w:tcPr>
          <w:p>
            <w:pPr>
              <w:spacing w:after="0"/>
              <w:rPr>
                <w:sz w:val="16"/>
                <w:szCs w:val="16"/>
                <w:color w:val="auto"/>
              </w:rPr>
            </w:pPr>
          </w:p>
        </w:tc>
        <w:tc>
          <w:tcPr>
            <w:tcW w:w="14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3.5</w:t>
            </w:r>
          </w:p>
        </w:tc>
      </w:tr>
    </w:tbl>
    <w:p>
      <w:pPr>
        <w:spacing w:after="0" w:line="175" w:lineRule="exact"/>
        <w:rPr>
          <w:sz w:val="20"/>
          <w:szCs w:val="20"/>
          <w:color w:val="auto"/>
        </w:rPr>
      </w:pPr>
    </w:p>
    <w:p>
      <w:pPr>
        <w:ind w:right="660"/>
        <w:spacing w:after="0" w:line="286" w:lineRule="auto"/>
        <w:rPr>
          <w:sz w:val="20"/>
          <w:szCs w:val="20"/>
          <w:color w:val="auto"/>
        </w:rPr>
      </w:pPr>
      <w:r>
        <w:rPr>
          <w:rFonts w:ascii="Arial" w:cs="Arial" w:eastAsia="Arial" w:hAnsi="Arial"/>
          <w:sz w:val="16"/>
          <w:szCs w:val="16"/>
          <w:color w:val="auto"/>
        </w:rPr>
        <w:t>In 2025,we expect to make contributions of $1.8 million, $4.7 million and $2.8 million to the Pension Plan, Healthcare Plan and Supplemental Plans,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Measurements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by level within the fair value hierarchy, the assets that were accounted for at fair value on a recurring basis: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ind w:left="180"/>
              <w:spacing w:after="0"/>
              <w:rPr>
                <w:sz w:val="20"/>
                <w:szCs w:val="20"/>
                <w:color w:val="auto"/>
              </w:rPr>
            </w:pPr>
            <w:r>
              <w:rPr>
                <w:rFonts w:ascii="Arial" w:cs="Arial" w:eastAsia="Arial" w:hAnsi="Arial"/>
                <w:sz w:val="16"/>
                <w:szCs w:val="16"/>
                <w:b w:val="1"/>
                <w:bCs w:val="1"/>
                <w:color w:val="auto"/>
              </w:rPr>
              <w:t>December 31, 2024</w:t>
            </w:r>
          </w:p>
        </w:tc>
        <w:tc>
          <w:tcPr>
            <w:tcW w:w="2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5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119"/>
              <w:spacing w:after="0" w:line="168" w:lineRule="exact"/>
              <w:rPr>
                <w:sz w:val="20"/>
                <w:szCs w:val="20"/>
                <w:color w:val="auto"/>
              </w:rPr>
            </w:pPr>
            <w:r>
              <w:rPr>
                <w:rFonts w:ascii="Arial" w:cs="Arial" w:eastAsia="Arial" w:hAnsi="Arial"/>
                <w:sz w:val="16"/>
                <w:szCs w:val="16"/>
                <w:b w:val="1"/>
                <w:bCs w:val="1"/>
                <w:color w:val="auto"/>
                <w:w w:val="99"/>
              </w:rPr>
              <w:t>Total</w:t>
            </w: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119"/>
              <w:spacing w:after="0"/>
              <w:rPr>
                <w:sz w:val="20"/>
                <w:szCs w:val="20"/>
                <w:color w:val="auto"/>
              </w:rPr>
            </w:pPr>
            <w:r>
              <w:rPr>
                <w:rFonts w:ascii="Arial" w:cs="Arial" w:eastAsia="Arial" w:hAnsi="Arial"/>
                <w:sz w:val="16"/>
                <w:szCs w:val="16"/>
                <w:b w:val="1"/>
                <w:bCs w:val="1"/>
                <w:color w:val="auto"/>
              </w:rPr>
              <w:t>Investments</w:t>
            </w: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119"/>
              <w:spacing w:after="0"/>
              <w:rPr>
                <w:sz w:val="20"/>
                <w:szCs w:val="20"/>
                <w:color w:val="auto"/>
              </w:rPr>
            </w:pPr>
            <w:r>
              <w:rPr>
                <w:rFonts w:ascii="Arial" w:cs="Arial" w:eastAsia="Arial" w:hAnsi="Arial"/>
                <w:sz w:val="16"/>
                <w:szCs w:val="16"/>
                <w:b w:val="1"/>
                <w:bCs w:val="1"/>
                <w:color w:val="auto"/>
              </w:rPr>
              <w:t>Measured at</w:t>
            </w:r>
          </w:p>
        </w:tc>
        <w:tc>
          <w:tcPr>
            <w:tcW w:w="780" w:type="dxa"/>
            <w:vAlign w:val="bottom"/>
            <w:gridSpan w:val="2"/>
            <w:vMerge w:val="restart"/>
          </w:tcPr>
          <w:p>
            <w:pPr>
              <w:jc w:val="right"/>
              <w:ind w:right="39"/>
              <w:spacing w:after="0"/>
              <w:rPr>
                <w:sz w:val="20"/>
                <w:szCs w:val="20"/>
                <w:color w:val="auto"/>
              </w:rPr>
            </w:pPr>
            <w:r>
              <w:rPr>
                <w:rFonts w:ascii="Arial" w:cs="Arial" w:eastAsia="Arial" w:hAnsi="Arial"/>
                <w:sz w:val="32"/>
                <w:szCs w:val="32"/>
                <w:b w:val="1"/>
                <w:bCs w:val="1"/>
                <w:color w:val="auto"/>
                <w:vertAlign w:val="subscript"/>
              </w:rPr>
              <w:t>NAV</w:t>
            </w:r>
            <w:r>
              <w:rPr>
                <w:rFonts w:ascii="Arial" w:cs="Arial" w:eastAsia="Arial" w:hAnsi="Arial"/>
                <w:sz w:val="11"/>
                <w:szCs w:val="11"/>
                <w:b w:val="1"/>
                <w:bCs w:val="1"/>
                <w:color w:val="auto"/>
              </w:rPr>
              <w:t xml:space="preserve"> (a)</w:t>
            </w:r>
          </w:p>
        </w:tc>
        <w:tc>
          <w:tcPr>
            <w:tcW w:w="160" w:type="dxa"/>
            <w:vAlign w:val="bottom"/>
          </w:tcPr>
          <w:p>
            <w:pPr>
              <w:spacing w:after="0"/>
              <w:rPr>
                <w:sz w:val="16"/>
                <w:szCs w:val="16"/>
                <w:color w:val="auto"/>
              </w:rPr>
            </w:pPr>
          </w:p>
        </w:tc>
        <w:tc>
          <w:tcPr>
            <w:tcW w:w="1180" w:type="dxa"/>
            <w:vAlign w:val="bottom"/>
          </w:tcPr>
          <w:p>
            <w:pPr>
              <w:jc w:val="right"/>
              <w:ind w:right="4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3"/>
        </w:trPr>
        <w:tc>
          <w:tcPr>
            <w:tcW w:w="5360" w:type="dxa"/>
            <w:vAlign w:val="bottom"/>
          </w:tcPr>
          <w:p>
            <w:pPr>
              <w:spacing w:after="0"/>
              <w:rPr>
                <w:sz w:val="17"/>
                <w:szCs w:val="17"/>
                <w:color w:val="auto"/>
              </w:rPr>
            </w:pPr>
          </w:p>
        </w:tc>
        <w:tc>
          <w:tcPr>
            <w:tcW w:w="7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b w:val="1"/>
                <w:bCs w:val="1"/>
                <w:color w:val="auto"/>
              </w:rPr>
              <w:t>Level 1</w:t>
            </w: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5"/>
              </w:rPr>
              <w:t>Level 2</w:t>
            </w:r>
          </w:p>
        </w:tc>
        <w:tc>
          <w:tcPr>
            <w:tcW w:w="76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Level 3</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Fair Value</w:t>
            </w:r>
          </w:p>
        </w:tc>
        <w:tc>
          <w:tcPr>
            <w:tcW w:w="780" w:type="dxa"/>
            <w:vAlign w:val="bottom"/>
            <w:tcBorders>
              <w:bottom w:val="single" w:sz="8" w:color="auto"/>
            </w:tcBorders>
            <w:gridSpan w:val="2"/>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Investments</w:t>
            </w:r>
          </w:p>
        </w:tc>
        <w:tc>
          <w:tcPr>
            <w:tcW w:w="0" w:type="dxa"/>
            <w:vAlign w:val="bottom"/>
          </w:tcPr>
          <w:p>
            <w:pPr>
              <w:spacing w:after="0"/>
              <w:rPr>
                <w:sz w:val="1"/>
                <w:szCs w:val="1"/>
                <w:color w:val="auto"/>
              </w:rPr>
            </w:pPr>
          </w:p>
        </w:tc>
      </w:tr>
      <w:tr>
        <w:trPr>
          <w:trHeight w:val="183"/>
        </w:trPr>
        <w:tc>
          <w:tcPr>
            <w:tcW w:w="53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ind w:left="80"/>
              <w:spacing w:after="0" w:line="183" w:lineRule="exact"/>
              <w:rPr>
                <w:sz w:val="20"/>
                <w:szCs w:val="20"/>
                <w:color w:val="auto"/>
              </w:rPr>
            </w:pPr>
            <w:r>
              <w:rPr>
                <w:rFonts w:ascii="Arial" w:cs="Arial" w:eastAsia="Arial" w:hAnsi="Arial"/>
                <w:sz w:val="16"/>
                <w:szCs w:val="16"/>
                <w:color w:val="auto"/>
              </w:rPr>
              <w:t>(in millions)</w:t>
            </w:r>
          </w:p>
        </w:tc>
        <w:tc>
          <w:tcPr>
            <w:tcW w:w="2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Pension Plan</w:t>
            </w:r>
          </w:p>
        </w:tc>
        <w:tc>
          <w:tcPr>
            <w:tcW w:w="14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60" w:type="dxa"/>
            <w:vAlign w:val="bottom"/>
          </w:tcPr>
          <w:p>
            <w:pPr>
              <w:ind w:left="20"/>
              <w:spacing w:after="0"/>
              <w:rPr>
                <w:sz w:val="20"/>
                <w:szCs w:val="20"/>
                <w:color w:val="auto"/>
              </w:rPr>
            </w:pPr>
            <w:r>
              <w:rPr>
                <w:rFonts w:ascii="Arial" w:cs="Arial" w:eastAsia="Arial" w:hAnsi="Arial"/>
                <w:sz w:val="16"/>
                <w:szCs w:val="16"/>
                <w:color w:val="auto"/>
              </w:rPr>
              <w:t>Common Collective Trust - Cash and Cash Equivalents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5.4</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Pr>
          <w:p>
            <w:pPr>
              <w:ind w:left="200"/>
              <w:spacing w:after="0"/>
              <w:rPr>
                <w:sz w:val="20"/>
                <w:szCs w:val="20"/>
                <w:color w:val="auto"/>
              </w:rPr>
            </w:pPr>
            <w:r>
              <w:rPr>
                <w:rFonts w:ascii="Arial" w:cs="Arial" w:eastAsia="Arial" w:hAnsi="Arial"/>
                <w:sz w:val="16"/>
                <w:szCs w:val="16"/>
                <w:color w:val="auto"/>
              </w:rPr>
              <w:t>—</w:t>
            </w:r>
          </w:p>
        </w:tc>
        <w:tc>
          <w:tcPr>
            <w:tcW w:w="18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5.4</w:t>
            </w:r>
          </w:p>
        </w:tc>
        <w:tc>
          <w:tcPr>
            <w:tcW w:w="280" w:type="dxa"/>
            <w:vAlign w:val="bottom"/>
          </w:tcPr>
          <w:p>
            <w:pPr>
              <w:jc w:val="right"/>
              <w:ind w:right="26"/>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189"/>
        </w:trPr>
        <w:tc>
          <w:tcPr>
            <w:tcW w:w="5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Common Collective Trust - Equity</w:t>
            </w:r>
          </w:p>
        </w:tc>
        <w:tc>
          <w:tcPr>
            <w:tcW w:w="14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51.5</w:t>
            </w:r>
          </w:p>
        </w:tc>
        <w:tc>
          <w:tcPr>
            <w:tcW w:w="340" w:type="dxa"/>
            <w:vAlign w:val="bottom"/>
            <w:shd w:val="clear" w:color="auto" w:fill="CFF0FC"/>
          </w:tcPr>
          <w:p>
            <w:pPr>
              <w:spacing w:after="0"/>
              <w:rPr>
                <w:sz w:val="16"/>
                <w:szCs w:val="16"/>
                <w:color w:val="auto"/>
              </w:rPr>
            </w:pPr>
          </w:p>
        </w:tc>
        <w:tc>
          <w:tcPr>
            <w:tcW w:w="4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51.5</w:t>
            </w:r>
          </w:p>
        </w:tc>
        <w:tc>
          <w:tcPr>
            <w:tcW w:w="28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51.5</w:t>
            </w:r>
          </w:p>
        </w:tc>
        <w:tc>
          <w:tcPr>
            <w:tcW w:w="0" w:type="dxa"/>
            <w:vAlign w:val="bottom"/>
          </w:tcPr>
          <w:p>
            <w:pPr>
              <w:spacing w:after="0"/>
              <w:rPr>
                <w:sz w:val="1"/>
                <w:szCs w:val="1"/>
                <w:color w:val="auto"/>
              </w:rPr>
            </w:pPr>
          </w:p>
        </w:tc>
      </w:tr>
      <w:tr>
        <w:trPr>
          <w:trHeight w:val="189"/>
        </w:trPr>
        <w:tc>
          <w:tcPr>
            <w:tcW w:w="5360" w:type="dxa"/>
            <w:vAlign w:val="bottom"/>
          </w:tcPr>
          <w:p>
            <w:pPr>
              <w:ind w:left="20"/>
              <w:spacing w:after="0"/>
              <w:rPr>
                <w:sz w:val="20"/>
                <w:szCs w:val="20"/>
                <w:color w:val="auto"/>
              </w:rPr>
            </w:pPr>
            <w:r>
              <w:rPr>
                <w:rFonts w:ascii="Arial" w:cs="Arial" w:eastAsia="Arial" w:hAnsi="Arial"/>
                <w:sz w:val="16"/>
                <w:szCs w:val="16"/>
                <w:color w:val="auto"/>
              </w:rPr>
              <w:t>Common Collective Trust - Fixed Income</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190.8</w:t>
            </w:r>
          </w:p>
        </w:tc>
        <w:tc>
          <w:tcPr>
            <w:tcW w:w="340" w:type="dxa"/>
            <w:vAlign w:val="bottom"/>
          </w:tcPr>
          <w:p>
            <w:pPr>
              <w:spacing w:after="0"/>
              <w:rPr>
                <w:sz w:val="16"/>
                <w:szCs w:val="16"/>
                <w:color w:val="auto"/>
              </w:rPr>
            </w:pPr>
          </w:p>
        </w:tc>
        <w:tc>
          <w:tcPr>
            <w:tcW w:w="420" w:type="dxa"/>
            <w:vAlign w:val="bottom"/>
          </w:tcPr>
          <w:p>
            <w:pPr>
              <w:ind w:lef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190.8</w:t>
            </w:r>
          </w:p>
        </w:tc>
        <w:tc>
          <w:tcPr>
            <w:tcW w:w="2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190.8</w:t>
            </w:r>
          </w:p>
        </w:tc>
        <w:tc>
          <w:tcPr>
            <w:tcW w:w="0" w:type="dxa"/>
            <w:vAlign w:val="bottom"/>
          </w:tcPr>
          <w:p>
            <w:pPr>
              <w:spacing w:after="0"/>
              <w:rPr>
                <w:sz w:val="1"/>
                <w:szCs w:val="1"/>
                <w:color w:val="auto"/>
              </w:rPr>
            </w:pPr>
          </w:p>
        </w:tc>
      </w:tr>
      <w:tr>
        <w:trPr>
          <w:trHeight w:val="189"/>
        </w:trPr>
        <w:tc>
          <w:tcPr>
            <w:tcW w:w="5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Common Collective Trust - Real Estate</w:t>
            </w:r>
          </w:p>
        </w:tc>
        <w:tc>
          <w:tcPr>
            <w:tcW w:w="14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6"/>
                <w:szCs w:val="16"/>
                <w:color w:val="auto"/>
              </w:rPr>
            </w:pPr>
          </w:p>
        </w:tc>
        <w:tc>
          <w:tcPr>
            <w:tcW w:w="4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w:t>
            </w:r>
          </w:p>
        </w:tc>
        <w:tc>
          <w:tcPr>
            <w:tcW w:w="16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189"/>
        </w:trPr>
        <w:tc>
          <w:tcPr>
            <w:tcW w:w="5360" w:type="dxa"/>
            <w:vAlign w:val="bottom"/>
          </w:tcPr>
          <w:p>
            <w:pPr>
              <w:ind w:left="20"/>
              <w:spacing w:after="0"/>
              <w:rPr>
                <w:sz w:val="20"/>
                <w:szCs w:val="20"/>
                <w:color w:val="auto"/>
              </w:rPr>
            </w:pPr>
            <w:r>
              <w:rPr>
                <w:rFonts w:ascii="Arial" w:cs="Arial" w:eastAsia="Arial" w:hAnsi="Arial"/>
                <w:sz w:val="16"/>
                <w:szCs w:val="16"/>
                <w:color w:val="auto"/>
              </w:rPr>
              <w:t>Hedge Funds</w:t>
            </w: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23"/>
        </w:trPr>
        <w:tc>
          <w:tcPr>
            <w:tcW w:w="536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Total investments measured at fair value</w:t>
            </w:r>
          </w:p>
        </w:tc>
        <w:tc>
          <w:tcPr>
            <w:tcW w:w="1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247.7</w:t>
            </w:r>
          </w:p>
        </w:tc>
        <w:tc>
          <w:tcPr>
            <w:tcW w:w="340" w:type="dxa"/>
            <w:vAlign w:val="bottom"/>
            <w:tcBorders>
              <w:bottom w:val="single" w:sz="8" w:color="auto"/>
            </w:tcBorders>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FF0FC"/>
          </w:tcPr>
          <w:p>
            <w:pPr>
              <w:ind w:left="200"/>
              <w:spacing w:after="0" w:line="183" w:lineRule="exact"/>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247.7</w:t>
            </w:r>
          </w:p>
        </w:tc>
        <w:tc>
          <w:tcPr>
            <w:tcW w:w="280" w:type="dxa"/>
            <w:vAlign w:val="bottom"/>
            <w:tcBorders>
              <w:bottom w:val="single" w:sz="8" w:color="auto"/>
            </w:tcBorders>
            <w:shd w:val="clear" w:color="auto" w:fill="CFF0FC"/>
          </w:tcPr>
          <w:p>
            <w:pPr>
              <w:jc w:val="right"/>
              <w:ind w:right="26"/>
              <w:spacing w:after="0" w:line="183" w:lineRule="exact"/>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22.5</w:t>
            </w:r>
          </w:p>
        </w:tc>
        <w:tc>
          <w:tcPr>
            <w:tcW w:w="1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270.2</w:t>
            </w:r>
          </w:p>
        </w:tc>
        <w:tc>
          <w:tcPr>
            <w:tcW w:w="0" w:type="dxa"/>
            <w:vAlign w:val="bottom"/>
          </w:tcPr>
          <w:p>
            <w:pPr>
              <w:spacing w:after="0"/>
              <w:rPr>
                <w:sz w:val="1"/>
                <w:szCs w:val="1"/>
                <w:color w:val="auto"/>
              </w:rPr>
            </w:pPr>
          </w:p>
        </w:tc>
      </w:tr>
      <w:tr>
        <w:trPr>
          <w:trHeight w:val="170"/>
        </w:trPr>
        <w:tc>
          <w:tcPr>
            <w:tcW w:w="5360" w:type="dxa"/>
            <w:vAlign w:val="bottom"/>
          </w:tcPr>
          <w:p>
            <w:pPr>
              <w:ind w:left="20"/>
              <w:spacing w:after="0" w:line="170" w:lineRule="exact"/>
              <w:rPr>
                <w:sz w:val="20"/>
                <w:szCs w:val="20"/>
                <w:color w:val="auto"/>
              </w:rPr>
            </w:pPr>
            <w:r>
              <w:rPr>
                <w:rFonts w:ascii="Arial" w:cs="Arial" w:eastAsia="Arial" w:hAnsi="Arial"/>
                <w:sz w:val="16"/>
                <w:szCs w:val="16"/>
                <w:b w:val="1"/>
                <w:bCs w:val="1"/>
                <w:color w:val="auto"/>
              </w:rPr>
              <w:t>Healthcare Plan</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and Cash Equivalents</w:t>
            </w:r>
          </w:p>
        </w:tc>
        <w:tc>
          <w:tcPr>
            <w:tcW w:w="140" w:type="dxa"/>
            <w:vAlign w:val="bottom"/>
            <w:tcBorders>
              <w:bottom w:val="single" w:sz="8" w:color="auto"/>
            </w:tcBorders>
            <w:shd w:val="clear" w:color="auto" w:fill="CFF0FC"/>
          </w:tcPr>
          <w:p>
            <w:pPr>
              <w:spacing w:after="0"/>
              <w:rPr>
                <w:sz w:val="16"/>
                <w:szCs w:val="16"/>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7.5</w:t>
            </w:r>
          </w:p>
        </w:tc>
        <w:tc>
          <w:tcPr>
            <w:tcW w:w="18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ind w:lef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7.5</w:t>
            </w:r>
          </w:p>
        </w:tc>
        <w:tc>
          <w:tcPr>
            <w:tcW w:w="280" w:type="dxa"/>
            <w:vAlign w:val="bottom"/>
            <w:tcBorders>
              <w:bottom w:val="single" w:sz="8" w:color="auto"/>
            </w:tcBorders>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183"/>
        </w:trPr>
        <w:tc>
          <w:tcPr>
            <w:tcW w:w="5360" w:type="dxa"/>
            <w:vAlign w:val="bottom"/>
          </w:tcPr>
          <w:p>
            <w:pPr>
              <w:ind w:left="20"/>
              <w:spacing w:after="0" w:line="183" w:lineRule="exact"/>
              <w:rPr>
                <w:sz w:val="20"/>
                <w:szCs w:val="20"/>
                <w:color w:val="auto"/>
              </w:rPr>
            </w:pPr>
            <w:r>
              <w:rPr>
                <w:rFonts w:ascii="Arial" w:cs="Arial" w:eastAsia="Arial" w:hAnsi="Arial"/>
                <w:sz w:val="16"/>
                <w:szCs w:val="16"/>
                <w:color w:val="auto"/>
              </w:rPr>
              <w:t>Total investments measured at fair value</w:t>
            </w:r>
          </w:p>
        </w:tc>
        <w:tc>
          <w:tcPr>
            <w:tcW w:w="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7.5</w:t>
            </w: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ind w:left="200"/>
              <w:spacing w:after="0" w:line="183" w:lineRule="exact"/>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7.5</w:t>
            </w:r>
          </w:p>
        </w:tc>
        <w:tc>
          <w:tcPr>
            <w:tcW w:w="280" w:type="dxa"/>
            <w:vAlign w:val="bottom"/>
            <w:tcBorders>
              <w:bottom w:val="single" w:sz="8" w:color="auto"/>
            </w:tcBorders>
          </w:tcPr>
          <w:p>
            <w:pPr>
              <w:jc w:val="right"/>
              <w:ind w:right="26"/>
              <w:spacing w:after="0" w:line="183" w:lineRule="exact"/>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5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ind w:right="299"/>
              <w:spacing w:after="0"/>
              <w:rPr>
                <w:sz w:val="20"/>
                <w:szCs w:val="20"/>
                <w:color w:val="auto"/>
              </w:rPr>
            </w:pPr>
            <w:r>
              <w:rPr>
                <w:rFonts w:ascii="Arial" w:cs="Arial" w:eastAsia="Arial" w:hAnsi="Arial"/>
                <w:sz w:val="16"/>
                <w:szCs w:val="16"/>
                <w:color w:val="auto"/>
              </w:rPr>
              <w:t>91</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1"/>
        </w:trPr>
        <w:tc>
          <w:tcPr>
            <w:tcW w:w="53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1" w:name="page92"/>
    <w:bookmarkEnd w:id="9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ind w:left="180"/>
              <w:spacing w:after="0"/>
              <w:rPr>
                <w:sz w:val="20"/>
                <w:szCs w:val="20"/>
                <w:color w:val="auto"/>
              </w:rPr>
            </w:pPr>
            <w:r>
              <w:rPr>
                <w:rFonts w:ascii="Arial" w:cs="Arial" w:eastAsia="Arial" w:hAnsi="Arial"/>
                <w:sz w:val="16"/>
                <w:szCs w:val="16"/>
                <w:b w:val="1"/>
                <w:bCs w:val="1"/>
                <w:color w:val="auto"/>
              </w:rPr>
              <w:t>December 31, 2023</w:t>
            </w:r>
          </w:p>
        </w:tc>
        <w:tc>
          <w:tcPr>
            <w:tcW w:w="2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33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119"/>
              <w:spacing w:after="0" w:line="168" w:lineRule="exact"/>
              <w:rPr>
                <w:sz w:val="20"/>
                <w:szCs w:val="20"/>
                <w:color w:val="auto"/>
              </w:rPr>
            </w:pPr>
            <w:r>
              <w:rPr>
                <w:rFonts w:ascii="Arial" w:cs="Arial" w:eastAsia="Arial" w:hAnsi="Arial"/>
                <w:sz w:val="16"/>
                <w:szCs w:val="16"/>
                <w:b w:val="1"/>
                <w:bCs w:val="1"/>
                <w:color w:val="auto"/>
                <w:w w:val="99"/>
              </w:rPr>
              <w:t>Total</w:t>
            </w: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119"/>
              <w:spacing w:after="0"/>
              <w:rPr>
                <w:sz w:val="20"/>
                <w:szCs w:val="20"/>
                <w:color w:val="auto"/>
              </w:rPr>
            </w:pPr>
            <w:r>
              <w:rPr>
                <w:rFonts w:ascii="Arial" w:cs="Arial" w:eastAsia="Arial" w:hAnsi="Arial"/>
                <w:sz w:val="16"/>
                <w:szCs w:val="16"/>
                <w:b w:val="1"/>
                <w:bCs w:val="1"/>
                <w:color w:val="auto"/>
              </w:rPr>
              <w:t>Investments</w:t>
            </w: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119"/>
              <w:spacing w:after="0"/>
              <w:rPr>
                <w:sz w:val="20"/>
                <w:szCs w:val="20"/>
                <w:color w:val="auto"/>
              </w:rPr>
            </w:pPr>
            <w:r>
              <w:rPr>
                <w:rFonts w:ascii="Arial" w:cs="Arial" w:eastAsia="Arial" w:hAnsi="Arial"/>
                <w:sz w:val="16"/>
                <w:szCs w:val="16"/>
                <w:b w:val="1"/>
                <w:bCs w:val="1"/>
                <w:color w:val="auto"/>
              </w:rPr>
              <w:t>Measured at</w:t>
            </w:r>
          </w:p>
        </w:tc>
        <w:tc>
          <w:tcPr>
            <w:tcW w:w="780" w:type="dxa"/>
            <w:vAlign w:val="bottom"/>
            <w:gridSpan w:val="2"/>
            <w:vMerge w:val="restart"/>
          </w:tcPr>
          <w:p>
            <w:pPr>
              <w:jc w:val="right"/>
              <w:ind w:right="39"/>
              <w:spacing w:after="0"/>
              <w:rPr>
                <w:sz w:val="20"/>
                <w:szCs w:val="20"/>
                <w:color w:val="auto"/>
              </w:rPr>
            </w:pPr>
            <w:r>
              <w:rPr>
                <w:rFonts w:ascii="Arial" w:cs="Arial" w:eastAsia="Arial" w:hAnsi="Arial"/>
                <w:sz w:val="32"/>
                <w:szCs w:val="32"/>
                <w:b w:val="1"/>
                <w:bCs w:val="1"/>
                <w:color w:val="auto"/>
                <w:vertAlign w:val="subscript"/>
              </w:rPr>
              <w:t>NAV</w:t>
            </w:r>
            <w:r>
              <w:rPr>
                <w:rFonts w:ascii="Arial" w:cs="Arial" w:eastAsia="Arial" w:hAnsi="Arial"/>
                <w:sz w:val="11"/>
                <w:szCs w:val="11"/>
                <w:b w:val="1"/>
                <w:bCs w:val="1"/>
                <w:color w:val="auto"/>
              </w:rPr>
              <w:t xml:space="preserve"> (a)</w:t>
            </w:r>
          </w:p>
        </w:tc>
        <w:tc>
          <w:tcPr>
            <w:tcW w:w="160" w:type="dxa"/>
            <w:vAlign w:val="bottom"/>
          </w:tcPr>
          <w:p>
            <w:pPr>
              <w:spacing w:after="0"/>
              <w:rPr>
                <w:sz w:val="16"/>
                <w:szCs w:val="16"/>
                <w:color w:val="auto"/>
              </w:rPr>
            </w:pPr>
          </w:p>
        </w:tc>
        <w:tc>
          <w:tcPr>
            <w:tcW w:w="1180" w:type="dxa"/>
            <w:vAlign w:val="bottom"/>
          </w:tcPr>
          <w:p>
            <w:pPr>
              <w:jc w:val="right"/>
              <w:ind w:right="4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7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b w:val="1"/>
                <w:bCs w:val="1"/>
                <w:color w:val="auto"/>
              </w:rPr>
              <w:t>Level 1</w:t>
            </w: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5"/>
              </w:rPr>
              <w:t>Level 2</w:t>
            </w:r>
          </w:p>
        </w:tc>
        <w:tc>
          <w:tcPr>
            <w:tcW w:w="76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Level 3</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Fair Value</w:t>
            </w:r>
          </w:p>
        </w:tc>
        <w:tc>
          <w:tcPr>
            <w:tcW w:w="780" w:type="dxa"/>
            <w:vAlign w:val="bottom"/>
            <w:tcBorders>
              <w:bottom w:val="single" w:sz="8" w:color="auto"/>
            </w:tcBorders>
            <w:gridSpan w:val="2"/>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Investments</w:t>
            </w:r>
          </w:p>
        </w:tc>
        <w:tc>
          <w:tcPr>
            <w:tcW w:w="0" w:type="dxa"/>
            <w:vAlign w:val="bottom"/>
          </w:tcPr>
          <w:p>
            <w:pPr>
              <w:spacing w:after="0"/>
              <w:rPr>
                <w:sz w:val="1"/>
                <w:szCs w:val="1"/>
                <w:color w:val="auto"/>
              </w:rPr>
            </w:pPr>
          </w:p>
        </w:tc>
      </w:tr>
      <w:tr>
        <w:trPr>
          <w:trHeight w:val="183"/>
        </w:trPr>
        <w:tc>
          <w:tcPr>
            <w:tcW w:w="33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ind w:left="80"/>
              <w:spacing w:after="0" w:line="183" w:lineRule="exact"/>
              <w:rPr>
                <w:sz w:val="20"/>
                <w:szCs w:val="20"/>
                <w:color w:val="auto"/>
              </w:rPr>
            </w:pPr>
            <w:r>
              <w:rPr>
                <w:rFonts w:ascii="Arial" w:cs="Arial" w:eastAsia="Arial" w:hAnsi="Arial"/>
                <w:sz w:val="16"/>
                <w:szCs w:val="16"/>
                <w:color w:val="auto"/>
              </w:rPr>
              <w:t>(in millions)</w:t>
            </w:r>
          </w:p>
        </w:tc>
        <w:tc>
          <w:tcPr>
            <w:tcW w:w="2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60" w:type="dxa"/>
            <w:vAlign w:val="bottom"/>
            <w:gridSpan w:val="2"/>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Pension Plan</w:t>
            </w:r>
          </w:p>
        </w:tc>
        <w:tc>
          <w:tcPr>
            <w:tcW w:w="2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60" w:type="dxa"/>
            <w:vAlign w:val="bottom"/>
            <w:gridSpan w:val="2"/>
          </w:tcPr>
          <w:p>
            <w:pPr>
              <w:ind w:left="20"/>
              <w:spacing w:after="0"/>
              <w:rPr>
                <w:sz w:val="20"/>
                <w:szCs w:val="20"/>
                <w:color w:val="auto"/>
              </w:rPr>
            </w:pPr>
            <w:r>
              <w:rPr>
                <w:rFonts w:ascii="Arial" w:cs="Arial" w:eastAsia="Arial" w:hAnsi="Arial"/>
                <w:sz w:val="16"/>
                <w:szCs w:val="16"/>
                <w:color w:val="auto"/>
              </w:rPr>
              <w:t>Common Collective Trust - Cash and Cash Equivalents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6.7</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Pr>
          <w:p>
            <w:pPr>
              <w:ind w:left="200"/>
              <w:spacing w:after="0"/>
              <w:rPr>
                <w:sz w:val="20"/>
                <w:szCs w:val="20"/>
                <w:color w:val="auto"/>
              </w:rPr>
            </w:pPr>
            <w:r>
              <w:rPr>
                <w:rFonts w:ascii="Arial" w:cs="Arial" w:eastAsia="Arial" w:hAnsi="Arial"/>
                <w:sz w:val="16"/>
                <w:szCs w:val="16"/>
                <w:color w:val="auto"/>
              </w:rPr>
              <w:t>—</w:t>
            </w:r>
          </w:p>
        </w:tc>
        <w:tc>
          <w:tcPr>
            <w:tcW w:w="18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6.7</w:t>
            </w:r>
          </w:p>
        </w:tc>
        <w:tc>
          <w:tcPr>
            <w:tcW w:w="280" w:type="dxa"/>
            <w:vAlign w:val="bottom"/>
          </w:tcPr>
          <w:p>
            <w:pPr>
              <w:jc w:val="right"/>
              <w:ind w:right="26"/>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189"/>
        </w:trPr>
        <w:tc>
          <w:tcPr>
            <w:tcW w:w="53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Common Collective Trust - Equity</w:t>
            </w:r>
          </w:p>
        </w:tc>
        <w:tc>
          <w:tcPr>
            <w:tcW w:w="28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42.7</w:t>
            </w:r>
          </w:p>
        </w:tc>
        <w:tc>
          <w:tcPr>
            <w:tcW w:w="340" w:type="dxa"/>
            <w:vAlign w:val="bottom"/>
            <w:shd w:val="clear" w:color="auto" w:fill="CFF0FC"/>
          </w:tcPr>
          <w:p>
            <w:pPr>
              <w:spacing w:after="0"/>
              <w:rPr>
                <w:sz w:val="16"/>
                <w:szCs w:val="16"/>
                <w:color w:val="auto"/>
              </w:rPr>
            </w:pPr>
          </w:p>
        </w:tc>
        <w:tc>
          <w:tcPr>
            <w:tcW w:w="4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42.7</w:t>
            </w:r>
          </w:p>
        </w:tc>
        <w:tc>
          <w:tcPr>
            <w:tcW w:w="28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42.7</w:t>
            </w:r>
          </w:p>
        </w:tc>
        <w:tc>
          <w:tcPr>
            <w:tcW w:w="0" w:type="dxa"/>
            <w:vAlign w:val="bottom"/>
          </w:tcPr>
          <w:p>
            <w:pPr>
              <w:spacing w:after="0"/>
              <w:rPr>
                <w:sz w:val="1"/>
                <w:szCs w:val="1"/>
                <w:color w:val="auto"/>
              </w:rPr>
            </w:pPr>
          </w:p>
        </w:tc>
      </w:tr>
      <w:tr>
        <w:trPr>
          <w:trHeight w:val="189"/>
        </w:trPr>
        <w:tc>
          <w:tcPr>
            <w:tcW w:w="5360" w:type="dxa"/>
            <w:vAlign w:val="bottom"/>
            <w:gridSpan w:val="2"/>
          </w:tcPr>
          <w:p>
            <w:pPr>
              <w:ind w:left="20"/>
              <w:spacing w:after="0"/>
              <w:rPr>
                <w:sz w:val="20"/>
                <w:szCs w:val="20"/>
                <w:color w:val="auto"/>
              </w:rPr>
            </w:pPr>
            <w:r>
              <w:rPr>
                <w:rFonts w:ascii="Arial" w:cs="Arial" w:eastAsia="Arial" w:hAnsi="Arial"/>
                <w:sz w:val="16"/>
                <w:szCs w:val="16"/>
                <w:color w:val="auto"/>
              </w:rPr>
              <w:t>Common Collective Trust - Fixed Income</w:t>
            </w:r>
          </w:p>
        </w:tc>
        <w:tc>
          <w:tcPr>
            <w:tcW w:w="2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234.5</w:t>
            </w:r>
          </w:p>
        </w:tc>
        <w:tc>
          <w:tcPr>
            <w:tcW w:w="340" w:type="dxa"/>
            <w:vAlign w:val="bottom"/>
          </w:tcPr>
          <w:p>
            <w:pPr>
              <w:spacing w:after="0"/>
              <w:rPr>
                <w:sz w:val="16"/>
                <w:szCs w:val="16"/>
                <w:color w:val="auto"/>
              </w:rPr>
            </w:pPr>
          </w:p>
        </w:tc>
        <w:tc>
          <w:tcPr>
            <w:tcW w:w="420" w:type="dxa"/>
            <w:vAlign w:val="bottom"/>
          </w:tcPr>
          <w:p>
            <w:pPr>
              <w:ind w:lef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234.5</w:t>
            </w:r>
          </w:p>
        </w:tc>
        <w:tc>
          <w:tcPr>
            <w:tcW w:w="2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234.5</w:t>
            </w:r>
          </w:p>
        </w:tc>
        <w:tc>
          <w:tcPr>
            <w:tcW w:w="0" w:type="dxa"/>
            <w:vAlign w:val="bottom"/>
          </w:tcPr>
          <w:p>
            <w:pPr>
              <w:spacing w:after="0"/>
              <w:rPr>
                <w:sz w:val="1"/>
                <w:szCs w:val="1"/>
                <w:color w:val="auto"/>
              </w:rPr>
            </w:pPr>
          </w:p>
        </w:tc>
      </w:tr>
      <w:tr>
        <w:trPr>
          <w:trHeight w:val="189"/>
        </w:trPr>
        <w:tc>
          <w:tcPr>
            <w:tcW w:w="53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Common Collective Trust - Real Estate</w:t>
            </w:r>
          </w:p>
        </w:tc>
        <w:tc>
          <w:tcPr>
            <w:tcW w:w="28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6"/>
                <w:szCs w:val="16"/>
                <w:color w:val="auto"/>
              </w:rPr>
            </w:pPr>
          </w:p>
        </w:tc>
        <w:tc>
          <w:tcPr>
            <w:tcW w:w="4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w:t>
            </w:r>
          </w:p>
        </w:tc>
        <w:tc>
          <w:tcPr>
            <w:tcW w:w="16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189"/>
        </w:trPr>
        <w:tc>
          <w:tcPr>
            <w:tcW w:w="5360" w:type="dxa"/>
            <w:vAlign w:val="bottom"/>
            <w:gridSpan w:val="2"/>
          </w:tcPr>
          <w:p>
            <w:pPr>
              <w:ind w:left="20"/>
              <w:spacing w:after="0"/>
              <w:rPr>
                <w:sz w:val="20"/>
                <w:szCs w:val="20"/>
                <w:color w:val="auto"/>
              </w:rPr>
            </w:pPr>
            <w:r>
              <w:rPr>
                <w:rFonts w:ascii="Arial" w:cs="Arial" w:eastAsia="Arial" w:hAnsi="Arial"/>
                <w:sz w:val="16"/>
                <w:szCs w:val="16"/>
                <w:color w:val="auto"/>
              </w:rPr>
              <w:t>Hedge Funds</w:t>
            </w:r>
          </w:p>
        </w:tc>
        <w:tc>
          <w:tcPr>
            <w:tcW w:w="2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23"/>
        </w:trPr>
        <w:tc>
          <w:tcPr>
            <w:tcW w:w="5360" w:type="dxa"/>
            <w:vAlign w:val="bottom"/>
            <w:tcBorders>
              <w:bottom w:val="single" w:sz="8" w:color="CFF0FC"/>
            </w:tcBorders>
            <w:gridSpan w:val="2"/>
            <w:shd w:val="clear" w:color="auto" w:fill="CFF0FC"/>
          </w:tcPr>
          <w:p>
            <w:pPr>
              <w:ind w:left="20"/>
              <w:spacing w:after="0" w:line="183" w:lineRule="exact"/>
              <w:rPr>
                <w:sz w:val="20"/>
                <w:szCs w:val="20"/>
                <w:color w:val="auto"/>
              </w:rPr>
            </w:pPr>
            <w:r>
              <w:rPr>
                <w:rFonts w:ascii="Arial" w:cs="Arial" w:eastAsia="Arial" w:hAnsi="Arial"/>
                <w:sz w:val="16"/>
                <w:szCs w:val="16"/>
                <w:color w:val="auto"/>
              </w:rPr>
              <w:t>Total investments measured at fair value</w:t>
            </w:r>
          </w:p>
        </w:tc>
        <w:tc>
          <w:tcPr>
            <w:tcW w:w="280" w:type="dxa"/>
            <w:vAlign w:val="bottom"/>
            <w:tcBorders>
              <w:bottom w:val="single" w:sz="8" w:color="auto"/>
            </w:tcBorders>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283.9</w:t>
            </w:r>
          </w:p>
        </w:tc>
        <w:tc>
          <w:tcPr>
            <w:tcW w:w="340" w:type="dxa"/>
            <w:vAlign w:val="bottom"/>
            <w:tcBorders>
              <w:bottom w:val="single" w:sz="8" w:color="auto"/>
            </w:tcBorders>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FF0FC"/>
          </w:tcPr>
          <w:p>
            <w:pPr>
              <w:ind w:left="200"/>
              <w:spacing w:after="0" w:line="183" w:lineRule="exact"/>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283.9</w:t>
            </w:r>
          </w:p>
        </w:tc>
        <w:tc>
          <w:tcPr>
            <w:tcW w:w="280" w:type="dxa"/>
            <w:vAlign w:val="bottom"/>
            <w:tcBorders>
              <w:bottom w:val="single" w:sz="8" w:color="auto"/>
            </w:tcBorders>
            <w:shd w:val="clear" w:color="auto" w:fill="CFF0FC"/>
          </w:tcPr>
          <w:p>
            <w:pPr>
              <w:jc w:val="right"/>
              <w:ind w:right="26"/>
              <w:spacing w:after="0" w:line="183" w:lineRule="exact"/>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24.5</w:t>
            </w:r>
          </w:p>
        </w:tc>
        <w:tc>
          <w:tcPr>
            <w:tcW w:w="1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308.4</w:t>
            </w:r>
          </w:p>
        </w:tc>
        <w:tc>
          <w:tcPr>
            <w:tcW w:w="0" w:type="dxa"/>
            <w:vAlign w:val="bottom"/>
          </w:tcPr>
          <w:p>
            <w:pPr>
              <w:spacing w:after="0"/>
              <w:rPr>
                <w:sz w:val="1"/>
                <w:szCs w:val="1"/>
                <w:color w:val="auto"/>
              </w:rPr>
            </w:pPr>
          </w:p>
        </w:tc>
      </w:tr>
      <w:tr>
        <w:trPr>
          <w:trHeight w:val="169"/>
        </w:trPr>
        <w:tc>
          <w:tcPr>
            <w:tcW w:w="5360" w:type="dxa"/>
            <w:vAlign w:val="bottom"/>
            <w:gridSpan w:val="2"/>
          </w:tcPr>
          <w:p>
            <w:pPr>
              <w:ind w:left="20"/>
              <w:spacing w:after="0" w:line="170" w:lineRule="exact"/>
              <w:rPr>
                <w:sz w:val="20"/>
                <w:szCs w:val="20"/>
                <w:color w:val="auto"/>
              </w:rPr>
            </w:pPr>
            <w:r>
              <w:rPr>
                <w:rFonts w:ascii="Arial" w:cs="Arial" w:eastAsia="Arial" w:hAnsi="Arial"/>
                <w:sz w:val="16"/>
                <w:szCs w:val="16"/>
                <w:b w:val="1"/>
                <w:bCs w:val="1"/>
                <w:color w:val="auto"/>
              </w:rPr>
              <w:t>Healthcare Plan</w:t>
            </w: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3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Cash and Cash Equivalents</w:t>
            </w:r>
          </w:p>
        </w:tc>
        <w:tc>
          <w:tcPr>
            <w:tcW w:w="280" w:type="dxa"/>
            <w:vAlign w:val="bottom"/>
            <w:tcBorders>
              <w:bottom w:val="single" w:sz="8" w:color="auto"/>
            </w:tcBorders>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8.0</w:t>
            </w:r>
          </w:p>
        </w:tc>
        <w:tc>
          <w:tcPr>
            <w:tcW w:w="18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ind w:lef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8.0</w:t>
            </w:r>
          </w:p>
        </w:tc>
        <w:tc>
          <w:tcPr>
            <w:tcW w:w="280" w:type="dxa"/>
            <w:vAlign w:val="bottom"/>
            <w:tcBorders>
              <w:bottom w:val="single" w:sz="8" w:color="auto"/>
            </w:tcBorders>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183"/>
        </w:trPr>
        <w:tc>
          <w:tcPr>
            <w:tcW w:w="5360" w:type="dxa"/>
            <w:vAlign w:val="bottom"/>
            <w:gridSpan w:val="2"/>
          </w:tcPr>
          <w:p>
            <w:pPr>
              <w:ind w:left="20"/>
              <w:spacing w:after="0" w:line="183" w:lineRule="exact"/>
              <w:rPr>
                <w:sz w:val="20"/>
                <w:szCs w:val="20"/>
                <w:color w:val="auto"/>
              </w:rPr>
            </w:pPr>
            <w:r>
              <w:rPr>
                <w:rFonts w:ascii="Arial" w:cs="Arial" w:eastAsia="Arial" w:hAnsi="Arial"/>
                <w:sz w:val="16"/>
                <w:szCs w:val="16"/>
                <w:color w:val="auto"/>
              </w:rPr>
              <w:t>Total investments measured at fair value</w:t>
            </w:r>
          </w:p>
        </w:tc>
        <w:tc>
          <w:tcPr>
            <w:tcW w:w="28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8.0</w:t>
            </w: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ind w:left="200"/>
              <w:spacing w:after="0" w:line="183" w:lineRule="exact"/>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8.0</w:t>
            </w:r>
          </w:p>
        </w:tc>
        <w:tc>
          <w:tcPr>
            <w:tcW w:w="280" w:type="dxa"/>
            <w:vAlign w:val="bottom"/>
            <w:tcBorders>
              <w:bottom w:val="single" w:sz="8" w:color="auto"/>
            </w:tcBorders>
          </w:tcPr>
          <w:p>
            <w:pPr>
              <w:jc w:val="right"/>
              <w:ind w:right="26"/>
              <w:spacing w:after="0" w:line="183" w:lineRule="exact"/>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380" w:type="dxa"/>
            <w:vAlign w:val="bottom"/>
            <w:tcBorders>
              <w:bottom w:val="single" w:sz="8" w:color="auto"/>
            </w:tcBorders>
          </w:tcPr>
          <w:p>
            <w:pPr>
              <w:spacing w:after="0"/>
              <w:rPr>
                <w:sz w:val="10"/>
                <w:szCs w:val="10"/>
                <w:color w:val="auto"/>
              </w:rPr>
            </w:pPr>
          </w:p>
        </w:tc>
        <w:tc>
          <w:tcPr>
            <w:tcW w:w="19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520" w:right="160" w:hanging="512"/>
        <w:spacing w:after="0" w:line="263" w:lineRule="auto"/>
        <w:tabs>
          <w:tab w:leader="none" w:pos="5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Certain investments that are measured at fair value using NAV per share (or its equivalent) for practical expedient have not been classified in the fair value hierarchy. The fair value amounts presented in these tables for these investments are intended to permit reconciliation of the fair value hierarchy to the amounts presented in the reconciliation of changes in the plan’s benefit obligations and fair value of plan assets above.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Additional information about assets of the benefit plans, including methods and assumptions used to estimate the fair value of these assets, is as follows: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Pension Plan</w:t>
      </w:r>
    </w:p>
    <w:p>
      <w:pPr>
        <w:spacing w:after="0" w:line="194"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i w:val="1"/>
          <w:iCs w:val="1"/>
          <w:color w:val="auto"/>
        </w:rPr>
        <w:t xml:space="preserve">Common Collective Trust Funds: </w:t>
      </w:r>
      <w:r>
        <w:rPr>
          <w:rFonts w:ascii="Arial" w:cs="Arial" w:eastAsia="Arial" w:hAnsi="Arial"/>
          <w:sz w:val="16"/>
          <w:szCs w:val="16"/>
          <w:color w:val="auto"/>
        </w:rPr>
        <w:t>These funds are valued based upon the redemption price of units held by the Pension Plan, which is based on the current</w:t>
      </w:r>
      <w:r>
        <w:rPr>
          <w:rFonts w:ascii="Arial" w:cs="Arial" w:eastAsia="Arial" w:hAnsi="Arial"/>
          <w:sz w:val="16"/>
          <w:szCs w:val="16"/>
          <w:i w:val="1"/>
          <w:iCs w:val="1"/>
          <w:color w:val="auto"/>
        </w:rPr>
        <w:t xml:space="preserve"> </w:t>
      </w:r>
      <w:r>
        <w:rPr>
          <w:rFonts w:ascii="Arial" w:cs="Arial" w:eastAsia="Arial" w:hAnsi="Arial"/>
          <w:sz w:val="16"/>
          <w:szCs w:val="16"/>
          <w:color w:val="auto"/>
        </w:rPr>
        <w:t>fair value of the common collective trust funds’ underlying assets. Unit values are determined by the financial institution sponsoring such funds by dividing the fund’s net assets at fair value by its units outstanding at the valuation dates. The Pension Plan’s investments in common collective trust funds, with the exception of shares of the common collective trust-real estate are categorized as Level 2. Advance written notice of no less than fifteen (15) business days will generally be required to redeem an investment in these funds. Additionally, the Trustee retains the right to implement trading procedures and restrictions that the Trustee (in its sole and absolute discretion) determines to be necessary or advisable to protect the interest of the Trust. There are no unfunded commitments related to these funds.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investments are measured at NAV and are not classified in the fair value hierarchy, in accordance with accounting guidance:</w:t>
      </w:r>
    </w:p>
    <w:p>
      <w:pPr>
        <w:spacing w:after="0" w:line="194" w:lineRule="exact"/>
        <w:rPr>
          <w:sz w:val="20"/>
          <w:szCs w:val="20"/>
          <w:color w:val="auto"/>
        </w:rPr>
      </w:pPr>
    </w:p>
    <w:p>
      <w:pPr>
        <w:ind w:left="380" w:right="80"/>
        <w:spacing w:after="0" w:line="251" w:lineRule="auto"/>
        <w:rPr>
          <w:sz w:val="20"/>
          <w:szCs w:val="20"/>
          <w:color w:val="auto"/>
        </w:rPr>
      </w:pPr>
      <w:r>
        <w:rPr>
          <w:rFonts w:ascii="Arial" w:cs="Arial" w:eastAsia="Arial" w:hAnsi="Arial"/>
          <w:sz w:val="16"/>
          <w:szCs w:val="16"/>
          <w:i w:val="1"/>
          <w:iCs w:val="1"/>
          <w:color w:val="auto"/>
        </w:rPr>
        <w:t>Common Collective Trust-Real Estate Funds</w:t>
      </w:r>
      <w:r>
        <w:rPr>
          <w:rFonts w:ascii="Arial" w:cs="Arial" w:eastAsia="Arial" w:hAnsi="Arial"/>
          <w:sz w:val="16"/>
          <w:szCs w:val="16"/>
          <w:color w:val="auto"/>
        </w:rPr>
        <w:t>: These funds are valued based on various factors of the underlying real estate properties,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market rent, market rent growth, occupancy levels, etc. As part of the trustee’s valuation process, properties are externally appraised generally on an annual basis. The appraisals are conducted by reputable independent appraisal firms and signed by appraisers that are members of the Appraisal Institute, with professional designation of Member, Appraisal Institute. All external appraisals are performed in accordance with the Uniform Standards of Professional Appraisal Practices. We receive monthly statements from the trustee, along with the annual schedule of investments and rely on these reports for pricing the units of the fund. Advance written notice of no less than one hundred and five (105) calendar days prior to the desired valuation date will generally be required to redeem an investment in these funds. Additionally, the Trustee retains the right to implement trading procedures and restrictions that the Trustee (in its sole and absolute discretion) determines to be necessary or advisable to protect the interests of the Trust. There are no unfunded commitments related to these funds.</w:t>
      </w:r>
    </w:p>
    <w:p>
      <w:pPr>
        <w:spacing w:after="0" w:line="158" w:lineRule="exact"/>
        <w:rPr>
          <w:sz w:val="20"/>
          <w:szCs w:val="20"/>
          <w:color w:val="auto"/>
        </w:rPr>
      </w:pPr>
    </w:p>
    <w:p>
      <w:pPr>
        <w:ind w:left="380" w:right="100"/>
        <w:spacing w:after="0" w:line="254" w:lineRule="auto"/>
        <w:rPr>
          <w:sz w:val="20"/>
          <w:szCs w:val="20"/>
          <w:color w:val="auto"/>
        </w:rPr>
      </w:pPr>
      <w:r>
        <w:rPr>
          <w:rFonts w:ascii="Arial" w:cs="Arial" w:eastAsia="Arial" w:hAnsi="Arial"/>
          <w:sz w:val="16"/>
          <w:szCs w:val="16"/>
          <w:i w:val="1"/>
          <w:iCs w:val="1"/>
          <w:color w:val="auto"/>
        </w:rPr>
        <w:t xml:space="preserve">Hedge Funds: </w:t>
      </w:r>
      <w:r>
        <w:rPr>
          <w:rFonts w:ascii="Arial" w:cs="Arial" w:eastAsia="Arial" w:hAnsi="Arial"/>
          <w:sz w:val="16"/>
          <w:szCs w:val="16"/>
          <w:color w:val="auto"/>
        </w:rPr>
        <w:t>These funds represent investments in other investment funds that seek a return utilizing a number of diverse investment strategies. The</w:t>
      </w:r>
      <w:r>
        <w:rPr>
          <w:rFonts w:ascii="Arial" w:cs="Arial" w:eastAsia="Arial" w:hAnsi="Arial"/>
          <w:sz w:val="16"/>
          <w:szCs w:val="16"/>
          <w:i w:val="1"/>
          <w:iCs w:val="1"/>
          <w:color w:val="auto"/>
        </w:rPr>
        <w:t xml:space="preserve"> </w:t>
      </w:r>
      <w:r>
        <w:rPr>
          <w:rFonts w:ascii="Arial" w:cs="Arial" w:eastAsia="Arial" w:hAnsi="Arial"/>
          <w:sz w:val="16"/>
          <w:szCs w:val="16"/>
          <w:color w:val="auto"/>
        </w:rPr>
        <w:t>strategies, when combined, aim to reduce volatility and risk while attempting to deliver positive returns under all market conditions. Amounts are reported on a one-month lag. The fair value of hedge funds is determined using net asset value per share based on the fair value of the hedge fund’s underlying investments. 10% of the shares may be redeemed at the end of each month with a 15-day notice and full redemptions are available at the end of each quarter with 60-day notice and is limited to a percentage of the total net assets value of the fund. The net asset values are based on the fair value of each fund’s underlying investments. There are no unfunded commitments related to these hedge funds.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Non-pension Defined Benefit Retiree Healthcare Plan</w:t>
      </w:r>
    </w:p>
    <w:p>
      <w:pPr>
        <w:spacing w:after="0" w:line="194" w:lineRule="exact"/>
        <w:rPr>
          <w:sz w:val="20"/>
          <w:szCs w:val="20"/>
          <w:color w:val="auto"/>
        </w:rPr>
      </w:pPr>
    </w:p>
    <w:p>
      <w:pPr>
        <w:ind w:right="380"/>
        <w:spacing w:after="0" w:line="256" w:lineRule="auto"/>
        <w:rPr>
          <w:sz w:val="20"/>
          <w:szCs w:val="20"/>
          <w:color w:val="auto"/>
        </w:rPr>
      </w:pPr>
      <w:r>
        <w:rPr>
          <w:rFonts w:ascii="Arial" w:cs="Arial" w:eastAsia="Arial" w:hAnsi="Arial"/>
          <w:sz w:val="16"/>
          <w:szCs w:val="16"/>
          <w:i w:val="1"/>
          <w:iCs w:val="1"/>
          <w:color w:val="auto"/>
        </w:rPr>
        <w:t xml:space="preserve">Cash and Cash Equivalents: </w:t>
      </w:r>
      <w:r>
        <w:rPr>
          <w:rFonts w:ascii="Arial" w:cs="Arial" w:eastAsia="Arial" w:hAnsi="Arial"/>
          <w:sz w:val="16"/>
          <w:szCs w:val="16"/>
          <w:color w:val="auto"/>
        </w:rPr>
        <w:t>This represents an investment in Northern Institutional Government Assets Portfolio, which is a government money market</w:t>
      </w:r>
      <w:r>
        <w:rPr>
          <w:rFonts w:ascii="Arial" w:cs="Arial" w:eastAsia="Arial" w:hAnsi="Arial"/>
          <w:sz w:val="16"/>
          <w:szCs w:val="16"/>
          <w:i w:val="1"/>
          <w:iCs w:val="1"/>
          <w:color w:val="auto"/>
        </w:rPr>
        <w:t xml:space="preserve"> </w:t>
      </w:r>
      <w:r>
        <w:rPr>
          <w:rFonts w:ascii="Arial" w:cs="Arial" w:eastAsia="Arial" w:hAnsi="Arial"/>
          <w:sz w:val="16"/>
          <w:szCs w:val="16"/>
          <w:color w:val="auto"/>
        </w:rPr>
        <w:t>fund. As shares held reflect quoted prices in an active market, they are categorized as Level 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Components of Net Periodic Expense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reconciliation of components of the net periodic expense: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 the years ended December 31,</w:t>
            </w: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b w:val="1"/>
                <w:bCs w:val="1"/>
                <w:color w:val="auto"/>
              </w:rPr>
              <w:t>Pension Plan</w:t>
            </w: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Supplemental Plans</w:t>
            </w: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Healthcare Plan</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04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b w:val="1"/>
                <w:bCs w:val="1"/>
                <w:color w:val="auto"/>
              </w:rPr>
              <w:t>2024</w:t>
            </w: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56"/>
        </w:trPr>
        <w:tc>
          <w:tcPr>
            <w:tcW w:w="30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ind w:left="80"/>
              <w:spacing w:after="0" w:line="155" w:lineRule="exact"/>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040" w:type="dxa"/>
            <w:vAlign w:val="bottom"/>
            <w:shd w:val="clear" w:color="auto" w:fill="CFF0FC"/>
          </w:tcPr>
          <w:p>
            <w:pPr>
              <w:ind w:left="20"/>
              <w:spacing w:after="0" w:line="155" w:lineRule="exact"/>
              <w:rPr>
                <w:sz w:val="20"/>
                <w:szCs w:val="20"/>
                <w:color w:val="auto"/>
              </w:rPr>
            </w:pPr>
            <w:r>
              <w:rPr>
                <w:rFonts w:ascii="Arial" w:cs="Arial" w:eastAsia="Arial" w:hAnsi="Arial"/>
                <w:sz w:val="14"/>
                <w:szCs w:val="14"/>
                <w:color w:val="auto"/>
              </w:rPr>
              <w:t>Service cost</w:t>
            </w:r>
          </w:p>
        </w:tc>
        <w:tc>
          <w:tcPr>
            <w:tcW w:w="1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2.3</w:t>
            </w:r>
          </w:p>
        </w:tc>
        <w:tc>
          <w:tcPr>
            <w:tcW w:w="2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2.5</w:t>
            </w:r>
          </w:p>
        </w:tc>
        <w:tc>
          <w:tcPr>
            <w:tcW w:w="1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3.9</w:t>
            </w:r>
          </w:p>
        </w:tc>
        <w:tc>
          <w:tcPr>
            <w:tcW w:w="200" w:type="dxa"/>
            <w:vAlign w:val="bottom"/>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3.3</w:t>
            </w:r>
          </w:p>
        </w:tc>
        <w:tc>
          <w:tcPr>
            <w:tcW w:w="220" w:type="dxa"/>
            <w:vAlign w:val="bottom"/>
            <w:shd w:val="clear" w:color="auto" w:fill="CFF0FC"/>
          </w:tcPr>
          <w:p>
            <w:pPr>
              <w:ind w:left="60"/>
              <w:spacing w:after="0" w:line="155" w:lineRule="exact"/>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3.1</w:t>
            </w:r>
          </w:p>
        </w:tc>
        <w:tc>
          <w:tcPr>
            <w:tcW w:w="260" w:type="dxa"/>
            <w:vAlign w:val="bottom"/>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(0.8 ) $</w:t>
            </w:r>
          </w:p>
        </w:tc>
        <w:tc>
          <w:tcPr>
            <w:tcW w:w="74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1.6</w:t>
            </w:r>
          </w:p>
        </w:tc>
        <w:tc>
          <w:tcPr>
            <w:tcW w:w="1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1.5</w:t>
            </w:r>
          </w:p>
        </w:tc>
        <w:tc>
          <w:tcPr>
            <w:tcW w:w="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62"/>
        </w:trPr>
        <w:tc>
          <w:tcPr>
            <w:tcW w:w="3040" w:type="dxa"/>
            <w:vAlign w:val="bottom"/>
          </w:tcPr>
          <w:p>
            <w:pPr>
              <w:ind w:left="20"/>
              <w:spacing w:after="0"/>
              <w:rPr>
                <w:sz w:val="20"/>
                <w:szCs w:val="20"/>
                <w:color w:val="auto"/>
              </w:rPr>
            </w:pPr>
            <w:r>
              <w:rPr>
                <w:rFonts w:ascii="Arial" w:cs="Arial" w:eastAsia="Arial" w:hAnsi="Arial"/>
                <w:sz w:val="14"/>
                <w:szCs w:val="14"/>
                <w:color w:val="auto"/>
              </w:rPr>
              <w:t>Interest cost</w:t>
            </w:r>
          </w:p>
        </w:tc>
        <w:tc>
          <w:tcPr>
            <w:tcW w:w="16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16.4</w:t>
            </w:r>
          </w:p>
        </w:tc>
        <w:tc>
          <w:tcPr>
            <w:tcW w:w="2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17.5</w:t>
            </w:r>
          </w:p>
        </w:tc>
        <w:tc>
          <w:tcPr>
            <w:tcW w:w="16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10.8</w:t>
            </w:r>
          </w:p>
        </w:tc>
        <w:tc>
          <w:tcPr>
            <w:tcW w:w="20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1.4</w:t>
            </w:r>
          </w:p>
        </w:tc>
        <w:tc>
          <w:tcPr>
            <w:tcW w:w="22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26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0.8</w:t>
            </w:r>
          </w:p>
        </w:tc>
        <w:tc>
          <w:tcPr>
            <w:tcW w:w="2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180" w:type="dxa"/>
            <w:vAlign w:val="bottom"/>
          </w:tcPr>
          <w:p>
            <w:pPr>
              <w:spacing w:after="0"/>
              <w:rPr>
                <w:sz w:val="14"/>
                <w:szCs w:val="14"/>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2.4</w:t>
            </w:r>
          </w:p>
        </w:tc>
        <w:tc>
          <w:tcPr>
            <w:tcW w:w="14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62"/>
        </w:trPr>
        <w:tc>
          <w:tcPr>
            <w:tcW w:w="3040" w:type="dxa"/>
            <w:vAlign w:val="bottom"/>
            <w:shd w:val="clear" w:color="auto" w:fill="CFF0FC"/>
          </w:tcPr>
          <w:p>
            <w:pPr>
              <w:ind w:left="20"/>
              <w:spacing w:after="0"/>
              <w:rPr>
                <w:sz w:val="20"/>
                <w:szCs w:val="20"/>
                <w:color w:val="auto"/>
              </w:rPr>
            </w:pPr>
            <w:r>
              <w:rPr>
                <w:rFonts w:ascii="Arial" w:cs="Arial" w:eastAsia="Arial" w:hAnsi="Arial"/>
                <w:sz w:val="14"/>
                <w:szCs w:val="14"/>
                <w:color w:val="auto"/>
              </w:rPr>
              <w:t>Expected return on assets</w:t>
            </w: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(18.0 )</w:t>
            </w: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(18.7 )</w:t>
            </w: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(18.5 )</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(0.3 )</w:t>
            </w: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(0.2 )</w:t>
            </w: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(0.1 )</w:t>
            </w:r>
          </w:p>
        </w:tc>
        <w:tc>
          <w:tcPr>
            <w:tcW w:w="0" w:type="dxa"/>
            <w:vAlign w:val="bottom"/>
          </w:tcPr>
          <w:p>
            <w:pPr>
              <w:spacing w:after="0"/>
              <w:rPr>
                <w:sz w:val="1"/>
                <w:szCs w:val="1"/>
                <w:color w:val="auto"/>
              </w:rPr>
            </w:pPr>
          </w:p>
        </w:tc>
      </w:tr>
      <w:tr>
        <w:trPr>
          <w:trHeight w:val="162"/>
        </w:trPr>
        <w:tc>
          <w:tcPr>
            <w:tcW w:w="3040" w:type="dxa"/>
            <w:vAlign w:val="bottom"/>
          </w:tcPr>
          <w:p>
            <w:pPr>
              <w:ind w:left="20"/>
              <w:spacing w:after="0"/>
              <w:rPr>
                <w:sz w:val="20"/>
                <w:szCs w:val="20"/>
                <w:color w:val="auto"/>
              </w:rPr>
            </w:pPr>
            <w:r>
              <w:rPr>
                <w:rFonts w:ascii="Arial" w:cs="Arial" w:eastAsia="Arial" w:hAnsi="Arial"/>
                <w:sz w:val="14"/>
                <w:szCs w:val="14"/>
                <w:color w:val="auto"/>
              </w:rPr>
              <w:t>Net amortization of prior service cost</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(0.1 )</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(0.1 )</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(0.1 )</w:t>
            </w:r>
          </w:p>
        </w:tc>
        <w:tc>
          <w:tcPr>
            <w:tcW w:w="20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180" w:type="dxa"/>
            <w:vAlign w:val="bottom"/>
          </w:tcPr>
          <w:p>
            <w:pPr>
              <w:spacing w:after="0"/>
              <w:rPr>
                <w:sz w:val="14"/>
                <w:szCs w:val="14"/>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(0.3 )</w:t>
            </w:r>
          </w:p>
        </w:tc>
        <w:tc>
          <w:tcPr>
            <w:tcW w:w="0" w:type="dxa"/>
            <w:vAlign w:val="bottom"/>
          </w:tcPr>
          <w:p>
            <w:pPr>
              <w:spacing w:after="0"/>
              <w:rPr>
                <w:sz w:val="1"/>
                <w:szCs w:val="1"/>
                <w:color w:val="auto"/>
              </w:rPr>
            </w:pPr>
          </w:p>
        </w:tc>
      </w:tr>
      <w:tr>
        <w:trPr>
          <w:trHeight w:val="162"/>
        </w:trPr>
        <w:tc>
          <w:tcPr>
            <w:tcW w:w="3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Recognized net actuarial loss (gain)</w:t>
            </w:r>
          </w:p>
        </w:tc>
        <w:tc>
          <w:tcPr>
            <w:tcW w:w="16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2.0</w:t>
            </w:r>
          </w:p>
        </w:tc>
        <w:tc>
          <w:tcPr>
            <w:tcW w:w="22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2.0</w:t>
            </w:r>
          </w:p>
        </w:tc>
        <w:tc>
          <w:tcPr>
            <w:tcW w:w="16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6.1</w:t>
            </w:r>
          </w:p>
        </w:tc>
        <w:tc>
          <w:tcPr>
            <w:tcW w:w="2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0.3</w:t>
            </w:r>
          </w:p>
        </w:tc>
        <w:tc>
          <w:tcPr>
            <w:tcW w:w="22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55"/>
        </w:trPr>
        <w:tc>
          <w:tcPr>
            <w:tcW w:w="3040" w:type="dxa"/>
            <w:vAlign w:val="bottom"/>
          </w:tcPr>
          <w:p>
            <w:pPr>
              <w:ind w:left="20"/>
              <w:spacing w:after="0" w:line="155" w:lineRule="exact"/>
              <w:rPr>
                <w:sz w:val="20"/>
                <w:szCs w:val="20"/>
                <w:color w:val="auto"/>
              </w:rPr>
            </w:pPr>
            <w:r>
              <w:rPr>
                <w:rFonts w:ascii="Arial" w:cs="Arial" w:eastAsia="Arial" w:hAnsi="Arial"/>
                <w:sz w:val="14"/>
                <w:szCs w:val="14"/>
                <w:color w:val="auto"/>
              </w:rPr>
              <w:t>Net periodic expense</w:t>
            </w:r>
          </w:p>
        </w:tc>
        <w:tc>
          <w:tcPr>
            <w:tcW w:w="1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2.6</w:t>
            </w:r>
          </w:p>
        </w:tc>
        <w:tc>
          <w:tcPr>
            <w:tcW w:w="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3.2</w:t>
            </w:r>
          </w:p>
        </w:tc>
        <w:tc>
          <w:tcPr>
            <w:tcW w:w="1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2.2</w:t>
            </w:r>
          </w:p>
        </w:tc>
        <w:tc>
          <w:tcPr>
            <w:tcW w:w="20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4.7</w:t>
            </w:r>
          </w:p>
        </w:tc>
        <w:tc>
          <w:tcPr>
            <w:tcW w:w="220" w:type="dxa"/>
            <w:vAlign w:val="bottom"/>
            <w:tcBorders>
              <w:bottom w:val="single" w:sz="8" w:color="auto"/>
            </w:tcBorders>
          </w:tcPr>
          <w:p>
            <w:pPr>
              <w:ind w:left="60"/>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4.6</w:t>
            </w:r>
          </w:p>
        </w:tc>
        <w:tc>
          <w:tcPr>
            <w:tcW w:w="26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0.3</w:t>
            </w:r>
          </w:p>
        </w:tc>
        <w:tc>
          <w:tcPr>
            <w:tcW w:w="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3.9</w:t>
            </w:r>
          </w:p>
        </w:tc>
        <w:tc>
          <w:tcPr>
            <w:tcW w:w="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3.7</w:t>
            </w: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right="40"/>
        <w:spacing w:after="0" w:line="286" w:lineRule="auto"/>
        <w:rPr>
          <w:sz w:val="20"/>
          <w:szCs w:val="20"/>
          <w:color w:val="auto"/>
        </w:rPr>
      </w:pPr>
      <w:r>
        <w:rPr>
          <w:rFonts w:ascii="Arial" w:cs="Arial" w:eastAsia="Arial" w:hAnsi="Arial"/>
          <w:sz w:val="16"/>
          <w:szCs w:val="16"/>
          <w:color w:val="auto"/>
        </w:rPr>
        <w:t>Service costs are recorded in Operations and maintenance expense while non-service costs are recorded in Other expense on the Consolidated Statements of Income.</w:t>
      </w:r>
    </w:p>
    <w:p>
      <w:pPr>
        <w:spacing w:after="0" w:line="129"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color w:val="auto"/>
        </w:rPr>
        <w:t>Actuarial gains and losses are amortized using a straight-line method over the average remaining service period of active plan participants or over the average remaining lifetime of the remaining plan participants if the plan is viewed as “all or almost all” inactive participants.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Plan Information</w:t>
      </w:r>
    </w:p>
    <w:p>
      <w:pPr>
        <w:spacing w:after="0" w:line="194"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following tables provide a reconciliation of the employee benefit plan obligations and fair value of employee benefit plan assets, amounts recognized on our Consolidated Balance Sheets, accumulated benefit obligation, and elements of AOCI:</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3"/>
          </w:tcPr>
          <w:p>
            <w:pPr>
              <w:jc w:val="right"/>
              <w:ind w:right="699"/>
              <w:spacing w:after="0"/>
              <w:rPr>
                <w:sz w:val="20"/>
                <w:szCs w:val="20"/>
                <w:color w:val="auto"/>
              </w:rPr>
            </w:pPr>
            <w:r>
              <w:rPr>
                <w:rFonts w:ascii="Arial" w:cs="Arial" w:eastAsia="Arial" w:hAnsi="Arial"/>
                <w:sz w:val="14"/>
                <w:szCs w:val="14"/>
                <w:b w:val="1"/>
                <w:bCs w:val="1"/>
                <w:color w:val="auto"/>
              </w:rPr>
              <w:t>Pension Plan</w:t>
            </w:r>
          </w:p>
        </w:tc>
        <w:tc>
          <w:tcPr>
            <w:tcW w:w="2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Supplemental Plans</w:t>
            </w:r>
          </w:p>
        </w:tc>
        <w:tc>
          <w:tcPr>
            <w:tcW w:w="4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4"/>
                <w:szCs w:val="14"/>
                <w:b w:val="1"/>
                <w:bCs w:val="1"/>
                <w:color w:val="auto"/>
              </w:rPr>
              <w:t>Healthcare Plan</w:t>
            </w:r>
          </w:p>
        </w:tc>
        <w:tc>
          <w:tcPr>
            <w:tcW w:w="4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9"/>
              <w:spacing w:after="0" w:line="183" w:lineRule="exact"/>
              <w:rPr>
                <w:sz w:val="20"/>
                <w:szCs w:val="20"/>
                <w:color w:val="auto"/>
              </w:rPr>
            </w:pPr>
            <w:r>
              <w:rPr>
                <w:rFonts w:ascii="Arial" w:cs="Arial" w:eastAsia="Arial" w:hAnsi="Arial"/>
                <w:sz w:val="16"/>
                <w:szCs w:val="16"/>
                <w:b w:val="1"/>
                <w:bCs w:val="1"/>
                <w:color w:val="auto"/>
              </w:rPr>
              <w:t>2024</w:t>
            </w: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9"/>
              <w:spacing w:after="0" w:line="183" w:lineRule="exact"/>
              <w:rPr>
                <w:sz w:val="20"/>
                <w:szCs w:val="20"/>
                <w:color w:val="auto"/>
              </w:rPr>
            </w:pPr>
            <w:r>
              <w:rPr>
                <w:rFonts w:ascii="Arial" w:cs="Arial" w:eastAsia="Arial" w:hAnsi="Arial"/>
                <w:sz w:val="16"/>
                <w:szCs w:val="16"/>
                <w:b w:val="1"/>
                <w:bCs w:val="1"/>
                <w:color w:val="auto"/>
              </w:rPr>
              <w:t>2023</w:t>
            </w: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9"/>
              <w:spacing w:after="0" w:line="183" w:lineRule="exact"/>
              <w:rPr>
                <w:sz w:val="20"/>
                <w:szCs w:val="20"/>
                <w:color w:val="auto"/>
              </w:rPr>
            </w:pPr>
            <w:r>
              <w:rPr>
                <w:rFonts w:ascii="Arial" w:cs="Arial" w:eastAsia="Arial" w:hAnsi="Arial"/>
                <w:sz w:val="16"/>
                <w:szCs w:val="16"/>
                <w:b w:val="1"/>
                <w:bCs w:val="1"/>
                <w:color w:val="auto"/>
              </w:rPr>
              <w:t>2024</w:t>
            </w:r>
          </w:p>
        </w:tc>
        <w:tc>
          <w:tcPr>
            <w:tcW w:w="7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2023</w:t>
            </w:r>
          </w:p>
        </w:tc>
        <w:tc>
          <w:tcPr>
            <w:tcW w:w="4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2024</w:t>
            </w:r>
          </w:p>
        </w:tc>
        <w:tc>
          <w:tcPr>
            <w:tcW w:w="4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2023</w:t>
            </w:r>
          </w:p>
        </w:tc>
        <w:tc>
          <w:tcPr>
            <w:tcW w:w="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2"/>
          </w:tcPr>
          <w:p>
            <w:pPr>
              <w:jc w:val="right"/>
              <w:ind w:right="319"/>
              <w:spacing w:after="0" w:line="183" w:lineRule="exact"/>
              <w:rPr>
                <w:sz w:val="20"/>
                <w:szCs w:val="20"/>
                <w:color w:val="auto"/>
              </w:rPr>
            </w:pPr>
            <w:r>
              <w:rPr>
                <w:rFonts w:ascii="Arial" w:cs="Arial" w:eastAsia="Arial" w:hAnsi="Arial"/>
                <w:sz w:val="16"/>
                <w:szCs w:val="16"/>
                <w:color w:val="auto"/>
              </w:rPr>
              <w:t>(in millions)</w:t>
            </w:r>
          </w:p>
        </w:tc>
        <w:tc>
          <w:tcPr>
            <w:tcW w:w="4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1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Accumulated benefit obligation at December 31</w:t>
            </w:r>
          </w:p>
        </w:tc>
        <w:tc>
          <w:tcPr>
            <w:tcW w:w="24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307.1</w:t>
            </w:r>
          </w:p>
        </w:tc>
        <w:tc>
          <w:tcPr>
            <w:tcW w:w="24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341.8</w:t>
            </w:r>
          </w:p>
        </w:tc>
        <w:tc>
          <w:tcPr>
            <w:tcW w:w="24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46.1</w:t>
            </w:r>
          </w:p>
        </w:tc>
        <w:tc>
          <w:tcPr>
            <w:tcW w:w="720" w:type="dxa"/>
            <w:vAlign w:val="bottom"/>
            <w:tcBorders>
              <w:bottom w:val="single" w:sz="8" w:color="auto"/>
            </w:tcBorders>
            <w:shd w:val="clear" w:color="auto" w:fill="CFF0FC"/>
          </w:tcPr>
          <w:p>
            <w:pPr>
              <w:jc w:val="right"/>
              <w:ind w:right="519"/>
              <w:spacing w:after="0" w:line="183" w:lineRule="exact"/>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46.7</w:t>
            </w:r>
          </w:p>
        </w:tc>
        <w:tc>
          <w:tcPr>
            <w:tcW w:w="720" w:type="dxa"/>
            <w:vAlign w:val="bottom"/>
            <w:tcBorders>
              <w:bottom w:val="single" w:sz="8" w:color="auto"/>
            </w:tcBorders>
            <w:shd w:val="clear" w:color="auto" w:fill="CFF0FC"/>
          </w:tcPr>
          <w:p>
            <w:pPr>
              <w:jc w:val="right"/>
              <w:ind w:right="540"/>
              <w:spacing w:after="0" w:line="183" w:lineRule="exact"/>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w w:val="96"/>
              </w:rPr>
              <w:t>48.5</w:t>
            </w:r>
          </w:p>
        </w:tc>
        <w:tc>
          <w:tcPr>
            <w:tcW w:w="720" w:type="dxa"/>
            <w:vAlign w:val="bottom"/>
            <w:tcBorders>
              <w:bottom w:val="single" w:sz="8" w:color="auto"/>
            </w:tcBorders>
            <w:shd w:val="clear" w:color="auto" w:fill="CFF0FC"/>
          </w:tcPr>
          <w:p>
            <w:pPr>
              <w:jc w:val="right"/>
              <w:ind w:right="519"/>
              <w:spacing w:after="0" w:line="183" w:lineRule="exact"/>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w w:val="96"/>
              </w:rPr>
              <w:t>51.1</w:t>
            </w:r>
          </w:p>
        </w:tc>
        <w:tc>
          <w:tcPr>
            <w:tcW w:w="0" w:type="dxa"/>
            <w:vAlign w:val="bottom"/>
          </w:tcPr>
          <w:p>
            <w:pPr>
              <w:spacing w:after="0"/>
              <w:rPr>
                <w:sz w:val="1"/>
                <w:szCs w:val="1"/>
                <w:color w:val="auto"/>
              </w:rPr>
            </w:pPr>
          </w:p>
        </w:tc>
      </w:tr>
      <w:tr>
        <w:trPr>
          <w:trHeight w:val="183"/>
        </w:trPr>
        <w:tc>
          <w:tcPr>
            <w:tcW w:w="4160" w:type="dxa"/>
            <w:vAlign w:val="bottom"/>
          </w:tcPr>
          <w:p>
            <w:pPr>
              <w:ind w:left="20"/>
              <w:spacing w:after="0"/>
              <w:rPr>
                <w:sz w:val="20"/>
                <w:szCs w:val="20"/>
                <w:color w:val="auto"/>
              </w:rPr>
            </w:pPr>
            <w:r>
              <w:rPr>
                <w:rFonts w:ascii="Arial" w:cs="Arial" w:eastAsia="Arial" w:hAnsi="Arial"/>
                <w:sz w:val="14"/>
                <w:szCs w:val="14"/>
                <w:b w:val="1"/>
                <w:bCs w:val="1"/>
                <w:color w:val="auto"/>
              </w:rPr>
              <w:t>Change in benefit obligation:</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6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Projected benefit obligation at beginning of year</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348.1</w:t>
            </w:r>
          </w:p>
        </w:tc>
        <w:tc>
          <w:tcPr>
            <w:tcW w:w="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358.4</w:t>
            </w:r>
          </w:p>
        </w:tc>
        <w:tc>
          <w:tcPr>
            <w:tcW w:w="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46.7</w:t>
            </w:r>
          </w:p>
        </w:tc>
        <w:tc>
          <w:tcPr>
            <w:tcW w:w="720" w:type="dxa"/>
            <w:vAlign w:val="bottom"/>
            <w:shd w:val="clear" w:color="auto" w:fill="CFF0FC"/>
          </w:tcPr>
          <w:p>
            <w:pPr>
              <w:jc w:val="right"/>
              <w:ind w:right="519"/>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45.2</w:t>
            </w:r>
          </w:p>
        </w:tc>
        <w:tc>
          <w:tcPr>
            <w:tcW w:w="720" w:type="dxa"/>
            <w:vAlign w:val="bottom"/>
            <w:shd w:val="clear" w:color="auto" w:fill="CFF0FC"/>
          </w:tcPr>
          <w:p>
            <w:pPr>
              <w:jc w:val="right"/>
              <w:ind w:right="540"/>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96"/>
              </w:rPr>
              <w:t>51.1</w:t>
            </w:r>
          </w:p>
        </w:tc>
        <w:tc>
          <w:tcPr>
            <w:tcW w:w="720" w:type="dxa"/>
            <w:vAlign w:val="bottom"/>
            <w:shd w:val="clear" w:color="auto" w:fill="CFF0FC"/>
          </w:tcPr>
          <w:p>
            <w:pPr>
              <w:jc w:val="right"/>
              <w:ind w:right="519"/>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96"/>
              </w:rPr>
              <w:t>49.7</w:t>
            </w:r>
          </w:p>
        </w:tc>
        <w:tc>
          <w:tcPr>
            <w:tcW w:w="0" w:type="dxa"/>
            <w:vAlign w:val="bottom"/>
          </w:tcPr>
          <w:p>
            <w:pPr>
              <w:spacing w:after="0"/>
              <w:rPr>
                <w:sz w:val="1"/>
                <w:szCs w:val="1"/>
                <w:color w:val="auto"/>
              </w:rPr>
            </w:pPr>
          </w:p>
        </w:tc>
      </w:tr>
      <w:tr>
        <w:trPr>
          <w:trHeight w:val="189"/>
        </w:trPr>
        <w:tc>
          <w:tcPr>
            <w:tcW w:w="4160" w:type="dxa"/>
            <w:vAlign w:val="bottom"/>
          </w:tcPr>
          <w:p>
            <w:pPr>
              <w:ind w:left="120"/>
              <w:spacing w:after="0"/>
              <w:rPr>
                <w:sz w:val="20"/>
                <w:szCs w:val="20"/>
                <w:color w:val="auto"/>
              </w:rPr>
            </w:pPr>
            <w:r>
              <w:rPr>
                <w:rFonts w:ascii="Arial" w:cs="Arial" w:eastAsia="Arial" w:hAnsi="Arial"/>
                <w:sz w:val="14"/>
                <w:szCs w:val="14"/>
                <w:color w:val="auto"/>
              </w:rPr>
              <w:t>Service cost</w:t>
            </w:r>
          </w:p>
        </w:tc>
        <w:tc>
          <w:tcPr>
            <w:tcW w:w="240" w:type="dxa"/>
            <w:vAlign w:val="bottom"/>
          </w:tcPr>
          <w:p>
            <w:pPr>
              <w:spacing w:after="0"/>
              <w:rPr>
                <w:sz w:val="16"/>
                <w:szCs w:val="16"/>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240" w:type="dxa"/>
            <w:vAlign w:val="bottom"/>
          </w:tcPr>
          <w:p>
            <w:pPr>
              <w:spacing w:after="0"/>
              <w:rPr>
                <w:sz w:val="16"/>
                <w:szCs w:val="16"/>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240" w:type="dxa"/>
            <w:vAlign w:val="bottom"/>
          </w:tcPr>
          <w:p>
            <w:pPr>
              <w:spacing w:after="0"/>
              <w:rPr>
                <w:sz w:val="16"/>
                <w:szCs w:val="16"/>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3.3</w:t>
            </w:r>
          </w:p>
        </w:tc>
        <w:tc>
          <w:tcPr>
            <w:tcW w:w="720" w:type="dxa"/>
            <w:vAlign w:val="bottom"/>
          </w:tcPr>
          <w:p>
            <w:pPr>
              <w:spacing w:after="0"/>
              <w:rPr>
                <w:sz w:val="16"/>
                <w:szCs w:val="16"/>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720" w:type="dxa"/>
            <w:vAlign w:val="bottom"/>
          </w:tcPr>
          <w:p>
            <w:pPr>
              <w:spacing w:after="0"/>
              <w:rPr>
                <w:sz w:val="16"/>
                <w:szCs w:val="16"/>
                <w:color w:val="auto"/>
              </w:rPr>
            </w:pP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720" w:type="dxa"/>
            <w:vAlign w:val="bottom"/>
          </w:tcPr>
          <w:p>
            <w:pPr>
              <w:spacing w:after="0"/>
              <w:rPr>
                <w:sz w:val="16"/>
                <w:szCs w:val="16"/>
                <w:color w:val="auto"/>
              </w:rPr>
            </w:pPr>
          </w:p>
        </w:tc>
        <w:tc>
          <w:tcPr>
            <w:tcW w:w="460" w:type="dxa"/>
            <w:vAlign w:val="bottom"/>
          </w:tcPr>
          <w:p>
            <w:pPr>
              <w:jc w:val="right"/>
              <w:ind w:right="5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89"/>
        </w:trPr>
        <w:tc>
          <w:tcPr>
            <w:tcW w:w="41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Interest cost</w:t>
            </w:r>
          </w:p>
        </w:tc>
        <w:tc>
          <w:tcPr>
            <w:tcW w:w="24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16.4</w:t>
            </w: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17.5</w:t>
            </w: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w:t>
            </w:r>
          </w:p>
        </w:tc>
        <w:tc>
          <w:tcPr>
            <w:tcW w:w="720" w:type="dxa"/>
            <w:vAlign w:val="bottom"/>
            <w:shd w:val="clear" w:color="auto" w:fill="CFF0FC"/>
          </w:tcPr>
          <w:p>
            <w:pPr>
              <w:spacing w:after="0"/>
              <w:rPr>
                <w:sz w:val="16"/>
                <w:szCs w:val="16"/>
                <w:color w:val="auto"/>
              </w:rPr>
            </w:pPr>
          </w:p>
        </w:tc>
        <w:tc>
          <w:tcPr>
            <w:tcW w:w="4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w:t>
            </w:r>
          </w:p>
        </w:tc>
        <w:tc>
          <w:tcPr>
            <w:tcW w:w="720" w:type="dxa"/>
            <w:vAlign w:val="bottom"/>
            <w:shd w:val="clear" w:color="auto" w:fill="CFF0FC"/>
          </w:tcPr>
          <w:p>
            <w:pPr>
              <w:spacing w:after="0"/>
              <w:rPr>
                <w:sz w:val="16"/>
                <w:szCs w:val="16"/>
                <w:color w:val="auto"/>
              </w:rPr>
            </w:pPr>
          </w:p>
        </w:tc>
        <w:tc>
          <w:tcPr>
            <w:tcW w:w="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w:t>
            </w:r>
          </w:p>
        </w:tc>
        <w:tc>
          <w:tcPr>
            <w:tcW w:w="720" w:type="dxa"/>
            <w:vAlign w:val="bottom"/>
            <w:shd w:val="clear" w:color="auto" w:fill="CFF0FC"/>
          </w:tcPr>
          <w:p>
            <w:pPr>
              <w:spacing w:after="0"/>
              <w:rPr>
                <w:sz w:val="16"/>
                <w:szCs w:val="16"/>
                <w:color w:val="auto"/>
              </w:rPr>
            </w:pPr>
          </w:p>
        </w:tc>
        <w:tc>
          <w:tcPr>
            <w:tcW w:w="4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189"/>
        </w:trPr>
        <w:tc>
          <w:tcPr>
            <w:tcW w:w="4160" w:type="dxa"/>
            <w:vAlign w:val="bottom"/>
          </w:tcPr>
          <w:p>
            <w:pPr>
              <w:ind w:left="120"/>
              <w:spacing w:after="0"/>
              <w:rPr>
                <w:sz w:val="20"/>
                <w:szCs w:val="20"/>
                <w:color w:val="auto"/>
              </w:rPr>
            </w:pPr>
            <w:r>
              <w:rPr>
                <w:rFonts w:ascii="Arial" w:cs="Arial" w:eastAsia="Arial" w:hAnsi="Arial"/>
                <w:sz w:val="14"/>
                <w:szCs w:val="14"/>
                <w:color w:val="auto"/>
              </w:rPr>
              <w:t>Actuarial (gain) loss</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(16.0 )</w:t>
            </w:r>
          </w:p>
        </w:tc>
        <w:tc>
          <w:tcPr>
            <w:tcW w:w="240" w:type="dxa"/>
            <w:vAlign w:val="bottom"/>
          </w:tcPr>
          <w:p>
            <w:pPr>
              <w:spacing w:after="0"/>
              <w:rPr>
                <w:sz w:val="16"/>
                <w:szCs w:val="16"/>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11.6</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(1.2 )</w:t>
            </w:r>
          </w:p>
        </w:tc>
        <w:tc>
          <w:tcPr>
            <w:tcW w:w="720" w:type="dxa"/>
            <w:vAlign w:val="bottom"/>
          </w:tcPr>
          <w:p>
            <w:pPr>
              <w:spacing w:after="0"/>
              <w:rPr>
                <w:sz w:val="16"/>
                <w:szCs w:val="16"/>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0.3</w:t>
            </w:r>
          </w:p>
        </w:tc>
        <w:tc>
          <w:tcPr>
            <w:tcW w:w="7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(1.7 )</w:t>
            </w:r>
          </w:p>
        </w:tc>
        <w:tc>
          <w:tcPr>
            <w:tcW w:w="720" w:type="dxa"/>
            <w:vAlign w:val="bottom"/>
          </w:tcPr>
          <w:p>
            <w:pPr>
              <w:spacing w:after="0"/>
              <w:rPr>
                <w:sz w:val="16"/>
                <w:szCs w:val="16"/>
                <w:color w:val="auto"/>
              </w:rPr>
            </w:pPr>
          </w:p>
        </w:tc>
        <w:tc>
          <w:tcPr>
            <w:tcW w:w="460" w:type="dxa"/>
            <w:vAlign w:val="bottom"/>
          </w:tcPr>
          <w:p>
            <w:pPr>
              <w:jc w:val="right"/>
              <w:ind w:right="5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89"/>
        </w:trPr>
        <w:tc>
          <w:tcPr>
            <w:tcW w:w="41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Benefits paid</w:t>
            </w:r>
          </w:p>
        </w:tc>
        <w:tc>
          <w:tcPr>
            <w:tcW w:w="24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(39.2 )</w:t>
            </w: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(41.9 )</w:t>
            </w: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(4.1 )</w:t>
            </w:r>
          </w:p>
        </w:tc>
        <w:tc>
          <w:tcPr>
            <w:tcW w:w="72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(3.4 )</w:t>
            </w:r>
          </w:p>
        </w:tc>
        <w:tc>
          <w:tcPr>
            <w:tcW w:w="720" w:type="dxa"/>
            <w:vAlign w:val="bottom"/>
            <w:shd w:val="clear" w:color="auto" w:fill="CFF0FC"/>
          </w:tcPr>
          <w:p>
            <w:pPr>
              <w:spacing w:after="0"/>
              <w:rPr>
                <w:sz w:val="16"/>
                <w:szCs w:val="16"/>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(5.7 )</w:t>
            </w:r>
          </w:p>
        </w:tc>
        <w:tc>
          <w:tcPr>
            <w:tcW w:w="72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(5.3 )</w:t>
            </w:r>
          </w:p>
        </w:tc>
        <w:tc>
          <w:tcPr>
            <w:tcW w:w="0" w:type="dxa"/>
            <w:vAlign w:val="bottom"/>
          </w:tcPr>
          <w:p>
            <w:pPr>
              <w:spacing w:after="0"/>
              <w:rPr>
                <w:sz w:val="1"/>
                <w:szCs w:val="1"/>
                <w:color w:val="auto"/>
              </w:rPr>
            </w:pPr>
          </w:p>
        </w:tc>
      </w:tr>
      <w:tr>
        <w:trPr>
          <w:trHeight w:val="189"/>
        </w:trPr>
        <w:tc>
          <w:tcPr>
            <w:tcW w:w="416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Plan participants’ contributions</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0.8</w:t>
            </w:r>
          </w:p>
        </w:tc>
        <w:tc>
          <w:tcPr>
            <w:tcW w:w="7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83"/>
        </w:trPr>
        <w:tc>
          <w:tcPr>
            <w:tcW w:w="41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Projected benefit obligation at end of year</w:t>
            </w:r>
          </w:p>
        </w:tc>
        <w:tc>
          <w:tcPr>
            <w:tcW w:w="24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311.6</w:t>
            </w:r>
          </w:p>
        </w:tc>
        <w:tc>
          <w:tcPr>
            <w:tcW w:w="24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348.1</w:t>
            </w:r>
          </w:p>
        </w:tc>
        <w:tc>
          <w:tcPr>
            <w:tcW w:w="24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46.1</w:t>
            </w:r>
          </w:p>
        </w:tc>
        <w:tc>
          <w:tcPr>
            <w:tcW w:w="720" w:type="dxa"/>
            <w:vAlign w:val="bottom"/>
            <w:tcBorders>
              <w:bottom w:val="single" w:sz="8" w:color="auto"/>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46.7</w:t>
            </w:r>
          </w:p>
        </w:tc>
        <w:tc>
          <w:tcPr>
            <w:tcW w:w="720" w:type="dxa"/>
            <w:vAlign w:val="bottom"/>
            <w:tcBorders>
              <w:bottom w:val="single" w:sz="8" w:color="auto"/>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w w:val="96"/>
              </w:rPr>
              <w:t>48.5</w:t>
            </w:r>
          </w:p>
        </w:tc>
        <w:tc>
          <w:tcPr>
            <w:tcW w:w="720" w:type="dxa"/>
            <w:vAlign w:val="bottom"/>
            <w:tcBorders>
              <w:bottom w:val="single" w:sz="8" w:color="auto"/>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w w:val="96"/>
              </w:rPr>
              <w:t>51.1</w:t>
            </w:r>
          </w:p>
        </w:tc>
        <w:tc>
          <w:tcPr>
            <w:tcW w:w="0" w:type="dxa"/>
            <w:vAlign w:val="bottom"/>
          </w:tcPr>
          <w:p>
            <w:pPr>
              <w:spacing w:after="0"/>
              <w:rPr>
                <w:sz w:val="1"/>
                <w:szCs w:val="1"/>
                <w:color w:val="auto"/>
              </w:rPr>
            </w:pPr>
          </w:p>
        </w:tc>
      </w:tr>
      <w:tr>
        <w:trPr>
          <w:trHeight w:val="183"/>
        </w:trPr>
        <w:tc>
          <w:tcPr>
            <w:tcW w:w="4160" w:type="dxa"/>
            <w:vAlign w:val="bottom"/>
          </w:tcPr>
          <w:p>
            <w:pPr>
              <w:ind w:left="20"/>
              <w:spacing w:after="0"/>
              <w:rPr>
                <w:sz w:val="20"/>
                <w:szCs w:val="20"/>
                <w:color w:val="auto"/>
              </w:rPr>
            </w:pPr>
            <w:r>
              <w:rPr>
                <w:rFonts w:ascii="Arial" w:cs="Arial" w:eastAsia="Arial" w:hAnsi="Arial"/>
                <w:sz w:val="14"/>
                <w:szCs w:val="14"/>
                <w:b w:val="1"/>
                <w:bCs w:val="1"/>
                <w:color w:val="auto"/>
              </w:rPr>
              <w:t>Change in fair value of plan assets:</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60" w:type="dxa"/>
            <w:vAlign w:val="bottom"/>
            <w:shd w:val="clear" w:color="auto" w:fill="CFF0FC"/>
          </w:tcPr>
          <w:p>
            <w:pPr>
              <w:ind w:left="20"/>
              <w:spacing w:after="0"/>
              <w:rPr>
                <w:sz w:val="20"/>
                <w:szCs w:val="20"/>
                <w:color w:val="auto"/>
              </w:rPr>
            </w:pPr>
            <w:r>
              <w:rPr>
                <w:rFonts w:ascii="Arial" w:cs="Arial" w:eastAsia="Arial" w:hAnsi="Arial"/>
                <w:sz w:val="14"/>
                <w:szCs w:val="14"/>
                <w:color w:val="auto"/>
              </w:rPr>
              <w:t>Fair value of plan assets at beginning of year</w:t>
            </w:r>
          </w:p>
        </w:tc>
        <w:tc>
          <w:tcPr>
            <w:tcW w:w="24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308.6</w:t>
            </w: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323.1</w:t>
            </w: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spacing w:after="0"/>
              <w:rPr>
                <w:sz w:val="16"/>
                <w:szCs w:val="16"/>
                <w:color w:val="auto"/>
              </w:rPr>
            </w:pPr>
          </w:p>
        </w:tc>
        <w:tc>
          <w:tcPr>
            <w:tcW w:w="4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spacing w:after="0"/>
              <w:rPr>
                <w:sz w:val="16"/>
                <w:szCs w:val="16"/>
                <w:color w:val="auto"/>
              </w:rPr>
            </w:pPr>
          </w:p>
        </w:tc>
        <w:tc>
          <w:tcPr>
            <w:tcW w:w="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8.0</w:t>
            </w:r>
          </w:p>
        </w:tc>
        <w:tc>
          <w:tcPr>
            <w:tcW w:w="720" w:type="dxa"/>
            <w:vAlign w:val="bottom"/>
            <w:shd w:val="clear" w:color="auto" w:fill="CFF0FC"/>
          </w:tcPr>
          <w:p>
            <w:pPr>
              <w:spacing w:after="0"/>
              <w:rPr>
                <w:sz w:val="16"/>
                <w:szCs w:val="16"/>
                <w:color w:val="auto"/>
              </w:rPr>
            </w:pPr>
          </w:p>
        </w:tc>
        <w:tc>
          <w:tcPr>
            <w:tcW w:w="4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189"/>
        </w:trPr>
        <w:tc>
          <w:tcPr>
            <w:tcW w:w="4160" w:type="dxa"/>
            <w:vAlign w:val="bottom"/>
          </w:tcPr>
          <w:p>
            <w:pPr>
              <w:ind w:left="120"/>
              <w:spacing w:after="0"/>
              <w:rPr>
                <w:sz w:val="20"/>
                <w:szCs w:val="20"/>
                <w:color w:val="auto"/>
              </w:rPr>
            </w:pPr>
            <w:r>
              <w:rPr>
                <w:rFonts w:ascii="Arial" w:cs="Arial" w:eastAsia="Arial" w:hAnsi="Arial"/>
                <w:sz w:val="14"/>
                <w:szCs w:val="14"/>
                <w:color w:val="auto"/>
              </w:rPr>
              <w:t>Investment income (loss)</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(1.6 )</w:t>
            </w:r>
          </w:p>
        </w:tc>
        <w:tc>
          <w:tcPr>
            <w:tcW w:w="240" w:type="dxa"/>
            <w:vAlign w:val="bottom"/>
          </w:tcPr>
          <w:p>
            <w:pPr>
              <w:spacing w:after="0"/>
              <w:rPr>
                <w:sz w:val="16"/>
                <w:szCs w:val="16"/>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27.4</w:t>
            </w:r>
          </w:p>
        </w:tc>
        <w:tc>
          <w:tcPr>
            <w:tcW w:w="240" w:type="dxa"/>
            <w:vAlign w:val="bottom"/>
          </w:tcPr>
          <w:p>
            <w:pPr>
              <w:spacing w:after="0"/>
              <w:rPr>
                <w:sz w:val="16"/>
                <w:szCs w:val="16"/>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6"/>
                <w:szCs w:val="16"/>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6"/>
                <w:szCs w:val="16"/>
                <w:color w:val="auto"/>
              </w:rPr>
            </w:pP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720" w:type="dxa"/>
            <w:vAlign w:val="bottom"/>
          </w:tcPr>
          <w:p>
            <w:pPr>
              <w:spacing w:after="0"/>
              <w:rPr>
                <w:sz w:val="16"/>
                <w:szCs w:val="16"/>
                <w:color w:val="auto"/>
              </w:rPr>
            </w:pPr>
          </w:p>
        </w:tc>
        <w:tc>
          <w:tcPr>
            <w:tcW w:w="460" w:type="dxa"/>
            <w:vAlign w:val="bottom"/>
          </w:tcPr>
          <w:p>
            <w:pPr>
              <w:jc w:val="right"/>
              <w:ind w:right="59"/>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189"/>
        </w:trPr>
        <w:tc>
          <w:tcPr>
            <w:tcW w:w="41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Employer contributions</w:t>
            </w:r>
          </w:p>
        </w:tc>
        <w:tc>
          <w:tcPr>
            <w:tcW w:w="24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2.3</w:t>
            </w: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4.1</w:t>
            </w:r>
          </w:p>
        </w:tc>
        <w:tc>
          <w:tcPr>
            <w:tcW w:w="720" w:type="dxa"/>
            <w:vAlign w:val="bottom"/>
            <w:shd w:val="clear" w:color="auto" w:fill="CFF0FC"/>
          </w:tcPr>
          <w:p>
            <w:pPr>
              <w:spacing w:after="0"/>
              <w:rPr>
                <w:sz w:val="16"/>
                <w:szCs w:val="16"/>
                <w:color w:val="auto"/>
              </w:rPr>
            </w:pPr>
          </w:p>
        </w:tc>
        <w:tc>
          <w:tcPr>
            <w:tcW w:w="4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3.5</w:t>
            </w:r>
          </w:p>
        </w:tc>
        <w:tc>
          <w:tcPr>
            <w:tcW w:w="720" w:type="dxa"/>
            <w:vAlign w:val="bottom"/>
            <w:shd w:val="clear" w:color="auto" w:fill="CFF0FC"/>
          </w:tcPr>
          <w:p>
            <w:pPr>
              <w:spacing w:after="0"/>
              <w:rPr>
                <w:sz w:val="16"/>
                <w:szCs w:val="16"/>
                <w:color w:val="auto"/>
              </w:rPr>
            </w:pPr>
          </w:p>
        </w:tc>
        <w:tc>
          <w:tcPr>
            <w:tcW w:w="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4.2</w:t>
            </w:r>
          </w:p>
        </w:tc>
        <w:tc>
          <w:tcPr>
            <w:tcW w:w="720" w:type="dxa"/>
            <w:vAlign w:val="bottom"/>
            <w:shd w:val="clear" w:color="auto" w:fill="CFF0FC"/>
          </w:tcPr>
          <w:p>
            <w:pPr>
              <w:spacing w:after="0"/>
              <w:rPr>
                <w:sz w:val="16"/>
                <w:szCs w:val="16"/>
                <w:color w:val="auto"/>
              </w:rPr>
            </w:pPr>
          </w:p>
        </w:tc>
        <w:tc>
          <w:tcPr>
            <w:tcW w:w="4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189"/>
        </w:trPr>
        <w:tc>
          <w:tcPr>
            <w:tcW w:w="4160" w:type="dxa"/>
            <w:vAlign w:val="bottom"/>
          </w:tcPr>
          <w:p>
            <w:pPr>
              <w:ind w:left="120"/>
              <w:spacing w:after="0"/>
              <w:rPr>
                <w:sz w:val="20"/>
                <w:szCs w:val="20"/>
                <w:color w:val="auto"/>
              </w:rPr>
            </w:pPr>
            <w:r>
              <w:rPr>
                <w:rFonts w:ascii="Arial" w:cs="Arial" w:eastAsia="Arial" w:hAnsi="Arial"/>
                <w:sz w:val="14"/>
                <w:szCs w:val="14"/>
                <w:color w:val="auto"/>
              </w:rPr>
              <w:t>Retiree contributions</w:t>
            </w:r>
          </w:p>
        </w:tc>
        <w:tc>
          <w:tcPr>
            <w:tcW w:w="240" w:type="dxa"/>
            <w:vAlign w:val="bottom"/>
          </w:tcPr>
          <w:p>
            <w:pPr>
              <w:spacing w:after="0"/>
              <w:rPr>
                <w:sz w:val="16"/>
                <w:szCs w:val="16"/>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6"/>
                <w:szCs w:val="16"/>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6"/>
                <w:szCs w:val="16"/>
                <w:color w:val="auto"/>
              </w:rPr>
            </w:pP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0.9</w:t>
            </w:r>
          </w:p>
        </w:tc>
        <w:tc>
          <w:tcPr>
            <w:tcW w:w="720" w:type="dxa"/>
            <w:vAlign w:val="bottom"/>
          </w:tcPr>
          <w:p>
            <w:pPr>
              <w:spacing w:after="0"/>
              <w:rPr>
                <w:sz w:val="16"/>
                <w:szCs w:val="16"/>
                <w:color w:val="auto"/>
              </w:rPr>
            </w:pPr>
          </w:p>
        </w:tc>
        <w:tc>
          <w:tcPr>
            <w:tcW w:w="460" w:type="dxa"/>
            <w:vAlign w:val="bottom"/>
          </w:tcPr>
          <w:p>
            <w:pPr>
              <w:jc w:val="right"/>
              <w:ind w:right="5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89"/>
        </w:trPr>
        <w:tc>
          <w:tcPr>
            <w:tcW w:w="416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4"/>
                <w:szCs w:val="14"/>
                <w:color w:val="auto"/>
              </w:rPr>
              <w:t>Benefits paid</w:t>
            </w:r>
          </w:p>
        </w:tc>
        <w:tc>
          <w:tcPr>
            <w:tcW w:w="24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(39.1 )</w:t>
            </w:r>
          </w:p>
        </w:tc>
        <w:tc>
          <w:tcPr>
            <w:tcW w:w="24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(41.9 )</w:t>
            </w:r>
          </w:p>
        </w:tc>
        <w:tc>
          <w:tcPr>
            <w:tcW w:w="24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(4.1 )</w:t>
            </w:r>
          </w:p>
        </w:tc>
        <w:tc>
          <w:tcPr>
            <w:tcW w:w="720" w:type="dxa"/>
            <w:vAlign w:val="bottom"/>
            <w:tcBorders>
              <w:bottom w:val="single" w:sz="8" w:color="auto"/>
            </w:tcBorders>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(3.5 )</w:t>
            </w:r>
          </w:p>
        </w:tc>
        <w:tc>
          <w:tcPr>
            <w:tcW w:w="720" w:type="dxa"/>
            <w:vAlign w:val="bottom"/>
            <w:tcBorders>
              <w:bottom w:val="single" w:sz="8" w:color="auto"/>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(5.7 )</w:t>
            </w:r>
          </w:p>
        </w:tc>
        <w:tc>
          <w:tcPr>
            <w:tcW w:w="720" w:type="dxa"/>
            <w:vAlign w:val="bottom"/>
            <w:tcBorders>
              <w:bottom w:val="single" w:sz="8" w:color="auto"/>
            </w:tcBorders>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(5.4 )</w:t>
            </w:r>
          </w:p>
        </w:tc>
        <w:tc>
          <w:tcPr>
            <w:tcW w:w="0" w:type="dxa"/>
            <w:vAlign w:val="bottom"/>
          </w:tcPr>
          <w:p>
            <w:pPr>
              <w:spacing w:after="0"/>
              <w:rPr>
                <w:sz w:val="1"/>
                <w:szCs w:val="1"/>
                <w:color w:val="auto"/>
              </w:rPr>
            </w:pPr>
          </w:p>
        </w:tc>
      </w:tr>
      <w:tr>
        <w:trPr>
          <w:trHeight w:val="183"/>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Fair value of plan assets at end of year</w:t>
            </w: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270.2</w:t>
            </w: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308.6</w:t>
            </w: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7.5</w:t>
            </w:r>
          </w:p>
        </w:tc>
        <w:tc>
          <w:tcPr>
            <w:tcW w:w="7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182"/>
        </w:trPr>
        <w:tc>
          <w:tcPr>
            <w:tcW w:w="4160" w:type="dxa"/>
            <w:vAlign w:val="bottom"/>
            <w:shd w:val="clear" w:color="auto" w:fill="CFF0FC"/>
          </w:tcPr>
          <w:p>
            <w:pPr>
              <w:ind w:left="20"/>
              <w:spacing w:after="0"/>
              <w:rPr>
                <w:sz w:val="20"/>
                <w:szCs w:val="20"/>
                <w:color w:val="auto"/>
              </w:rPr>
            </w:pPr>
            <w:r>
              <w:rPr>
                <w:rFonts w:ascii="Arial" w:cs="Arial" w:eastAsia="Arial" w:hAnsi="Arial"/>
                <w:sz w:val="14"/>
                <w:szCs w:val="14"/>
                <w:color w:val="auto"/>
              </w:rPr>
              <w:t>Funded status - deficiency</w:t>
            </w:r>
          </w:p>
        </w:tc>
        <w:tc>
          <w:tcPr>
            <w:tcW w:w="24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41.4</w:t>
            </w:r>
          </w:p>
        </w:tc>
        <w:tc>
          <w:tcPr>
            <w:tcW w:w="2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39.5</w:t>
            </w:r>
          </w:p>
        </w:tc>
        <w:tc>
          <w:tcPr>
            <w:tcW w:w="2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46.1</w:t>
            </w:r>
          </w:p>
        </w:tc>
        <w:tc>
          <w:tcPr>
            <w:tcW w:w="720" w:type="dxa"/>
            <w:vAlign w:val="bottom"/>
            <w:shd w:val="clear" w:color="auto" w:fill="CFF0FC"/>
          </w:tcPr>
          <w:p>
            <w:pPr>
              <w:jc w:val="right"/>
              <w:ind w:right="519"/>
              <w:spacing w:after="0" w:line="183" w:lineRule="exact"/>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46.7</w:t>
            </w:r>
          </w:p>
        </w:tc>
        <w:tc>
          <w:tcPr>
            <w:tcW w:w="720" w:type="dxa"/>
            <w:vAlign w:val="bottom"/>
            <w:shd w:val="clear" w:color="auto" w:fill="CFF0FC"/>
          </w:tcPr>
          <w:p>
            <w:pPr>
              <w:jc w:val="right"/>
              <w:ind w:right="540"/>
              <w:spacing w:after="0" w:line="183" w:lineRule="exact"/>
              <w:rPr>
                <w:sz w:val="20"/>
                <w:szCs w:val="20"/>
                <w:color w:val="auto"/>
              </w:rPr>
            </w:pPr>
            <w:r>
              <w:rPr>
                <w:rFonts w:ascii="Arial" w:cs="Arial" w:eastAsia="Arial" w:hAnsi="Arial"/>
                <w:sz w:val="16"/>
                <w:szCs w:val="16"/>
                <w:color w:val="auto"/>
                <w:w w:val="89"/>
              </w:rPr>
              <w:t>$</w:t>
            </w:r>
          </w:p>
        </w:tc>
        <w:tc>
          <w:tcPr>
            <w:tcW w:w="4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w w:val="96"/>
              </w:rPr>
              <w:t>41.0</w:t>
            </w:r>
          </w:p>
        </w:tc>
        <w:tc>
          <w:tcPr>
            <w:tcW w:w="720" w:type="dxa"/>
            <w:vAlign w:val="bottom"/>
            <w:shd w:val="clear" w:color="auto" w:fill="CFF0FC"/>
          </w:tcPr>
          <w:p>
            <w:pPr>
              <w:jc w:val="right"/>
              <w:ind w:right="519"/>
              <w:spacing w:after="0" w:line="183" w:lineRule="exact"/>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w w:val="96"/>
              </w:rPr>
              <w:t>43.1</w:t>
            </w:r>
          </w:p>
        </w:tc>
        <w:tc>
          <w:tcPr>
            <w:tcW w:w="0" w:type="dxa"/>
            <w:vAlign w:val="bottom"/>
          </w:tcPr>
          <w:p>
            <w:pPr>
              <w:spacing w:after="0"/>
              <w:rPr>
                <w:sz w:val="1"/>
                <w:szCs w:val="1"/>
                <w:color w:val="auto"/>
              </w:rPr>
            </w:pPr>
          </w:p>
        </w:tc>
      </w:tr>
      <w:tr>
        <w:trPr>
          <w:trHeight w:val="153"/>
        </w:trPr>
        <w:tc>
          <w:tcPr>
            <w:tcW w:w="4160" w:type="dxa"/>
            <w:vAlign w:val="bottom"/>
          </w:tcPr>
          <w:p>
            <w:pPr>
              <w:ind w:left="20"/>
              <w:spacing w:after="0" w:line="153" w:lineRule="exact"/>
              <w:rPr>
                <w:sz w:val="20"/>
                <w:szCs w:val="20"/>
                <w:color w:val="auto"/>
              </w:rPr>
            </w:pPr>
            <w:r>
              <w:rPr>
                <w:rFonts w:ascii="Arial" w:cs="Arial" w:eastAsia="Arial" w:hAnsi="Arial"/>
                <w:sz w:val="14"/>
                <w:szCs w:val="14"/>
                <w:b w:val="1"/>
                <w:bCs w:val="1"/>
                <w:color w:val="auto"/>
              </w:rPr>
              <w:t>Amounts recognized on our Consolidated Balance Sheets</w:t>
            </w: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160" w:type="dxa"/>
            <w:vAlign w:val="bottom"/>
          </w:tcPr>
          <w:p>
            <w:pPr>
              <w:ind w:left="20"/>
              <w:spacing w:after="0"/>
              <w:rPr>
                <w:sz w:val="20"/>
                <w:szCs w:val="20"/>
                <w:color w:val="auto"/>
              </w:rPr>
            </w:pPr>
            <w:r>
              <w:rPr>
                <w:rFonts w:ascii="Arial" w:cs="Arial" w:eastAsia="Arial" w:hAnsi="Arial"/>
                <w:sz w:val="14"/>
                <w:szCs w:val="14"/>
                <w:b w:val="1"/>
                <w:bCs w:val="1"/>
                <w:color w:val="auto"/>
              </w:rPr>
              <w:t>as of December 31:</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1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Regulatory assets</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81.6</w:t>
            </w:r>
          </w:p>
        </w:tc>
        <w:tc>
          <w:tcPr>
            <w:tcW w:w="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79.9</w:t>
            </w:r>
          </w:p>
        </w:tc>
        <w:tc>
          <w:tcPr>
            <w:tcW w:w="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ind w:right="519"/>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ind w:right="540"/>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4.9</w:t>
            </w:r>
          </w:p>
        </w:tc>
        <w:tc>
          <w:tcPr>
            <w:tcW w:w="720" w:type="dxa"/>
            <w:vAlign w:val="bottom"/>
            <w:shd w:val="clear" w:color="auto" w:fill="CFF0FC"/>
          </w:tcPr>
          <w:p>
            <w:pPr>
              <w:jc w:val="right"/>
              <w:ind w:right="519"/>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189"/>
        </w:trPr>
        <w:tc>
          <w:tcPr>
            <w:tcW w:w="4160" w:type="dxa"/>
            <w:vAlign w:val="bottom"/>
          </w:tcPr>
          <w:p>
            <w:pPr>
              <w:ind w:left="120"/>
              <w:spacing w:after="0"/>
              <w:rPr>
                <w:sz w:val="20"/>
                <w:szCs w:val="20"/>
                <w:color w:val="auto"/>
              </w:rPr>
            </w:pPr>
            <w:r>
              <w:rPr>
                <w:rFonts w:ascii="Arial" w:cs="Arial" w:eastAsia="Arial" w:hAnsi="Arial"/>
                <w:sz w:val="14"/>
                <w:szCs w:val="14"/>
                <w:color w:val="auto"/>
              </w:rPr>
              <w:t>Current liabilities</w:t>
            </w:r>
          </w:p>
        </w:tc>
        <w:tc>
          <w:tcPr>
            <w:tcW w:w="240" w:type="dxa"/>
            <w:vAlign w:val="bottom"/>
          </w:tcPr>
          <w:p>
            <w:pPr>
              <w:spacing w:after="0"/>
              <w:rPr>
                <w:sz w:val="16"/>
                <w:szCs w:val="16"/>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720" w:type="dxa"/>
            <w:vAlign w:val="bottom"/>
          </w:tcPr>
          <w:p>
            <w:pPr>
              <w:spacing w:after="0"/>
              <w:rPr>
                <w:sz w:val="16"/>
                <w:szCs w:val="16"/>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720" w:type="dxa"/>
            <w:vAlign w:val="bottom"/>
          </w:tcPr>
          <w:p>
            <w:pPr>
              <w:spacing w:after="0"/>
              <w:rPr>
                <w:sz w:val="16"/>
                <w:szCs w:val="16"/>
                <w:color w:val="auto"/>
              </w:rPr>
            </w:pP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4.3</w:t>
            </w:r>
          </w:p>
        </w:tc>
        <w:tc>
          <w:tcPr>
            <w:tcW w:w="720" w:type="dxa"/>
            <w:vAlign w:val="bottom"/>
          </w:tcPr>
          <w:p>
            <w:pPr>
              <w:spacing w:after="0"/>
              <w:rPr>
                <w:sz w:val="16"/>
                <w:szCs w:val="16"/>
                <w:color w:val="auto"/>
              </w:rPr>
            </w:pPr>
          </w:p>
        </w:tc>
        <w:tc>
          <w:tcPr>
            <w:tcW w:w="460" w:type="dxa"/>
            <w:vAlign w:val="bottom"/>
          </w:tcPr>
          <w:p>
            <w:pPr>
              <w:jc w:val="right"/>
              <w:ind w:right="59"/>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189"/>
        </w:trPr>
        <w:tc>
          <w:tcPr>
            <w:tcW w:w="41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Non-current assets</w:t>
            </w:r>
          </w:p>
        </w:tc>
        <w:tc>
          <w:tcPr>
            <w:tcW w:w="24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spacing w:after="0"/>
              <w:rPr>
                <w:sz w:val="16"/>
                <w:szCs w:val="16"/>
                <w:color w:val="auto"/>
              </w:rPr>
            </w:pPr>
          </w:p>
        </w:tc>
        <w:tc>
          <w:tcPr>
            <w:tcW w:w="4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spacing w:after="0"/>
              <w:rPr>
                <w:sz w:val="16"/>
                <w:szCs w:val="16"/>
                <w:color w:val="auto"/>
              </w:rPr>
            </w:pPr>
          </w:p>
        </w:tc>
        <w:tc>
          <w:tcPr>
            <w:tcW w:w="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spacing w:after="0"/>
              <w:rPr>
                <w:sz w:val="16"/>
                <w:szCs w:val="16"/>
                <w:color w:val="auto"/>
              </w:rPr>
            </w:pPr>
          </w:p>
        </w:tc>
        <w:tc>
          <w:tcPr>
            <w:tcW w:w="4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89"/>
        </w:trPr>
        <w:tc>
          <w:tcPr>
            <w:tcW w:w="4160" w:type="dxa"/>
            <w:vAlign w:val="bottom"/>
          </w:tcPr>
          <w:p>
            <w:pPr>
              <w:ind w:left="120"/>
              <w:spacing w:after="0"/>
              <w:rPr>
                <w:sz w:val="20"/>
                <w:szCs w:val="20"/>
                <w:color w:val="auto"/>
              </w:rPr>
            </w:pPr>
            <w:r>
              <w:rPr>
                <w:rFonts w:ascii="Arial" w:cs="Arial" w:eastAsia="Arial" w:hAnsi="Arial"/>
                <w:sz w:val="14"/>
                <w:szCs w:val="14"/>
                <w:color w:val="auto"/>
              </w:rPr>
              <w:t>Non-current liabilities</w:t>
            </w:r>
          </w:p>
        </w:tc>
        <w:tc>
          <w:tcPr>
            <w:tcW w:w="240" w:type="dxa"/>
            <w:vAlign w:val="bottom"/>
          </w:tcPr>
          <w:p>
            <w:pPr>
              <w:spacing w:after="0"/>
              <w:rPr>
                <w:sz w:val="16"/>
                <w:szCs w:val="16"/>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41.4</w:t>
            </w:r>
          </w:p>
        </w:tc>
        <w:tc>
          <w:tcPr>
            <w:tcW w:w="240" w:type="dxa"/>
            <w:vAlign w:val="bottom"/>
          </w:tcPr>
          <w:p>
            <w:pPr>
              <w:spacing w:after="0"/>
              <w:rPr>
                <w:sz w:val="16"/>
                <w:szCs w:val="16"/>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39.4</w:t>
            </w:r>
          </w:p>
        </w:tc>
        <w:tc>
          <w:tcPr>
            <w:tcW w:w="240" w:type="dxa"/>
            <w:vAlign w:val="bottom"/>
          </w:tcPr>
          <w:p>
            <w:pPr>
              <w:spacing w:after="0"/>
              <w:rPr>
                <w:sz w:val="16"/>
                <w:szCs w:val="16"/>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43.3</w:t>
            </w:r>
          </w:p>
        </w:tc>
        <w:tc>
          <w:tcPr>
            <w:tcW w:w="720" w:type="dxa"/>
            <w:vAlign w:val="bottom"/>
          </w:tcPr>
          <w:p>
            <w:pPr>
              <w:spacing w:after="0"/>
              <w:rPr>
                <w:sz w:val="16"/>
                <w:szCs w:val="16"/>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44.3</w:t>
            </w:r>
          </w:p>
        </w:tc>
        <w:tc>
          <w:tcPr>
            <w:tcW w:w="720" w:type="dxa"/>
            <w:vAlign w:val="bottom"/>
          </w:tcPr>
          <w:p>
            <w:pPr>
              <w:spacing w:after="0"/>
              <w:rPr>
                <w:sz w:val="16"/>
                <w:szCs w:val="16"/>
                <w:color w:val="auto"/>
              </w:rPr>
            </w:pPr>
          </w:p>
        </w:tc>
        <w:tc>
          <w:tcPr>
            <w:tcW w:w="440" w:type="dxa"/>
            <w:vAlign w:val="bottom"/>
          </w:tcPr>
          <w:p>
            <w:pPr>
              <w:jc w:val="right"/>
              <w:ind w:right="39"/>
              <w:spacing w:after="0"/>
              <w:rPr>
                <w:sz w:val="20"/>
                <w:szCs w:val="20"/>
                <w:color w:val="auto"/>
              </w:rPr>
            </w:pPr>
            <w:r>
              <w:rPr>
                <w:rFonts w:ascii="Arial" w:cs="Arial" w:eastAsia="Arial" w:hAnsi="Arial"/>
                <w:sz w:val="16"/>
                <w:szCs w:val="16"/>
                <w:color w:val="auto"/>
                <w:w w:val="96"/>
              </w:rPr>
              <w:t>36.7</w:t>
            </w:r>
          </w:p>
        </w:tc>
        <w:tc>
          <w:tcPr>
            <w:tcW w:w="720" w:type="dxa"/>
            <w:vAlign w:val="bottom"/>
          </w:tcPr>
          <w:p>
            <w:pPr>
              <w:spacing w:after="0"/>
              <w:rPr>
                <w:sz w:val="16"/>
                <w:szCs w:val="16"/>
                <w:color w:val="auto"/>
              </w:rPr>
            </w:pPr>
          </w:p>
        </w:tc>
        <w:tc>
          <w:tcPr>
            <w:tcW w:w="460" w:type="dxa"/>
            <w:vAlign w:val="bottom"/>
          </w:tcPr>
          <w:p>
            <w:pPr>
              <w:jc w:val="right"/>
              <w:ind w:right="59"/>
              <w:spacing w:after="0"/>
              <w:rPr>
                <w:sz w:val="20"/>
                <w:szCs w:val="20"/>
                <w:color w:val="auto"/>
              </w:rPr>
            </w:pPr>
            <w:r>
              <w:rPr>
                <w:rFonts w:ascii="Arial" w:cs="Arial" w:eastAsia="Arial" w:hAnsi="Arial"/>
                <w:sz w:val="16"/>
                <w:szCs w:val="16"/>
                <w:color w:val="auto"/>
                <w:w w:val="96"/>
              </w:rPr>
              <w:t>40.2</w:t>
            </w:r>
          </w:p>
        </w:tc>
        <w:tc>
          <w:tcPr>
            <w:tcW w:w="0" w:type="dxa"/>
            <w:vAlign w:val="bottom"/>
          </w:tcPr>
          <w:p>
            <w:pPr>
              <w:spacing w:after="0"/>
              <w:rPr>
                <w:sz w:val="1"/>
                <w:szCs w:val="1"/>
                <w:color w:val="auto"/>
              </w:rPr>
            </w:pPr>
          </w:p>
        </w:tc>
      </w:tr>
      <w:tr>
        <w:trPr>
          <w:trHeight w:val="189"/>
        </w:trPr>
        <w:tc>
          <w:tcPr>
            <w:tcW w:w="416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4"/>
                <w:szCs w:val="14"/>
                <w:color w:val="auto"/>
              </w:rPr>
              <w:t>Regulatory liabilities</w:t>
            </w:r>
          </w:p>
        </w:tc>
        <w:tc>
          <w:tcPr>
            <w:tcW w:w="24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3.1</w:t>
            </w:r>
          </w:p>
        </w:tc>
        <w:tc>
          <w:tcPr>
            <w:tcW w:w="24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2.9</w:t>
            </w:r>
          </w:p>
        </w:tc>
        <w:tc>
          <w:tcPr>
            <w:tcW w:w="24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7.3</w:t>
            </w:r>
          </w:p>
        </w:tc>
        <w:tc>
          <w:tcPr>
            <w:tcW w:w="720" w:type="dxa"/>
            <w:vAlign w:val="bottom"/>
            <w:tcBorders>
              <w:bottom w:val="single" w:sz="8" w:color="auto"/>
            </w:tcBorders>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183"/>
        </w:trPr>
        <w:tc>
          <w:tcPr>
            <w:tcW w:w="4160" w:type="dxa"/>
            <w:vAlign w:val="bottom"/>
          </w:tcPr>
          <w:p>
            <w:pPr>
              <w:ind w:left="20"/>
              <w:spacing w:after="0"/>
              <w:rPr>
                <w:sz w:val="20"/>
                <w:szCs w:val="20"/>
                <w:color w:val="auto"/>
              </w:rPr>
            </w:pPr>
            <w:r>
              <w:rPr>
                <w:rFonts w:ascii="Arial" w:cs="Arial" w:eastAsia="Arial" w:hAnsi="Arial"/>
                <w:sz w:val="14"/>
                <w:szCs w:val="14"/>
                <w:b w:val="1"/>
                <w:bCs w:val="1"/>
                <w:color w:val="auto"/>
              </w:rPr>
              <w:t>Amounts recognized in AOCI, net of tax as of December 31:</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Net (gain) loss</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5.2</w:t>
            </w:r>
          </w:p>
        </w:tc>
        <w:tc>
          <w:tcPr>
            <w:tcW w:w="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5.0</w:t>
            </w:r>
          </w:p>
        </w:tc>
        <w:tc>
          <w:tcPr>
            <w:tcW w:w="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0.8</w:t>
            </w:r>
          </w:p>
        </w:tc>
        <w:tc>
          <w:tcPr>
            <w:tcW w:w="720" w:type="dxa"/>
            <w:vAlign w:val="bottom"/>
            <w:shd w:val="clear" w:color="auto" w:fill="CFF0FC"/>
          </w:tcPr>
          <w:p>
            <w:pPr>
              <w:jc w:val="right"/>
              <w:ind w:right="519"/>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w:t>
            </w:r>
          </w:p>
        </w:tc>
        <w:tc>
          <w:tcPr>
            <w:tcW w:w="720" w:type="dxa"/>
            <w:vAlign w:val="bottom"/>
            <w:shd w:val="clear" w:color="auto" w:fill="CFF0FC"/>
          </w:tcPr>
          <w:p>
            <w:pPr>
              <w:jc w:val="right"/>
              <w:ind w:right="540"/>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FF0FC"/>
          </w:tcPr>
          <w:p>
            <w:pPr>
              <w:jc w:val="right"/>
              <w:ind w:right="519"/>
              <w:spacing w:after="0"/>
              <w:rPr>
                <w:sz w:val="20"/>
                <w:szCs w:val="20"/>
                <w:color w:val="auto"/>
              </w:rPr>
            </w:pPr>
            <w:r>
              <w:rPr>
                <w:rFonts w:ascii="Arial" w:cs="Arial" w:eastAsia="Arial" w:hAnsi="Arial"/>
                <w:sz w:val="16"/>
                <w:szCs w:val="16"/>
                <w:color w:val="auto"/>
              </w:rPr>
              <w:t>(0.7 ) $</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(0.7 )</w:t>
            </w:r>
          </w:p>
        </w:tc>
        <w:tc>
          <w:tcPr>
            <w:tcW w:w="0" w:type="dxa"/>
            <w:vAlign w:val="bottom"/>
          </w:tcPr>
          <w:p>
            <w:pPr>
              <w:spacing w:after="0"/>
              <w:rPr>
                <w:sz w:val="1"/>
                <w:szCs w:val="1"/>
                <w:color w:val="auto"/>
              </w:rPr>
            </w:pPr>
          </w:p>
        </w:tc>
      </w:tr>
      <w:tr>
        <w:trPr>
          <w:trHeight w:val="189"/>
        </w:trPr>
        <w:tc>
          <w:tcPr>
            <w:tcW w:w="416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Prior service cost (gain)</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46"/>
        </w:trPr>
        <w:tc>
          <w:tcPr>
            <w:tcW w:w="4160" w:type="dxa"/>
            <w:vAlign w:val="bottom"/>
            <w:shd w:val="clear" w:color="auto" w:fill="CFF0FC"/>
          </w:tcPr>
          <w:p>
            <w:pPr>
              <w:ind w:left="20"/>
              <w:spacing w:after="0" w:line="147" w:lineRule="exact"/>
              <w:rPr>
                <w:sz w:val="20"/>
                <w:szCs w:val="20"/>
                <w:color w:val="auto"/>
              </w:rPr>
            </w:pPr>
            <w:r>
              <w:rPr>
                <w:rFonts w:ascii="Arial" w:cs="Arial" w:eastAsia="Arial" w:hAnsi="Arial"/>
                <w:sz w:val="14"/>
                <w:szCs w:val="14"/>
                <w:color w:val="auto"/>
              </w:rPr>
              <w:t>Total amounts included in AOCI, net of tax not yet recognized as</w:t>
            </w:r>
          </w:p>
        </w:tc>
        <w:tc>
          <w:tcPr>
            <w:tcW w:w="240" w:type="dxa"/>
            <w:vAlign w:val="bottom"/>
            <w:vMerge w:val="restart"/>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5.2</w:t>
            </w:r>
          </w:p>
        </w:tc>
        <w:tc>
          <w:tcPr>
            <w:tcW w:w="24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5.0</w:t>
            </w:r>
          </w:p>
        </w:tc>
        <w:tc>
          <w:tcPr>
            <w:tcW w:w="24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0.8</w:t>
            </w:r>
          </w:p>
        </w:tc>
        <w:tc>
          <w:tcPr>
            <w:tcW w:w="720" w:type="dxa"/>
            <w:vAlign w:val="bottom"/>
            <w:vMerge w:val="restart"/>
            <w:shd w:val="clear" w:color="auto" w:fill="CFF0FC"/>
          </w:tcPr>
          <w:p>
            <w:pPr>
              <w:jc w:val="right"/>
              <w:ind w:right="519"/>
              <w:spacing w:after="0"/>
              <w:rPr>
                <w:sz w:val="20"/>
                <w:szCs w:val="20"/>
                <w:color w:val="auto"/>
              </w:rPr>
            </w:pPr>
            <w:r>
              <w:rPr>
                <w:rFonts w:ascii="Arial" w:cs="Arial" w:eastAsia="Arial" w:hAnsi="Arial"/>
                <w:sz w:val="16"/>
                <w:szCs w:val="16"/>
                <w:color w:val="auto"/>
              </w:rPr>
              <w:t>$</w:t>
            </w:r>
          </w:p>
        </w:tc>
        <w:tc>
          <w:tcPr>
            <w:tcW w:w="46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1.8</w:t>
            </w:r>
          </w:p>
        </w:tc>
        <w:tc>
          <w:tcPr>
            <w:tcW w:w="720" w:type="dxa"/>
            <w:vAlign w:val="bottom"/>
            <w:vMerge w:val="restart"/>
            <w:shd w:val="clear" w:color="auto" w:fill="CFF0FC"/>
          </w:tcPr>
          <w:p>
            <w:pPr>
              <w:jc w:val="right"/>
              <w:ind w:right="540"/>
              <w:spacing w:after="0"/>
              <w:rPr>
                <w:sz w:val="20"/>
                <w:szCs w:val="20"/>
                <w:color w:val="auto"/>
              </w:rPr>
            </w:pPr>
            <w:r>
              <w:rPr>
                <w:rFonts w:ascii="Arial" w:cs="Arial" w:eastAsia="Arial" w:hAnsi="Arial"/>
                <w:sz w:val="16"/>
                <w:szCs w:val="16"/>
                <w:color w:val="auto"/>
                <w:w w:val="89"/>
              </w:rPr>
              <w:t>$</w:t>
            </w:r>
          </w:p>
        </w:tc>
        <w:tc>
          <w:tcPr>
            <w:tcW w:w="1160" w:type="dxa"/>
            <w:vAlign w:val="bottom"/>
            <w:gridSpan w:val="2"/>
            <w:vMerge w:val="restart"/>
            <w:shd w:val="clear" w:color="auto" w:fill="CFF0FC"/>
          </w:tcPr>
          <w:p>
            <w:pPr>
              <w:jc w:val="right"/>
              <w:ind w:right="519"/>
              <w:spacing w:after="0"/>
              <w:rPr>
                <w:sz w:val="20"/>
                <w:szCs w:val="20"/>
                <w:color w:val="auto"/>
              </w:rPr>
            </w:pPr>
            <w:r>
              <w:rPr>
                <w:rFonts w:ascii="Arial" w:cs="Arial" w:eastAsia="Arial" w:hAnsi="Arial"/>
                <w:sz w:val="16"/>
                <w:szCs w:val="16"/>
                <w:color w:val="auto"/>
              </w:rPr>
              <w:t>(0.7 ) $</w:t>
            </w: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(0.6 )</w:t>
            </w:r>
          </w:p>
        </w:tc>
        <w:tc>
          <w:tcPr>
            <w:tcW w:w="0" w:type="dxa"/>
            <w:vAlign w:val="bottom"/>
          </w:tcPr>
          <w:p>
            <w:pPr>
              <w:spacing w:after="0"/>
              <w:rPr>
                <w:sz w:val="1"/>
                <w:szCs w:val="1"/>
                <w:color w:val="auto"/>
              </w:rPr>
            </w:pPr>
          </w:p>
        </w:tc>
      </w:tr>
      <w:tr>
        <w:trPr>
          <w:trHeight w:val="171"/>
        </w:trPr>
        <w:tc>
          <w:tcPr>
            <w:tcW w:w="41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components of net periodic expense</w:t>
            </w:r>
          </w:p>
        </w:tc>
        <w:tc>
          <w:tcPr>
            <w:tcW w:w="240" w:type="dxa"/>
            <w:vAlign w:val="bottom"/>
            <w:tcBorders>
              <w:bottom w:val="single" w:sz="8" w:color="auto"/>
            </w:tcBorders>
            <w:vMerge w:val="continue"/>
            <w:shd w:val="clear" w:color="auto" w:fill="CFF0FC"/>
          </w:tcPr>
          <w:p>
            <w:pPr>
              <w:spacing w:after="0"/>
              <w:rPr>
                <w:sz w:val="14"/>
                <w:szCs w:val="14"/>
                <w:color w:val="auto"/>
              </w:rPr>
            </w:pPr>
          </w:p>
        </w:tc>
        <w:tc>
          <w:tcPr>
            <w:tcW w:w="96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auto"/>
            </w:tcBorders>
            <w:vMerge w:val="continue"/>
            <w:shd w:val="clear" w:color="auto" w:fill="CFF0FC"/>
          </w:tcPr>
          <w:p>
            <w:pPr>
              <w:spacing w:after="0"/>
              <w:rPr>
                <w:sz w:val="14"/>
                <w:szCs w:val="14"/>
                <w:color w:val="auto"/>
              </w:rPr>
            </w:pPr>
          </w:p>
        </w:tc>
        <w:tc>
          <w:tcPr>
            <w:tcW w:w="94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auto"/>
            </w:tcBorders>
            <w:vMerge w:val="continue"/>
            <w:shd w:val="clear" w:color="auto" w:fill="CFF0FC"/>
          </w:tcPr>
          <w:p>
            <w:pPr>
              <w:spacing w:after="0"/>
              <w:rPr>
                <w:sz w:val="14"/>
                <w:szCs w:val="14"/>
                <w:color w:val="auto"/>
              </w:rPr>
            </w:pPr>
          </w:p>
        </w:tc>
        <w:tc>
          <w:tcPr>
            <w:tcW w:w="940" w:type="dxa"/>
            <w:vAlign w:val="bottom"/>
            <w:tcBorders>
              <w:bottom w:val="single" w:sz="8" w:color="auto"/>
            </w:tcBorders>
            <w:vMerge w:val="continue"/>
            <w:shd w:val="clear" w:color="auto" w:fill="CFF0FC"/>
          </w:tcPr>
          <w:p>
            <w:pPr>
              <w:spacing w:after="0"/>
              <w:rPr>
                <w:sz w:val="14"/>
                <w:szCs w:val="14"/>
                <w:color w:val="auto"/>
              </w:rPr>
            </w:pPr>
          </w:p>
        </w:tc>
        <w:tc>
          <w:tcPr>
            <w:tcW w:w="720" w:type="dxa"/>
            <w:vAlign w:val="bottom"/>
            <w:tcBorders>
              <w:bottom w:val="single" w:sz="8" w:color="auto"/>
            </w:tcBorders>
            <w:vMerge w:val="continue"/>
            <w:shd w:val="clear" w:color="auto" w:fill="CFF0FC"/>
          </w:tcPr>
          <w:p>
            <w:pPr>
              <w:spacing w:after="0"/>
              <w:rPr>
                <w:sz w:val="14"/>
                <w:szCs w:val="14"/>
                <w:color w:val="auto"/>
              </w:rPr>
            </w:pPr>
          </w:p>
        </w:tc>
        <w:tc>
          <w:tcPr>
            <w:tcW w:w="460" w:type="dxa"/>
            <w:vAlign w:val="bottom"/>
            <w:tcBorders>
              <w:bottom w:val="single" w:sz="8" w:color="auto"/>
            </w:tcBorders>
            <w:vMerge w:val="continue"/>
            <w:shd w:val="clear" w:color="auto" w:fill="CFF0FC"/>
          </w:tcPr>
          <w:p>
            <w:pPr>
              <w:spacing w:after="0"/>
              <w:rPr>
                <w:sz w:val="14"/>
                <w:szCs w:val="14"/>
                <w:color w:val="auto"/>
              </w:rPr>
            </w:pPr>
          </w:p>
        </w:tc>
        <w:tc>
          <w:tcPr>
            <w:tcW w:w="720" w:type="dxa"/>
            <w:vAlign w:val="bottom"/>
            <w:tcBorders>
              <w:bottom w:val="single" w:sz="8" w:color="auto"/>
            </w:tcBorders>
            <w:vMerge w:val="continue"/>
            <w:shd w:val="clear" w:color="auto" w:fill="CFF0FC"/>
          </w:tcPr>
          <w:p>
            <w:pPr>
              <w:spacing w:after="0"/>
              <w:rPr>
                <w:sz w:val="14"/>
                <w:szCs w:val="14"/>
                <w:color w:val="auto"/>
              </w:rPr>
            </w:pPr>
          </w:p>
        </w:tc>
        <w:tc>
          <w:tcPr>
            <w:tcW w:w="1160" w:type="dxa"/>
            <w:vAlign w:val="bottom"/>
            <w:tcBorders>
              <w:bottom w:val="single" w:sz="8" w:color="auto"/>
            </w:tcBorders>
            <w:gridSpan w:val="2"/>
            <w:vMerge w:val="continue"/>
            <w:shd w:val="clear" w:color="auto" w:fill="CFF0FC"/>
          </w:tcPr>
          <w:p>
            <w:pPr>
              <w:spacing w:after="0"/>
              <w:rPr>
                <w:sz w:val="14"/>
                <w:szCs w:val="14"/>
                <w:color w:val="auto"/>
              </w:rPr>
            </w:pPr>
          </w:p>
        </w:tc>
        <w:tc>
          <w:tcPr>
            <w:tcW w:w="460" w:type="dxa"/>
            <w:vAlign w:val="bottom"/>
            <w:tcBorders>
              <w:bottom w:val="single" w:sz="8" w:color="auto"/>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 2024, actuarial gains related to the pension benefit obligation was primarily due to an increase in the discount rate. In 2023, actuarial losses related to the pension benefit obligation was primarily due to a decrease in the discount rate.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Assumptions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16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Pension Plan</w:t>
            </w:r>
          </w:p>
        </w:tc>
        <w:tc>
          <w:tcPr>
            <w:tcW w:w="78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3"/>
          </w:tcPr>
          <w:p>
            <w:pPr>
              <w:jc w:val="right"/>
              <w:ind w:right="568"/>
              <w:spacing w:after="0"/>
              <w:rPr>
                <w:sz w:val="20"/>
                <w:szCs w:val="20"/>
                <w:color w:val="auto"/>
              </w:rPr>
            </w:pPr>
            <w:r>
              <w:rPr>
                <w:rFonts w:ascii="Arial" w:cs="Arial" w:eastAsia="Arial" w:hAnsi="Arial"/>
                <w:sz w:val="14"/>
                <w:szCs w:val="14"/>
                <w:b w:val="1"/>
                <w:bCs w:val="1"/>
                <w:color w:val="auto"/>
              </w:rPr>
              <w:t>Supplemental Plans</w:t>
            </w: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Healthcare Plan</w:t>
            </w:r>
          </w:p>
        </w:tc>
        <w:tc>
          <w:tcPr>
            <w:tcW w:w="700" w:type="dxa"/>
            <w:vAlign w:val="bottom"/>
            <w:tcBorders>
              <w:bottom w:val="single" w:sz="8" w:color="auto"/>
            </w:tcBorders>
          </w:tcPr>
          <w:p>
            <w:pPr>
              <w:spacing w:after="0"/>
              <w:rPr>
                <w:sz w:val="14"/>
                <w:szCs w:val="14"/>
                <w:color w:val="auto"/>
              </w:rPr>
            </w:pPr>
          </w:p>
        </w:tc>
      </w:tr>
      <w:tr>
        <w:trPr>
          <w:trHeight w:val="156"/>
        </w:trPr>
        <w:tc>
          <w:tcPr>
            <w:tcW w:w="4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2024</w:t>
            </w:r>
          </w:p>
        </w:tc>
        <w:tc>
          <w:tcPr>
            <w:tcW w:w="780" w:type="dxa"/>
            <w:vAlign w:val="bottom"/>
            <w:tcBorders>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2023</w:t>
            </w:r>
          </w:p>
        </w:tc>
        <w:tc>
          <w:tcPr>
            <w:tcW w:w="780" w:type="dxa"/>
            <w:vAlign w:val="bottom"/>
            <w:tcBorders>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2022</w:t>
            </w:r>
          </w:p>
        </w:tc>
        <w:tc>
          <w:tcPr>
            <w:tcW w:w="800" w:type="dxa"/>
            <w:vAlign w:val="bottom"/>
            <w:tcBorders>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2024</w:t>
            </w:r>
          </w:p>
        </w:tc>
        <w:tc>
          <w:tcPr>
            <w:tcW w:w="780" w:type="dxa"/>
            <w:vAlign w:val="bottom"/>
            <w:tcBorders>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2023</w:t>
            </w:r>
          </w:p>
        </w:tc>
        <w:tc>
          <w:tcPr>
            <w:tcW w:w="780" w:type="dxa"/>
            <w:vAlign w:val="bottom"/>
            <w:tcBorders>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2022</w:t>
            </w:r>
          </w:p>
        </w:tc>
        <w:tc>
          <w:tcPr>
            <w:tcW w:w="780" w:type="dxa"/>
            <w:vAlign w:val="bottom"/>
            <w:tcBorders>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2024</w:t>
            </w:r>
          </w:p>
        </w:tc>
        <w:tc>
          <w:tcPr>
            <w:tcW w:w="86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2023</w:t>
            </w:r>
          </w:p>
        </w:tc>
        <w:tc>
          <w:tcPr>
            <w:tcW w:w="70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b w:val="1"/>
                <w:bCs w:val="1"/>
                <w:color w:val="auto"/>
              </w:rPr>
              <w:t>2022</w:t>
            </w:r>
          </w:p>
        </w:tc>
      </w:tr>
      <w:tr>
        <w:trPr>
          <w:trHeight w:val="155"/>
        </w:trPr>
        <w:tc>
          <w:tcPr>
            <w:tcW w:w="4980" w:type="dxa"/>
            <w:vAlign w:val="bottom"/>
            <w:gridSpan w:val="2"/>
            <w:shd w:val="clear" w:color="auto" w:fill="CFF0FC"/>
          </w:tcPr>
          <w:p>
            <w:pPr>
              <w:ind w:left="20"/>
              <w:spacing w:after="0" w:line="155" w:lineRule="exact"/>
              <w:rPr>
                <w:sz w:val="20"/>
                <w:szCs w:val="20"/>
                <w:color w:val="auto"/>
              </w:rPr>
            </w:pPr>
            <w:r>
              <w:rPr>
                <w:rFonts w:ascii="Arial" w:cs="Arial" w:eastAsia="Arial" w:hAnsi="Arial"/>
                <w:sz w:val="14"/>
                <w:szCs w:val="14"/>
                <w:b w:val="1"/>
                <w:bCs w:val="1"/>
                <w:color w:val="auto"/>
              </w:rPr>
              <w:t>Weighted-average assumptions used to determine benefit obligations:</w:t>
            </w:r>
          </w:p>
        </w:tc>
        <w:tc>
          <w:tcPr>
            <w:tcW w:w="7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r>
      <w:tr>
        <w:trPr>
          <w:trHeight w:val="162"/>
        </w:trPr>
        <w:tc>
          <w:tcPr>
            <w:tcW w:w="4140" w:type="dxa"/>
            <w:vAlign w:val="bottom"/>
          </w:tcPr>
          <w:p>
            <w:pPr>
              <w:ind w:left="20"/>
              <w:spacing w:after="0"/>
              <w:rPr>
                <w:sz w:val="20"/>
                <w:szCs w:val="20"/>
                <w:color w:val="auto"/>
              </w:rPr>
            </w:pPr>
            <w:r>
              <w:rPr>
                <w:rFonts w:ascii="Arial" w:cs="Arial" w:eastAsia="Arial" w:hAnsi="Arial"/>
                <w:sz w:val="14"/>
                <w:szCs w:val="14"/>
                <w:color w:val="auto"/>
              </w:rPr>
              <w:t>Discount rate</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5.63 %</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4.99 %</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5.17 %</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5.56 %</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4.93 %</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5.13 %</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5.60 %</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4.97 %</w:t>
            </w:r>
          </w:p>
        </w:tc>
        <w:tc>
          <w:tcPr>
            <w:tcW w:w="700" w:type="dxa"/>
            <w:vAlign w:val="bottom"/>
          </w:tcPr>
          <w:p>
            <w:pPr>
              <w:jc w:val="right"/>
              <w:spacing w:after="0"/>
              <w:rPr>
                <w:sz w:val="20"/>
                <w:szCs w:val="20"/>
                <w:color w:val="auto"/>
              </w:rPr>
            </w:pPr>
            <w:r>
              <w:rPr>
                <w:rFonts w:ascii="Arial" w:cs="Arial" w:eastAsia="Arial" w:hAnsi="Arial"/>
                <w:sz w:val="14"/>
                <w:szCs w:val="14"/>
                <w:color w:val="auto"/>
              </w:rPr>
              <w:t>5.14 %</w:t>
            </w:r>
          </w:p>
        </w:tc>
      </w:tr>
      <w:tr>
        <w:trPr>
          <w:trHeight w:val="162"/>
        </w:trPr>
        <w:tc>
          <w:tcPr>
            <w:tcW w:w="4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Rate of increase in compensation levels</w:t>
            </w:r>
          </w:p>
        </w:tc>
        <w:tc>
          <w:tcPr>
            <w:tcW w:w="84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3.04 %</w:t>
            </w:r>
          </w:p>
        </w:tc>
        <w:tc>
          <w:tcPr>
            <w:tcW w:w="7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3.04 %</w:t>
            </w:r>
          </w:p>
        </w:tc>
        <w:tc>
          <w:tcPr>
            <w:tcW w:w="7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3.06 %</w:t>
            </w:r>
          </w:p>
        </w:tc>
        <w:tc>
          <w:tcPr>
            <w:tcW w:w="80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168"/>
              <w:spacing w:after="0"/>
              <w:rPr>
                <w:sz w:val="20"/>
                <w:szCs w:val="20"/>
                <w:color w:val="auto"/>
              </w:rPr>
            </w:pPr>
            <w:r>
              <w:rPr>
                <w:rFonts w:ascii="Arial" w:cs="Arial" w:eastAsia="Arial" w:hAnsi="Arial"/>
                <w:sz w:val="14"/>
                <w:szCs w:val="14"/>
                <w:color w:val="auto"/>
              </w:rPr>
              <w:t>N/A</w:t>
            </w:r>
          </w:p>
        </w:tc>
        <w:tc>
          <w:tcPr>
            <w:tcW w:w="860" w:type="dxa"/>
            <w:vAlign w:val="bottom"/>
            <w:tcBorders>
              <w:bottom w:val="single" w:sz="8" w:color="auto"/>
            </w:tcBorders>
            <w:shd w:val="clear" w:color="auto" w:fill="CFF0FC"/>
          </w:tcPr>
          <w:p>
            <w:pPr>
              <w:jc w:val="right"/>
              <w:ind w:right="248"/>
              <w:spacing w:after="0"/>
              <w:rPr>
                <w:sz w:val="20"/>
                <w:szCs w:val="20"/>
                <w:color w:val="auto"/>
              </w:rPr>
            </w:pPr>
            <w:r>
              <w:rPr>
                <w:rFonts w:ascii="Arial" w:cs="Arial" w:eastAsia="Arial" w:hAnsi="Arial"/>
                <w:sz w:val="14"/>
                <w:szCs w:val="14"/>
                <w:color w:val="auto"/>
              </w:rPr>
              <w:t>N/A</w:t>
            </w:r>
          </w:p>
        </w:tc>
        <w:tc>
          <w:tcPr>
            <w:tcW w:w="70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rPr>
              <w:t>N/A</w:t>
            </w:r>
          </w:p>
        </w:tc>
      </w:tr>
    </w:tbl>
    <w:p>
      <w:pPr>
        <w:ind w:left="20"/>
        <w:spacing w:after="0" w:line="212" w:lineRule="auto"/>
        <w:rPr>
          <w:sz w:val="20"/>
          <w:szCs w:val="20"/>
          <w:color w:val="auto"/>
        </w:rPr>
      </w:pPr>
      <w:r>
        <w:rPr>
          <w:rFonts w:ascii="Arial" w:cs="Arial" w:eastAsia="Arial" w:hAnsi="Arial"/>
          <w:sz w:val="14"/>
          <w:szCs w:val="14"/>
          <w:b w:val="1"/>
          <w:bCs w:val="1"/>
          <w:color w:val="auto"/>
        </w:rPr>
        <w:t>Weighted-average assumptions used to determine net periodic benefit cost for plan year:</w:t>
      </w:r>
    </w:p>
    <w:tbl>
      <w:tblPr>
        <w:tblLayout w:type="fixed"/>
        <w:tblInd w:w="0" w:type="dxa"/>
        <w:tblCellMar>
          <w:top w:w="0" w:type="dxa"/>
          <w:left w:w="0" w:type="dxa"/>
          <w:bottom w:w="0" w:type="dxa"/>
          <w:right w:w="0" w:type="dxa"/>
        </w:tblCellMar>
      </w:tblPr>
      <w:tr>
        <w:trPr>
          <w:trHeight w:val="182"/>
        </w:trPr>
        <w:tc>
          <w:tcPr>
            <w:tcW w:w="3700" w:type="dxa"/>
            <w:vAlign w:val="bottom"/>
            <w:shd w:val="clear" w:color="auto" w:fill="CFF0FC"/>
          </w:tcPr>
          <w:p>
            <w:pPr>
              <w:ind w:left="20"/>
              <w:spacing w:after="0" w:line="182" w:lineRule="exact"/>
              <w:rPr>
                <w:sz w:val="20"/>
                <w:szCs w:val="20"/>
                <w:color w:val="auto"/>
              </w:rPr>
            </w:pPr>
            <w:r>
              <w:rPr>
                <w:rFonts w:ascii="Arial" w:cs="Arial" w:eastAsia="Arial" w:hAnsi="Arial"/>
                <w:sz w:val="14"/>
                <w:szCs w:val="14"/>
                <w:color w:val="auto"/>
              </w:rPr>
              <w:t xml:space="preserve">Discount rate </w:t>
            </w:r>
            <w:r>
              <w:rPr>
                <w:rFonts w:ascii="Arial" w:cs="Arial" w:eastAsia="Arial" w:hAnsi="Arial"/>
                <w:sz w:val="19"/>
                <w:szCs w:val="19"/>
                <w:color w:val="auto"/>
                <w:vertAlign w:val="superscript"/>
              </w:rPr>
              <w:t>(a)</w:t>
            </w:r>
          </w:p>
        </w:tc>
        <w:tc>
          <w:tcPr>
            <w:tcW w:w="13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4.99 %</w:t>
            </w:r>
          </w:p>
        </w:tc>
        <w:tc>
          <w:tcPr>
            <w:tcW w:w="80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5.17 %</w:t>
            </w:r>
          </w:p>
        </w:tc>
        <w:tc>
          <w:tcPr>
            <w:tcW w:w="7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2.88 %</w:t>
            </w:r>
          </w:p>
        </w:tc>
        <w:tc>
          <w:tcPr>
            <w:tcW w:w="7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4.93 %</w:t>
            </w:r>
          </w:p>
        </w:tc>
        <w:tc>
          <w:tcPr>
            <w:tcW w:w="7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5.13 %</w:t>
            </w:r>
          </w:p>
        </w:tc>
        <w:tc>
          <w:tcPr>
            <w:tcW w:w="7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2.77 %</w:t>
            </w:r>
          </w:p>
        </w:tc>
        <w:tc>
          <w:tcPr>
            <w:tcW w:w="7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4.97 %</w:t>
            </w:r>
          </w:p>
        </w:tc>
        <w:tc>
          <w:tcPr>
            <w:tcW w:w="82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5.14 %</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2.79 %</w:t>
            </w:r>
          </w:p>
        </w:tc>
      </w:tr>
      <w:tr>
        <w:trPr>
          <w:trHeight w:val="162"/>
        </w:trPr>
        <w:tc>
          <w:tcPr>
            <w:tcW w:w="3700" w:type="dxa"/>
            <w:vAlign w:val="bottom"/>
          </w:tcPr>
          <w:p>
            <w:pPr>
              <w:ind w:left="20"/>
              <w:spacing w:after="0" w:line="162" w:lineRule="exact"/>
              <w:rPr>
                <w:sz w:val="20"/>
                <w:szCs w:val="20"/>
                <w:color w:val="auto"/>
              </w:rPr>
            </w:pPr>
            <w:r>
              <w:rPr>
                <w:rFonts w:ascii="Arial" w:cs="Arial" w:eastAsia="Arial" w:hAnsi="Arial"/>
                <w:sz w:val="14"/>
                <w:szCs w:val="14"/>
                <w:color w:val="auto"/>
              </w:rPr>
              <w:t xml:space="preserve">Expected long-term rate of return on assets </w:t>
            </w:r>
            <w:r>
              <w:rPr>
                <w:rFonts w:ascii="Arial" w:cs="Arial" w:eastAsia="Arial" w:hAnsi="Arial"/>
                <w:sz w:val="18"/>
                <w:szCs w:val="18"/>
                <w:color w:val="auto"/>
                <w:vertAlign w:val="superscript"/>
              </w:rPr>
              <w:t>(b)</w:t>
            </w:r>
          </w:p>
        </w:tc>
        <w:tc>
          <w:tcPr>
            <w:tcW w:w="1360" w:type="dxa"/>
            <w:vAlign w:val="bottom"/>
          </w:tcPr>
          <w:p>
            <w:pPr>
              <w:jc w:val="right"/>
              <w:ind w:right="88"/>
              <w:spacing w:after="0"/>
              <w:rPr>
                <w:sz w:val="20"/>
                <w:szCs w:val="20"/>
                <w:color w:val="auto"/>
              </w:rPr>
            </w:pPr>
            <w:r>
              <w:rPr>
                <w:rFonts w:ascii="Arial" w:cs="Arial" w:eastAsia="Arial" w:hAnsi="Arial"/>
                <w:sz w:val="14"/>
                <w:szCs w:val="14"/>
                <w:color w:val="auto"/>
              </w:rPr>
              <w:t>6.00 %</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6.00 %</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4.25 %</w:t>
            </w:r>
          </w:p>
        </w:tc>
        <w:tc>
          <w:tcPr>
            <w:tcW w:w="780" w:type="dxa"/>
            <w:vAlign w:val="bottom"/>
          </w:tcPr>
          <w:p>
            <w:pPr>
              <w:jc w:val="right"/>
              <w:ind w:right="268"/>
              <w:spacing w:after="0"/>
              <w:rPr>
                <w:sz w:val="20"/>
                <w:szCs w:val="20"/>
                <w:color w:val="auto"/>
              </w:rPr>
            </w:pPr>
            <w:r>
              <w:rPr>
                <w:rFonts w:ascii="Arial" w:cs="Arial" w:eastAsia="Arial" w:hAnsi="Arial"/>
                <w:sz w:val="14"/>
                <w:szCs w:val="14"/>
                <w:color w:val="auto"/>
              </w:rPr>
              <w:t>N/A</w:t>
            </w:r>
          </w:p>
        </w:tc>
        <w:tc>
          <w:tcPr>
            <w:tcW w:w="780" w:type="dxa"/>
            <w:vAlign w:val="bottom"/>
          </w:tcPr>
          <w:p>
            <w:pPr>
              <w:jc w:val="right"/>
              <w:ind w:right="268"/>
              <w:spacing w:after="0"/>
              <w:rPr>
                <w:sz w:val="20"/>
                <w:szCs w:val="20"/>
                <w:color w:val="auto"/>
              </w:rPr>
            </w:pPr>
            <w:r>
              <w:rPr>
                <w:rFonts w:ascii="Arial" w:cs="Arial" w:eastAsia="Arial" w:hAnsi="Arial"/>
                <w:sz w:val="14"/>
                <w:szCs w:val="14"/>
                <w:color w:val="auto"/>
              </w:rPr>
              <w:t>N/A</w:t>
            </w:r>
          </w:p>
        </w:tc>
        <w:tc>
          <w:tcPr>
            <w:tcW w:w="780" w:type="dxa"/>
            <w:vAlign w:val="bottom"/>
          </w:tcPr>
          <w:p>
            <w:pPr>
              <w:jc w:val="right"/>
              <w:ind w:right="248"/>
              <w:spacing w:after="0"/>
              <w:rPr>
                <w:sz w:val="20"/>
                <w:szCs w:val="20"/>
                <w:color w:val="auto"/>
              </w:rPr>
            </w:pPr>
            <w:r>
              <w:rPr>
                <w:rFonts w:ascii="Arial" w:cs="Arial" w:eastAsia="Arial" w:hAnsi="Arial"/>
                <w:sz w:val="14"/>
                <w:szCs w:val="14"/>
                <w:color w:val="auto"/>
              </w:rPr>
              <w:t>N/A</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3.50 %</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3.10 %</w:t>
            </w:r>
          </w:p>
        </w:tc>
        <w:tc>
          <w:tcPr>
            <w:tcW w:w="660" w:type="dxa"/>
            <w:vAlign w:val="bottom"/>
          </w:tcPr>
          <w:p>
            <w:pPr>
              <w:jc w:val="right"/>
              <w:spacing w:after="0"/>
              <w:rPr>
                <w:sz w:val="20"/>
                <w:szCs w:val="20"/>
                <w:color w:val="auto"/>
              </w:rPr>
            </w:pPr>
            <w:r>
              <w:rPr>
                <w:rFonts w:ascii="Arial" w:cs="Arial" w:eastAsia="Arial" w:hAnsi="Arial"/>
                <w:sz w:val="14"/>
                <w:szCs w:val="14"/>
                <w:color w:val="auto"/>
              </w:rPr>
              <w:t>1.70 %</w:t>
            </w:r>
          </w:p>
        </w:tc>
      </w:tr>
      <w:tr>
        <w:trPr>
          <w:trHeight w:val="162"/>
        </w:trPr>
        <w:tc>
          <w:tcPr>
            <w:tcW w:w="3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Rate of increase in compensation levels</w:t>
            </w:r>
          </w:p>
        </w:tc>
        <w:tc>
          <w:tcPr>
            <w:tcW w:w="13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3.04 %</w:t>
            </w:r>
          </w:p>
        </w:tc>
        <w:tc>
          <w:tcPr>
            <w:tcW w:w="80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3.06 %</w:t>
            </w:r>
          </w:p>
        </w:tc>
        <w:tc>
          <w:tcPr>
            <w:tcW w:w="7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3.08 %</w:t>
            </w:r>
          </w:p>
        </w:tc>
        <w:tc>
          <w:tcPr>
            <w:tcW w:w="780" w:type="dxa"/>
            <w:vAlign w:val="bottom"/>
            <w:shd w:val="clear" w:color="auto" w:fill="CFF0FC"/>
          </w:tcPr>
          <w:p>
            <w:pPr>
              <w:jc w:val="right"/>
              <w:ind w:right="2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ind w:right="2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ind w:right="2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ind w:right="248"/>
              <w:spacing w:after="0"/>
              <w:rPr>
                <w:sz w:val="20"/>
                <w:szCs w:val="20"/>
                <w:color w:val="auto"/>
              </w:rPr>
            </w:pPr>
            <w:r>
              <w:rPr>
                <w:rFonts w:ascii="Arial" w:cs="Arial" w:eastAsia="Arial" w:hAnsi="Arial"/>
                <w:sz w:val="14"/>
                <w:szCs w:val="14"/>
                <w:color w:val="auto"/>
              </w:rPr>
              <w:t>N/A</w:t>
            </w:r>
          </w:p>
        </w:tc>
        <w:tc>
          <w:tcPr>
            <w:tcW w:w="820" w:type="dxa"/>
            <w:vAlign w:val="bottom"/>
            <w:shd w:val="clear" w:color="auto" w:fill="CFF0FC"/>
          </w:tcPr>
          <w:p>
            <w:pPr>
              <w:jc w:val="right"/>
              <w:ind w:right="288"/>
              <w:spacing w:after="0"/>
              <w:rPr>
                <w:sz w:val="20"/>
                <w:szCs w:val="20"/>
                <w:color w:val="auto"/>
              </w:rPr>
            </w:pPr>
            <w:r>
              <w:rPr>
                <w:rFonts w:ascii="Arial" w:cs="Arial" w:eastAsia="Arial" w:hAnsi="Arial"/>
                <w:sz w:val="14"/>
                <w:szCs w:val="14"/>
                <w:color w:val="auto"/>
              </w:rPr>
              <w:t>N/A</w:t>
            </w:r>
          </w:p>
        </w:tc>
        <w:tc>
          <w:tcPr>
            <w:tcW w:w="6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214312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60" w:lineRule="exact"/>
        <w:rPr>
          <w:sz w:val="20"/>
          <w:szCs w:val="20"/>
          <w:color w:val="auto"/>
        </w:rPr>
      </w:pPr>
    </w:p>
    <w:p>
      <w:pPr>
        <w:ind w:left="520" w:hanging="512"/>
        <w:spacing w:after="0"/>
        <w:tabs>
          <w:tab w:leader="none" w:pos="5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estimated discount rate for the Defined Benefit Pension Plan is 5.63% for the calculation of the 2025 net periodic pension costs.</w:t>
      </w:r>
    </w:p>
    <w:p>
      <w:pPr>
        <w:spacing w:after="0" w:line="15" w:lineRule="exact"/>
        <w:rPr>
          <w:rFonts w:ascii="Arial" w:cs="Arial" w:eastAsia="Arial" w:hAnsi="Arial"/>
          <w:sz w:val="14"/>
          <w:szCs w:val="14"/>
          <w:color w:val="auto"/>
        </w:rPr>
      </w:pPr>
    </w:p>
    <w:p>
      <w:pPr>
        <w:ind w:left="520" w:hanging="512"/>
        <w:spacing w:after="0"/>
        <w:tabs>
          <w:tab w:leader="none" w:pos="5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expected rate of return on plan assets for the Defined Benefit Pension Plan is 6.50% for the calculation of the 2025 net periodic pension cost.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healthcare benefit obligation at December 31 was determined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2024</w:t>
            </w:r>
          </w:p>
        </w:tc>
        <w:tc>
          <w:tcPr>
            <w:tcW w:w="1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2023</w:t>
            </w:r>
          </w:p>
        </w:tc>
        <w:tc>
          <w:tcPr>
            <w:tcW w:w="700" w:type="dxa"/>
            <w:vAlign w:val="bottom"/>
            <w:tcBorders>
              <w:bottom w:val="single" w:sz="8" w:color="auto"/>
            </w:tcBorders>
          </w:tcPr>
          <w:p>
            <w:pPr>
              <w:spacing w:after="0"/>
              <w:rPr>
                <w:sz w:val="17"/>
                <w:szCs w:val="17"/>
                <w:color w:val="auto"/>
              </w:rPr>
            </w:pPr>
          </w:p>
        </w:tc>
      </w:tr>
      <w:tr>
        <w:trPr>
          <w:trHeight w:val="183"/>
        </w:trPr>
        <w:tc>
          <w:tcPr>
            <w:tcW w:w="2300" w:type="dxa"/>
            <w:vAlign w:val="bottom"/>
            <w:gridSpan w:val="2"/>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Trend Rate - Medical</w:t>
            </w:r>
          </w:p>
        </w:tc>
        <w:tc>
          <w:tcPr>
            <w:tcW w:w="21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4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8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r>
      <w:tr>
        <w:trPr>
          <w:trHeight w:val="189"/>
        </w:trPr>
        <w:tc>
          <w:tcPr>
            <w:tcW w:w="2300" w:type="dxa"/>
            <w:vAlign w:val="bottom"/>
            <w:gridSpan w:val="2"/>
          </w:tcPr>
          <w:p>
            <w:pPr>
              <w:ind w:left="20"/>
              <w:spacing w:after="0"/>
              <w:rPr>
                <w:sz w:val="20"/>
                <w:szCs w:val="20"/>
                <w:color w:val="auto"/>
              </w:rPr>
            </w:pPr>
            <w:r>
              <w:rPr>
                <w:rFonts w:ascii="Arial" w:cs="Arial" w:eastAsia="Arial" w:hAnsi="Arial"/>
                <w:sz w:val="16"/>
                <w:szCs w:val="16"/>
                <w:color w:val="auto"/>
              </w:rPr>
              <w:t>Pre-65 for next year - All Plans</w:t>
            </w:r>
          </w:p>
        </w:tc>
        <w:tc>
          <w:tcPr>
            <w:tcW w:w="2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20" w:type="dxa"/>
            <w:vAlign w:val="bottom"/>
          </w:tcPr>
          <w:p>
            <w:pPr>
              <w:jc w:val="right"/>
              <w:ind w:right="1079"/>
              <w:spacing w:after="0"/>
              <w:rPr>
                <w:sz w:val="20"/>
                <w:szCs w:val="20"/>
                <w:color w:val="auto"/>
              </w:rPr>
            </w:pPr>
            <w:r>
              <w:rPr>
                <w:rFonts w:ascii="Arial" w:cs="Arial" w:eastAsia="Arial" w:hAnsi="Arial"/>
                <w:sz w:val="16"/>
                <w:szCs w:val="16"/>
                <w:color w:val="auto"/>
              </w:rPr>
              <w:t>7.50 %</w:t>
            </w:r>
          </w:p>
        </w:tc>
        <w:tc>
          <w:tcPr>
            <w:tcW w:w="700" w:type="dxa"/>
            <w:vAlign w:val="bottom"/>
          </w:tcPr>
          <w:p>
            <w:pPr>
              <w:jc w:val="right"/>
              <w:spacing w:after="0"/>
              <w:rPr>
                <w:sz w:val="20"/>
                <w:szCs w:val="20"/>
                <w:color w:val="auto"/>
              </w:rPr>
            </w:pPr>
            <w:r>
              <w:rPr>
                <w:rFonts w:ascii="Arial" w:cs="Arial" w:eastAsia="Arial" w:hAnsi="Arial"/>
                <w:sz w:val="16"/>
                <w:szCs w:val="16"/>
                <w:color w:val="auto"/>
              </w:rPr>
              <w:t>6.69 %</w:t>
            </w:r>
          </w:p>
        </w:tc>
      </w:tr>
      <w:tr>
        <w:trPr>
          <w:trHeight w:val="189"/>
        </w:trPr>
        <w:tc>
          <w:tcPr>
            <w:tcW w:w="448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Pre-65 Ultimate trend rate - Black Hills Corp</w:t>
            </w:r>
          </w:p>
        </w:tc>
        <w:tc>
          <w:tcPr>
            <w:tcW w:w="740" w:type="dxa"/>
            <w:vAlign w:val="bottom"/>
            <w:shd w:val="clear" w:color="auto" w:fill="CFF0FC"/>
          </w:tcPr>
          <w:p>
            <w:pPr>
              <w:spacing w:after="0"/>
              <w:rPr>
                <w:sz w:val="16"/>
                <w:szCs w:val="16"/>
                <w:color w:val="auto"/>
              </w:rPr>
            </w:pPr>
          </w:p>
        </w:tc>
        <w:tc>
          <w:tcPr>
            <w:tcW w:w="24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820" w:type="dxa"/>
            <w:vAlign w:val="bottom"/>
            <w:shd w:val="clear" w:color="auto" w:fill="CFF0FC"/>
          </w:tcPr>
          <w:p>
            <w:pPr>
              <w:jc w:val="right"/>
              <w:ind w:right="1079"/>
              <w:spacing w:after="0"/>
              <w:rPr>
                <w:sz w:val="20"/>
                <w:szCs w:val="20"/>
                <w:color w:val="auto"/>
              </w:rPr>
            </w:pPr>
            <w:r>
              <w:rPr>
                <w:rFonts w:ascii="Arial" w:cs="Arial" w:eastAsia="Arial" w:hAnsi="Arial"/>
                <w:sz w:val="16"/>
                <w:szCs w:val="16"/>
                <w:color w:val="auto"/>
              </w:rPr>
              <w:t>4.50 %</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4.50 %</w:t>
            </w:r>
          </w:p>
        </w:tc>
      </w:tr>
      <w:tr>
        <w:trPr>
          <w:trHeight w:val="189"/>
        </w:trPr>
        <w:tc>
          <w:tcPr>
            <w:tcW w:w="2300" w:type="dxa"/>
            <w:vAlign w:val="bottom"/>
            <w:gridSpan w:val="2"/>
          </w:tcPr>
          <w:p>
            <w:pPr>
              <w:ind w:left="20"/>
              <w:spacing w:after="0"/>
              <w:rPr>
                <w:sz w:val="20"/>
                <w:szCs w:val="20"/>
                <w:color w:val="auto"/>
              </w:rPr>
            </w:pPr>
            <w:r>
              <w:rPr>
                <w:rFonts w:ascii="Arial" w:cs="Arial" w:eastAsia="Arial" w:hAnsi="Arial"/>
                <w:sz w:val="16"/>
                <w:szCs w:val="16"/>
                <w:color w:val="auto"/>
              </w:rPr>
              <w:t>Trend Year</w:t>
            </w:r>
          </w:p>
        </w:tc>
        <w:tc>
          <w:tcPr>
            <w:tcW w:w="2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20" w:type="dxa"/>
            <w:vAlign w:val="bottom"/>
          </w:tcPr>
          <w:p>
            <w:pPr>
              <w:jc w:val="right"/>
              <w:ind w:right="1259"/>
              <w:spacing w:after="0"/>
              <w:rPr>
                <w:sz w:val="20"/>
                <w:szCs w:val="20"/>
                <w:color w:val="auto"/>
              </w:rPr>
            </w:pPr>
            <w:r>
              <w:rPr>
                <w:rFonts w:ascii="Arial" w:cs="Arial" w:eastAsia="Arial" w:hAnsi="Arial"/>
                <w:sz w:val="16"/>
                <w:szCs w:val="16"/>
                <w:color w:val="auto"/>
              </w:rPr>
              <w:t>2035</w:t>
            </w:r>
          </w:p>
        </w:tc>
        <w:tc>
          <w:tcPr>
            <w:tcW w:w="700" w:type="dxa"/>
            <w:vAlign w:val="bottom"/>
          </w:tcPr>
          <w:p>
            <w:pPr>
              <w:jc w:val="right"/>
              <w:ind w:right="119"/>
              <w:spacing w:after="0"/>
              <w:rPr>
                <w:sz w:val="20"/>
                <w:szCs w:val="20"/>
                <w:color w:val="auto"/>
              </w:rPr>
            </w:pPr>
            <w:r>
              <w:rPr>
                <w:rFonts w:ascii="Arial" w:cs="Arial" w:eastAsia="Arial" w:hAnsi="Arial"/>
                <w:sz w:val="16"/>
                <w:szCs w:val="16"/>
                <w:color w:val="auto"/>
              </w:rPr>
              <w:t>2034</w:t>
            </w:r>
          </w:p>
        </w:tc>
      </w:tr>
      <w:tr>
        <w:trPr>
          <w:trHeight w:val="189"/>
        </w:trPr>
        <w:tc>
          <w:tcPr>
            <w:tcW w:w="22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1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4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8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r>
      <w:tr>
        <w:trPr>
          <w:trHeight w:val="189"/>
        </w:trPr>
        <w:tc>
          <w:tcPr>
            <w:tcW w:w="2300" w:type="dxa"/>
            <w:vAlign w:val="bottom"/>
            <w:gridSpan w:val="2"/>
          </w:tcPr>
          <w:p>
            <w:pPr>
              <w:ind w:left="20"/>
              <w:spacing w:after="0"/>
              <w:rPr>
                <w:sz w:val="20"/>
                <w:szCs w:val="20"/>
                <w:color w:val="auto"/>
              </w:rPr>
            </w:pPr>
            <w:r>
              <w:rPr>
                <w:rFonts w:ascii="Arial" w:cs="Arial" w:eastAsia="Arial" w:hAnsi="Arial"/>
                <w:sz w:val="16"/>
                <w:szCs w:val="16"/>
                <w:color w:val="auto"/>
              </w:rPr>
              <w:t>Post-65 for next year - All Plans</w:t>
            </w:r>
          </w:p>
        </w:tc>
        <w:tc>
          <w:tcPr>
            <w:tcW w:w="2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20" w:type="dxa"/>
            <w:vAlign w:val="bottom"/>
          </w:tcPr>
          <w:p>
            <w:pPr>
              <w:jc w:val="right"/>
              <w:ind w:right="1079"/>
              <w:spacing w:after="0"/>
              <w:rPr>
                <w:sz w:val="20"/>
                <w:szCs w:val="20"/>
                <w:color w:val="auto"/>
              </w:rPr>
            </w:pPr>
            <w:r>
              <w:rPr>
                <w:rFonts w:ascii="Arial" w:cs="Arial" w:eastAsia="Arial" w:hAnsi="Arial"/>
                <w:sz w:val="16"/>
                <w:szCs w:val="16"/>
                <w:color w:val="auto"/>
              </w:rPr>
              <w:t>6.50 %</w:t>
            </w:r>
          </w:p>
        </w:tc>
        <w:tc>
          <w:tcPr>
            <w:tcW w:w="700" w:type="dxa"/>
            <w:vAlign w:val="bottom"/>
          </w:tcPr>
          <w:p>
            <w:pPr>
              <w:jc w:val="right"/>
              <w:spacing w:after="0"/>
              <w:rPr>
                <w:sz w:val="20"/>
                <w:szCs w:val="20"/>
                <w:color w:val="auto"/>
              </w:rPr>
            </w:pPr>
            <w:r>
              <w:rPr>
                <w:rFonts w:ascii="Arial" w:cs="Arial" w:eastAsia="Arial" w:hAnsi="Arial"/>
                <w:sz w:val="16"/>
                <w:szCs w:val="16"/>
                <w:color w:val="auto"/>
              </w:rPr>
              <w:t>5.81 %</w:t>
            </w:r>
          </w:p>
        </w:tc>
      </w:tr>
      <w:tr>
        <w:trPr>
          <w:trHeight w:val="189"/>
        </w:trPr>
        <w:tc>
          <w:tcPr>
            <w:tcW w:w="448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Post-65 Ultimate trend rate - Black Hills Corp</w:t>
            </w:r>
          </w:p>
        </w:tc>
        <w:tc>
          <w:tcPr>
            <w:tcW w:w="740" w:type="dxa"/>
            <w:vAlign w:val="bottom"/>
            <w:shd w:val="clear" w:color="auto" w:fill="CFF0FC"/>
          </w:tcPr>
          <w:p>
            <w:pPr>
              <w:spacing w:after="0"/>
              <w:rPr>
                <w:sz w:val="16"/>
                <w:szCs w:val="16"/>
                <w:color w:val="auto"/>
              </w:rPr>
            </w:pPr>
          </w:p>
        </w:tc>
        <w:tc>
          <w:tcPr>
            <w:tcW w:w="24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820" w:type="dxa"/>
            <w:vAlign w:val="bottom"/>
            <w:shd w:val="clear" w:color="auto" w:fill="CFF0FC"/>
          </w:tcPr>
          <w:p>
            <w:pPr>
              <w:jc w:val="right"/>
              <w:ind w:right="1079"/>
              <w:spacing w:after="0"/>
              <w:rPr>
                <w:sz w:val="20"/>
                <w:szCs w:val="20"/>
                <w:color w:val="auto"/>
              </w:rPr>
            </w:pPr>
            <w:r>
              <w:rPr>
                <w:rFonts w:ascii="Arial" w:cs="Arial" w:eastAsia="Arial" w:hAnsi="Arial"/>
                <w:sz w:val="16"/>
                <w:szCs w:val="16"/>
                <w:color w:val="auto"/>
              </w:rPr>
              <w:t>4.50 %</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4.50 %</w:t>
            </w:r>
          </w:p>
        </w:tc>
      </w:tr>
      <w:tr>
        <w:trPr>
          <w:trHeight w:val="215"/>
        </w:trPr>
        <w:tc>
          <w:tcPr>
            <w:tcW w:w="2300" w:type="dxa"/>
            <w:vAlign w:val="bottom"/>
            <w:gridSpan w:val="2"/>
          </w:tcPr>
          <w:p>
            <w:pPr>
              <w:ind w:left="20"/>
              <w:spacing w:after="0"/>
              <w:rPr>
                <w:sz w:val="20"/>
                <w:szCs w:val="20"/>
                <w:color w:val="auto"/>
              </w:rPr>
            </w:pPr>
            <w:r>
              <w:rPr>
                <w:rFonts w:ascii="Arial" w:cs="Arial" w:eastAsia="Arial" w:hAnsi="Arial"/>
                <w:sz w:val="16"/>
                <w:szCs w:val="16"/>
                <w:color w:val="auto"/>
              </w:rPr>
              <w:t>Trend Year</w:t>
            </w:r>
          </w:p>
        </w:tc>
        <w:tc>
          <w:tcPr>
            <w:tcW w:w="2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20" w:type="dxa"/>
            <w:vAlign w:val="bottom"/>
          </w:tcPr>
          <w:p>
            <w:pPr>
              <w:jc w:val="right"/>
              <w:ind w:right="1259"/>
              <w:spacing w:after="0"/>
              <w:rPr>
                <w:sz w:val="20"/>
                <w:szCs w:val="20"/>
                <w:color w:val="auto"/>
              </w:rPr>
            </w:pPr>
            <w:r>
              <w:rPr>
                <w:rFonts w:ascii="Arial" w:cs="Arial" w:eastAsia="Arial" w:hAnsi="Arial"/>
                <w:sz w:val="16"/>
                <w:szCs w:val="16"/>
                <w:color w:val="auto"/>
              </w:rPr>
              <w:t>2033</w:t>
            </w:r>
          </w:p>
        </w:tc>
        <w:tc>
          <w:tcPr>
            <w:tcW w:w="700" w:type="dxa"/>
            <w:vAlign w:val="bottom"/>
          </w:tcPr>
          <w:p>
            <w:pPr>
              <w:jc w:val="right"/>
              <w:ind w:right="119"/>
              <w:spacing w:after="0"/>
              <w:rPr>
                <w:sz w:val="20"/>
                <w:szCs w:val="20"/>
                <w:color w:val="auto"/>
              </w:rPr>
            </w:pPr>
            <w:r>
              <w:rPr>
                <w:rFonts w:ascii="Arial" w:cs="Arial" w:eastAsia="Arial" w:hAnsi="Arial"/>
                <w:sz w:val="16"/>
                <w:szCs w:val="16"/>
                <w:color w:val="auto"/>
              </w:rPr>
              <w:t>2034</w:t>
            </w:r>
          </w:p>
        </w:tc>
      </w:tr>
      <w:tr>
        <w:trPr>
          <w:trHeight w:val="364"/>
        </w:trPr>
        <w:tc>
          <w:tcPr>
            <w:tcW w:w="7640" w:type="dxa"/>
            <w:vAlign w:val="bottom"/>
            <w:gridSpan w:val="5"/>
          </w:tcPr>
          <w:p>
            <w:pPr>
              <w:spacing w:after="0"/>
              <w:rPr>
                <w:sz w:val="20"/>
                <w:szCs w:val="20"/>
                <w:color w:val="auto"/>
              </w:rPr>
            </w:pPr>
            <w:r>
              <w:rPr>
                <w:rFonts w:ascii="Arial" w:cs="Arial" w:eastAsia="Arial" w:hAnsi="Arial"/>
                <w:sz w:val="16"/>
                <w:szCs w:val="16"/>
                <w:color w:val="auto"/>
              </w:rPr>
              <w:t>The following benefit payments to employees, which reflect future service, are expected to be paid:</w:t>
            </w: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67"/>
        </w:trPr>
        <w:tc>
          <w:tcPr>
            <w:tcW w:w="22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Pension Plan</w:t>
            </w:r>
          </w:p>
        </w:tc>
        <w:tc>
          <w:tcPr>
            <w:tcW w:w="7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Supplemental Plans</w:t>
            </w:r>
          </w:p>
        </w:tc>
        <w:tc>
          <w:tcPr>
            <w:tcW w:w="5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Healthcare Plan</w:t>
            </w:r>
          </w:p>
        </w:tc>
        <w:tc>
          <w:tcPr>
            <w:tcW w:w="700" w:type="dxa"/>
            <w:vAlign w:val="bottom"/>
            <w:tcBorders>
              <w:bottom w:val="single" w:sz="8" w:color="auto"/>
            </w:tcBorders>
          </w:tcPr>
          <w:p>
            <w:pPr>
              <w:spacing w:after="0"/>
              <w:rPr>
                <w:sz w:val="24"/>
                <w:szCs w:val="24"/>
                <w:color w:val="auto"/>
              </w:rPr>
            </w:pPr>
          </w:p>
        </w:tc>
      </w:tr>
      <w:tr>
        <w:trPr>
          <w:trHeight w:val="183"/>
        </w:trPr>
        <w:tc>
          <w:tcPr>
            <w:tcW w:w="22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tcPr>
          <w:p>
            <w:pPr>
              <w:jc w:val="right"/>
              <w:ind w:right="439"/>
              <w:spacing w:after="0" w:line="183" w:lineRule="exact"/>
              <w:rPr>
                <w:sz w:val="20"/>
                <w:szCs w:val="20"/>
                <w:color w:val="auto"/>
              </w:rPr>
            </w:pPr>
            <w:r>
              <w:rPr>
                <w:rFonts w:ascii="Arial" w:cs="Arial" w:eastAsia="Arial" w:hAnsi="Arial"/>
                <w:sz w:val="16"/>
                <w:szCs w:val="16"/>
                <w:color w:val="auto"/>
              </w:rPr>
              <w:t>(in millions)</w:t>
            </w:r>
          </w:p>
        </w:tc>
        <w:tc>
          <w:tcPr>
            <w:tcW w:w="5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r>
      <w:tr>
        <w:trPr>
          <w:trHeight w:val="183"/>
        </w:trPr>
        <w:tc>
          <w:tcPr>
            <w:tcW w:w="2280" w:type="dxa"/>
            <w:vAlign w:val="bottom"/>
            <w:shd w:val="clear" w:color="auto" w:fill="CFF0FC"/>
          </w:tcPr>
          <w:p>
            <w:pPr>
              <w:ind w:left="60"/>
              <w:spacing w:after="0" w:line="183" w:lineRule="exact"/>
              <w:rPr>
                <w:sz w:val="20"/>
                <w:szCs w:val="20"/>
                <w:color w:val="auto"/>
              </w:rPr>
            </w:pPr>
            <w:r>
              <w:rPr>
                <w:rFonts w:ascii="Arial" w:cs="Arial" w:eastAsia="Arial" w:hAnsi="Arial"/>
                <w:sz w:val="16"/>
                <w:szCs w:val="16"/>
                <w:color w:val="auto"/>
              </w:rPr>
              <w:t>2025</w:t>
            </w:r>
          </w:p>
        </w:tc>
        <w:tc>
          <w:tcPr>
            <w:tcW w:w="20" w:type="dxa"/>
            <w:vAlign w:val="bottom"/>
            <w:shd w:val="clear" w:color="auto" w:fill="CFF0FC"/>
          </w:tcPr>
          <w:p>
            <w:pPr>
              <w:spacing w:after="0"/>
              <w:rPr>
                <w:sz w:val="15"/>
                <w:szCs w:val="15"/>
                <w:color w:val="auto"/>
              </w:rPr>
            </w:pPr>
          </w:p>
        </w:tc>
        <w:tc>
          <w:tcPr>
            <w:tcW w:w="2180" w:type="dxa"/>
            <w:vAlign w:val="bottom"/>
            <w:shd w:val="clear" w:color="auto" w:fill="CFF0FC"/>
          </w:tcPr>
          <w:p>
            <w:pPr>
              <w:jc w:val="right"/>
              <w:ind w:right="1999"/>
              <w:spacing w:after="0" w:line="183" w:lineRule="exact"/>
              <w:rPr>
                <w:sz w:val="20"/>
                <w:szCs w:val="20"/>
                <w:color w:val="auto"/>
              </w:rPr>
            </w:pPr>
            <w:r>
              <w:rPr>
                <w:rFonts w:ascii="Arial" w:cs="Arial" w:eastAsia="Arial" w:hAnsi="Arial"/>
                <w:sz w:val="16"/>
                <w:szCs w:val="16"/>
                <w:color w:val="auto"/>
                <w:w w:val="89"/>
              </w:rPr>
              <w:t>$</w:t>
            </w:r>
          </w:p>
        </w:tc>
        <w:tc>
          <w:tcPr>
            <w:tcW w:w="7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24.4</w:t>
            </w:r>
          </w:p>
        </w:tc>
        <w:tc>
          <w:tcPr>
            <w:tcW w:w="2420" w:type="dxa"/>
            <w:vAlign w:val="bottom"/>
            <w:shd w:val="clear" w:color="auto" w:fill="CFF0FC"/>
          </w:tcPr>
          <w:p>
            <w:pPr>
              <w:jc w:val="right"/>
              <w:ind w:right="2179"/>
              <w:spacing w:after="0" w:line="183" w:lineRule="exact"/>
              <w:rPr>
                <w:sz w:val="20"/>
                <w:szCs w:val="20"/>
                <w:color w:val="auto"/>
              </w:rPr>
            </w:pPr>
            <w:r>
              <w:rPr>
                <w:rFonts w:ascii="Arial" w:cs="Arial" w:eastAsia="Arial" w:hAnsi="Arial"/>
                <w:sz w:val="16"/>
                <w:szCs w:val="16"/>
                <w:color w:val="auto"/>
              </w:rPr>
              <w:t>$</w:t>
            </w:r>
          </w:p>
        </w:tc>
        <w:tc>
          <w:tcPr>
            <w:tcW w:w="5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2.8</w:t>
            </w:r>
          </w:p>
        </w:tc>
        <w:tc>
          <w:tcPr>
            <w:tcW w:w="540" w:type="dxa"/>
            <w:vAlign w:val="bottom"/>
            <w:shd w:val="clear" w:color="auto" w:fill="CFF0FC"/>
          </w:tcPr>
          <w:p>
            <w:pPr>
              <w:jc w:val="right"/>
              <w:ind w:right="279"/>
              <w:spacing w:after="0" w:line="183" w:lineRule="exact"/>
              <w:rPr>
                <w:sz w:val="20"/>
                <w:szCs w:val="20"/>
                <w:color w:val="auto"/>
              </w:rPr>
            </w:pPr>
            <w:r>
              <w:rPr>
                <w:rFonts w:ascii="Arial" w:cs="Arial" w:eastAsia="Arial" w:hAnsi="Arial"/>
                <w:sz w:val="16"/>
                <w:szCs w:val="16"/>
                <w:color w:val="auto"/>
              </w:rPr>
              <w:t>$</w:t>
            </w:r>
          </w:p>
        </w:tc>
        <w:tc>
          <w:tcPr>
            <w:tcW w:w="182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5.3</w:t>
            </w:r>
          </w:p>
        </w:tc>
      </w:tr>
      <w:tr>
        <w:trPr>
          <w:trHeight w:val="189"/>
        </w:trPr>
        <w:tc>
          <w:tcPr>
            <w:tcW w:w="2280" w:type="dxa"/>
            <w:vAlign w:val="bottom"/>
          </w:tcPr>
          <w:p>
            <w:pPr>
              <w:ind w:left="60"/>
              <w:spacing w:after="0"/>
              <w:rPr>
                <w:sz w:val="20"/>
                <w:szCs w:val="20"/>
                <w:color w:val="auto"/>
              </w:rPr>
            </w:pPr>
            <w:r>
              <w:rPr>
                <w:rFonts w:ascii="Arial" w:cs="Arial" w:eastAsia="Arial" w:hAnsi="Arial"/>
                <w:sz w:val="16"/>
                <w:szCs w:val="16"/>
                <w:color w:val="auto"/>
              </w:rPr>
              <w:t>2026</w:t>
            </w:r>
          </w:p>
        </w:tc>
        <w:tc>
          <w:tcPr>
            <w:tcW w:w="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24.8</w:t>
            </w:r>
          </w:p>
        </w:tc>
        <w:tc>
          <w:tcPr>
            <w:tcW w:w="24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2.8</w:t>
            </w:r>
          </w:p>
        </w:tc>
        <w:tc>
          <w:tcPr>
            <w:tcW w:w="5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5.1</w:t>
            </w:r>
          </w:p>
        </w:tc>
      </w:tr>
      <w:tr>
        <w:trPr>
          <w:trHeight w:val="189"/>
        </w:trPr>
        <w:tc>
          <w:tcPr>
            <w:tcW w:w="2280" w:type="dxa"/>
            <w:vAlign w:val="bottom"/>
            <w:shd w:val="clear" w:color="auto" w:fill="CFF0FC"/>
          </w:tcPr>
          <w:p>
            <w:pPr>
              <w:ind w:left="60"/>
              <w:spacing w:after="0"/>
              <w:rPr>
                <w:sz w:val="20"/>
                <w:szCs w:val="20"/>
                <w:color w:val="auto"/>
              </w:rPr>
            </w:pPr>
            <w:r>
              <w:rPr>
                <w:rFonts w:ascii="Arial" w:cs="Arial" w:eastAsia="Arial" w:hAnsi="Arial"/>
                <w:sz w:val="16"/>
                <w:szCs w:val="16"/>
                <w:color w:val="auto"/>
              </w:rPr>
              <w:t>2027</w:t>
            </w:r>
          </w:p>
        </w:tc>
        <w:tc>
          <w:tcPr>
            <w:tcW w:w="20" w:type="dxa"/>
            <w:vAlign w:val="bottom"/>
            <w:shd w:val="clear" w:color="auto" w:fill="CFF0FC"/>
          </w:tcPr>
          <w:p>
            <w:pPr>
              <w:spacing w:after="0"/>
              <w:rPr>
                <w:sz w:val="16"/>
                <w:szCs w:val="16"/>
                <w:color w:val="auto"/>
              </w:rPr>
            </w:pPr>
          </w:p>
        </w:tc>
        <w:tc>
          <w:tcPr>
            <w:tcW w:w="218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25.1</w:t>
            </w:r>
          </w:p>
        </w:tc>
        <w:tc>
          <w:tcPr>
            <w:tcW w:w="242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540" w:type="dxa"/>
            <w:vAlign w:val="bottom"/>
            <w:shd w:val="clear" w:color="auto" w:fill="CFF0FC"/>
          </w:tcPr>
          <w:p>
            <w:pPr>
              <w:spacing w:after="0"/>
              <w:rPr>
                <w:sz w:val="16"/>
                <w:szCs w:val="16"/>
                <w:color w:val="auto"/>
              </w:rPr>
            </w:pPr>
          </w:p>
        </w:tc>
        <w:tc>
          <w:tcPr>
            <w:tcW w:w="182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5.0</w:t>
            </w:r>
          </w:p>
        </w:tc>
      </w:tr>
      <w:tr>
        <w:trPr>
          <w:trHeight w:val="189"/>
        </w:trPr>
        <w:tc>
          <w:tcPr>
            <w:tcW w:w="2280" w:type="dxa"/>
            <w:vAlign w:val="bottom"/>
          </w:tcPr>
          <w:p>
            <w:pPr>
              <w:ind w:left="60"/>
              <w:spacing w:after="0"/>
              <w:rPr>
                <w:sz w:val="20"/>
                <w:szCs w:val="20"/>
                <w:color w:val="auto"/>
              </w:rPr>
            </w:pPr>
            <w:r>
              <w:rPr>
                <w:rFonts w:ascii="Arial" w:cs="Arial" w:eastAsia="Arial" w:hAnsi="Arial"/>
                <w:sz w:val="16"/>
                <w:szCs w:val="16"/>
                <w:color w:val="auto"/>
              </w:rPr>
              <w:t>2028</w:t>
            </w:r>
          </w:p>
        </w:tc>
        <w:tc>
          <w:tcPr>
            <w:tcW w:w="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25.1</w:t>
            </w:r>
          </w:p>
        </w:tc>
        <w:tc>
          <w:tcPr>
            <w:tcW w:w="24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2.7</w:t>
            </w:r>
          </w:p>
        </w:tc>
        <w:tc>
          <w:tcPr>
            <w:tcW w:w="5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4.8</w:t>
            </w:r>
          </w:p>
        </w:tc>
      </w:tr>
      <w:tr>
        <w:trPr>
          <w:trHeight w:val="189"/>
        </w:trPr>
        <w:tc>
          <w:tcPr>
            <w:tcW w:w="2280" w:type="dxa"/>
            <w:vAlign w:val="bottom"/>
            <w:shd w:val="clear" w:color="auto" w:fill="CFF0FC"/>
          </w:tcPr>
          <w:p>
            <w:pPr>
              <w:ind w:left="60"/>
              <w:spacing w:after="0"/>
              <w:rPr>
                <w:sz w:val="20"/>
                <w:szCs w:val="20"/>
                <w:color w:val="auto"/>
              </w:rPr>
            </w:pPr>
            <w:r>
              <w:rPr>
                <w:rFonts w:ascii="Arial" w:cs="Arial" w:eastAsia="Arial" w:hAnsi="Arial"/>
                <w:sz w:val="16"/>
                <w:szCs w:val="16"/>
                <w:color w:val="auto"/>
              </w:rPr>
              <w:t>2029</w:t>
            </w:r>
          </w:p>
        </w:tc>
        <w:tc>
          <w:tcPr>
            <w:tcW w:w="20" w:type="dxa"/>
            <w:vAlign w:val="bottom"/>
            <w:shd w:val="clear" w:color="auto" w:fill="CFF0FC"/>
          </w:tcPr>
          <w:p>
            <w:pPr>
              <w:spacing w:after="0"/>
              <w:rPr>
                <w:sz w:val="16"/>
                <w:szCs w:val="16"/>
                <w:color w:val="auto"/>
              </w:rPr>
            </w:pPr>
          </w:p>
        </w:tc>
        <w:tc>
          <w:tcPr>
            <w:tcW w:w="218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25.6</w:t>
            </w:r>
          </w:p>
        </w:tc>
        <w:tc>
          <w:tcPr>
            <w:tcW w:w="242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540" w:type="dxa"/>
            <w:vAlign w:val="bottom"/>
            <w:shd w:val="clear" w:color="auto" w:fill="CFF0FC"/>
          </w:tcPr>
          <w:p>
            <w:pPr>
              <w:spacing w:after="0"/>
              <w:rPr>
                <w:sz w:val="16"/>
                <w:szCs w:val="16"/>
                <w:color w:val="auto"/>
              </w:rPr>
            </w:pPr>
          </w:p>
        </w:tc>
        <w:tc>
          <w:tcPr>
            <w:tcW w:w="182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4.7</w:t>
            </w:r>
          </w:p>
        </w:tc>
      </w:tr>
      <w:tr>
        <w:trPr>
          <w:trHeight w:val="215"/>
        </w:trPr>
        <w:tc>
          <w:tcPr>
            <w:tcW w:w="2280" w:type="dxa"/>
            <w:vAlign w:val="bottom"/>
          </w:tcPr>
          <w:p>
            <w:pPr>
              <w:ind w:left="60"/>
              <w:spacing w:after="0"/>
              <w:rPr>
                <w:sz w:val="20"/>
                <w:szCs w:val="20"/>
                <w:color w:val="auto"/>
              </w:rPr>
            </w:pPr>
            <w:r>
              <w:rPr>
                <w:rFonts w:ascii="Arial" w:cs="Arial" w:eastAsia="Arial" w:hAnsi="Arial"/>
                <w:sz w:val="16"/>
                <w:szCs w:val="16"/>
                <w:color w:val="auto"/>
              </w:rPr>
              <w:t>2030 - 2034</w:t>
            </w:r>
          </w:p>
        </w:tc>
        <w:tc>
          <w:tcPr>
            <w:tcW w:w="20" w:type="dxa"/>
            <w:vAlign w:val="bottom"/>
          </w:tcPr>
          <w:p>
            <w:pPr>
              <w:spacing w:after="0"/>
              <w:rPr>
                <w:sz w:val="18"/>
                <w:szCs w:val="18"/>
                <w:color w:val="auto"/>
              </w:rPr>
            </w:pPr>
          </w:p>
        </w:tc>
        <w:tc>
          <w:tcPr>
            <w:tcW w:w="2180" w:type="dxa"/>
            <w:vAlign w:val="bottom"/>
          </w:tcPr>
          <w:p>
            <w:pPr>
              <w:jc w:val="right"/>
              <w:ind w:right="199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123.5</w:t>
            </w:r>
          </w:p>
        </w:tc>
        <w:tc>
          <w:tcPr>
            <w:tcW w:w="2420" w:type="dxa"/>
            <w:vAlign w:val="bottom"/>
          </w:tcPr>
          <w:p>
            <w:pPr>
              <w:jc w:val="right"/>
              <w:ind w:right="217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11.3</w:t>
            </w:r>
          </w:p>
        </w:tc>
        <w:tc>
          <w:tcPr>
            <w:tcW w:w="5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820" w:type="dxa"/>
            <w:vAlign w:val="bottom"/>
          </w:tcPr>
          <w:p>
            <w:pPr>
              <w:spacing w:after="0"/>
              <w:rPr>
                <w:sz w:val="18"/>
                <w:szCs w:val="18"/>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21.4</w:t>
            </w:r>
          </w:p>
        </w:tc>
      </w:tr>
    </w:tbl>
    <w:p>
      <w:pPr>
        <w:spacing w:after="0" w:line="3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SHARE-BASED COMPENSATION PLANS</w:t>
      </w:r>
    </w:p>
    <w:p>
      <w:pPr>
        <w:spacing w:after="0" w:line="19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Our Amended and Restated 2015 Omnibus Incentive Plan allows for the granting of stock, restricted stock, restricted stock units, stock options, performance shares, and performance share units. We had 1,988,252 shares available to grant at December 31, 2024.</w:t>
      </w:r>
    </w:p>
    <w:p>
      <w:pPr>
        <w:spacing w:after="0" w:line="129"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Compensation expense is determined using the grant date fair value estimated in accordance with the provisions of accounting standards for stock compensation and is recognized over the vesting periods of the individual awards. As of December 31, 2024, total unrecognized compensation expense related to non-vested stock awards was $ 13.0 million and is expected to be recognized over a weighted-average period of 2.0 years. Stock-based compensation expense, which is included in Operations and maintenance on the accompanying Consolidated Statements of Income, was as follows for the years ended December 31: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2024</w:t>
            </w:r>
          </w:p>
        </w:tc>
        <w:tc>
          <w:tcPr>
            <w:tcW w:w="4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2023</w:t>
            </w:r>
          </w:p>
        </w:tc>
        <w:tc>
          <w:tcPr>
            <w:tcW w:w="5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939"/>
              <w:spacing w:after="0"/>
              <w:rPr>
                <w:sz w:val="20"/>
                <w:szCs w:val="20"/>
                <w:color w:val="auto"/>
              </w:rPr>
            </w:pPr>
            <w:r>
              <w:rPr>
                <w:rFonts w:ascii="Arial" w:cs="Arial" w:eastAsia="Arial" w:hAnsi="Arial"/>
                <w:sz w:val="16"/>
                <w:szCs w:val="16"/>
                <w:b w:val="1"/>
                <w:bCs w:val="1"/>
                <w:color w:val="auto"/>
              </w:rPr>
              <w:t>2022</w:t>
            </w:r>
          </w:p>
        </w:tc>
      </w:tr>
      <w:tr>
        <w:trPr>
          <w:trHeight w:val="183"/>
        </w:trPr>
        <w:tc>
          <w:tcPr>
            <w:tcW w:w="44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center"/>
              <w:ind w:right="379"/>
              <w:spacing w:after="0" w:line="183" w:lineRule="exact"/>
              <w:rPr>
                <w:sz w:val="20"/>
                <w:szCs w:val="20"/>
                <w:color w:val="auto"/>
              </w:rPr>
            </w:pPr>
            <w:r>
              <w:rPr>
                <w:rFonts w:ascii="Arial" w:cs="Arial" w:eastAsia="Arial" w:hAnsi="Arial"/>
                <w:sz w:val="16"/>
                <w:szCs w:val="16"/>
                <w:color w:val="auto"/>
              </w:rPr>
              <w:t>(in millions)</w:t>
            </w:r>
          </w:p>
        </w:tc>
        <w:tc>
          <w:tcPr>
            <w:tcW w:w="5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spacing w:after="0"/>
              <w:rPr>
                <w:sz w:val="15"/>
                <w:szCs w:val="15"/>
                <w:color w:val="auto"/>
              </w:rPr>
            </w:pPr>
          </w:p>
        </w:tc>
      </w:tr>
      <w:tr>
        <w:trPr>
          <w:trHeight w:val="183"/>
        </w:trPr>
        <w:tc>
          <w:tcPr>
            <w:tcW w:w="44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Stock-based compensation expense</w:t>
            </w:r>
          </w:p>
        </w:tc>
        <w:tc>
          <w:tcPr>
            <w:tcW w:w="500" w:type="dxa"/>
            <w:vAlign w:val="bottom"/>
            <w:shd w:val="clear" w:color="auto" w:fill="CFF0FC"/>
          </w:tcPr>
          <w:p>
            <w:pPr>
              <w:jc w:val="right"/>
              <w:ind w:right="319"/>
              <w:spacing w:after="0" w:line="183" w:lineRule="exact"/>
              <w:rPr>
                <w:sz w:val="20"/>
                <w:szCs w:val="20"/>
                <w:color w:val="auto"/>
              </w:rPr>
            </w:pPr>
            <w:r>
              <w:rPr>
                <w:rFonts w:ascii="Arial" w:cs="Arial" w:eastAsia="Arial" w:hAnsi="Arial"/>
                <w:sz w:val="16"/>
                <w:szCs w:val="16"/>
                <w:color w:val="auto"/>
                <w:w w:val="89"/>
              </w:rPr>
              <w:t>$</w:t>
            </w:r>
          </w:p>
        </w:tc>
        <w:tc>
          <w:tcPr>
            <w:tcW w:w="17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10.6</w:t>
            </w:r>
          </w:p>
        </w:tc>
        <w:tc>
          <w:tcPr>
            <w:tcW w:w="440" w:type="dxa"/>
            <w:vAlign w:val="bottom"/>
            <w:shd w:val="clear" w:color="auto" w:fill="CFF0FC"/>
          </w:tcPr>
          <w:p>
            <w:pPr>
              <w:jc w:val="right"/>
              <w:ind w:right="199"/>
              <w:spacing w:after="0" w:line="183" w:lineRule="exact"/>
              <w:rPr>
                <w:sz w:val="20"/>
                <w:szCs w:val="20"/>
                <w:color w:val="auto"/>
              </w:rPr>
            </w:pPr>
            <w:r>
              <w:rPr>
                <w:rFonts w:ascii="Arial" w:cs="Arial" w:eastAsia="Arial" w:hAnsi="Arial"/>
                <w:sz w:val="16"/>
                <w:szCs w:val="16"/>
                <w:color w:val="auto"/>
              </w:rPr>
              <w:t>$</w:t>
            </w:r>
          </w:p>
        </w:tc>
        <w:tc>
          <w:tcPr>
            <w:tcW w:w="18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7.0</w:t>
            </w:r>
          </w:p>
        </w:tc>
        <w:tc>
          <w:tcPr>
            <w:tcW w:w="560" w:type="dxa"/>
            <w:vAlign w:val="bottom"/>
            <w:shd w:val="clear" w:color="auto" w:fill="CFF0FC"/>
          </w:tcPr>
          <w:p>
            <w:pPr>
              <w:jc w:val="right"/>
              <w:ind w:right="319"/>
              <w:spacing w:after="0" w:line="183" w:lineRule="exact"/>
              <w:rPr>
                <w:sz w:val="20"/>
                <w:szCs w:val="20"/>
                <w:color w:val="auto"/>
              </w:rPr>
            </w:pPr>
            <w:r>
              <w:rPr>
                <w:rFonts w:ascii="Arial" w:cs="Arial" w:eastAsia="Arial" w:hAnsi="Arial"/>
                <w:sz w:val="16"/>
                <w:szCs w:val="16"/>
                <w:color w:val="auto"/>
              </w:rPr>
              <w:t>$</w:t>
            </w:r>
          </w:p>
        </w:tc>
        <w:tc>
          <w:tcPr>
            <w:tcW w:w="176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8.6</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Restricted Stock</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restricted stock and restricted stock unit awards equals the market price of our stock on the date of grant.</w:t>
      </w:r>
    </w:p>
    <w:p>
      <w:pPr>
        <w:spacing w:after="0" w:line="194"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The shares carry a restriction on the ability to sell the shares until the shares vest. The shares substantially vest over three years, contingent on continued employment. Compensation expense related to the awards is recognized over the vesting period.</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status of the restricted stock and restricted stock units at December 31, 2024, was as follows:</w:t>
      </w:r>
    </w:p>
    <w:p>
      <w:pPr>
        <w:spacing w:after="0" w:line="2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2520" w:type="dxa"/>
            <w:vAlign w:val="bottom"/>
            <w:tcBorders>
              <w:bottom w:val="single" w:sz="8" w:color="auto"/>
            </w:tcBorders>
          </w:tcPr>
          <w:p>
            <w:pPr>
              <w:ind w:left="1040"/>
              <w:spacing w:after="0"/>
              <w:rPr>
                <w:sz w:val="20"/>
                <w:szCs w:val="20"/>
                <w:color w:val="auto"/>
              </w:rPr>
            </w:pPr>
            <w:r>
              <w:rPr>
                <w:rFonts w:ascii="Arial" w:cs="Arial" w:eastAsia="Arial" w:hAnsi="Arial"/>
                <w:sz w:val="16"/>
                <w:szCs w:val="16"/>
                <w:b w:val="1"/>
                <w:bCs w:val="1"/>
                <w:color w:val="auto"/>
              </w:rPr>
              <w:t>Restricted Stock</w:t>
            </w:r>
          </w:p>
        </w:tc>
        <w:tc>
          <w:tcPr>
            <w:tcW w:w="940" w:type="dxa"/>
            <w:vAlign w:val="bottom"/>
            <w:tcBorders>
              <w:bottom w:val="single" w:sz="8" w:color="auto"/>
            </w:tcBorders>
          </w:tcPr>
          <w:p>
            <w:pPr>
              <w:spacing w:after="0"/>
              <w:rPr>
                <w:sz w:val="17"/>
                <w:szCs w:val="17"/>
                <w:color w:val="auto"/>
              </w:rPr>
            </w:pPr>
          </w:p>
        </w:tc>
        <w:tc>
          <w:tcPr>
            <w:tcW w:w="342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6"/>
                <w:szCs w:val="16"/>
                <w:b w:val="1"/>
                <w:bCs w:val="1"/>
                <w:color w:val="auto"/>
              </w:rPr>
              <w:t>Weighted-Average Grant Date Fair Value</w:t>
            </w:r>
          </w:p>
        </w:tc>
      </w:tr>
      <w:tr>
        <w:trPr>
          <w:trHeight w:val="183"/>
        </w:trPr>
        <w:tc>
          <w:tcPr>
            <w:tcW w:w="6880" w:type="dxa"/>
            <w:vAlign w:val="bottom"/>
            <w:gridSpan w:val="2"/>
            <w:shd w:val="clear" w:color="auto" w:fill="CFF0FC"/>
          </w:tcPr>
          <w:p>
            <w:pPr>
              <w:ind w:left="20"/>
              <w:spacing w:after="0" w:line="183" w:lineRule="exact"/>
              <w:rPr>
                <w:sz w:val="20"/>
                <w:szCs w:val="20"/>
                <w:color w:val="auto"/>
              </w:rPr>
            </w:pPr>
            <w:r>
              <w:rPr>
                <w:rFonts w:ascii="Arial" w:cs="Arial" w:eastAsia="Arial" w:hAnsi="Arial"/>
                <w:sz w:val="16"/>
                <w:szCs w:val="16"/>
                <w:color w:val="auto"/>
              </w:rPr>
              <w:t>Balance at January 1, 2024</w:t>
            </w:r>
          </w:p>
        </w:tc>
        <w:tc>
          <w:tcPr>
            <w:tcW w:w="9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164,687</w:t>
            </w:r>
          </w:p>
        </w:tc>
        <w:tc>
          <w:tcPr>
            <w:tcW w:w="1500" w:type="dxa"/>
            <w:vAlign w:val="bottom"/>
            <w:shd w:val="clear" w:color="auto" w:fill="CFF0FC"/>
          </w:tcPr>
          <w:p>
            <w:pPr>
              <w:jc w:val="right"/>
              <w:ind w:right="1319"/>
              <w:spacing w:after="0" w:line="183" w:lineRule="exact"/>
              <w:rPr>
                <w:sz w:val="20"/>
                <w:szCs w:val="20"/>
                <w:color w:val="auto"/>
              </w:rPr>
            </w:pPr>
            <w:r>
              <w:rPr>
                <w:rFonts w:ascii="Arial" w:cs="Arial" w:eastAsia="Arial" w:hAnsi="Arial"/>
                <w:sz w:val="16"/>
                <w:szCs w:val="16"/>
                <w:color w:val="auto"/>
                <w:w w:val="89"/>
              </w:rPr>
              <w:t>$</w:t>
            </w:r>
          </w:p>
        </w:tc>
        <w:tc>
          <w:tcPr>
            <w:tcW w:w="192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64.81</w:t>
            </w:r>
          </w:p>
        </w:tc>
      </w:tr>
      <w:tr>
        <w:trPr>
          <w:trHeight w:val="189"/>
        </w:trPr>
        <w:tc>
          <w:tcPr>
            <w:tcW w:w="6880" w:type="dxa"/>
            <w:vAlign w:val="bottom"/>
            <w:gridSpan w:val="2"/>
          </w:tcPr>
          <w:p>
            <w:pPr>
              <w:ind w:left="200"/>
              <w:spacing w:after="0"/>
              <w:rPr>
                <w:sz w:val="20"/>
                <w:szCs w:val="20"/>
                <w:color w:val="auto"/>
              </w:rPr>
            </w:pPr>
            <w:r>
              <w:rPr>
                <w:rFonts w:ascii="Arial" w:cs="Arial" w:eastAsia="Arial" w:hAnsi="Arial"/>
                <w:sz w:val="16"/>
                <w:szCs w:val="16"/>
                <w:color w:val="auto"/>
              </w:rPr>
              <w:t>Granted</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180,676</w:t>
            </w:r>
          </w:p>
        </w:tc>
        <w:tc>
          <w:tcPr>
            <w:tcW w:w="1500" w:type="dxa"/>
            <w:vAlign w:val="bottom"/>
          </w:tcPr>
          <w:p>
            <w:pPr>
              <w:spacing w:after="0"/>
              <w:rPr>
                <w:sz w:val="16"/>
                <w:szCs w:val="16"/>
                <w:color w:val="auto"/>
              </w:rPr>
            </w:pPr>
          </w:p>
        </w:tc>
        <w:tc>
          <w:tcPr>
            <w:tcW w:w="1920" w:type="dxa"/>
            <w:vAlign w:val="bottom"/>
          </w:tcPr>
          <w:p>
            <w:pPr>
              <w:jc w:val="right"/>
              <w:ind w:right="59"/>
              <w:spacing w:after="0"/>
              <w:rPr>
                <w:sz w:val="20"/>
                <w:szCs w:val="20"/>
                <w:color w:val="auto"/>
              </w:rPr>
            </w:pPr>
            <w:r>
              <w:rPr>
                <w:rFonts w:ascii="Arial" w:cs="Arial" w:eastAsia="Arial" w:hAnsi="Arial"/>
                <w:sz w:val="16"/>
                <w:szCs w:val="16"/>
                <w:color w:val="auto"/>
              </w:rPr>
              <w:t>53.58</w:t>
            </w:r>
          </w:p>
        </w:tc>
      </w:tr>
      <w:tr>
        <w:trPr>
          <w:trHeight w:val="189"/>
        </w:trPr>
        <w:tc>
          <w:tcPr>
            <w:tcW w:w="688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Vested</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(83,737 )</w:t>
            </w:r>
          </w:p>
        </w:tc>
        <w:tc>
          <w:tcPr>
            <w:tcW w:w="1500" w:type="dxa"/>
            <w:vAlign w:val="bottom"/>
            <w:shd w:val="clear" w:color="auto" w:fill="CFF0FC"/>
          </w:tcPr>
          <w:p>
            <w:pPr>
              <w:spacing w:after="0"/>
              <w:rPr>
                <w:sz w:val="16"/>
                <w:szCs w:val="16"/>
                <w:color w:val="auto"/>
              </w:rPr>
            </w:pPr>
          </w:p>
        </w:tc>
        <w:tc>
          <w:tcPr>
            <w:tcW w:w="19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65.11</w:t>
            </w:r>
          </w:p>
        </w:tc>
      </w:tr>
      <w:tr>
        <w:trPr>
          <w:trHeight w:val="189"/>
        </w:trPr>
        <w:tc>
          <w:tcPr>
            <w:tcW w:w="4360" w:type="dxa"/>
            <w:vAlign w:val="bottom"/>
          </w:tcPr>
          <w:p>
            <w:pPr>
              <w:ind w:left="200"/>
              <w:spacing w:after="0"/>
              <w:rPr>
                <w:sz w:val="20"/>
                <w:szCs w:val="20"/>
                <w:color w:val="auto"/>
              </w:rPr>
            </w:pPr>
            <w:r>
              <w:rPr>
                <w:rFonts w:ascii="Arial" w:cs="Arial" w:eastAsia="Arial" w:hAnsi="Arial"/>
                <w:sz w:val="16"/>
                <w:szCs w:val="16"/>
                <w:color w:val="auto"/>
              </w:rPr>
              <w:t>Forfeited</w:t>
            </w:r>
          </w:p>
        </w:tc>
        <w:tc>
          <w:tcPr>
            <w:tcW w:w="25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(29,684 )</w:t>
            </w:r>
          </w:p>
        </w:tc>
        <w:tc>
          <w:tcPr>
            <w:tcW w:w="15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59.13</w:t>
            </w:r>
          </w:p>
        </w:tc>
      </w:tr>
      <w:tr>
        <w:trPr>
          <w:trHeight w:val="223"/>
        </w:trPr>
        <w:tc>
          <w:tcPr>
            <w:tcW w:w="436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Balance at December 31, 2024</w:t>
            </w:r>
          </w:p>
        </w:tc>
        <w:tc>
          <w:tcPr>
            <w:tcW w:w="25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231,942</w:t>
            </w:r>
          </w:p>
        </w:tc>
        <w:tc>
          <w:tcPr>
            <w:tcW w:w="1500" w:type="dxa"/>
            <w:vAlign w:val="bottom"/>
            <w:tcBorders>
              <w:bottom w:val="single" w:sz="8" w:color="auto"/>
            </w:tcBorders>
            <w:shd w:val="clear" w:color="auto" w:fill="CFF0FC"/>
          </w:tcPr>
          <w:p>
            <w:pPr>
              <w:jc w:val="right"/>
              <w:ind w:right="1319"/>
              <w:spacing w:after="0" w:line="183" w:lineRule="exact"/>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56.68</w:t>
            </w:r>
          </w:p>
        </w:tc>
      </w:tr>
    </w:tbl>
    <w:p>
      <w:pPr>
        <w:spacing w:after="0" w:line="175" w:lineRule="exact"/>
        <w:rPr>
          <w:sz w:val="20"/>
          <w:szCs w:val="20"/>
          <w:color w:val="auto"/>
        </w:rPr>
      </w:pPr>
    </w:p>
    <w:p>
      <w:pPr>
        <w:jc w:val="both"/>
        <w:ind w:right="140"/>
        <w:spacing w:after="0" w:line="286" w:lineRule="auto"/>
        <w:rPr>
          <w:sz w:val="20"/>
          <w:szCs w:val="20"/>
          <w:color w:val="auto"/>
        </w:rPr>
      </w:pPr>
      <w:r>
        <w:rPr>
          <w:rFonts w:ascii="Arial" w:cs="Arial" w:eastAsia="Arial" w:hAnsi="Arial"/>
          <w:sz w:val="16"/>
          <w:szCs w:val="16"/>
          <w:color w:val="auto"/>
        </w:rPr>
        <w:t>The weighted-average grant-date fair value of restricted stock granted, and the total fair value of shares vested during the years ended December 31, were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20" w:type="dxa"/>
            <w:vAlign w:val="bottom"/>
          </w:tcPr>
          <w:p>
            <w:pPr>
              <w:spacing w:after="0"/>
              <w:rPr>
                <w:sz w:val="17"/>
                <w:szCs w:val="17"/>
                <w:color w:val="auto"/>
              </w:rPr>
            </w:pPr>
          </w:p>
        </w:tc>
        <w:tc>
          <w:tcPr>
            <w:tcW w:w="41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Weighted-Average Grant Date Fair Value</w:t>
            </w:r>
          </w:p>
        </w:tc>
        <w:tc>
          <w:tcPr>
            <w:tcW w:w="7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62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Total Fair Value of Shares Vested</w:t>
            </w:r>
          </w:p>
        </w:tc>
      </w:tr>
      <w:tr>
        <w:trPr>
          <w:trHeight w:val="183"/>
        </w:trPr>
        <w:tc>
          <w:tcPr>
            <w:tcW w:w="23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620" w:type="dxa"/>
            <w:vAlign w:val="bottom"/>
            <w:tcBorders>
              <w:bottom w:val="single" w:sz="8" w:color="auto"/>
            </w:tcBorders>
          </w:tcPr>
          <w:p>
            <w:pPr>
              <w:jc w:val="right"/>
              <w:ind w:right="1579"/>
              <w:spacing w:after="0" w:line="183" w:lineRule="exact"/>
              <w:rPr>
                <w:sz w:val="20"/>
                <w:szCs w:val="20"/>
                <w:color w:val="auto"/>
              </w:rPr>
            </w:pPr>
            <w:r>
              <w:rPr>
                <w:rFonts w:ascii="Arial" w:cs="Arial" w:eastAsia="Arial" w:hAnsi="Arial"/>
                <w:sz w:val="16"/>
                <w:szCs w:val="16"/>
                <w:color w:val="auto"/>
              </w:rPr>
              <w:t>(in millions)</w:t>
            </w:r>
          </w:p>
        </w:tc>
      </w:tr>
      <w:tr>
        <w:trPr>
          <w:trHeight w:val="183"/>
        </w:trPr>
        <w:tc>
          <w:tcPr>
            <w:tcW w:w="2320" w:type="dxa"/>
            <w:vAlign w:val="bottom"/>
            <w:shd w:val="clear" w:color="auto" w:fill="CFF0FC"/>
          </w:tcPr>
          <w:p>
            <w:pPr>
              <w:jc w:val="right"/>
              <w:ind w:right="1859"/>
              <w:spacing w:after="0" w:line="183" w:lineRule="exact"/>
              <w:rPr>
                <w:sz w:val="20"/>
                <w:szCs w:val="20"/>
                <w:color w:val="auto"/>
              </w:rPr>
            </w:pPr>
            <w:r>
              <w:rPr>
                <w:rFonts w:ascii="Arial" w:cs="Arial" w:eastAsia="Arial" w:hAnsi="Arial"/>
                <w:sz w:val="16"/>
                <w:szCs w:val="16"/>
                <w:color w:val="auto"/>
              </w:rPr>
              <w:t>2024</w:t>
            </w:r>
          </w:p>
        </w:tc>
        <w:tc>
          <w:tcPr>
            <w:tcW w:w="4160" w:type="dxa"/>
            <w:vAlign w:val="bottom"/>
            <w:shd w:val="clear" w:color="auto" w:fill="CFF0FC"/>
          </w:tcPr>
          <w:p>
            <w:pPr>
              <w:jc w:val="right"/>
              <w:ind w:right="3979"/>
              <w:spacing w:after="0" w:line="183" w:lineRule="exact"/>
              <w:rPr>
                <w:sz w:val="20"/>
                <w:szCs w:val="20"/>
                <w:color w:val="auto"/>
              </w:rPr>
            </w:pPr>
            <w:r>
              <w:rPr>
                <w:rFonts w:ascii="Arial" w:cs="Arial" w:eastAsia="Arial" w:hAnsi="Arial"/>
                <w:sz w:val="16"/>
                <w:szCs w:val="16"/>
                <w:color w:val="auto"/>
                <w:w w:val="89"/>
              </w:rPr>
              <w:t>$</w:t>
            </w:r>
          </w:p>
        </w:tc>
        <w:tc>
          <w:tcPr>
            <w:tcW w:w="76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53.58</w:t>
            </w:r>
          </w:p>
        </w:tc>
        <w:tc>
          <w:tcPr>
            <w:tcW w:w="380" w:type="dxa"/>
            <w:vAlign w:val="bottom"/>
            <w:shd w:val="clear" w:color="auto" w:fill="CFF0FC"/>
          </w:tcPr>
          <w:p>
            <w:pPr>
              <w:jc w:val="right"/>
              <w:ind w:right="199"/>
              <w:spacing w:after="0" w:line="183" w:lineRule="exact"/>
              <w:rPr>
                <w:sz w:val="20"/>
                <w:szCs w:val="20"/>
                <w:color w:val="auto"/>
              </w:rPr>
            </w:pPr>
            <w:r>
              <w:rPr>
                <w:rFonts w:ascii="Arial" w:cs="Arial" w:eastAsia="Arial" w:hAnsi="Arial"/>
                <w:sz w:val="16"/>
                <w:szCs w:val="16"/>
                <w:color w:val="auto"/>
                <w:w w:val="89"/>
              </w:rPr>
              <w:t>$</w:t>
            </w:r>
          </w:p>
        </w:tc>
        <w:tc>
          <w:tcPr>
            <w:tcW w:w="362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4.5</w:t>
            </w:r>
          </w:p>
        </w:tc>
      </w:tr>
      <w:tr>
        <w:trPr>
          <w:trHeight w:val="189"/>
        </w:trPr>
        <w:tc>
          <w:tcPr>
            <w:tcW w:w="2320" w:type="dxa"/>
            <w:vAlign w:val="bottom"/>
          </w:tcPr>
          <w:p>
            <w:pPr>
              <w:jc w:val="right"/>
              <w:ind w:right="1859"/>
              <w:spacing w:after="0"/>
              <w:rPr>
                <w:sz w:val="20"/>
                <w:szCs w:val="20"/>
                <w:color w:val="auto"/>
              </w:rPr>
            </w:pPr>
            <w:r>
              <w:rPr>
                <w:rFonts w:ascii="Arial" w:cs="Arial" w:eastAsia="Arial" w:hAnsi="Arial"/>
                <w:sz w:val="16"/>
                <w:szCs w:val="16"/>
                <w:color w:val="auto"/>
              </w:rPr>
              <w:t>2023</w:t>
            </w:r>
          </w:p>
        </w:tc>
        <w:tc>
          <w:tcPr>
            <w:tcW w:w="4160" w:type="dxa"/>
            <w:vAlign w:val="bottom"/>
          </w:tcPr>
          <w:p>
            <w:pPr>
              <w:jc w:val="right"/>
              <w:ind w:right="397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63.33</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3620" w:type="dxa"/>
            <w:vAlign w:val="bottom"/>
          </w:tcPr>
          <w:p>
            <w:pPr>
              <w:jc w:val="right"/>
              <w:ind w:right="59"/>
              <w:spacing w:after="0"/>
              <w:rPr>
                <w:sz w:val="20"/>
                <w:szCs w:val="20"/>
                <w:color w:val="auto"/>
              </w:rPr>
            </w:pPr>
            <w:r>
              <w:rPr>
                <w:rFonts w:ascii="Arial" w:cs="Arial" w:eastAsia="Arial" w:hAnsi="Arial"/>
                <w:sz w:val="16"/>
                <w:szCs w:val="16"/>
                <w:color w:val="auto"/>
              </w:rPr>
              <w:t>5.9</w:t>
            </w:r>
          </w:p>
        </w:tc>
      </w:tr>
      <w:tr>
        <w:trPr>
          <w:trHeight w:val="189"/>
        </w:trPr>
        <w:tc>
          <w:tcPr>
            <w:tcW w:w="2320" w:type="dxa"/>
            <w:vAlign w:val="bottom"/>
            <w:shd w:val="clear" w:color="auto" w:fill="CFF0FC"/>
          </w:tcPr>
          <w:p>
            <w:pPr>
              <w:jc w:val="right"/>
              <w:ind w:right="1859"/>
              <w:spacing w:after="0"/>
              <w:rPr>
                <w:sz w:val="20"/>
                <w:szCs w:val="20"/>
                <w:color w:val="auto"/>
              </w:rPr>
            </w:pPr>
            <w:r>
              <w:rPr>
                <w:rFonts w:ascii="Arial" w:cs="Arial" w:eastAsia="Arial" w:hAnsi="Arial"/>
                <w:sz w:val="16"/>
                <w:szCs w:val="16"/>
                <w:color w:val="auto"/>
              </w:rPr>
              <w:t>2022</w:t>
            </w:r>
          </w:p>
        </w:tc>
        <w:tc>
          <w:tcPr>
            <w:tcW w:w="4160" w:type="dxa"/>
            <w:vAlign w:val="bottom"/>
            <w:shd w:val="clear" w:color="auto" w:fill="CFF0FC"/>
          </w:tcPr>
          <w:p>
            <w:pPr>
              <w:jc w:val="right"/>
              <w:ind w:right="397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69.03</w:t>
            </w:r>
          </w:p>
        </w:tc>
        <w:tc>
          <w:tcPr>
            <w:tcW w:w="38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w w:val="89"/>
              </w:rPr>
              <w:t>$</w:t>
            </w:r>
          </w:p>
        </w:tc>
        <w:tc>
          <w:tcPr>
            <w:tcW w:w="36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6.4</w:t>
            </w:r>
          </w:p>
        </w:tc>
      </w:tr>
    </w:tbl>
    <w:p>
      <w:pPr>
        <w:spacing w:after="0" w:line="175"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auto"/>
        </w:rPr>
        <w:t>As of December 31, 2024, there was $8.6 million of unrecognized compensation expense related to non-vested restricted stock that is expected to be recognized over a weighted-average period of 2.1 years.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Performance Share Units</w:t>
      </w:r>
    </w:p>
    <w:p>
      <w:pPr>
        <w:spacing w:after="0" w:line="194"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Beginning in 2021, certain officers of the Company, and its subsidiaries, were granted performance share units which have a three-year vesting period, do not have voting rights until vested, and are subject to three specified conditions. A market condition of relative total shareholder return and two equally weighted performance metrics of average earnings per share and the average cost to serve. Beginning in 2023, the metric of natural gas emissions reduction by 2035 was added, resulting in three equally weighted performance metrics. The units are paid 100% in common stock should conditions be met and can range from 0% to 200% of the target award. Dividend equivalents are accrued during the vesting period and paid out based on the final number of shares awarded. In the event of participant’s death or retirement at age 55 or older, shares awarded vest on a pro-rata basis commensurate with the months of service performed over the three-year period.</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Performance Share Units - Market Condition</w:t>
      </w:r>
    </w:p>
    <w:p>
      <w:pPr>
        <w:spacing w:after="0" w:line="192"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The fair value of each share unit is based on the Company’s closing price at December 31 of the year prior to the award and a Monte Carlo simulation. The Monte Carlo simulation is used to estimate expected share payout based on the Company’s TSR for a three-year performance period relative to the designated peer group beginning January 1 of the award year. The significant assumptions included in the company's Monte Carlo simulations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80" w:type="dxa"/>
            <w:vAlign w:val="bottom"/>
          </w:tcPr>
          <w:p>
            <w:pPr>
              <w:spacing w:after="0"/>
              <w:rPr>
                <w:sz w:val="17"/>
                <w:szCs w:val="17"/>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2024</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2023</w:t>
            </w:r>
          </w:p>
        </w:tc>
      </w:tr>
      <w:tr>
        <w:trPr>
          <w:trHeight w:val="183"/>
        </w:trPr>
        <w:tc>
          <w:tcPr>
            <w:tcW w:w="738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Fair value of share units award</w:t>
            </w:r>
          </w:p>
        </w:tc>
        <w:tc>
          <w:tcPr>
            <w:tcW w:w="1920" w:type="dxa"/>
            <w:vAlign w:val="bottom"/>
            <w:shd w:val="clear" w:color="auto" w:fill="CFF0FC"/>
          </w:tcPr>
          <w:p>
            <w:pPr>
              <w:jc w:val="center"/>
              <w:spacing w:after="0" w:line="183" w:lineRule="exact"/>
              <w:rPr>
                <w:sz w:val="20"/>
                <w:szCs w:val="20"/>
                <w:color w:val="auto"/>
              </w:rPr>
            </w:pPr>
            <w:r>
              <w:rPr>
                <w:rFonts w:ascii="Arial" w:cs="Arial" w:eastAsia="Arial" w:hAnsi="Arial"/>
                <w:sz w:val="16"/>
                <w:szCs w:val="16"/>
                <w:color w:val="auto"/>
                <w:w w:val="98"/>
              </w:rPr>
              <w:t>$55.14</w:t>
            </w:r>
          </w:p>
        </w:tc>
        <w:tc>
          <w:tcPr>
            <w:tcW w:w="1940" w:type="dxa"/>
            <w:vAlign w:val="bottom"/>
            <w:shd w:val="clear" w:color="auto" w:fill="CFF0FC"/>
          </w:tcPr>
          <w:p>
            <w:pPr>
              <w:jc w:val="center"/>
              <w:spacing w:after="0" w:line="183" w:lineRule="exact"/>
              <w:rPr>
                <w:sz w:val="20"/>
                <w:szCs w:val="20"/>
                <w:color w:val="auto"/>
              </w:rPr>
            </w:pPr>
            <w:r>
              <w:rPr>
                <w:rFonts w:ascii="Arial" w:cs="Arial" w:eastAsia="Arial" w:hAnsi="Arial"/>
                <w:sz w:val="16"/>
                <w:szCs w:val="16"/>
                <w:color w:val="auto"/>
              </w:rPr>
              <w:t>$77.95</w:t>
            </w:r>
          </w:p>
        </w:tc>
      </w:tr>
      <w:tr>
        <w:trPr>
          <w:trHeight w:val="189"/>
        </w:trPr>
        <w:tc>
          <w:tcPr>
            <w:tcW w:w="7380" w:type="dxa"/>
            <w:vAlign w:val="bottom"/>
          </w:tcPr>
          <w:p>
            <w:pPr>
              <w:ind w:left="20"/>
              <w:spacing w:after="0"/>
              <w:rPr>
                <w:sz w:val="20"/>
                <w:szCs w:val="20"/>
                <w:color w:val="auto"/>
              </w:rPr>
            </w:pPr>
            <w:r>
              <w:rPr>
                <w:rFonts w:ascii="Arial" w:cs="Arial" w:eastAsia="Arial" w:hAnsi="Arial"/>
                <w:sz w:val="16"/>
                <w:szCs w:val="16"/>
                <w:color w:val="auto"/>
              </w:rPr>
              <w:t>Risk-free rate</w:t>
            </w:r>
          </w:p>
        </w:tc>
        <w:tc>
          <w:tcPr>
            <w:tcW w:w="1920" w:type="dxa"/>
            <w:vAlign w:val="bottom"/>
          </w:tcPr>
          <w:p>
            <w:pPr>
              <w:jc w:val="center"/>
              <w:spacing w:after="0"/>
              <w:rPr>
                <w:sz w:val="20"/>
                <w:szCs w:val="20"/>
                <w:color w:val="auto"/>
              </w:rPr>
            </w:pPr>
            <w:r>
              <w:rPr>
                <w:rFonts w:ascii="Arial" w:cs="Arial" w:eastAsia="Arial" w:hAnsi="Arial"/>
                <w:sz w:val="16"/>
                <w:szCs w:val="16"/>
                <w:color w:val="auto"/>
              </w:rPr>
              <w:t>4.12%</w:t>
            </w:r>
          </w:p>
        </w:tc>
        <w:tc>
          <w:tcPr>
            <w:tcW w:w="1940" w:type="dxa"/>
            <w:vAlign w:val="bottom"/>
          </w:tcPr>
          <w:p>
            <w:pPr>
              <w:jc w:val="center"/>
              <w:spacing w:after="0"/>
              <w:rPr>
                <w:sz w:val="20"/>
                <w:szCs w:val="20"/>
                <w:color w:val="auto"/>
              </w:rPr>
            </w:pPr>
            <w:r>
              <w:rPr>
                <w:rFonts w:ascii="Arial" w:cs="Arial" w:eastAsia="Arial" w:hAnsi="Arial"/>
                <w:sz w:val="16"/>
                <w:szCs w:val="16"/>
                <w:color w:val="auto"/>
              </w:rPr>
              <w:t>3.84%</w:t>
            </w:r>
          </w:p>
        </w:tc>
      </w:tr>
      <w:tr>
        <w:trPr>
          <w:trHeight w:val="189"/>
        </w:trPr>
        <w:tc>
          <w:tcPr>
            <w:tcW w:w="7380" w:type="dxa"/>
            <w:vAlign w:val="bottom"/>
            <w:shd w:val="clear" w:color="auto" w:fill="CFF0FC"/>
          </w:tcPr>
          <w:p>
            <w:pPr>
              <w:ind w:left="20"/>
              <w:spacing w:after="0"/>
              <w:rPr>
                <w:sz w:val="20"/>
                <w:szCs w:val="20"/>
                <w:color w:val="auto"/>
              </w:rPr>
            </w:pPr>
            <w:r>
              <w:rPr>
                <w:rFonts w:ascii="Arial" w:cs="Arial" w:eastAsia="Arial" w:hAnsi="Arial"/>
                <w:sz w:val="16"/>
                <w:szCs w:val="16"/>
                <w:color w:val="auto"/>
              </w:rPr>
              <w:t>Black Hills Corporation’s common stock volatility</w:t>
            </w:r>
          </w:p>
        </w:tc>
        <w:tc>
          <w:tcPr>
            <w:tcW w:w="19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24%</w:t>
            </w:r>
          </w:p>
        </w:tc>
        <w:tc>
          <w:tcPr>
            <w:tcW w:w="19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31%</w:t>
            </w:r>
          </w:p>
        </w:tc>
      </w:tr>
      <w:tr>
        <w:trPr>
          <w:trHeight w:val="215"/>
        </w:trPr>
        <w:tc>
          <w:tcPr>
            <w:tcW w:w="7380" w:type="dxa"/>
            <w:vAlign w:val="bottom"/>
          </w:tcPr>
          <w:p>
            <w:pPr>
              <w:ind w:left="20"/>
              <w:spacing w:after="0"/>
              <w:rPr>
                <w:sz w:val="20"/>
                <w:szCs w:val="20"/>
                <w:color w:val="auto"/>
              </w:rPr>
            </w:pPr>
            <w:r>
              <w:rPr>
                <w:rFonts w:ascii="Arial" w:cs="Arial" w:eastAsia="Arial" w:hAnsi="Arial"/>
                <w:sz w:val="16"/>
                <w:szCs w:val="16"/>
                <w:color w:val="auto"/>
              </w:rPr>
              <w:t>Volatility range for the peer group</w:t>
            </w:r>
          </w:p>
        </w:tc>
        <w:tc>
          <w:tcPr>
            <w:tcW w:w="1920" w:type="dxa"/>
            <w:vAlign w:val="bottom"/>
          </w:tcPr>
          <w:p>
            <w:pPr>
              <w:jc w:val="center"/>
              <w:spacing w:after="0"/>
              <w:rPr>
                <w:sz w:val="20"/>
                <w:szCs w:val="20"/>
                <w:color w:val="auto"/>
              </w:rPr>
            </w:pPr>
            <w:r>
              <w:rPr>
                <w:rFonts w:ascii="Arial" w:cs="Arial" w:eastAsia="Arial" w:hAnsi="Arial"/>
                <w:sz w:val="16"/>
                <w:szCs w:val="16"/>
                <w:color w:val="auto"/>
              </w:rPr>
              <w:t>12-53%</w:t>
            </w:r>
          </w:p>
        </w:tc>
        <w:tc>
          <w:tcPr>
            <w:tcW w:w="1940" w:type="dxa"/>
            <w:vAlign w:val="bottom"/>
          </w:tcPr>
          <w:p>
            <w:pPr>
              <w:jc w:val="center"/>
              <w:spacing w:after="0"/>
              <w:rPr>
                <w:sz w:val="20"/>
                <w:szCs w:val="20"/>
                <w:color w:val="auto"/>
              </w:rPr>
            </w:pPr>
            <w:r>
              <w:rPr>
                <w:rFonts w:ascii="Arial" w:cs="Arial" w:eastAsia="Arial" w:hAnsi="Arial"/>
                <w:sz w:val="16"/>
                <w:szCs w:val="16"/>
                <w:color w:val="auto"/>
              </w:rPr>
              <w:t>24-39%</w:t>
            </w:r>
          </w:p>
        </w:tc>
      </w:tr>
    </w:tbl>
    <w:p>
      <w:pPr>
        <w:spacing w:after="0" w:line="15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Performance Share Units - Performance Condition</w:t>
      </w:r>
    </w:p>
    <w:p>
      <w:pPr>
        <w:spacing w:after="0" w:line="192" w:lineRule="exact"/>
        <w:rPr>
          <w:sz w:val="20"/>
          <w:szCs w:val="20"/>
          <w:color w:val="auto"/>
        </w:rPr>
      </w:pPr>
    </w:p>
    <w:p>
      <w:pPr>
        <w:ind w:right="280"/>
        <w:spacing w:after="0" w:line="259" w:lineRule="auto"/>
        <w:rPr>
          <w:sz w:val="20"/>
          <w:szCs w:val="20"/>
          <w:color w:val="auto"/>
        </w:rPr>
      </w:pPr>
      <w:r>
        <w:rPr>
          <w:rFonts w:ascii="Arial" w:cs="Arial" w:eastAsia="Arial" w:hAnsi="Arial"/>
          <w:sz w:val="16"/>
          <w:szCs w:val="16"/>
          <w:color w:val="auto"/>
        </w:rPr>
        <w:t>A performance condition share unit vests at the end of the three-year performance period if the specified performance conditions are achieved. The conditions are based on the Company’s average earnings per share, the average cost to serve and natural gas emissions reductions by 2035. The grant-date fair value for an individual outcome of a performance condition is determined by the closing common share price on the grant date or, beginning in 2023, the average ten-day closing common share price preceding the grant date.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5" w:name="page96"/>
    <w:bookmarkEnd w:id="9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performance share unit activity for the year ended December 31, 2024: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80" w:type="dxa"/>
            <w:vAlign w:val="bottom"/>
          </w:tcPr>
          <w:p>
            <w:pPr>
              <w:spacing w:after="0"/>
              <w:rPr>
                <w:sz w:val="16"/>
                <w:szCs w:val="16"/>
                <w:color w:val="auto"/>
              </w:rPr>
            </w:pPr>
          </w:p>
        </w:tc>
        <w:tc>
          <w:tcPr>
            <w:tcW w:w="3040" w:type="dxa"/>
            <w:vAlign w:val="bottom"/>
            <w:gridSpan w:val="2"/>
          </w:tcPr>
          <w:p>
            <w:pPr>
              <w:ind w:left="800"/>
              <w:spacing w:after="0"/>
              <w:rPr>
                <w:sz w:val="20"/>
                <w:szCs w:val="20"/>
                <w:color w:val="auto"/>
              </w:rPr>
            </w:pPr>
            <w:r>
              <w:rPr>
                <w:rFonts w:ascii="Arial" w:cs="Arial" w:eastAsia="Arial" w:hAnsi="Arial"/>
                <w:sz w:val="16"/>
                <w:szCs w:val="16"/>
                <w:b w:val="1"/>
                <w:bCs w:val="1"/>
                <w:color w:val="auto"/>
              </w:rPr>
              <w:t>Performance Share Units -</w:t>
            </w:r>
          </w:p>
        </w:tc>
        <w:tc>
          <w:tcPr>
            <w:tcW w:w="880" w:type="dxa"/>
            <w:vAlign w:val="bottom"/>
          </w:tcPr>
          <w:p>
            <w:pPr>
              <w:spacing w:after="0"/>
              <w:rPr>
                <w:sz w:val="16"/>
                <w:szCs w:val="16"/>
                <w:color w:val="auto"/>
              </w:rPr>
            </w:pPr>
          </w:p>
        </w:tc>
        <w:tc>
          <w:tcPr>
            <w:tcW w:w="2980" w:type="dxa"/>
            <w:vAlign w:val="bottom"/>
            <w:gridSpan w:val="2"/>
          </w:tcPr>
          <w:p>
            <w:pPr>
              <w:jc w:val="center"/>
              <w:ind w:left="379"/>
              <w:spacing w:after="0"/>
              <w:rPr>
                <w:sz w:val="20"/>
                <w:szCs w:val="20"/>
                <w:color w:val="auto"/>
              </w:rPr>
            </w:pPr>
            <w:r>
              <w:rPr>
                <w:rFonts w:ascii="Arial" w:cs="Arial" w:eastAsia="Arial" w:hAnsi="Arial"/>
                <w:sz w:val="16"/>
                <w:szCs w:val="16"/>
                <w:b w:val="1"/>
                <w:bCs w:val="1"/>
                <w:color w:val="auto"/>
              </w:rPr>
              <w:t>Performance Share Units -</w:t>
            </w:r>
          </w:p>
        </w:tc>
        <w:tc>
          <w:tcPr>
            <w:tcW w:w="760" w:type="dxa"/>
            <w:vAlign w:val="bottom"/>
          </w:tcPr>
          <w:p>
            <w:pPr>
              <w:spacing w:after="0"/>
              <w:rPr>
                <w:sz w:val="16"/>
                <w:szCs w:val="16"/>
                <w:color w:val="auto"/>
              </w:rPr>
            </w:pPr>
          </w:p>
        </w:tc>
      </w:tr>
      <w:tr>
        <w:trPr>
          <w:trHeight w:val="203"/>
        </w:trPr>
        <w:tc>
          <w:tcPr>
            <w:tcW w:w="3580" w:type="dxa"/>
            <w:vAlign w:val="bottom"/>
          </w:tcPr>
          <w:p>
            <w:pPr>
              <w:spacing w:after="0"/>
              <w:rPr>
                <w:sz w:val="17"/>
                <w:szCs w:val="17"/>
                <w:color w:val="auto"/>
              </w:rPr>
            </w:pPr>
          </w:p>
        </w:tc>
        <w:tc>
          <w:tcPr>
            <w:tcW w:w="3040" w:type="dxa"/>
            <w:vAlign w:val="bottom"/>
            <w:tcBorders>
              <w:bottom w:val="single" w:sz="8" w:color="auto"/>
            </w:tcBorders>
            <w:gridSpan w:val="2"/>
          </w:tcPr>
          <w:p>
            <w:pPr>
              <w:jc w:val="center"/>
              <w:ind w:left="559"/>
              <w:spacing w:after="0"/>
              <w:rPr>
                <w:sz w:val="20"/>
                <w:szCs w:val="20"/>
                <w:color w:val="auto"/>
              </w:rPr>
            </w:pPr>
            <w:r>
              <w:rPr>
                <w:rFonts w:ascii="Arial" w:cs="Arial" w:eastAsia="Arial" w:hAnsi="Arial"/>
                <w:sz w:val="16"/>
                <w:szCs w:val="16"/>
                <w:b w:val="1"/>
                <w:bCs w:val="1"/>
                <w:color w:val="auto"/>
              </w:rPr>
              <w:t>Market Condition</w:t>
            </w:r>
          </w:p>
        </w:tc>
        <w:tc>
          <w:tcPr>
            <w:tcW w:w="88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2"/>
          </w:tcPr>
          <w:p>
            <w:pPr>
              <w:jc w:val="center"/>
              <w:ind w:left="439"/>
              <w:spacing w:after="0"/>
              <w:rPr>
                <w:sz w:val="20"/>
                <w:szCs w:val="20"/>
                <w:color w:val="auto"/>
              </w:rPr>
            </w:pPr>
            <w:r>
              <w:rPr>
                <w:rFonts w:ascii="Arial" w:cs="Arial" w:eastAsia="Arial" w:hAnsi="Arial"/>
                <w:sz w:val="16"/>
                <w:szCs w:val="16"/>
                <w:b w:val="1"/>
                <w:bCs w:val="1"/>
                <w:color w:val="auto"/>
              </w:rPr>
              <w:t>Performance Condition</w:t>
            </w:r>
          </w:p>
        </w:tc>
        <w:tc>
          <w:tcPr>
            <w:tcW w:w="760" w:type="dxa"/>
            <w:vAlign w:val="bottom"/>
            <w:tcBorders>
              <w:bottom w:val="single" w:sz="8" w:color="auto"/>
            </w:tcBorders>
          </w:tcPr>
          <w:p>
            <w:pPr>
              <w:spacing w:after="0"/>
              <w:rPr>
                <w:sz w:val="17"/>
                <w:szCs w:val="17"/>
                <w:color w:val="auto"/>
              </w:rPr>
            </w:pPr>
          </w:p>
        </w:tc>
      </w:tr>
      <w:tr>
        <w:trPr>
          <w:trHeight w:val="168"/>
        </w:trPr>
        <w:tc>
          <w:tcPr>
            <w:tcW w:w="35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140" w:type="dxa"/>
            <w:vAlign w:val="bottom"/>
            <w:gridSpan w:val="2"/>
          </w:tcPr>
          <w:p>
            <w:pPr>
              <w:jc w:val="right"/>
              <w:ind w:right="239"/>
              <w:spacing w:after="0" w:line="168" w:lineRule="exact"/>
              <w:rPr>
                <w:sz w:val="20"/>
                <w:szCs w:val="20"/>
                <w:color w:val="auto"/>
              </w:rPr>
            </w:pPr>
            <w:r>
              <w:rPr>
                <w:rFonts w:ascii="Arial" w:cs="Arial" w:eastAsia="Arial" w:hAnsi="Arial"/>
                <w:sz w:val="16"/>
                <w:szCs w:val="16"/>
                <w:b w:val="1"/>
                <w:bCs w:val="1"/>
                <w:color w:val="auto"/>
              </w:rPr>
              <w:t>Weighted-Average Fair</w:t>
            </w:r>
          </w:p>
        </w:tc>
        <w:tc>
          <w:tcPr>
            <w:tcW w:w="1660" w:type="dxa"/>
            <w:vAlign w:val="bottom"/>
          </w:tcPr>
          <w:p>
            <w:pPr>
              <w:spacing w:after="0"/>
              <w:rPr>
                <w:sz w:val="14"/>
                <w:szCs w:val="14"/>
                <w:color w:val="auto"/>
              </w:rPr>
            </w:pPr>
          </w:p>
        </w:tc>
        <w:tc>
          <w:tcPr>
            <w:tcW w:w="2080" w:type="dxa"/>
            <w:vAlign w:val="bottom"/>
            <w:gridSpan w:val="2"/>
          </w:tcPr>
          <w:p>
            <w:pPr>
              <w:jc w:val="right"/>
              <w:ind w:right="159"/>
              <w:spacing w:after="0" w:line="168" w:lineRule="exact"/>
              <w:rPr>
                <w:sz w:val="20"/>
                <w:szCs w:val="20"/>
                <w:color w:val="auto"/>
              </w:rPr>
            </w:pPr>
            <w:r>
              <w:rPr>
                <w:rFonts w:ascii="Arial" w:cs="Arial" w:eastAsia="Arial" w:hAnsi="Arial"/>
                <w:sz w:val="16"/>
                <w:szCs w:val="16"/>
                <w:b w:val="1"/>
                <w:bCs w:val="1"/>
                <w:color w:val="auto"/>
              </w:rPr>
              <w:t>Weighted-Average Fair</w:t>
            </w:r>
          </w:p>
        </w:tc>
      </w:tr>
      <w:tr>
        <w:trPr>
          <w:trHeight w:val="203"/>
        </w:trPr>
        <w:tc>
          <w:tcPr>
            <w:tcW w:w="35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Share Units</w:t>
            </w:r>
          </w:p>
        </w:tc>
        <w:tc>
          <w:tcPr>
            <w:tcW w:w="2140" w:type="dxa"/>
            <w:vAlign w:val="bottom"/>
            <w:tcBorders>
              <w:bottom w:val="single" w:sz="8" w:color="auto"/>
            </w:tcBorders>
            <w:gridSpan w:val="2"/>
          </w:tcPr>
          <w:p>
            <w:pPr>
              <w:jc w:val="right"/>
              <w:ind w:right="319"/>
              <w:spacing w:after="0"/>
              <w:rPr>
                <w:sz w:val="20"/>
                <w:szCs w:val="20"/>
                <w:color w:val="auto"/>
              </w:rPr>
            </w:pPr>
            <w:r>
              <w:rPr>
                <w:rFonts w:ascii="Arial" w:cs="Arial" w:eastAsia="Arial" w:hAnsi="Arial"/>
                <w:sz w:val="16"/>
                <w:szCs w:val="16"/>
                <w:b w:val="1"/>
                <w:bCs w:val="1"/>
                <w:color w:val="auto"/>
              </w:rPr>
              <w:t>Value per Share Unit</w:t>
            </w:r>
          </w:p>
        </w:tc>
        <w:tc>
          <w:tcPr>
            <w:tcW w:w="16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Share Units</w:t>
            </w:r>
          </w:p>
        </w:tc>
        <w:tc>
          <w:tcPr>
            <w:tcW w:w="2080" w:type="dxa"/>
            <w:vAlign w:val="bottom"/>
            <w:tcBorders>
              <w:bottom w:val="single" w:sz="8" w:color="auto"/>
            </w:tcBorders>
            <w:gridSpan w:val="2"/>
          </w:tcPr>
          <w:p>
            <w:pPr>
              <w:jc w:val="right"/>
              <w:ind w:right="219"/>
              <w:spacing w:after="0"/>
              <w:rPr>
                <w:sz w:val="20"/>
                <w:szCs w:val="20"/>
                <w:color w:val="auto"/>
              </w:rPr>
            </w:pPr>
            <w:r>
              <w:rPr>
                <w:rFonts w:ascii="Arial" w:cs="Arial" w:eastAsia="Arial" w:hAnsi="Arial"/>
                <w:sz w:val="16"/>
                <w:szCs w:val="16"/>
                <w:b w:val="1"/>
                <w:bCs w:val="1"/>
                <w:color w:val="auto"/>
              </w:rPr>
              <w:t>Value per Share Unit</w:t>
            </w:r>
          </w:p>
        </w:tc>
      </w:tr>
      <w:tr>
        <w:trPr>
          <w:trHeight w:val="183"/>
        </w:trPr>
        <w:tc>
          <w:tcPr>
            <w:tcW w:w="358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Nonvested at January 1, 2024</w:t>
            </w:r>
          </w:p>
        </w:tc>
        <w:tc>
          <w:tcPr>
            <w:tcW w:w="17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110,747</w:t>
            </w:r>
          </w:p>
        </w:tc>
        <w:tc>
          <w:tcPr>
            <w:tcW w:w="1260" w:type="dxa"/>
            <w:vAlign w:val="bottom"/>
            <w:shd w:val="clear" w:color="auto" w:fill="CFF0FC"/>
          </w:tcPr>
          <w:p>
            <w:pPr>
              <w:jc w:val="center"/>
              <w:ind w:right="1039"/>
              <w:spacing w:after="0" w:line="183" w:lineRule="exact"/>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ind w:right="179"/>
              <w:spacing w:after="0" w:line="183" w:lineRule="exact"/>
              <w:rPr>
                <w:sz w:val="20"/>
                <w:szCs w:val="20"/>
                <w:color w:val="auto"/>
              </w:rPr>
            </w:pPr>
            <w:r>
              <w:rPr>
                <w:rFonts w:ascii="Arial" w:cs="Arial" w:eastAsia="Arial" w:hAnsi="Arial"/>
                <w:sz w:val="16"/>
                <w:szCs w:val="16"/>
                <w:color w:val="auto"/>
              </w:rPr>
              <w:t>73.31</w:t>
            </w:r>
          </w:p>
        </w:tc>
        <w:tc>
          <w:tcPr>
            <w:tcW w:w="166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62,654</w:t>
            </w:r>
          </w:p>
        </w:tc>
        <w:tc>
          <w:tcPr>
            <w:tcW w:w="1320" w:type="dxa"/>
            <w:vAlign w:val="bottom"/>
            <w:shd w:val="clear" w:color="auto" w:fill="CFF0FC"/>
          </w:tcPr>
          <w:p>
            <w:pPr>
              <w:jc w:val="center"/>
              <w:ind w:right="1099"/>
              <w:spacing w:after="0" w:line="183" w:lineRule="exact"/>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67.88</w:t>
            </w:r>
          </w:p>
        </w:tc>
      </w:tr>
      <w:tr>
        <w:trPr>
          <w:trHeight w:val="189"/>
        </w:trPr>
        <w:tc>
          <w:tcPr>
            <w:tcW w:w="3580" w:type="dxa"/>
            <w:vAlign w:val="bottom"/>
          </w:tcPr>
          <w:p>
            <w:pPr>
              <w:ind w:left="20"/>
              <w:spacing w:after="0"/>
              <w:rPr>
                <w:sz w:val="20"/>
                <w:szCs w:val="20"/>
                <w:color w:val="auto"/>
              </w:rPr>
            </w:pPr>
            <w:r>
              <w:rPr>
                <w:rFonts w:ascii="Arial" w:cs="Arial" w:eastAsia="Arial" w:hAnsi="Arial"/>
                <w:sz w:val="16"/>
                <w:szCs w:val="16"/>
                <w:color w:val="auto"/>
              </w:rPr>
              <w:t>Granted</w:t>
            </w: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71,537</w:t>
            </w:r>
          </w:p>
        </w:tc>
        <w:tc>
          <w:tcPr>
            <w:tcW w:w="1260" w:type="dxa"/>
            <w:vAlign w:val="bottom"/>
          </w:tcPr>
          <w:p>
            <w:pPr>
              <w:spacing w:after="0"/>
              <w:rPr>
                <w:sz w:val="16"/>
                <w:szCs w:val="16"/>
                <w:color w:val="auto"/>
              </w:rPr>
            </w:pPr>
          </w:p>
        </w:tc>
        <w:tc>
          <w:tcPr>
            <w:tcW w:w="880" w:type="dxa"/>
            <w:vAlign w:val="bottom"/>
          </w:tcPr>
          <w:p>
            <w:pPr>
              <w:jc w:val="right"/>
              <w:ind w:right="179"/>
              <w:spacing w:after="0"/>
              <w:rPr>
                <w:sz w:val="20"/>
                <w:szCs w:val="20"/>
                <w:color w:val="auto"/>
              </w:rPr>
            </w:pPr>
            <w:r>
              <w:rPr>
                <w:rFonts w:ascii="Arial" w:cs="Arial" w:eastAsia="Arial" w:hAnsi="Arial"/>
                <w:sz w:val="16"/>
                <w:szCs w:val="16"/>
                <w:color w:val="auto"/>
              </w:rPr>
              <w:t>55.14</w:t>
            </w: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30,663</w:t>
            </w:r>
          </w:p>
        </w:tc>
        <w:tc>
          <w:tcPr>
            <w:tcW w:w="1320" w:type="dxa"/>
            <w:vAlign w:val="bottom"/>
          </w:tcPr>
          <w:p>
            <w:pPr>
              <w:spacing w:after="0"/>
              <w:rPr>
                <w:sz w:val="16"/>
                <w:szCs w:val="16"/>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51.00</w:t>
            </w:r>
          </w:p>
        </w:tc>
      </w:tr>
      <w:tr>
        <w:trPr>
          <w:trHeight w:val="189"/>
        </w:trPr>
        <w:tc>
          <w:tcPr>
            <w:tcW w:w="3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Vested</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(30,749 )</w:t>
            </w:r>
          </w:p>
        </w:tc>
        <w:tc>
          <w:tcPr>
            <w:tcW w:w="126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64.97</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(20,512 )</w:t>
            </w:r>
          </w:p>
        </w:tc>
        <w:tc>
          <w:tcPr>
            <w:tcW w:w="132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61.45</w:t>
            </w:r>
          </w:p>
        </w:tc>
      </w:tr>
      <w:tr>
        <w:trPr>
          <w:trHeight w:val="183"/>
        </w:trPr>
        <w:tc>
          <w:tcPr>
            <w:tcW w:w="3580" w:type="dxa"/>
            <w:vAlign w:val="bottom"/>
          </w:tcPr>
          <w:p>
            <w:pPr>
              <w:ind w:left="20"/>
              <w:spacing w:after="0" w:line="183" w:lineRule="exact"/>
              <w:rPr>
                <w:sz w:val="20"/>
                <w:szCs w:val="20"/>
                <w:color w:val="auto"/>
              </w:rPr>
            </w:pPr>
            <w:r>
              <w:rPr>
                <w:rFonts w:ascii="Arial" w:cs="Arial" w:eastAsia="Arial" w:hAnsi="Arial"/>
                <w:sz w:val="16"/>
                <w:szCs w:val="16"/>
                <w:color w:val="auto"/>
              </w:rPr>
              <w:t>Nonvested at December 31, 2024</w:t>
            </w:r>
          </w:p>
        </w:tc>
        <w:tc>
          <w:tcPr>
            <w:tcW w:w="17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151,535</w:t>
            </w:r>
          </w:p>
        </w:tc>
        <w:tc>
          <w:tcPr>
            <w:tcW w:w="1260" w:type="dxa"/>
            <w:vAlign w:val="bottom"/>
            <w:tcBorders>
              <w:bottom w:val="single" w:sz="8" w:color="auto"/>
            </w:tcBorders>
          </w:tcPr>
          <w:p>
            <w:pPr>
              <w:jc w:val="center"/>
              <w:ind w:right="1039"/>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79"/>
              <w:spacing w:after="0" w:line="183" w:lineRule="exact"/>
              <w:rPr>
                <w:sz w:val="20"/>
                <w:szCs w:val="20"/>
                <w:color w:val="auto"/>
              </w:rPr>
            </w:pPr>
            <w:r>
              <w:rPr>
                <w:rFonts w:ascii="Arial" w:cs="Arial" w:eastAsia="Arial" w:hAnsi="Arial"/>
                <w:sz w:val="16"/>
                <w:szCs w:val="16"/>
                <w:color w:val="auto"/>
              </w:rPr>
              <w:t>66.43</w:t>
            </w:r>
          </w:p>
        </w:tc>
        <w:tc>
          <w:tcPr>
            <w:tcW w:w="16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72,805</w:t>
            </w:r>
          </w:p>
        </w:tc>
        <w:tc>
          <w:tcPr>
            <w:tcW w:w="1320" w:type="dxa"/>
            <w:vAlign w:val="bottom"/>
            <w:tcBorders>
              <w:bottom w:val="single" w:sz="8" w:color="auto"/>
            </w:tcBorders>
          </w:tcPr>
          <w:p>
            <w:pPr>
              <w:jc w:val="center"/>
              <w:ind w:right="1099"/>
              <w:spacing w:after="0" w:line="183"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62.59</w:t>
            </w:r>
          </w:p>
        </w:tc>
      </w:tr>
      <w:tr>
        <w:trPr>
          <w:trHeight w:val="20"/>
        </w:trPr>
        <w:tc>
          <w:tcPr>
            <w:tcW w:w="358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As of December 31, 2024, there was $4.3 million of unrecognized compensation expense related to outstanding performance share/units that is expected to be recognized over a weighted-average period of 1.7 years.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On January 23, 2025, the Compensation Committee of our Board of Directors confirmed a payout equal to 10.32% of target shares valued at $0.4 million.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payout was fully accrued at December 31, 2024.</w:t>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INCOME TAXES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Transfers of Production Tax Credits</w:t>
      </w:r>
    </w:p>
    <w:p>
      <w:pPr>
        <w:spacing w:after="0" w:line="194"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In August 2022, President Biden signed H.R. 5376 into law, commonly known as the IRA of 2022, or IRA. The IRA contains a tax credit transferability provision that allows us to transfer (e.g. sell) PTCs produced after December 31, 2022, to third parties. In June 2024, under this transferability provision, we entered into an agreement with a third party to sell $16.9 million of our 2023 generated PTCs. In January 2025, we entered into a similar agreement with a third party to sell $17.0 million of our 2024 generated PTCs.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We expect to continue to explore the ability to efficiently monetize our tax credits through third party transferability agreements.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IRS Revenue Procedure 2023-15</w:t>
      </w:r>
    </w:p>
    <w:p>
      <w:pPr>
        <w:spacing w:after="0" w:line="194"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On April 14, 2023, the IRS released Revenue Procedure 2023-15 “Amounts paid to improve tangible property.” The Revenue Procedure provides a safe harbor method of accounting that taxpayers may use to determine whether costs to repair, maintain, replace, or improve natural gas transmission and distribution property must be capitalized. The Revenue Procedure may be adopted in tax years ending after May 1, 2023. We intend to elect the safe harbor for tax year 2024. We do not expect the Revenue Procedure to have a material impact on our tax repairs deduction.</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 (Expense) Benefit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Income tax (expense) benefit from continuing operations for the years ended December 31 was: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00" w:type="dxa"/>
            <w:vAlign w:val="bottom"/>
          </w:tcPr>
          <w:p>
            <w:pPr>
              <w:spacing w:after="0"/>
              <w:rPr>
                <w:sz w:val="17"/>
                <w:szCs w:val="17"/>
                <w:color w:val="auto"/>
              </w:rPr>
            </w:pPr>
          </w:p>
        </w:tc>
        <w:tc>
          <w:tcPr>
            <w:tcW w:w="1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2024</w:t>
            </w:r>
          </w:p>
        </w:tc>
        <w:tc>
          <w:tcPr>
            <w:tcW w:w="6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2023</w:t>
            </w:r>
          </w:p>
        </w:tc>
        <w:tc>
          <w:tcPr>
            <w:tcW w:w="4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2022</w:t>
            </w:r>
          </w:p>
        </w:tc>
      </w:tr>
      <w:tr>
        <w:trPr>
          <w:trHeight w:val="183"/>
        </w:trPr>
        <w:tc>
          <w:tcPr>
            <w:tcW w:w="5000" w:type="dxa"/>
            <w:vAlign w:val="bottom"/>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579"/>
              <w:spacing w:after="0" w:line="183" w:lineRule="exact"/>
              <w:rPr>
                <w:sz w:val="20"/>
                <w:szCs w:val="20"/>
                <w:color w:val="auto"/>
              </w:rPr>
            </w:pPr>
            <w:r>
              <w:rPr>
                <w:rFonts w:ascii="Arial" w:cs="Arial" w:eastAsia="Arial" w:hAnsi="Arial"/>
                <w:sz w:val="16"/>
                <w:szCs w:val="16"/>
                <w:color w:val="auto"/>
              </w:rPr>
              <w:t>(in millions)</w:t>
            </w:r>
          </w:p>
        </w:tc>
        <w:tc>
          <w:tcPr>
            <w:tcW w:w="4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r>
      <w:tr>
        <w:trPr>
          <w:trHeight w:val="183"/>
        </w:trPr>
        <w:tc>
          <w:tcPr>
            <w:tcW w:w="500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Current:</w:t>
            </w:r>
          </w:p>
        </w:tc>
        <w:tc>
          <w:tcPr>
            <w:tcW w:w="13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72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620" w:type="dxa"/>
            <w:vAlign w:val="bottom"/>
            <w:shd w:val="clear" w:color="auto" w:fill="CFF0FC"/>
          </w:tcPr>
          <w:p>
            <w:pPr>
              <w:spacing w:after="0"/>
              <w:rPr>
                <w:sz w:val="15"/>
                <w:szCs w:val="15"/>
                <w:color w:val="auto"/>
              </w:rPr>
            </w:pPr>
          </w:p>
        </w:tc>
      </w:tr>
      <w:tr>
        <w:trPr>
          <w:trHeight w:val="189"/>
        </w:trPr>
        <w:tc>
          <w:tcPr>
            <w:tcW w:w="5000" w:type="dxa"/>
            <w:vAlign w:val="bottom"/>
          </w:tcPr>
          <w:p>
            <w:pPr>
              <w:ind w:left="200"/>
              <w:spacing w:after="0"/>
              <w:rPr>
                <w:sz w:val="20"/>
                <w:szCs w:val="20"/>
                <w:color w:val="auto"/>
              </w:rPr>
            </w:pPr>
            <w:r>
              <w:rPr>
                <w:rFonts w:ascii="Arial" w:cs="Arial" w:eastAsia="Arial" w:hAnsi="Arial"/>
                <w:sz w:val="16"/>
                <w:szCs w:val="16"/>
                <w:color w:val="auto"/>
              </w:rPr>
              <w:t>Federal</w:t>
            </w:r>
          </w:p>
        </w:tc>
        <w:tc>
          <w:tcPr>
            <w:tcW w:w="1380" w:type="dxa"/>
            <w:vAlign w:val="bottom"/>
          </w:tcPr>
          <w:p>
            <w:pPr>
              <w:jc w:val="right"/>
              <w:ind w:right="119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16.5</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0.8</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59"/>
              <w:spacing w:after="0"/>
              <w:rPr>
                <w:sz w:val="20"/>
                <w:szCs w:val="20"/>
                <w:color w:val="auto"/>
              </w:rPr>
            </w:pPr>
            <w:r>
              <w:rPr>
                <w:rFonts w:ascii="Arial" w:cs="Arial" w:eastAsia="Arial" w:hAnsi="Arial"/>
                <w:sz w:val="16"/>
                <w:szCs w:val="16"/>
                <w:color w:val="auto"/>
              </w:rPr>
              <w:t>0.5</w:t>
            </w:r>
          </w:p>
        </w:tc>
      </w:tr>
      <w:tr>
        <w:trPr>
          <w:trHeight w:val="189"/>
        </w:trPr>
        <w:tc>
          <w:tcPr>
            <w:tcW w:w="50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State</w:t>
            </w:r>
          </w:p>
        </w:tc>
        <w:tc>
          <w:tcPr>
            <w:tcW w:w="138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(0.8 )</w:t>
            </w:r>
          </w:p>
        </w:tc>
        <w:tc>
          <w:tcPr>
            <w:tcW w:w="360" w:type="dxa"/>
            <w:vAlign w:val="bottom"/>
            <w:tcBorders>
              <w:bottom w:val="single" w:sz="8" w:color="auto"/>
            </w:tcBorders>
            <w:shd w:val="clear" w:color="auto" w:fill="CFF0FC"/>
          </w:tcPr>
          <w:p>
            <w:pPr>
              <w:spacing w:after="0"/>
              <w:rPr>
                <w:sz w:val="16"/>
                <w:szCs w:val="16"/>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(1.0 )</w:t>
            </w:r>
          </w:p>
        </w:tc>
        <w:tc>
          <w:tcPr>
            <w:tcW w:w="480" w:type="dxa"/>
            <w:vAlign w:val="bottom"/>
            <w:tcBorders>
              <w:bottom w:val="single" w:sz="8" w:color="auto"/>
            </w:tcBorders>
            <w:shd w:val="clear" w:color="auto" w:fill="CFF0FC"/>
          </w:tcPr>
          <w:p>
            <w:pPr>
              <w:spacing w:after="0"/>
              <w:rPr>
                <w:sz w:val="16"/>
                <w:szCs w:val="16"/>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(0.1 )</w:t>
            </w:r>
          </w:p>
        </w:tc>
      </w:tr>
      <w:tr>
        <w:trPr>
          <w:trHeight w:val="183"/>
        </w:trPr>
        <w:tc>
          <w:tcPr>
            <w:tcW w:w="5000" w:type="dxa"/>
            <w:vAlign w:val="bottom"/>
          </w:tcPr>
          <w:p>
            <w:pPr>
              <w:ind w:left="380"/>
              <w:spacing w:after="0" w:line="183" w:lineRule="exact"/>
              <w:rPr>
                <w:sz w:val="20"/>
                <w:szCs w:val="20"/>
                <w:color w:val="auto"/>
              </w:rPr>
            </w:pPr>
            <w:r>
              <w:rPr>
                <w:rFonts w:ascii="Arial" w:cs="Arial" w:eastAsia="Arial" w:hAnsi="Arial"/>
                <w:sz w:val="16"/>
                <w:szCs w:val="16"/>
                <w:color w:val="auto"/>
              </w:rPr>
              <w:t>Current income tax benefit (expense)</w:t>
            </w:r>
          </w:p>
        </w:tc>
        <w:tc>
          <w:tcPr>
            <w:tcW w:w="13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15.7</w:t>
            </w:r>
          </w:p>
        </w:tc>
        <w:tc>
          <w:tcPr>
            <w:tcW w:w="3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(0.2 )</w:t>
            </w:r>
          </w:p>
        </w:tc>
        <w:tc>
          <w:tcPr>
            <w:tcW w:w="4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0.4</w:t>
            </w:r>
          </w:p>
        </w:tc>
      </w:tr>
      <w:tr>
        <w:trPr>
          <w:trHeight w:val="183"/>
        </w:trPr>
        <w:tc>
          <w:tcPr>
            <w:tcW w:w="500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Deferred:</w:t>
            </w:r>
          </w:p>
        </w:tc>
        <w:tc>
          <w:tcPr>
            <w:tcW w:w="13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72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620" w:type="dxa"/>
            <w:vAlign w:val="bottom"/>
            <w:shd w:val="clear" w:color="auto" w:fill="CFF0FC"/>
          </w:tcPr>
          <w:p>
            <w:pPr>
              <w:spacing w:after="0"/>
              <w:rPr>
                <w:sz w:val="15"/>
                <w:szCs w:val="15"/>
                <w:color w:val="auto"/>
              </w:rPr>
            </w:pPr>
          </w:p>
        </w:tc>
      </w:tr>
      <w:tr>
        <w:trPr>
          <w:trHeight w:val="189"/>
        </w:trPr>
        <w:tc>
          <w:tcPr>
            <w:tcW w:w="5000" w:type="dxa"/>
            <w:vAlign w:val="bottom"/>
          </w:tcPr>
          <w:p>
            <w:pPr>
              <w:ind w:left="200"/>
              <w:spacing w:after="0"/>
              <w:rPr>
                <w:sz w:val="20"/>
                <w:szCs w:val="20"/>
                <w:color w:val="auto"/>
              </w:rPr>
            </w:pPr>
            <w:r>
              <w:rPr>
                <w:rFonts w:ascii="Arial" w:cs="Arial" w:eastAsia="Arial" w:hAnsi="Arial"/>
                <w:sz w:val="16"/>
                <w:szCs w:val="16"/>
                <w:color w:val="auto"/>
              </w:rPr>
              <w:t>Federal</w:t>
            </w:r>
          </w:p>
        </w:tc>
        <w:tc>
          <w:tcPr>
            <w:tcW w:w="13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(47.2 )</w:t>
            </w:r>
          </w:p>
        </w:tc>
        <w:tc>
          <w:tcPr>
            <w:tcW w:w="36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(30.9 )</w:t>
            </w:r>
          </w:p>
        </w:tc>
        <w:tc>
          <w:tcPr>
            <w:tcW w:w="4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(23.2 )</w:t>
            </w:r>
          </w:p>
        </w:tc>
      </w:tr>
      <w:tr>
        <w:trPr>
          <w:trHeight w:val="189"/>
        </w:trPr>
        <w:tc>
          <w:tcPr>
            <w:tcW w:w="50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State</w:t>
            </w:r>
          </w:p>
        </w:tc>
        <w:tc>
          <w:tcPr>
            <w:tcW w:w="138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(4.8 )</w:t>
            </w:r>
          </w:p>
        </w:tc>
        <w:tc>
          <w:tcPr>
            <w:tcW w:w="360" w:type="dxa"/>
            <w:vAlign w:val="bottom"/>
            <w:tcBorders>
              <w:bottom w:val="single" w:sz="8" w:color="auto"/>
            </w:tcBorders>
            <w:shd w:val="clear" w:color="auto" w:fill="CFF0FC"/>
          </w:tcPr>
          <w:p>
            <w:pPr>
              <w:spacing w:after="0"/>
              <w:rPr>
                <w:sz w:val="16"/>
                <w:szCs w:val="16"/>
                <w:color w:val="auto"/>
              </w:rPr>
            </w:pPr>
          </w:p>
        </w:tc>
        <w:tc>
          <w:tcPr>
            <w:tcW w:w="17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5.5</w:t>
            </w:r>
          </w:p>
        </w:tc>
        <w:tc>
          <w:tcPr>
            <w:tcW w:w="480" w:type="dxa"/>
            <w:vAlign w:val="bottom"/>
            <w:tcBorders>
              <w:bottom w:val="single" w:sz="8" w:color="auto"/>
            </w:tcBorders>
            <w:shd w:val="clear" w:color="auto" w:fill="CFF0FC"/>
          </w:tcPr>
          <w:p>
            <w:pPr>
              <w:spacing w:after="0"/>
              <w:rPr>
                <w:sz w:val="16"/>
                <w:szCs w:val="16"/>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(2.4 )</w:t>
            </w:r>
          </w:p>
        </w:tc>
      </w:tr>
      <w:tr>
        <w:trPr>
          <w:trHeight w:val="183"/>
        </w:trPr>
        <w:tc>
          <w:tcPr>
            <w:tcW w:w="5000" w:type="dxa"/>
            <w:vAlign w:val="bottom"/>
          </w:tcPr>
          <w:p>
            <w:pPr>
              <w:ind w:left="380"/>
              <w:spacing w:after="0" w:line="183" w:lineRule="exact"/>
              <w:rPr>
                <w:sz w:val="20"/>
                <w:szCs w:val="20"/>
                <w:color w:val="auto"/>
              </w:rPr>
            </w:pPr>
            <w:r>
              <w:rPr>
                <w:rFonts w:ascii="Arial" w:cs="Arial" w:eastAsia="Arial" w:hAnsi="Arial"/>
                <w:sz w:val="16"/>
                <w:szCs w:val="16"/>
                <w:color w:val="auto"/>
              </w:rPr>
              <w:t>Deferred income tax (expense)</w:t>
            </w:r>
          </w:p>
        </w:tc>
        <w:tc>
          <w:tcPr>
            <w:tcW w:w="13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(52.0 )</w:t>
            </w:r>
          </w:p>
        </w:tc>
        <w:tc>
          <w:tcPr>
            <w:tcW w:w="3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(25.4 )</w:t>
            </w:r>
          </w:p>
        </w:tc>
        <w:tc>
          <w:tcPr>
            <w:tcW w:w="4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(25.6 )</w:t>
            </w:r>
          </w:p>
        </w:tc>
      </w:tr>
      <w:tr>
        <w:trPr>
          <w:trHeight w:val="183"/>
        </w:trPr>
        <w:tc>
          <w:tcPr>
            <w:tcW w:w="5000" w:type="dxa"/>
            <w:vAlign w:val="bottom"/>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r>
      <w:tr>
        <w:trPr>
          <w:trHeight w:val="223"/>
        </w:trPr>
        <w:tc>
          <w:tcPr>
            <w:tcW w:w="500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Income tax (expense)</w:t>
            </w:r>
          </w:p>
        </w:tc>
        <w:tc>
          <w:tcPr>
            <w:tcW w:w="1380" w:type="dxa"/>
            <w:vAlign w:val="bottom"/>
            <w:tcBorders>
              <w:bottom w:val="single" w:sz="8" w:color="auto"/>
            </w:tcBorders>
            <w:shd w:val="clear" w:color="auto" w:fill="CFF0FC"/>
          </w:tcPr>
          <w:p>
            <w:pPr>
              <w:jc w:val="right"/>
              <w:ind w:right="1199"/>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gridSpan w:val="2"/>
            <w:shd w:val="clear" w:color="auto" w:fill="CFF0FC"/>
          </w:tcPr>
          <w:p>
            <w:pPr>
              <w:jc w:val="right"/>
              <w:ind w:right="159"/>
              <w:spacing w:after="0" w:line="183" w:lineRule="exact"/>
              <w:rPr>
                <w:sz w:val="20"/>
                <w:szCs w:val="20"/>
                <w:color w:val="auto"/>
              </w:rPr>
            </w:pPr>
            <w:r>
              <w:rPr>
                <w:rFonts w:ascii="Arial" w:cs="Arial" w:eastAsia="Arial" w:hAnsi="Arial"/>
                <w:sz w:val="16"/>
                <w:szCs w:val="16"/>
                <w:color w:val="auto"/>
              </w:rPr>
              <w:t>(36.3 ) $</w:t>
            </w:r>
          </w:p>
        </w:tc>
        <w:tc>
          <w:tcPr>
            <w:tcW w:w="2200" w:type="dxa"/>
            <w:vAlign w:val="bottom"/>
            <w:tcBorders>
              <w:bottom w:val="single" w:sz="8" w:color="auto"/>
            </w:tcBorders>
            <w:gridSpan w:val="2"/>
            <w:shd w:val="clear" w:color="auto" w:fill="CFF0FC"/>
          </w:tcPr>
          <w:p>
            <w:pPr>
              <w:jc w:val="right"/>
              <w:ind w:right="279"/>
              <w:spacing w:after="0" w:line="183" w:lineRule="exact"/>
              <w:rPr>
                <w:sz w:val="20"/>
                <w:szCs w:val="20"/>
                <w:color w:val="auto"/>
              </w:rPr>
            </w:pPr>
            <w:r>
              <w:rPr>
                <w:rFonts w:ascii="Arial" w:cs="Arial" w:eastAsia="Arial" w:hAnsi="Arial"/>
                <w:sz w:val="16"/>
                <w:szCs w:val="16"/>
                <w:color w:val="auto"/>
              </w:rPr>
              <w:t>(25.6 ) $</w:t>
            </w:r>
          </w:p>
        </w:tc>
        <w:tc>
          <w:tcPr>
            <w:tcW w:w="16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(25.2 )</w:t>
            </w:r>
          </w:p>
        </w:tc>
      </w:tr>
      <w:tr>
        <w:trPr>
          <w:trHeight w:val="397"/>
        </w:trPr>
        <w:tc>
          <w:tcPr>
            <w:tcW w:w="5000" w:type="dxa"/>
            <w:vAlign w:val="bottom"/>
          </w:tcPr>
          <w:p>
            <w:pPr>
              <w:spacing w:after="0"/>
              <w:rPr>
                <w:sz w:val="24"/>
                <w:szCs w:val="24"/>
                <w:color w:val="auto"/>
              </w:rPr>
            </w:pPr>
          </w:p>
        </w:tc>
        <w:tc>
          <w:tcPr>
            <w:tcW w:w="1380" w:type="dxa"/>
            <w:vAlign w:val="bottom"/>
          </w:tcPr>
          <w:p>
            <w:pPr>
              <w:jc w:val="right"/>
              <w:ind w:right="579"/>
              <w:spacing w:after="0"/>
              <w:rPr>
                <w:sz w:val="20"/>
                <w:szCs w:val="20"/>
                <w:color w:val="auto"/>
              </w:rPr>
            </w:pPr>
            <w:r>
              <w:rPr>
                <w:rFonts w:ascii="Arial" w:cs="Arial" w:eastAsia="Arial" w:hAnsi="Arial"/>
                <w:sz w:val="16"/>
                <w:szCs w:val="16"/>
                <w:color w:val="auto"/>
              </w:rPr>
              <w:t>96</w:t>
            </w: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751"/>
        </w:trPr>
        <w:tc>
          <w:tcPr>
            <w:tcW w:w="50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440" w:type="dxa"/>
            <w:vAlign w:val="bottom"/>
            <w:gridSpan w:val="2"/>
          </w:tcPr>
          <w:p>
            <w:pPr>
              <w:spacing w:after="0"/>
              <w:rPr>
                <w:sz w:val="20"/>
                <w:szCs w:val="20"/>
                <w:color w:val="auto"/>
              </w:rPr>
            </w:pPr>
            <w:r>
              <w:rPr>
                <w:rFonts w:ascii="Arial" w:cs="Arial" w:eastAsia="Arial" w:hAnsi="Arial"/>
                <w:sz w:val="16"/>
                <w:szCs w:val="16"/>
                <w:b w:val="1"/>
                <w:bCs w:val="1"/>
                <w:color w:val="auto"/>
              </w:rPr>
              <w:t>Effective Tax Rates</w:t>
            </w:r>
          </w:p>
        </w:tc>
        <w:tc>
          <w:tcPr>
            <w:tcW w:w="23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370"/>
        </w:trPr>
        <w:tc>
          <w:tcPr>
            <w:tcW w:w="7760" w:type="dxa"/>
            <w:vAlign w:val="bottom"/>
            <w:gridSpan w:val="3"/>
          </w:tcPr>
          <w:p>
            <w:pPr>
              <w:spacing w:after="0"/>
              <w:rPr>
                <w:sz w:val="20"/>
                <w:szCs w:val="20"/>
                <w:color w:val="auto"/>
              </w:rPr>
            </w:pPr>
            <w:r>
              <w:rPr>
                <w:rFonts w:ascii="Arial" w:cs="Arial" w:eastAsia="Arial" w:hAnsi="Arial"/>
                <w:sz w:val="16"/>
                <w:szCs w:val="16"/>
                <w:color w:val="auto"/>
              </w:rPr>
              <w:t>The effective tax rate differs from the federal statutory rate for the years ended December 31, as follows:</w:t>
            </w:r>
          </w:p>
        </w:tc>
        <w:tc>
          <w:tcPr>
            <w:tcW w:w="18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67"/>
        </w:trPr>
        <w:tc>
          <w:tcPr>
            <w:tcW w:w="33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320" w:type="dxa"/>
            <w:vAlign w:val="bottom"/>
            <w:tcBorders>
              <w:bottom w:val="single" w:sz="8" w:color="auto"/>
            </w:tcBorders>
          </w:tcPr>
          <w:p>
            <w:pPr>
              <w:jc w:val="right"/>
              <w:ind w:right="1199"/>
              <w:spacing w:after="0"/>
              <w:rPr>
                <w:sz w:val="20"/>
                <w:szCs w:val="20"/>
                <w:color w:val="auto"/>
              </w:rPr>
            </w:pPr>
            <w:r>
              <w:rPr>
                <w:rFonts w:ascii="Arial" w:cs="Arial" w:eastAsia="Arial" w:hAnsi="Arial"/>
                <w:sz w:val="16"/>
                <w:szCs w:val="16"/>
                <w:b w:val="1"/>
                <w:bCs w:val="1"/>
                <w:color w:val="auto"/>
              </w:rPr>
              <w:t>2024</w:t>
            </w:r>
          </w:p>
        </w:tc>
        <w:tc>
          <w:tcPr>
            <w:tcW w:w="1860" w:type="dxa"/>
            <w:vAlign w:val="bottom"/>
            <w:tcBorders>
              <w:bottom w:val="single" w:sz="8" w:color="auto"/>
            </w:tcBorders>
          </w:tcPr>
          <w:p>
            <w:pPr>
              <w:jc w:val="right"/>
              <w:ind w:right="1139"/>
              <w:spacing w:after="0"/>
              <w:rPr>
                <w:sz w:val="20"/>
                <w:szCs w:val="20"/>
                <w:color w:val="auto"/>
              </w:rPr>
            </w:pPr>
            <w:r>
              <w:rPr>
                <w:rFonts w:ascii="Arial" w:cs="Arial" w:eastAsia="Arial" w:hAnsi="Arial"/>
                <w:sz w:val="16"/>
                <w:szCs w:val="16"/>
                <w:b w:val="1"/>
                <w:bCs w:val="1"/>
                <w:color w:val="auto"/>
              </w:rPr>
              <w:t>2023</w:t>
            </w:r>
          </w:p>
        </w:tc>
        <w:tc>
          <w:tcPr>
            <w:tcW w:w="162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2022</w:t>
            </w:r>
          </w:p>
        </w:tc>
      </w:tr>
      <w:tr>
        <w:trPr>
          <w:trHeight w:val="183"/>
        </w:trPr>
        <w:tc>
          <w:tcPr>
            <w:tcW w:w="5440" w:type="dxa"/>
            <w:vAlign w:val="bottom"/>
            <w:gridSpan w:val="2"/>
            <w:shd w:val="clear" w:color="auto" w:fill="CFF0FC"/>
          </w:tcPr>
          <w:p>
            <w:pPr>
              <w:ind w:left="20"/>
              <w:spacing w:after="0" w:line="183" w:lineRule="exact"/>
              <w:rPr>
                <w:sz w:val="20"/>
                <w:szCs w:val="20"/>
                <w:color w:val="auto"/>
              </w:rPr>
            </w:pPr>
            <w:r>
              <w:rPr>
                <w:rFonts w:ascii="Arial" w:cs="Arial" w:eastAsia="Arial" w:hAnsi="Arial"/>
                <w:sz w:val="16"/>
                <w:szCs w:val="16"/>
                <w:color w:val="auto"/>
              </w:rPr>
              <w:t>Federal statutory rate</w:t>
            </w:r>
          </w:p>
        </w:tc>
        <w:tc>
          <w:tcPr>
            <w:tcW w:w="2320" w:type="dxa"/>
            <w:vAlign w:val="bottom"/>
            <w:shd w:val="clear" w:color="auto" w:fill="CFF0FC"/>
          </w:tcPr>
          <w:p>
            <w:pPr>
              <w:jc w:val="right"/>
              <w:ind w:right="339"/>
              <w:spacing w:after="0" w:line="183" w:lineRule="exact"/>
              <w:rPr>
                <w:sz w:val="20"/>
                <w:szCs w:val="20"/>
                <w:color w:val="auto"/>
              </w:rPr>
            </w:pPr>
            <w:r>
              <w:rPr>
                <w:rFonts w:ascii="Arial" w:cs="Arial" w:eastAsia="Arial" w:hAnsi="Arial"/>
                <w:sz w:val="16"/>
                <w:szCs w:val="16"/>
                <w:color w:val="auto"/>
              </w:rPr>
              <w:t>21.0 %</w:t>
            </w:r>
          </w:p>
        </w:tc>
        <w:tc>
          <w:tcPr>
            <w:tcW w:w="1860" w:type="dxa"/>
            <w:vAlign w:val="bottom"/>
            <w:shd w:val="clear" w:color="auto" w:fill="CFF0FC"/>
          </w:tcPr>
          <w:p>
            <w:pPr>
              <w:jc w:val="right"/>
              <w:ind w:right="279"/>
              <w:spacing w:after="0" w:line="183" w:lineRule="exact"/>
              <w:rPr>
                <w:sz w:val="20"/>
                <w:szCs w:val="20"/>
                <w:color w:val="auto"/>
              </w:rPr>
            </w:pPr>
            <w:r>
              <w:rPr>
                <w:rFonts w:ascii="Arial" w:cs="Arial" w:eastAsia="Arial" w:hAnsi="Arial"/>
                <w:sz w:val="16"/>
                <w:szCs w:val="16"/>
                <w:color w:val="auto"/>
              </w:rPr>
              <w:t>21.0 %</w:t>
            </w:r>
          </w:p>
        </w:tc>
        <w:tc>
          <w:tcPr>
            <w:tcW w:w="16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21.0 %</w:t>
            </w:r>
          </w:p>
        </w:tc>
      </w:tr>
      <w:tr>
        <w:trPr>
          <w:trHeight w:val="189"/>
        </w:trPr>
        <w:tc>
          <w:tcPr>
            <w:tcW w:w="5440" w:type="dxa"/>
            <w:vAlign w:val="bottom"/>
            <w:gridSpan w:val="2"/>
          </w:tcPr>
          <w:p>
            <w:pPr>
              <w:ind w:left="200"/>
              <w:spacing w:after="0" w:line="189" w:lineRule="exact"/>
              <w:rPr>
                <w:sz w:val="20"/>
                <w:szCs w:val="20"/>
                <w:color w:val="auto"/>
              </w:rPr>
            </w:pPr>
            <w:r>
              <w:rPr>
                <w:rFonts w:ascii="Arial" w:cs="Arial" w:eastAsia="Arial" w:hAnsi="Arial"/>
                <w:sz w:val="16"/>
                <w:szCs w:val="16"/>
                <w:color w:val="auto"/>
              </w:rPr>
              <w:t xml:space="preserve">State income tax (net of federal tax effect) </w:t>
            </w:r>
            <w:r>
              <w:rPr>
                <w:rFonts w:ascii="Arial" w:cs="Arial" w:eastAsia="Arial" w:hAnsi="Arial"/>
                <w:sz w:val="21"/>
                <w:szCs w:val="21"/>
                <w:color w:val="auto"/>
                <w:vertAlign w:val="superscript"/>
              </w:rPr>
              <w:t>(a)</w:t>
            </w:r>
          </w:p>
        </w:tc>
        <w:tc>
          <w:tcPr>
            <w:tcW w:w="2320" w:type="dxa"/>
            <w:vAlign w:val="bottom"/>
          </w:tcPr>
          <w:p>
            <w:pPr>
              <w:jc w:val="right"/>
              <w:ind w:right="519"/>
              <w:spacing w:after="0"/>
              <w:rPr>
                <w:sz w:val="20"/>
                <w:szCs w:val="20"/>
                <w:color w:val="auto"/>
              </w:rPr>
            </w:pPr>
            <w:r>
              <w:rPr>
                <w:rFonts w:ascii="Arial" w:cs="Arial" w:eastAsia="Arial" w:hAnsi="Arial"/>
                <w:sz w:val="16"/>
                <w:szCs w:val="16"/>
                <w:color w:val="auto"/>
              </w:rPr>
              <w:t>1.3</w:t>
            </w:r>
          </w:p>
        </w:tc>
        <w:tc>
          <w:tcPr>
            <w:tcW w:w="1860" w:type="dxa"/>
            <w:vAlign w:val="bottom"/>
          </w:tcPr>
          <w:p>
            <w:pPr>
              <w:jc w:val="right"/>
              <w:ind w:right="379"/>
              <w:spacing w:after="0"/>
              <w:rPr>
                <w:sz w:val="20"/>
                <w:szCs w:val="20"/>
                <w:color w:val="auto"/>
              </w:rPr>
            </w:pPr>
            <w:r>
              <w:rPr>
                <w:rFonts w:ascii="Arial" w:cs="Arial" w:eastAsia="Arial" w:hAnsi="Arial"/>
                <w:sz w:val="16"/>
                <w:szCs w:val="16"/>
                <w:color w:val="auto"/>
              </w:rPr>
              <w:t>(0.8 )</w:t>
            </w: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0.5</w:t>
            </w:r>
          </w:p>
        </w:tc>
      </w:tr>
      <w:tr>
        <w:trPr>
          <w:trHeight w:val="189"/>
        </w:trPr>
        <w:tc>
          <w:tcPr>
            <w:tcW w:w="5440" w:type="dxa"/>
            <w:vAlign w:val="bottom"/>
            <w:gridSpan w:val="2"/>
            <w:shd w:val="clear" w:color="auto" w:fill="CFF0FC"/>
          </w:tcPr>
          <w:p>
            <w:pPr>
              <w:ind w:left="200"/>
              <w:spacing w:after="0" w:line="189" w:lineRule="exact"/>
              <w:rPr>
                <w:sz w:val="20"/>
                <w:szCs w:val="20"/>
                <w:color w:val="auto"/>
              </w:rPr>
            </w:pPr>
            <w:r>
              <w:rPr>
                <w:rFonts w:ascii="Arial" w:cs="Arial" w:eastAsia="Arial" w:hAnsi="Arial"/>
                <w:sz w:val="16"/>
                <w:szCs w:val="16"/>
                <w:color w:val="auto"/>
              </w:rPr>
              <w:t xml:space="preserve">Non-controlling interest </w:t>
            </w:r>
            <w:r>
              <w:rPr>
                <w:rFonts w:ascii="Arial" w:cs="Arial" w:eastAsia="Arial" w:hAnsi="Arial"/>
                <w:sz w:val="21"/>
                <w:szCs w:val="21"/>
                <w:color w:val="auto"/>
                <w:vertAlign w:val="superscript"/>
              </w:rPr>
              <w:t>(b)</w:t>
            </w:r>
          </w:p>
        </w:tc>
        <w:tc>
          <w:tcPr>
            <w:tcW w:w="2320" w:type="dxa"/>
            <w:vAlign w:val="bottom"/>
            <w:shd w:val="clear" w:color="auto" w:fill="CFF0FC"/>
          </w:tcPr>
          <w:p>
            <w:pPr>
              <w:jc w:val="right"/>
              <w:ind w:right="439"/>
              <w:spacing w:after="0"/>
              <w:rPr>
                <w:sz w:val="20"/>
                <w:szCs w:val="20"/>
                <w:color w:val="auto"/>
              </w:rPr>
            </w:pPr>
            <w:r>
              <w:rPr>
                <w:rFonts w:ascii="Arial" w:cs="Arial" w:eastAsia="Arial" w:hAnsi="Arial"/>
                <w:sz w:val="16"/>
                <w:szCs w:val="16"/>
                <w:color w:val="auto"/>
              </w:rPr>
              <w:t>(0.7 )</w:t>
            </w:r>
          </w:p>
        </w:tc>
        <w:tc>
          <w:tcPr>
            <w:tcW w:w="1860" w:type="dxa"/>
            <w:vAlign w:val="bottom"/>
            <w:shd w:val="clear" w:color="auto" w:fill="CFF0FC"/>
          </w:tcPr>
          <w:p>
            <w:pPr>
              <w:jc w:val="right"/>
              <w:ind w:right="379"/>
              <w:spacing w:after="0"/>
              <w:rPr>
                <w:sz w:val="20"/>
                <w:szCs w:val="20"/>
                <w:color w:val="auto"/>
              </w:rPr>
            </w:pPr>
            <w:r>
              <w:rPr>
                <w:rFonts w:ascii="Arial" w:cs="Arial" w:eastAsia="Arial" w:hAnsi="Arial"/>
                <w:sz w:val="16"/>
                <w:szCs w:val="16"/>
                <w:color w:val="auto"/>
              </w:rPr>
              <w:t>(1.0 )</w:t>
            </w:r>
          </w:p>
        </w:tc>
        <w:tc>
          <w:tcPr>
            <w:tcW w:w="16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(0.9 )</w:t>
            </w:r>
          </w:p>
        </w:tc>
      </w:tr>
      <w:tr>
        <w:trPr>
          <w:trHeight w:val="189"/>
        </w:trPr>
        <w:tc>
          <w:tcPr>
            <w:tcW w:w="5440" w:type="dxa"/>
            <w:vAlign w:val="bottom"/>
            <w:gridSpan w:val="2"/>
          </w:tcPr>
          <w:p>
            <w:pPr>
              <w:ind w:left="200"/>
              <w:spacing w:after="0"/>
              <w:rPr>
                <w:sz w:val="20"/>
                <w:szCs w:val="20"/>
                <w:color w:val="auto"/>
              </w:rPr>
            </w:pPr>
            <w:r>
              <w:rPr>
                <w:rFonts w:ascii="Arial" w:cs="Arial" w:eastAsia="Arial" w:hAnsi="Arial"/>
                <w:sz w:val="16"/>
                <w:szCs w:val="16"/>
                <w:color w:val="auto"/>
              </w:rPr>
              <w:t>Tax credits</w:t>
            </w:r>
          </w:p>
        </w:tc>
        <w:tc>
          <w:tcPr>
            <w:tcW w:w="2320" w:type="dxa"/>
            <w:vAlign w:val="bottom"/>
          </w:tcPr>
          <w:p>
            <w:pPr>
              <w:jc w:val="right"/>
              <w:ind w:right="439"/>
              <w:spacing w:after="0"/>
              <w:rPr>
                <w:sz w:val="20"/>
                <w:szCs w:val="20"/>
                <w:color w:val="auto"/>
              </w:rPr>
            </w:pPr>
            <w:r>
              <w:rPr>
                <w:rFonts w:ascii="Arial" w:cs="Arial" w:eastAsia="Arial" w:hAnsi="Arial"/>
                <w:sz w:val="16"/>
                <w:szCs w:val="16"/>
                <w:color w:val="auto"/>
              </w:rPr>
              <w:t>(5.6 )</w:t>
            </w:r>
          </w:p>
        </w:tc>
        <w:tc>
          <w:tcPr>
            <w:tcW w:w="1860" w:type="dxa"/>
            <w:vAlign w:val="bottom"/>
          </w:tcPr>
          <w:p>
            <w:pPr>
              <w:jc w:val="right"/>
              <w:ind w:right="379"/>
              <w:spacing w:after="0"/>
              <w:rPr>
                <w:sz w:val="20"/>
                <w:szCs w:val="20"/>
                <w:color w:val="auto"/>
              </w:rPr>
            </w:pPr>
            <w:r>
              <w:rPr>
                <w:rFonts w:ascii="Arial" w:cs="Arial" w:eastAsia="Arial" w:hAnsi="Arial"/>
                <w:sz w:val="16"/>
                <w:szCs w:val="16"/>
                <w:color w:val="auto"/>
              </w:rPr>
              <w:t>(6.2 )</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(7.7 )</w:t>
            </w:r>
          </w:p>
        </w:tc>
      </w:tr>
      <w:tr>
        <w:trPr>
          <w:trHeight w:val="189"/>
        </w:trPr>
        <w:tc>
          <w:tcPr>
            <w:tcW w:w="5440" w:type="dxa"/>
            <w:vAlign w:val="bottom"/>
            <w:gridSpan w:val="2"/>
            <w:shd w:val="clear" w:color="auto" w:fill="CFF0FC"/>
          </w:tcPr>
          <w:p>
            <w:pPr>
              <w:ind w:left="200"/>
              <w:spacing w:after="0" w:line="189" w:lineRule="exact"/>
              <w:rPr>
                <w:sz w:val="20"/>
                <w:szCs w:val="20"/>
                <w:color w:val="auto"/>
              </w:rPr>
            </w:pPr>
            <w:r>
              <w:rPr>
                <w:rFonts w:ascii="Arial" w:cs="Arial" w:eastAsia="Arial" w:hAnsi="Arial"/>
                <w:sz w:val="16"/>
                <w:szCs w:val="16"/>
                <w:color w:val="auto"/>
              </w:rPr>
              <w:t xml:space="preserve">Flow-through adjustments </w:t>
            </w:r>
            <w:r>
              <w:rPr>
                <w:rFonts w:ascii="Arial" w:cs="Arial" w:eastAsia="Arial" w:hAnsi="Arial"/>
                <w:sz w:val="21"/>
                <w:szCs w:val="21"/>
                <w:color w:val="auto"/>
                <w:vertAlign w:val="superscript"/>
              </w:rPr>
              <w:t>(c)</w:t>
            </w:r>
          </w:p>
        </w:tc>
        <w:tc>
          <w:tcPr>
            <w:tcW w:w="2320" w:type="dxa"/>
            <w:vAlign w:val="bottom"/>
            <w:shd w:val="clear" w:color="auto" w:fill="CFF0FC"/>
          </w:tcPr>
          <w:p>
            <w:pPr>
              <w:jc w:val="right"/>
              <w:ind w:right="439"/>
              <w:spacing w:after="0"/>
              <w:rPr>
                <w:sz w:val="20"/>
                <w:szCs w:val="20"/>
                <w:color w:val="auto"/>
              </w:rPr>
            </w:pPr>
            <w:r>
              <w:rPr>
                <w:rFonts w:ascii="Arial" w:cs="Arial" w:eastAsia="Arial" w:hAnsi="Arial"/>
                <w:sz w:val="16"/>
                <w:szCs w:val="16"/>
                <w:color w:val="auto"/>
              </w:rPr>
              <w:t>(2.2 )</w:t>
            </w:r>
          </w:p>
        </w:tc>
        <w:tc>
          <w:tcPr>
            <w:tcW w:w="1860" w:type="dxa"/>
            <w:vAlign w:val="bottom"/>
            <w:shd w:val="clear" w:color="auto" w:fill="CFF0FC"/>
          </w:tcPr>
          <w:p>
            <w:pPr>
              <w:jc w:val="right"/>
              <w:ind w:right="379"/>
              <w:spacing w:after="0"/>
              <w:rPr>
                <w:sz w:val="20"/>
                <w:szCs w:val="20"/>
                <w:color w:val="auto"/>
              </w:rPr>
            </w:pPr>
            <w:r>
              <w:rPr>
                <w:rFonts w:ascii="Arial" w:cs="Arial" w:eastAsia="Arial" w:hAnsi="Arial"/>
                <w:sz w:val="16"/>
                <w:szCs w:val="16"/>
                <w:color w:val="auto"/>
              </w:rPr>
              <w:t>(1.7 )</w:t>
            </w:r>
          </w:p>
        </w:tc>
        <w:tc>
          <w:tcPr>
            <w:tcW w:w="16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(1.4 )</w:t>
            </w:r>
          </w:p>
        </w:tc>
      </w:tr>
      <w:tr>
        <w:trPr>
          <w:trHeight w:val="189"/>
        </w:trPr>
        <w:tc>
          <w:tcPr>
            <w:tcW w:w="5440" w:type="dxa"/>
            <w:vAlign w:val="bottom"/>
            <w:gridSpan w:val="2"/>
          </w:tcPr>
          <w:p>
            <w:pPr>
              <w:ind w:left="200"/>
              <w:spacing w:after="0" w:line="189" w:lineRule="exact"/>
              <w:rPr>
                <w:sz w:val="20"/>
                <w:szCs w:val="20"/>
                <w:color w:val="auto"/>
              </w:rPr>
            </w:pPr>
            <w:r>
              <w:rPr>
                <w:rFonts w:ascii="Arial" w:cs="Arial" w:eastAsia="Arial" w:hAnsi="Arial"/>
                <w:sz w:val="16"/>
                <w:szCs w:val="16"/>
                <w:color w:val="auto"/>
              </w:rPr>
              <w:t xml:space="preserve">Amortization of excess deferred income taxes </w:t>
            </w:r>
            <w:r>
              <w:rPr>
                <w:rFonts w:ascii="Arial" w:cs="Arial" w:eastAsia="Arial" w:hAnsi="Arial"/>
                <w:sz w:val="21"/>
                <w:szCs w:val="21"/>
                <w:color w:val="auto"/>
                <w:vertAlign w:val="superscript"/>
              </w:rPr>
              <w:t>(d)</w:t>
            </w:r>
          </w:p>
        </w:tc>
        <w:tc>
          <w:tcPr>
            <w:tcW w:w="2320" w:type="dxa"/>
            <w:vAlign w:val="bottom"/>
          </w:tcPr>
          <w:p>
            <w:pPr>
              <w:jc w:val="right"/>
              <w:ind w:right="439"/>
              <w:spacing w:after="0"/>
              <w:rPr>
                <w:sz w:val="20"/>
                <w:szCs w:val="20"/>
                <w:color w:val="auto"/>
              </w:rPr>
            </w:pPr>
            <w:r>
              <w:rPr>
                <w:rFonts w:ascii="Arial" w:cs="Arial" w:eastAsia="Arial" w:hAnsi="Arial"/>
                <w:sz w:val="16"/>
                <w:szCs w:val="16"/>
                <w:color w:val="auto"/>
              </w:rPr>
              <w:t>(2.4 )</w:t>
            </w:r>
          </w:p>
        </w:tc>
        <w:tc>
          <w:tcPr>
            <w:tcW w:w="1860" w:type="dxa"/>
            <w:vAlign w:val="bottom"/>
          </w:tcPr>
          <w:p>
            <w:pPr>
              <w:jc w:val="right"/>
              <w:ind w:right="379"/>
              <w:spacing w:after="0"/>
              <w:rPr>
                <w:sz w:val="20"/>
                <w:szCs w:val="20"/>
                <w:color w:val="auto"/>
              </w:rPr>
            </w:pPr>
            <w:r>
              <w:rPr>
                <w:rFonts w:ascii="Arial" w:cs="Arial" w:eastAsia="Arial" w:hAnsi="Arial"/>
                <w:sz w:val="16"/>
                <w:szCs w:val="16"/>
                <w:color w:val="auto"/>
              </w:rPr>
              <w:t>(3.0 )</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(2.5 )</w:t>
            </w:r>
          </w:p>
        </w:tc>
      </w:tr>
      <w:tr>
        <w:trPr>
          <w:trHeight w:val="189"/>
        </w:trPr>
        <w:tc>
          <w:tcPr>
            <w:tcW w:w="544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6"/>
                <w:szCs w:val="16"/>
                <w:color w:val="auto"/>
              </w:rPr>
              <w:t>Other</w:t>
            </w:r>
          </w:p>
        </w:tc>
        <w:tc>
          <w:tcPr>
            <w:tcW w:w="2320" w:type="dxa"/>
            <w:vAlign w:val="bottom"/>
            <w:tcBorders>
              <w:bottom w:val="single" w:sz="8" w:color="auto"/>
            </w:tcBorders>
            <w:shd w:val="clear" w:color="auto" w:fill="CFF0FC"/>
          </w:tcPr>
          <w:p>
            <w:pPr>
              <w:jc w:val="right"/>
              <w:ind w:right="439"/>
              <w:spacing w:after="0"/>
              <w:rPr>
                <w:sz w:val="20"/>
                <w:szCs w:val="20"/>
                <w:color w:val="auto"/>
              </w:rPr>
            </w:pPr>
            <w:r>
              <w:rPr>
                <w:rFonts w:ascii="Arial" w:cs="Arial" w:eastAsia="Arial" w:hAnsi="Arial"/>
                <w:sz w:val="16"/>
                <w:szCs w:val="16"/>
                <w:color w:val="auto"/>
              </w:rPr>
              <w:t>(0.1 )</w:t>
            </w:r>
          </w:p>
        </w:tc>
        <w:tc>
          <w:tcPr>
            <w:tcW w:w="1860" w:type="dxa"/>
            <w:vAlign w:val="bottom"/>
            <w:tcBorders>
              <w:bottom w:val="single" w:sz="8" w:color="auto"/>
            </w:tcBorders>
            <w:shd w:val="clear" w:color="auto" w:fill="CFF0FC"/>
          </w:tcPr>
          <w:p>
            <w:pPr>
              <w:jc w:val="right"/>
              <w:ind w:right="479"/>
              <w:spacing w:after="0"/>
              <w:rPr>
                <w:sz w:val="20"/>
                <w:szCs w:val="20"/>
                <w:color w:val="auto"/>
              </w:rPr>
            </w:pPr>
            <w:r>
              <w:rPr>
                <w:rFonts w:ascii="Arial" w:cs="Arial" w:eastAsia="Arial" w:hAnsi="Arial"/>
                <w:sz w:val="16"/>
                <w:szCs w:val="16"/>
                <w:color w:val="auto"/>
              </w:rPr>
              <w:t>0.2</w:t>
            </w:r>
          </w:p>
        </w:tc>
        <w:tc>
          <w:tcPr>
            <w:tcW w:w="16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(0.5 )</w:t>
            </w:r>
          </w:p>
        </w:tc>
      </w:tr>
      <w:tr>
        <w:trPr>
          <w:trHeight w:val="183"/>
        </w:trPr>
        <w:tc>
          <w:tcPr>
            <w:tcW w:w="5440" w:type="dxa"/>
            <w:vAlign w:val="bottom"/>
            <w:gridSpan w:val="2"/>
          </w:tcPr>
          <w:p>
            <w:pPr>
              <w:ind w:left="20"/>
              <w:spacing w:after="0" w:line="183" w:lineRule="exact"/>
              <w:rPr>
                <w:sz w:val="20"/>
                <w:szCs w:val="20"/>
                <w:color w:val="auto"/>
              </w:rPr>
            </w:pPr>
            <w:r>
              <w:rPr>
                <w:rFonts w:ascii="Arial" w:cs="Arial" w:eastAsia="Arial" w:hAnsi="Arial"/>
                <w:sz w:val="16"/>
                <w:szCs w:val="16"/>
                <w:color w:val="auto"/>
              </w:rPr>
              <w:t>Effective Tax Rate</w:t>
            </w:r>
          </w:p>
        </w:tc>
        <w:tc>
          <w:tcPr>
            <w:tcW w:w="2320" w:type="dxa"/>
            <w:vAlign w:val="bottom"/>
            <w:tcBorders>
              <w:bottom w:val="single" w:sz="8" w:color="auto"/>
            </w:tcBorders>
          </w:tcPr>
          <w:p>
            <w:pPr>
              <w:jc w:val="right"/>
              <w:ind w:right="339"/>
              <w:spacing w:after="0" w:line="183" w:lineRule="exact"/>
              <w:rPr>
                <w:sz w:val="20"/>
                <w:szCs w:val="20"/>
                <w:color w:val="auto"/>
              </w:rPr>
            </w:pPr>
            <w:r>
              <w:rPr>
                <w:rFonts w:ascii="Arial" w:cs="Arial" w:eastAsia="Arial" w:hAnsi="Arial"/>
                <w:sz w:val="16"/>
                <w:szCs w:val="16"/>
                <w:color w:val="auto"/>
              </w:rPr>
              <w:t>11.3 %</w:t>
            </w:r>
          </w:p>
        </w:tc>
        <w:tc>
          <w:tcPr>
            <w:tcW w:w="1860" w:type="dxa"/>
            <w:vAlign w:val="bottom"/>
            <w:tcBorders>
              <w:bottom w:val="single" w:sz="8" w:color="auto"/>
            </w:tcBorders>
          </w:tcPr>
          <w:p>
            <w:pPr>
              <w:jc w:val="right"/>
              <w:ind w:right="279"/>
              <w:spacing w:after="0" w:line="183" w:lineRule="exact"/>
              <w:rPr>
                <w:sz w:val="20"/>
                <w:szCs w:val="20"/>
                <w:color w:val="auto"/>
              </w:rPr>
            </w:pPr>
            <w:r>
              <w:rPr>
                <w:rFonts w:ascii="Arial" w:cs="Arial" w:eastAsia="Arial" w:hAnsi="Arial"/>
                <w:sz w:val="16"/>
                <w:szCs w:val="16"/>
                <w:color w:val="auto"/>
              </w:rPr>
              <w:t>8.5 %</w:t>
            </w:r>
          </w:p>
        </w:tc>
        <w:tc>
          <w:tcPr>
            <w:tcW w:w="16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8.5 %</w:t>
            </w:r>
          </w:p>
        </w:tc>
      </w:tr>
      <w:tr>
        <w:trPr>
          <w:trHeight w:val="20"/>
        </w:trPr>
        <w:tc>
          <w:tcPr>
            <w:tcW w:w="33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115"/>
        </w:trPr>
        <w:tc>
          <w:tcPr>
            <w:tcW w:w="3380" w:type="dxa"/>
            <w:vAlign w:val="bottom"/>
            <w:tcBorders>
              <w:bottom w:val="single" w:sz="8" w:color="auto"/>
            </w:tcBorders>
          </w:tcPr>
          <w:p>
            <w:pPr>
              <w:spacing w:after="0"/>
              <w:rPr>
                <w:sz w:val="10"/>
                <w:szCs w:val="10"/>
                <w:color w:val="auto"/>
              </w:rPr>
            </w:pPr>
          </w:p>
        </w:tc>
        <w:tc>
          <w:tcPr>
            <w:tcW w:w="206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620" w:type="dxa"/>
            <w:vAlign w:val="bottom"/>
          </w:tcPr>
          <w:p>
            <w:pPr>
              <w:spacing w:after="0"/>
              <w:rPr>
                <w:sz w:val="10"/>
                <w:szCs w:val="10"/>
                <w:color w:val="auto"/>
              </w:rPr>
            </w:pPr>
          </w:p>
        </w:tc>
      </w:tr>
    </w:tbl>
    <w:p>
      <w:pPr>
        <w:spacing w:after="0" w:line="31" w:lineRule="exact"/>
        <w:rPr>
          <w:sz w:val="20"/>
          <w:szCs w:val="20"/>
          <w:color w:val="auto"/>
        </w:rPr>
      </w:pPr>
    </w:p>
    <w:p>
      <w:pPr>
        <w:ind w:left="520" w:hanging="512"/>
        <w:spacing w:after="0"/>
        <w:tabs>
          <w:tab w:leader="none" w:pos="5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For the year ended December 31, 2023, we recognized an $8.2 million tax benefit from a Nebraska income tax rate decrease.</w:t>
      </w:r>
    </w:p>
    <w:p>
      <w:pPr>
        <w:spacing w:after="0" w:line="15" w:lineRule="exact"/>
        <w:rPr>
          <w:rFonts w:ascii="Arial" w:cs="Arial" w:eastAsia="Arial" w:hAnsi="Arial"/>
          <w:sz w:val="14"/>
          <w:szCs w:val="14"/>
          <w:color w:val="auto"/>
        </w:rPr>
      </w:pPr>
    </w:p>
    <w:p>
      <w:pPr>
        <w:ind w:left="520" w:hanging="512"/>
        <w:spacing w:after="0"/>
        <w:tabs>
          <w:tab w:leader="none" w:pos="5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effective tax rate reflects the income attributable to the non-controlling interest in Black Hills Colorado IPP for which a tax provision was not recorded.</w:t>
      </w:r>
    </w:p>
    <w:p>
      <w:pPr>
        <w:spacing w:after="0" w:line="1" w:lineRule="exact"/>
        <w:rPr>
          <w:rFonts w:ascii="Arial" w:cs="Arial" w:eastAsia="Arial" w:hAnsi="Arial"/>
          <w:sz w:val="14"/>
          <w:szCs w:val="14"/>
          <w:color w:val="auto"/>
        </w:rPr>
      </w:pPr>
    </w:p>
    <w:p>
      <w:pPr>
        <w:ind w:left="520" w:right="120" w:hanging="512"/>
        <w:spacing w:after="0" w:line="241" w:lineRule="auto"/>
        <w:tabs>
          <w:tab w:leader="none" w:pos="5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Flow-through adjustments related primarily to accounting method changes for tax purposes that allow us to take a current tax deduction for repair costs and certain indirect costs. We recorded a deferred income tax liability in recognition of the temporary difference created between book and tax treatment and flowed the tax benefit through to tax expense. A regulatory asset was established to reflect the recovery of future increases in taxes payable from customers as the temporary differences reverse. As a result of this regulatory treatment, we continue to record tax benefits consistent with the flow-through method.</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 xml:space="preserve">Primarily TCJA - see </w:t>
      </w:r>
      <w:r>
        <w:rPr>
          <w:rFonts w:ascii="Arial" w:cs="Arial" w:eastAsia="Arial" w:hAnsi="Arial"/>
          <w:sz w:val="14"/>
          <w:szCs w:val="14"/>
          <w:u w:val="single" w:color="auto"/>
          <w:color w:val="0000FF"/>
        </w:rPr>
        <w:t>Note 2</w:t>
      </w:r>
      <w:r>
        <w:rPr>
          <w:rFonts w:ascii="Arial" w:cs="Arial" w:eastAsia="Arial" w:hAnsi="Arial"/>
          <w:sz w:val="14"/>
          <w:szCs w:val="14"/>
          <w:color w:val="auto"/>
        </w:rPr>
        <w:t xml:space="preserve">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1191260</wp:posOffset>
            </wp:positionH>
            <wp:positionV relativeFrom="paragraph">
              <wp:posOffset>-10160</wp:posOffset>
            </wp:positionV>
            <wp:extent cx="26924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69240"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Deferred Tax Assets and Liabilities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temporary differences, which gave rise to the net deferred tax liability, for the years ended December 31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60" w:type="dxa"/>
            <w:vAlign w:val="bottom"/>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6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83"/>
        </w:trPr>
        <w:tc>
          <w:tcPr>
            <w:tcW w:w="776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right"/>
              <w:ind w:right="59"/>
              <w:spacing w:after="0" w:line="183" w:lineRule="exact"/>
              <w:rPr>
                <w:sz w:val="20"/>
                <w:szCs w:val="20"/>
                <w:color w:val="auto"/>
              </w:rPr>
            </w:pPr>
            <w:r>
              <w:rPr>
                <w:rFonts w:ascii="Arial" w:cs="Arial" w:eastAsia="Arial" w:hAnsi="Arial"/>
                <w:sz w:val="16"/>
                <w:szCs w:val="16"/>
                <w:color w:val="auto"/>
              </w:rPr>
              <w:t>(in millions)</w:t>
            </w:r>
          </w:p>
        </w:tc>
        <w:tc>
          <w:tcPr>
            <w:tcW w:w="1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7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Deferred tax assets:</w:t>
            </w:r>
          </w:p>
        </w:tc>
        <w:tc>
          <w:tcPr>
            <w:tcW w:w="10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60" w:type="dxa"/>
            <w:vAlign w:val="bottom"/>
          </w:tcPr>
          <w:p>
            <w:pPr>
              <w:ind w:left="200"/>
              <w:spacing w:after="0"/>
              <w:rPr>
                <w:sz w:val="20"/>
                <w:szCs w:val="20"/>
                <w:color w:val="auto"/>
              </w:rPr>
            </w:pPr>
            <w:r>
              <w:rPr>
                <w:rFonts w:ascii="Arial" w:cs="Arial" w:eastAsia="Arial" w:hAnsi="Arial"/>
                <w:sz w:val="16"/>
                <w:szCs w:val="16"/>
                <w:color w:val="auto"/>
              </w:rPr>
              <w:t>Regulatory liabilities</w:t>
            </w:r>
          </w:p>
        </w:tc>
        <w:tc>
          <w:tcPr>
            <w:tcW w:w="1060" w:type="dxa"/>
            <w:vAlign w:val="bottom"/>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70.9</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74.0</w:t>
            </w:r>
          </w:p>
        </w:tc>
        <w:tc>
          <w:tcPr>
            <w:tcW w:w="0" w:type="dxa"/>
            <w:vAlign w:val="bottom"/>
          </w:tcPr>
          <w:p>
            <w:pPr>
              <w:spacing w:after="0"/>
              <w:rPr>
                <w:sz w:val="1"/>
                <w:szCs w:val="1"/>
                <w:color w:val="auto"/>
              </w:rPr>
            </w:pPr>
          </w:p>
        </w:tc>
      </w:tr>
      <w:tr>
        <w:trPr>
          <w:trHeight w:val="189"/>
        </w:trPr>
        <w:tc>
          <w:tcPr>
            <w:tcW w:w="77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State tax credits</w:t>
            </w:r>
          </w:p>
        </w:tc>
        <w:tc>
          <w:tcPr>
            <w:tcW w:w="106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8.4</w:t>
            </w:r>
          </w:p>
        </w:tc>
        <w:tc>
          <w:tcPr>
            <w:tcW w:w="50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189"/>
        </w:trPr>
        <w:tc>
          <w:tcPr>
            <w:tcW w:w="7760" w:type="dxa"/>
            <w:vAlign w:val="bottom"/>
          </w:tcPr>
          <w:p>
            <w:pPr>
              <w:ind w:left="200"/>
              <w:spacing w:after="0"/>
              <w:rPr>
                <w:sz w:val="20"/>
                <w:szCs w:val="20"/>
                <w:color w:val="auto"/>
              </w:rPr>
            </w:pPr>
            <w:r>
              <w:rPr>
                <w:rFonts w:ascii="Arial" w:cs="Arial" w:eastAsia="Arial" w:hAnsi="Arial"/>
                <w:sz w:val="16"/>
                <w:szCs w:val="16"/>
                <w:color w:val="auto"/>
              </w:rPr>
              <w:t>Federal NOL</w:t>
            </w:r>
          </w:p>
        </w:tc>
        <w:tc>
          <w:tcPr>
            <w:tcW w:w="1060" w:type="dxa"/>
            <w:vAlign w:val="bottom"/>
          </w:tcPr>
          <w:p>
            <w:pPr>
              <w:spacing w:after="0"/>
              <w:rPr>
                <w:sz w:val="16"/>
                <w:szCs w:val="16"/>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114.9</w:t>
            </w:r>
          </w:p>
        </w:tc>
        <w:tc>
          <w:tcPr>
            <w:tcW w:w="500" w:type="dxa"/>
            <w:vAlign w:val="bottom"/>
          </w:tcPr>
          <w:p>
            <w:pPr>
              <w:spacing w:after="0"/>
              <w:rPr>
                <w:sz w:val="16"/>
                <w:szCs w:val="16"/>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146.6</w:t>
            </w:r>
          </w:p>
        </w:tc>
        <w:tc>
          <w:tcPr>
            <w:tcW w:w="0" w:type="dxa"/>
            <w:vAlign w:val="bottom"/>
          </w:tcPr>
          <w:p>
            <w:pPr>
              <w:spacing w:after="0"/>
              <w:rPr>
                <w:sz w:val="1"/>
                <w:szCs w:val="1"/>
                <w:color w:val="auto"/>
              </w:rPr>
            </w:pPr>
          </w:p>
        </w:tc>
      </w:tr>
      <w:tr>
        <w:trPr>
          <w:trHeight w:val="189"/>
        </w:trPr>
        <w:tc>
          <w:tcPr>
            <w:tcW w:w="77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State NOL</w:t>
            </w:r>
          </w:p>
        </w:tc>
        <w:tc>
          <w:tcPr>
            <w:tcW w:w="106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12.7</w:t>
            </w:r>
          </w:p>
        </w:tc>
        <w:tc>
          <w:tcPr>
            <w:tcW w:w="50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189"/>
        </w:trPr>
        <w:tc>
          <w:tcPr>
            <w:tcW w:w="7760" w:type="dxa"/>
            <w:vAlign w:val="bottom"/>
          </w:tcPr>
          <w:p>
            <w:pPr>
              <w:ind w:left="200"/>
              <w:spacing w:after="0"/>
              <w:rPr>
                <w:sz w:val="20"/>
                <w:szCs w:val="20"/>
                <w:color w:val="auto"/>
              </w:rPr>
            </w:pPr>
            <w:r>
              <w:rPr>
                <w:rFonts w:ascii="Arial" w:cs="Arial" w:eastAsia="Arial" w:hAnsi="Arial"/>
                <w:sz w:val="16"/>
                <w:szCs w:val="16"/>
                <w:color w:val="auto"/>
              </w:rPr>
              <w:t>Partnership</w:t>
            </w:r>
          </w:p>
        </w:tc>
        <w:tc>
          <w:tcPr>
            <w:tcW w:w="1060" w:type="dxa"/>
            <w:vAlign w:val="bottom"/>
          </w:tcPr>
          <w:p>
            <w:pPr>
              <w:spacing w:after="0"/>
              <w:rPr>
                <w:sz w:val="16"/>
                <w:szCs w:val="16"/>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11.6</w:t>
            </w:r>
          </w:p>
        </w:tc>
        <w:tc>
          <w:tcPr>
            <w:tcW w:w="500" w:type="dxa"/>
            <w:vAlign w:val="bottom"/>
          </w:tcPr>
          <w:p>
            <w:pPr>
              <w:spacing w:after="0"/>
              <w:rPr>
                <w:sz w:val="16"/>
                <w:szCs w:val="16"/>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189"/>
        </w:trPr>
        <w:tc>
          <w:tcPr>
            <w:tcW w:w="77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Credit Carryovers</w:t>
            </w:r>
          </w:p>
        </w:tc>
        <w:tc>
          <w:tcPr>
            <w:tcW w:w="106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110.5</w:t>
            </w:r>
          </w:p>
        </w:tc>
        <w:tc>
          <w:tcPr>
            <w:tcW w:w="50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110.1</w:t>
            </w:r>
          </w:p>
        </w:tc>
        <w:tc>
          <w:tcPr>
            <w:tcW w:w="0" w:type="dxa"/>
            <w:vAlign w:val="bottom"/>
          </w:tcPr>
          <w:p>
            <w:pPr>
              <w:spacing w:after="0"/>
              <w:rPr>
                <w:sz w:val="1"/>
                <w:szCs w:val="1"/>
                <w:color w:val="auto"/>
              </w:rPr>
            </w:pPr>
          </w:p>
        </w:tc>
      </w:tr>
      <w:tr>
        <w:trPr>
          <w:trHeight w:val="189"/>
        </w:trPr>
        <w:tc>
          <w:tcPr>
            <w:tcW w:w="7760" w:type="dxa"/>
            <w:vAlign w:val="bottom"/>
          </w:tcPr>
          <w:p>
            <w:pPr>
              <w:ind w:left="200"/>
              <w:spacing w:after="0"/>
              <w:rPr>
                <w:sz w:val="20"/>
                <w:szCs w:val="20"/>
                <w:color w:val="auto"/>
              </w:rPr>
            </w:pPr>
            <w:r>
              <w:rPr>
                <w:rFonts w:ascii="Arial" w:cs="Arial" w:eastAsia="Arial" w:hAnsi="Arial"/>
                <w:sz w:val="16"/>
                <w:szCs w:val="16"/>
                <w:color w:val="auto"/>
              </w:rPr>
              <w:t>Other deferred tax assets</w:t>
            </w:r>
          </w:p>
        </w:tc>
        <w:tc>
          <w:tcPr>
            <w:tcW w:w="1060" w:type="dxa"/>
            <w:vAlign w:val="bottom"/>
          </w:tcPr>
          <w:p>
            <w:pPr>
              <w:spacing w:after="0"/>
              <w:rPr>
                <w:sz w:val="16"/>
                <w:szCs w:val="16"/>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35.4</w:t>
            </w:r>
          </w:p>
        </w:tc>
        <w:tc>
          <w:tcPr>
            <w:tcW w:w="500" w:type="dxa"/>
            <w:vAlign w:val="bottom"/>
          </w:tcPr>
          <w:p>
            <w:pPr>
              <w:spacing w:after="0"/>
              <w:rPr>
                <w:sz w:val="16"/>
                <w:szCs w:val="16"/>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33.7</w:t>
            </w:r>
          </w:p>
        </w:tc>
        <w:tc>
          <w:tcPr>
            <w:tcW w:w="0" w:type="dxa"/>
            <w:vAlign w:val="bottom"/>
          </w:tcPr>
          <w:p>
            <w:pPr>
              <w:spacing w:after="0"/>
              <w:rPr>
                <w:sz w:val="1"/>
                <w:szCs w:val="1"/>
                <w:color w:val="auto"/>
              </w:rPr>
            </w:pPr>
          </w:p>
        </w:tc>
      </w:tr>
      <w:tr>
        <w:trPr>
          <w:trHeight w:val="189"/>
        </w:trPr>
        <w:tc>
          <w:tcPr>
            <w:tcW w:w="77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Less: Valuation allowance</w:t>
            </w:r>
          </w:p>
        </w:tc>
        <w:tc>
          <w:tcPr>
            <w:tcW w:w="1060" w:type="dxa"/>
            <w:vAlign w:val="bottom"/>
            <w:tcBorders>
              <w:bottom w:val="single" w:sz="8" w:color="auto"/>
            </w:tcBorders>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(1.3 )</w:t>
            </w:r>
          </w:p>
        </w:tc>
        <w:tc>
          <w:tcPr>
            <w:tcW w:w="500" w:type="dxa"/>
            <w:vAlign w:val="bottom"/>
            <w:tcBorders>
              <w:bottom w:val="single" w:sz="8" w:color="auto"/>
            </w:tcBorders>
            <w:shd w:val="clear" w:color="auto" w:fill="CFF0FC"/>
          </w:tcPr>
          <w:p>
            <w:pPr>
              <w:spacing w:after="0"/>
              <w:rPr>
                <w:sz w:val="16"/>
                <w:szCs w:val="16"/>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(15.4 )</w:t>
            </w:r>
          </w:p>
        </w:tc>
        <w:tc>
          <w:tcPr>
            <w:tcW w:w="0" w:type="dxa"/>
            <w:vAlign w:val="bottom"/>
          </w:tcPr>
          <w:p>
            <w:pPr>
              <w:spacing w:after="0"/>
              <w:rPr>
                <w:sz w:val="1"/>
                <w:szCs w:val="1"/>
                <w:color w:val="auto"/>
              </w:rPr>
            </w:pPr>
          </w:p>
        </w:tc>
      </w:tr>
      <w:tr>
        <w:trPr>
          <w:trHeight w:val="183"/>
        </w:trPr>
        <w:tc>
          <w:tcPr>
            <w:tcW w:w="7760" w:type="dxa"/>
            <w:vAlign w:val="bottom"/>
          </w:tcPr>
          <w:p>
            <w:pPr>
              <w:ind w:left="380"/>
              <w:spacing w:after="0" w:line="183" w:lineRule="exact"/>
              <w:rPr>
                <w:sz w:val="20"/>
                <w:szCs w:val="20"/>
                <w:color w:val="auto"/>
              </w:rPr>
            </w:pPr>
            <w:r>
              <w:rPr>
                <w:rFonts w:ascii="Arial" w:cs="Arial" w:eastAsia="Arial" w:hAnsi="Arial"/>
                <w:sz w:val="16"/>
                <w:szCs w:val="16"/>
                <w:color w:val="auto"/>
              </w:rPr>
              <w:t>Total deferred tax assets</w:t>
            </w:r>
          </w:p>
        </w:tc>
        <w:tc>
          <w:tcPr>
            <w:tcW w:w="10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363.1</w:t>
            </w:r>
          </w:p>
        </w:tc>
        <w:tc>
          <w:tcPr>
            <w:tcW w:w="5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400.5</w:t>
            </w:r>
          </w:p>
        </w:tc>
        <w:tc>
          <w:tcPr>
            <w:tcW w:w="0" w:type="dxa"/>
            <w:vAlign w:val="bottom"/>
          </w:tcPr>
          <w:p>
            <w:pPr>
              <w:spacing w:after="0"/>
              <w:rPr>
                <w:sz w:val="1"/>
                <w:szCs w:val="1"/>
                <w:color w:val="auto"/>
              </w:rPr>
            </w:pPr>
          </w:p>
        </w:tc>
      </w:tr>
      <w:tr>
        <w:trPr>
          <w:trHeight w:val="183"/>
        </w:trPr>
        <w:tc>
          <w:tcPr>
            <w:tcW w:w="77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60" w:type="dxa"/>
            <w:vAlign w:val="bottom"/>
          </w:tcPr>
          <w:p>
            <w:pPr>
              <w:ind w:left="20"/>
              <w:spacing w:after="0"/>
              <w:rPr>
                <w:sz w:val="20"/>
                <w:szCs w:val="20"/>
                <w:color w:val="auto"/>
              </w:rPr>
            </w:pPr>
            <w:r>
              <w:rPr>
                <w:rFonts w:ascii="Arial" w:cs="Arial" w:eastAsia="Arial" w:hAnsi="Arial"/>
                <w:sz w:val="16"/>
                <w:szCs w:val="16"/>
                <w:color w:val="auto"/>
              </w:rPr>
              <w:t>Deferred tax liabilities:</w:t>
            </w:r>
          </w:p>
        </w:tc>
        <w:tc>
          <w:tcPr>
            <w:tcW w:w="10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Accelerated depreciation, amortization, and other property-related differences</w:t>
            </w:r>
          </w:p>
        </w:tc>
        <w:tc>
          <w:tcPr>
            <w:tcW w:w="106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(729.2 )</w:t>
            </w:r>
          </w:p>
        </w:tc>
        <w:tc>
          <w:tcPr>
            <w:tcW w:w="50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(686.2 )</w:t>
            </w:r>
          </w:p>
        </w:tc>
        <w:tc>
          <w:tcPr>
            <w:tcW w:w="0" w:type="dxa"/>
            <w:vAlign w:val="bottom"/>
          </w:tcPr>
          <w:p>
            <w:pPr>
              <w:spacing w:after="0"/>
              <w:rPr>
                <w:sz w:val="1"/>
                <w:szCs w:val="1"/>
                <w:color w:val="auto"/>
              </w:rPr>
            </w:pPr>
          </w:p>
        </w:tc>
      </w:tr>
      <w:tr>
        <w:trPr>
          <w:trHeight w:val="189"/>
        </w:trPr>
        <w:tc>
          <w:tcPr>
            <w:tcW w:w="7760" w:type="dxa"/>
            <w:vAlign w:val="bottom"/>
          </w:tcPr>
          <w:p>
            <w:pPr>
              <w:ind w:left="200"/>
              <w:spacing w:after="0"/>
              <w:rPr>
                <w:sz w:val="20"/>
                <w:szCs w:val="20"/>
                <w:color w:val="auto"/>
              </w:rPr>
            </w:pPr>
            <w:r>
              <w:rPr>
                <w:rFonts w:ascii="Arial" w:cs="Arial" w:eastAsia="Arial" w:hAnsi="Arial"/>
                <w:sz w:val="16"/>
                <w:szCs w:val="16"/>
                <w:color w:val="auto"/>
              </w:rPr>
              <w:t>Regulatory assets</w:t>
            </w:r>
          </w:p>
        </w:tc>
        <w:tc>
          <w:tcPr>
            <w:tcW w:w="10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(49.5 )</w:t>
            </w:r>
          </w:p>
        </w:tc>
        <w:tc>
          <w:tcPr>
            <w:tcW w:w="5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(65.6 )</w:t>
            </w:r>
          </w:p>
        </w:tc>
        <w:tc>
          <w:tcPr>
            <w:tcW w:w="0" w:type="dxa"/>
            <w:vAlign w:val="bottom"/>
          </w:tcPr>
          <w:p>
            <w:pPr>
              <w:spacing w:after="0"/>
              <w:rPr>
                <w:sz w:val="1"/>
                <w:szCs w:val="1"/>
                <w:color w:val="auto"/>
              </w:rPr>
            </w:pPr>
          </w:p>
        </w:tc>
      </w:tr>
      <w:tr>
        <w:trPr>
          <w:trHeight w:val="189"/>
        </w:trPr>
        <w:tc>
          <w:tcPr>
            <w:tcW w:w="77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Goodwill</w:t>
            </w:r>
          </w:p>
        </w:tc>
        <w:tc>
          <w:tcPr>
            <w:tcW w:w="106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(75.9 )</w:t>
            </w:r>
          </w:p>
        </w:tc>
        <w:tc>
          <w:tcPr>
            <w:tcW w:w="50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(67.8 )</w:t>
            </w:r>
          </w:p>
        </w:tc>
        <w:tc>
          <w:tcPr>
            <w:tcW w:w="0" w:type="dxa"/>
            <w:vAlign w:val="bottom"/>
          </w:tcPr>
          <w:p>
            <w:pPr>
              <w:spacing w:after="0"/>
              <w:rPr>
                <w:sz w:val="1"/>
                <w:szCs w:val="1"/>
                <w:color w:val="auto"/>
              </w:rPr>
            </w:pPr>
          </w:p>
        </w:tc>
      </w:tr>
      <w:tr>
        <w:trPr>
          <w:trHeight w:val="189"/>
        </w:trPr>
        <w:tc>
          <w:tcPr>
            <w:tcW w:w="7760" w:type="dxa"/>
            <w:vAlign w:val="bottom"/>
          </w:tcPr>
          <w:p>
            <w:pPr>
              <w:ind w:left="200"/>
              <w:spacing w:after="0"/>
              <w:rPr>
                <w:sz w:val="20"/>
                <w:szCs w:val="20"/>
                <w:color w:val="auto"/>
              </w:rPr>
            </w:pPr>
            <w:r>
              <w:rPr>
                <w:rFonts w:ascii="Arial" w:cs="Arial" w:eastAsia="Arial" w:hAnsi="Arial"/>
                <w:sz w:val="16"/>
                <w:szCs w:val="16"/>
                <w:color w:val="auto"/>
              </w:rPr>
              <w:t>State deferred tax liability</w:t>
            </w:r>
          </w:p>
        </w:tc>
        <w:tc>
          <w:tcPr>
            <w:tcW w:w="10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(88.7 )</w:t>
            </w:r>
          </w:p>
        </w:tc>
        <w:tc>
          <w:tcPr>
            <w:tcW w:w="5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(84.5 )</w:t>
            </w:r>
          </w:p>
        </w:tc>
        <w:tc>
          <w:tcPr>
            <w:tcW w:w="0" w:type="dxa"/>
            <w:vAlign w:val="bottom"/>
          </w:tcPr>
          <w:p>
            <w:pPr>
              <w:spacing w:after="0"/>
              <w:rPr>
                <w:sz w:val="1"/>
                <w:szCs w:val="1"/>
                <w:color w:val="auto"/>
              </w:rPr>
            </w:pPr>
          </w:p>
        </w:tc>
      </w:tr>
      <w:tr>
        <w:trPr>
          <w:trHeight w:val="189"/>
        </w:trPr>
        <w:tc>
          <w:tcPr>
            <w:tcW w:w="77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Other deferred tax liabilities</w:t>
            </w:r>
          </w:p>
        </w:tc>
        <w:tc>
          <w:tcPr>
            <w:tcW w:w="1060" w:type="dxa"/>
            <w:vAlign w:val="bottom"/>
            <w:tcBorders>
              <w:bottom w:val="single" w:sz="8" w:color="auto"/>
            </w:tcBorders>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(44.9 )</w:t>
            </w:r>
          </w:p>
        </w:tc>
        <w:tc>
          <w:tcPr>
            <w:tcW w:w="500" w:type="dxa"/>
            <w:vAlign w:val="bottom"/>
            <w:tcBorders>
              <w:bottom w:val="single" w:sz="8" w:color="auto"/>
            </w:tcBorders>
            <w:shd w:val="clear" w:color="auto" w:fill="CFF0FC"/>
          </w:tcPr>
          <w:p>
            <w:pPr>
              <w:spacing w:after="0"/>
              <w:rPr>
                <w:sz w:val="16"/>
                <w:szCs w:val="16"/>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(44.4 )</w:t>
            </w:r>
          </w:p>
        </w:tc>
        <w:tc>
          <w:tcPr>
            <w:tcW w:w="0" w:type="dxa"/>
            <w:vAlign w:val="bottom"/>
          </w:tcPr>
          <w:p>
            <w:pPr>
              <w:spacing w:after="0"/>
              <w:rPr>
                <w:sz w:val="1"/>
                <w:szCs w:val="1"/>
                <w:color w:val="auto"/>
              </w:rPr>
            </w:pPr>
          </w:p>
        </w:tc>
      </w:tr>
      <w:tr>
        <w:trPr>
          <w:trHeight w:val="183"/>
        </w:trPr>
        <w:tc>
          <w:tcPr>
            <w:tcW w:w="7760" w:type="dxa"/>
            <w:vAlign w:val="bottom"/>
          </w:tcPr>
          <w:p>
            <w:pPr>
              <w:ind w:left="380"/>
              <w:spacing w:after="0" w:line="183" w:lineRule="exact"/>
              <w:rPr>
                <w:sz w:val="20"/>
                <w:szCs w:val="20"/>
                <w:color w:val="auto"/>
              </w:rPr>
            </w:pPr>
            <w:r>
              <w:rPr>
                <w:rFonts w:ascii="Arial" w:cs="Arial" w:eastAsia="Arial" w:hAnsi="Arial"/>
                <w:sz w:val="16"/>
                <w:szCs w:val="16"/>
                <w:color w:val="auto"/>
              </w:rPr>
              <w:t>Total deferred tax liabilities</w:t>
            </w:r>
          </w:p>
        </w:tc>
        <w:tc>
          <w:tcPr>
            <w:tcW w:w="10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(988.2 )</w:t>
            </w:r>
          </w:p>
        </w:tc>
        <w:tc>
          <w:tcPr>
            <w:tcW w:w="5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(948.5 )</w:t>
            </w:r>
          </w:p>
        </w:tc>
        <w:tc>
          <w:tcPr>
            <w:tcW w:w="0" w:type="dxa"/>
            <w:vAlign w:val="bottom"/>
          </w:tcPr>
          <w:p>
            <w:pPr>
              <w:spacing w:after="0"/>
              <w:rPr>
                <w:sz w:val="1"/>
                <w:szCs w:val="1"/>
                <w:color w:val="auto"/>
              </w:rPr>
            </w:pPr>
          </w:p>
        </w:tc>
      </w:tr>
      <w:tr>
        <w:trPr>
          <w:trHeight w:val="183"/>
        </w:trPr>
        <w:tc>
          <w:tcPr>
            <w:tcW w:w="77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60" w:type="dxa"/>
            <w:vAlign w:val="bottom"/>
          </w:tcPr>
          <w:p>
            <w:pPr>
              <w:ind w:left="200"/>
              <w:spacing w:after="0"/>
              <w:rPr>
                <w:sz w:val="20"/>
                <w:szCs w:val="20"/>
                <w:color w:val="auto"/>
              </w:rPr>
            </w:pPr>
            <w:r>
              <w:rPr>
                <w:rFonts w:ascii="Arial" w:cs="Arial" w:eastAsia="Arial" w:hAnsi="Arial"/>
                <w:sz w:val="16"/>
                <w:szCs w:val="16"/>
                <w:color w:val="auto"/>
              </w:rPr>
              <w:t>Net deferred tax liability</w:t>
            </w:r>
          </w:p>
        </w:tc>
        <w:tc>
          <w:tcPr>
            <w:tcW w:w="106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gridSpan w:val="2"/>
          </w:tcPr>
          <w:p>
            <w:pPr>
              <w:jc w:val="right"/>
              <w:ind w:right="299"/>
              <w:spacing w:after="0"/>
              <w:rPr>
                <w:sz w:val="20"/>
                <w:szCs w:val="20"/>
                <w:color w:val="auto"/>
              </w:rPr>
            </w:pPr>
            <w:r>
              <w:rPr>
                <w:rFonts w:ascii="Arial" w:cs="Arial" w:eastAsia="Arial" w:hAnsi="Arial"/>
                <w:sz w:val="16"/>
                <w:szCs w:val="16"/>
                <w:color w:val="auto"/>
              </w:rPr>
              <w:t>(625.1 ) $</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(548.0 )</w:t>
            </w:r>
          </w:p>
        </w:tc>
        <w:tc>
          <w:tcPr>
            <w:tcW w:w="0" w:type="dxa"/>
            <w:vAlign w:val="bottom"/>
          </w:tcPr>
          <w:p>
            <w:pPr>
              <w:spacing w:after="0"/>
              <w:rPr>
                <w:sz w:val="1"/>
                <w:szCs w:val="1"/>
                <w:color w:val="auto"/>
              </w:rPr>
            </w:pPr>
          </w:p>
        </w:tc>
      </w:tr>
      <w:tr>
        <w:trPr>
          <w:trHeight w:val="20"/>
        </w:trPr>
        <w:tc>
          <w:tcPr>
            <w:tcW w:w="7760" w:type="dxa"/>
            <w:vAlign w:val="bottom"/>
            <w:vMerge w:val="restart"/>
          </w:tcPr>
          <w:p>
            <w:pPr>
              <w:ind w:left="5540"/>
              <w:spacing w:after="0"/>
              <w:rPr>
                <w:sz w:val="20"/>
                <w:szCs w:val="20"/>
                <w:color w:val="auto"/>
              </w:rPr>
            </w:pPr>
            <w:r>
              <w:rPr>
                <w:rFonts w:ascii="Arial" w:cs="Arial" w:eastAsia="Arial" w:hAnsi="Arial"/>
                <w:sz w:val="16"/>
                <w:szCs w:val="16"/>
                <w:color w:val="auto"/>
              </w:rPr>
              <w:t>97</w:t>
            </w: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776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1"/>
        </w:trPr>
        <w:tc>
          <w:tcPr>
            <w:tcW w:w="77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7" w:name="page98"/>
    <w:bookmarkEnd w:id="9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Operating Loss and Tax Credit Carryforwards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2024, we have federal NOL and state NOL and tax credit carryforwards that will expire at various dates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4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Amounts</w:t>
            </w:r>
          </w:p>
        </w:tc>
        <w:tc>
          <w:tcPr>
            <w:tcW w:w="90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Expiration Dates</w:t>
            </w:r>
          </w:p>
        </w:tc>
      </w:tr>
      <w:tr>
        <w:trPr>
          <w:trHeight w:val="183"/>
        </w:trPr>
        <w:tc>
          <w:tcPr>
            <w:tcW w:w="4740" w:type="dxa"/>
            <w:vAlign w:val="bottom"/>
          </w:tcPr>
          <w:p>
            <w:pPr>
              <w:spacing w:after="0"/>
              <w:rPr>
                <w:sz w:val="15"/>
                <w:szCs w:val="15"/>
                <w:color w:val="auto"/>
              </w:rPr>
            </w:pPr>
          </w:p>
        </w:tc>
        <w:tc>
          <w:tcPr>
            <w:tcW w:w="2340" w:type="dxa"/>
            <w:vAlign w:val="bottom"/>
            <w:tcBorders>
              <w:bottom w:val="single" w:sz="8" w:color="auto"/>
            </w:tcBorders>
          </w:tcPr>
          <w:p>
            <w:pPr>
              <w:jc w:val="right"/>
              <w:ind w:right="279"/>
              <w:spacing w:after="0" w:line="183" w:lineRule="exact"/>
              <w:rPr>
                <w:sz w:val="20"/>
                <w:szCs w:val="20"/>
                <w:color w:val="auto"/>
              </w:rPr>
            </w:pPr>
            <w:r>
              <w:rPr>
                <w:rFonts w:ascii="Arial" w:cs="Arial" w:eastAsia="Arial" w:hAnsi="Arial"/>
                <w:sz w:val="16"/>
                <w:szCs w:val="16"/>
                <w:color w:val="auto"/>
              </w:rPr>
              <w:t>(in millions)</w:t>
            </w:r>
          </w:p>
        </w:tc>
        <w:tc>
          <w:tcPr>
            <w:tcW w:w="900" w:type="dxa"/>
            <w:vAlign w:val="bottom"/>
            <w:tcBorders>
              <w:bottom w:val="single" w:sz="8" w:color="auto"/>
            </w:tcBorders>
          </w:tcPr>
          <w:p>
            <w:pPr>
              <w:spacing w:after="0"/>
              <w:rPr>
                <w:sz w:val="15"/>
                <w:szCs w:val="15"/>
                <w:color w:val="auto"/>
              </w:rPr>
            </w:pPr>
          </w:p>
        </w:tc>
        <w:tc>
          <w:tcPr>
            <w:tcW w:w="3260" w:type="dxa"/>
            <w:vAlign w:val="bottom"/>
          </w:tcPr>
          <w:p>
            <w:pPr>
              <w:spacing w:after="0"/>
              <w:rPr>
                <w:sz w:val="15"/>
                <w:szCs w:val="15"/>
                <w:color w:val="auto"/>
              </w:rPr>
            </w:pPr>
          </w:p>
        </w:tc>
      </w:tr>
      <w:tr>
        <w:trPr>
          <w:trHeight w:val="183"/>
        </w:trPr>
        <w:tc>
          <w:tcPr>
            <w:tcW w:w="474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Federal NOL Carryforward</w:t>
            </w:r>
          </w:p>
        </w:tc>
        <w:tc>
          <w:tcPr>
            <w:tcW w:w="2340" w:type="dxa"/>
            <w:vAlign w:val="bottom"/>
            <w:shd w:val="clear" w:color="auto" w:fill="CFF0FC"/>
          </w:tcPr>
          <w:p>
            <w:pPr>
              <w:jc w:val="right"/>
              <w:ind w:right="2139"/>
              <w:spacing w:after="0" w:line="183" w:lineRule="exact"/>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547.2</w:t>
            </w:r>
          </w:p>
        </w:tc>
        <w:tc>
          <w:tcPr>
            <w:tcW w:w="3260" w:type="dxa"/>
            <w:vAlign w:val="bottom"/>
            <w:shd w:val="clear" w:color="auto" w:fill="CFF0FC"/>
          </w:tcPr>
          <w:p>
            <w:pPr>
              <w:jc w:val="center"/>
              <w:spacing w:after="0" w:line="183" w:lineRule="exact"/>
              <w:rPr>
                <w:sz w:val="20"/>
                <w:szCs w:val="20"/>
                <w:color w:val="auto"/>
              </w:rPr>
            </w:pPr>
            <w:r>
              <w:rPr>
                <w:rFonts w:ascii="Arial" w:cs="Arial" w:eastAsia="Arial" w:hAnsi="Arial"/>
                <w:sz w:val="16"/>
                <w:szCs w:val="16"/>
                <w:color w:val="auto"/>
                <w:w w:val="99"/>
              </w:rPr>
              <w:t>No expiration</w:t>
            </w:r>
          </w:p>
        </w:tc>
      </w:tr>
      <w:tr>
        <w:trPr>
          <w:trHeight w:val="189"/>
        </w:trPr>
        <w:tc>
          <w:tcPr>
            <w:tcW w:w="4740" w:type="dxa"/>
            <w:vAlign w:val="bottom"/>
          </w:tcPr>
          <w:p>
            <w:pPr>
              <w:ind w:left="20"/>
              <w:spacing w:after="0"/>
              <w:rPr>
                <w:sz w:val="20"/>
                <w:szCs w:val="20"/>
                <w:color w:val="auto"/>
              </w:rPr>
            </w:pPr>
            <w:r>
              <w:rPr>
                <w:rFonts w:ascii="Arial" w:cs="Arial" w:eastAsia="Arial" w:hAnsi="Arial"/>
                <w:sz w:val="16"/>
                <w:szCs w:val="16"/>
                <w:color w:val="auto"/>
              </w:rPr>
              <w:t>Federal Tax Credit Carryforward</w:t>
            </w:r>
          </w:p>
        </w:tc>
        <w:tc>
          <w:tcPr>
            <w:tcW w:w="2340" w:type="dxa"/>
            <w:vAlign w:val="bottom"/>
          </w:tcPr>
          <w:p>
            <w:pPr>
              <w:jc w:val="right"/>
              <w:ind w:right="21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110.5</w:t>
            </w:r>
          </w:p>
        </w:tc>
        <w:tc>
          <w:tcPr>
            <w:tcW w:w="3260" w:type="dxa"/>
            <w:vAlign w:val="bottom"/>
          </w:tcPr>
          <w:p>
            <w:pPr>
              <w:jc w:val="center"/>
              <w:spacing w:after="0"/>
              <w:rPr>
                <w:sz w:val="20"/>
                <w:szCs w:val="20"/>
                <w:color w:val="auto"/>
              </w:rPr>
            </w:pPr>
            <w:r>
              <w:rPr>
                <w:rFonts w:ascii="Arial" w:cs="Arial" w:eastAsia="Arial" w:hAnsi="Arial"/>
                <w:sz w:val="16"/>
                <w:szCs w:val="16"/>
                <w:color w:val="auto"/>
              </w:rPr>
              <w:t>2030-2044</w:t>
            </w:r>
          </w:p>
        </w:tc>
      </w:tr>
      <w:tr>
        <w:trPr>
          <w:trHeight w:val="189"/>
        </w:trPr>
        <w:tc>
          <w:tcPr>
            <w:tcW w:w="4740" w:type="dxa"/>
            <w:vAlign w:val="bottom"/>
            <w:shd w:val="clear" w:color="auto" w:fill="CFF0FC"/>
          </w:tcPr>
          <w:p>
            <w:pPr>
              <w:spacing w:after="0"/>
              <w:rPr>
                <w:sz w:val="16"/>
                <w:szCs w:val="16"/>
                <w:color w:val="auto"/>
              </w:rPr>
            </w:pPr>
          </w:p>
        </w:tc>
        <w:tc>
          <w:tcPr>
            <w:tcW w:w="23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3260" w:type="dxa"/>
            <w:vAlign w:val="bottom"/>
            <w:shd w:val="clear" w:color="auto" w:fill="CFF0FC"/>
          </w:tcPr>
          <w:p>
            <w:pPr>
              <w:spacing w:after="0"/>
              <w:rPr>
                <w:sz w:val="16"/>
                <w:szCs w:val="16"/>
                <w:color w:val="auto"/>
              </w:rPr>
            </w:pPr>
          </w:p>
        </w:tc>
      </w:tr>
      <w:tr>
        <w:trPr>
          <w:trHeight w:val="189"/>
        </w:trPr>
        <w:tc>
          <w:tcPr>
            <w:tcW w:w="4740" w:type="dxa"/>
            <w:vAlign w:val="bottom"/>
          </w:tcPr>
          <w:p>
            <w:pPr>
              <w:ind w:left="20"/>
              <w:spacing w:after="0" w:line="189" w:lineRule="exact"/>
              <w:rPr>
                <w:sz w:val="20"/>
                <w:szCs w:val="20"/>
                <w:color w:val="auto"/>
              </w:rPr>
            </w:pPr>
            <w:r>
              <w:rPr>
                <w:rFonts w:ascii="Arial" w:cs="Arial" w:eastAsia="Arial" w:hAnsi="Arial"/>
                <w:sz w:val="16"/>
                <w:szCs w:val="16"/>
                <w:color w:val="auto"/>
              </w:rPr>
              <w:t xml:space="preserve">State NOL Carryforward </w:t>
            </w:r>
            <w:r>
              <w:rPr>
                <w:rFonts w:ascii="Arial" w:cs="Arial" w:eastAsia="Arial" w:hAnsi="Arial"/>
                <w:sz w:val="21"/>
                <w:szCs w:val="21"/>
                <w:color w:val="auto"/>
                <w:vertAlign w:val="superscript"/>
              </w:rPr>
              <w:t>(a)</w:t>
            </w:r>
          </w:p>
        </w:tc>
        <w:tc>
          <w:tcPr>
            <w:tcW w:w="2340" w:type="dxa"/>
            <w:vAlign w:val="bottom"/>
          </w:tcPr>
          <w:p>
            <w:pPr>
              <w:jc w:val="right"/>
              <w:ind w:right="21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242.6</w:t>
            </w:r>
          </w:p>
        </w:tc>
        <w:tc>
          <w:tcPr>
            <w:tcW w:w="3260" w:type="dxa"/>
            <w:vAlign w:val="bottom"/>
          </w:tcPr>
          <w:p>
            <w:pPr>
              <w:jc w:val="center"/>
              <w:spacing w:after="0"/>
              <w:rPr>
                <w:sz w:val="20"/>
                <w:szCs w:val="20"/>
                <w:color w:val="auto"/>
              </w:rPr>
            </w:pPr>
            <w:r>
              <w:rPr>
                <w:rFonts w:ascii="Arial" w:cs="Arial" w:eastAsia="Arial" w:hAnsi="Arial"/>
                <w:sz w:val="16"/>
                <w:szCs w:val="16"/>
                <w:color w:val="auto"/>
              </w:rPr>
              <w:t>2025-2042</w:t>
            </w:r>
          </w:p>
        </w:tc>
      </w:tr>
      <w:tr>
        <w:trPr>
          <w:trHeight w:val="189"/>
        </w:trPr>
        <w:tc>
          <w:tcPr>
            <w:tcW w:w="4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State Tax Credit Carryforward</w:t>
            </w:r>
          </w:p>
        </w:tc>
        <w:tc>
          <w:tcPr>
            <w:tcW w:w="2340" w:type="dxa"/>
            <w:vAlign w:val="bottom"/>
            <w:shd w:val="clear" w:color="auto" w:fill="CFF0FC"/>
          </w:tcPr>
          <w:p>
            <w:pPr>
              <w:jc w:val="right"/>
              <w:ind w:right="21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8.4</w:t>
            </w:r>
          </w:p>
        </w:tc>
        <w:tc>
          <w:tcPr>
            <w:tcW w:w="32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2025-2038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214312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60" w:lineRule="exact"/>
        <w:rPr>
          <w:sz w:val="20"/>
          <w:szCs w:val="20"/>
          <w:color w:val="auto"/>
        </w:rPr>
      </w:pPr>
    </w:p>
    <w:p>
      <w:pPr>
        <w:ind w:left="520" w:hanging="512"/>
        <w:spacing w:after="0"/>
        <w:tabs>
          <w:tab w:leader="none" w:pos="5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carryforward balance is reflected on the basis of apportioned tax losses to jurisdictions imposing state income taxes.</w:t>
      </w:r>
    </w:p>
    <w:p>
      <w:pPr>
        <w:spacing w:after="0" w:line="185"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As of December 31, 2024, we had a $0.3 million valuation allowance against the state NOL carryforwards. Our 2024 analysis of the ability to utilize such NOLs resulted in no increase in the valuation allowance. If the valuation allowance is adjusted due to higher or lower than anticipated utilization of the NOLs, the offsetting amount will affect tax expense. The valuation allowance was reduced by $0.7 million for previously reserved expiring NOL.</w:t>
      </w:r>
    </w:p>
    <w:p>
      <w:pPr>
        <w:spacing w:after="0" w:line="144"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 xml:space="preserve">Refer to Notes </w:t>
      </w:r>
      <w:r>
        <w:rPr>
          <w:rFonts w:ascii="Arial" w:cs="Arial" w:eastAsia="Arial" w:hAnsi="Arial"/>
          <w:sz w:val="16"/>
          <w:szCs w:val="16"/>
          <w:u w:val="single" w:color="auto"/>
          <w:color w:val="0000FF"/>
        </w:rPr>
        <w:t>1</w:t>
      </w:r>
      <w:r>
        <w:rPr>
          <w:rFonts w:ascii="Arial" w:cs="Arial" w:eastAsia="Arial" w:hAnsi="Arial"/>
          <w:sz w:val="16"/>
          <w:szCs w:val="16"/>
          <w:color w:val="auto"/>
        </w:rPr>
        <w:t xml:space="preserve"> and </w:t>
      </w:r>
      <w:r>
        <w:rPr>
          <w:rFonts w:ascii="Arial" w:cs="Arial" w:eastAsia="Arial" w:hAnsi="Arial"/>
          <w:sz w:val="16"/>
          <w:szCs w:val="16"/>
          <w:u w:val="single" w:color="auto"/>
          <w:color w:val="0000FF"/>
        </w:rPr>
        <w:t>3</w:t>
      </w:r>
      <w:r>
        <w:rPr>
          <w:rFonts w:ascii="Arial" w:cs="Arial" w:eastAsia="Arial" w:hAnsi="Arial"/>
          <w:sz w:val="16"/>
          <w:szCs w:val="16"/>
          <w:color w:val="auto"/>
        </w:rPr>
        <w:t xml:space="preserve"> for a discussion of valuation allowances recorded in 2024 related to the expected transfer of renewable tax credits to other corporate taxpayers.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696595</wp:posOffset>
            </wp:positionH>
            <wp:positionV relativeFrom="paragraph">
              <wp:posOffset>-165735</wp:posOffset>
            </wp:positionV>
            <wp:extent cx="5715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-165735</wp:posOffset>
            </wp:positionV>
            <wp:extent cx="5715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10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As of December 31, 2024, we did not have a valuation allowance against the state ITC carryforwards. The valuation allowance was reduced by $14.4 million for a previously reserved expiring state ITC.</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Unrecognized Tax Benefits</w:t>
      </w:r>
    </w:p>
    <w:p>
      <w:pPr>
        <w:spacing w:after="0" w:line="194" w:lineRule="exact"/>
        <w:rPr>
          <w:sz w:val="20"/>
          <w:szCs w:val="20"/>
          <w:color w:val="auto"/>
        </w:rPr>
      </w:pPr>
    </w:p>
    <w:p>
      <w:pPr>
        <w:ind w:right="480"/>
        <w:spacing w:after="0" w:line="286" w:lineRule="auto"/>
        <w:rPr>
          <w:sz w:val="20"/>
          <w:szCs w:val="20"/>
          <w:color w:val="auto"/>
        </w:rPr>
      </w:pPr>
      <w:r>
        <w:rPr>
          <w:rFonts w:ascii="Arial" w:cs="Arial" w:eastAsia="Arial" w:hAnsi="Arial"/>
          <w:sz w:val="16"/>
          <w:szCs w:val="16"/>
          <w:color w:val="auto"/>
        </w:rPr>
        <w:t>The following table reconciles the total amounts of unrecognized tax benefits, without interest, at the beginning and end of the period included in Other deferred credits and other liabilities on the accompanying Consolidated Balance Sheets: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Changes in Uncertain Tax Positions:</w:t>
            </w:r>
          </w:p>
        </w:tc>
        <w:tc>
          <w:tcPr>
            <w:tcW w:w="4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2024</w:t>
            </w:r>
          </w:p>
        </w:tc>
        <w:tc>
          <w:tcPr>
            <w:tcW w:w="3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2023</w:t>
            </w:r>
          </w:p>
        </w:tc>
        <w:tc>
          <w:tcPr>
            <w:tcW w:w="4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2022</w:t>
            </w:r>
          </w:p>
        </w:tc>
      </w:tr>
      <w:tr>
        <w:trPr>
          <w:trHeight w:val="183"/>
        </w:trPr>
        <w:tc>
          <w:tcPr>
            <w:tcW w:w="52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559"/>
              <w:spacing w:after="0" w:line="183" w:lineRule="exact"/>
              <w:rPr>
                <w:sz w:val="20"/>
                <w:szCs w:val="20"/>
                <w:color w:val="auto"/>
              </w:rPr>
            </w:pPr>
            <w:r>
              <w:rPr>
                <w:rFonts w:ascii="Arial" w:cs="Arial" w:eastAsia="Arial" w:hAnsi="Arial"/>
                <w:sz w:val="16"/>
                <w:szCs w:val="16"/>
                <w:color w:val="auto"/>
              </w:rPr>
              <w:t>(in millions)</w:t>
            </w:r>
          </w:p>
        </w:tc>
        <w:tc>
          <w:tcPr>
            <w:tcW w:w="4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r>
      <w:tr>
        <w:trPr>
          <w:trHeight w:val="183"/>
        </w:trPr>
        <w:tc>
          <w:tcPr>
            <w:tcW w:w="520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Beginning balance</w:t>
            </w:r>
          </w:p>
        </w:tc>
        <w:tc>
          <w:tcPr>
            <w:tcW w:w="440" w:type="dxa"/>
            <w:vAlign w:val="bottom"/>
            <w:shd w:val="clear" w:color="auto" w:fill="CFF0FC"/>
          </w:tcPr>
          <w:p>
            <w:pPr>
              <w:jc w:val="right"/>
              <w:ind w:right="259"/>
              <w:spacing w:after="0" w:line="183" w:lineRule="exact"/>
              <w:rPr>
                <w:sz w:val="20"/>
                <w:szCs w:val="20"/>
                <w:color w:val="auto"/>
              </w:rPr>
            </w:pPr>
            <w:r>
              <w:rPr>
                <w:rFonts w:ascii="Arial" w:cs="Arial" w:eastAsia="Arial" w:hAnsi="Arial"/>
                <w:sz w:val="16"/>
                <w:szCs w:val="16"/>
                <w:color w:val="auto"/>
                <w:w w:val="89"/>
              </w:rPr>
              <w:t>$</w:t>
            </w:r>
          </w:p>
        </w:tc>
        <w:tc>
          <w:tcPr>
            <w:tcW w:w="156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13.7</w:t>
            </w:r>
          </w:p>
        </w:tc>
        <w:tc>
          <w:tcPr>
            <w:tcW w:w="340" w:type="dxa"/>
            <w:vAlign w:val="bottom"/>
            <w:shd w:val="clear" w:color="auto" w:fill="CFF0FC"/>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16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11.9</w:t>
            </w:r>
          </w:p>
        </w:tc>
        <w:tc>
          <w:tcPr>
            <w:tcW w:w="440" w:type="dxa"/>
            <w:vAlign w:val="bottom"/>
            <w:shd w:val="clear" w:color="auto" w:fill="CFF0FC"/>
          </w:tcPr>
          <w:p>
            <w:pPr>
              <w:jc w:val="right"/>
              <w:ind w:right="239"/>
              <w:spacing w:after="0" w:line="183" w:lineRule="exact"/>
              <w:rPr>
                <w:sz w:val="20"/>
                <w:szCs w:val="20"/>
                <w:color w:val="auto"/>
              </w:rPr>
            </w:pPr>
            <w:r>
              <w:rPr>
                <w:rFonts w:ascii="Arial" w:cs="Arial" w:eastAsia="Arial" w:hAnsi="Arial"/>
                <w:sz w:val="16"/>
                <w:szCs w:val="16"/>
                <w:color w:val="auto"/>
              </w:rPr>
              <w:t>$</w:t>
            </w:r>
          </w:p>
        </w:tc>
        <w:tc>
          <w:tcPr>
            <w:tcW w:w="158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10.6</w:t>
            </w:r>
          </w:p>
        </w:tc>
      </w:tr>
      <w:tr>
        <w:trPr>
          <w:trHeight w:val="189"/>
        </w:trPr>
        <w:tc>
          <w:tcPr>
            <w:tcW w:w="5200" w:type="dxa"/>
            <w:vAlign w:val="bottom"/>
          </w:tcPr>
          <w:p>
            <w:pPr>
              <w:ind w:left="20"/>
              <w:spacing w:after="0"/>
              <w:rPr>
                <w:sz w:val="20"/>
                <w:szCs w:val="20"/>
                <w:color w:val="auto"/>
              </w:rPr>
            </w:pPr>
            <w:r>
              <w:rPr>
                <w:rFonts w:ascii="Arial" w:cs="Arial" w:eastAsia="Arial" w:hAnsi="Arial"/>
                <w:sz w:val="16"/>
                <w:szCs w:val="16"/>
                <w:color w:val="auto"/>
              </w:rPr>
              <w:t>Additions for prior year tax positions</w:t>
            </w:r>
          </w:p>
        </w:tc>
        <w:tc>
          <w:tcPr>
            <w:tcW w:w="440" w:type="dxa"/>
            <w:vAlign w:val="bottom"/>
          </w:tcPr>
          <w:p>
            <w:pPr>
              <w:spacing w:after="0"/>
              <w:rPr>
                <w:sz w:val="16"/>
                <w:szCs w:val="16"/>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0.6</w:t>
            </w:r>
          </w:p>
        </w:tc>
        <w:tc>
          <w:tcPr>
            <w:tcW w:w="340" w:type="dxa"/>
            <w:vAlign w:val="bottom"/>
          </w:tcPr>
          <w:p>
            <w:pPr>
              <w:spacing w:after="0"/>
              <w:rPr>
                <w:sz w:val="16"/>
                <w:szCs w:val="16"/>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6"/>
                <w:szCs w:val="16"/>
                <w:color w:val="auto"/>
              </w:rPr>
            </w:pPr>
          </w:p>
        </w:tc>
        <w:tc>
          <w:tcPr>
            <w:tcW w:w="158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189"/>
        </w:trPr>
        <w:tc>
          <w:tcPr>
            <w:tcW w:w="5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Reductions for prior year tax positions</w:t>
            </w:r>
          </w:p>
        </w:tc>
        <w:tc>
          <w:tcPr>
            <w:tcW w:w="440" w:type="dxa"/>
            <w:vAlign w:val="bottom"/>
            <w:shd w:val="clear" w:color="auto" w:fill="CFF0FC"/>
          </w:tcPr>
          <w:p>
            <w:pPr>
              <w:spacing w:after="0"/>
              <w:rPr>
                <w:sz w:val="16"/>
                <w:szCs w:val="16"/>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(8.1 )</w:t>
            </w:r>
          </w:p>
        </w:tc>
        <w:tc>
          <w:tcPr>
            <w:tcW w:w="340" w:type="dxa"/>
            <w:vAlign w:val="bottom"/>
            <w:shd w:val="clear" w:color="auto" w:fill="CFF0FC"/>
          </w:tcPr>
          <w:p>
            <w:pPr>
              <w:spacing w:after="0"/>
              <w:rPr>
                <w:sz w:val="16"/>
                <w:szCs w:val="16"/>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(0.3 )</w:t>
            </w:r>
          </w:p>
        </w:tc>
        <w:tc>
          <w:tcPr>
            <w:tcW w:w="440" w:type="dxa"/>
            <w:vAlign w:val="bottom"/>
            <w:shd w:val="clear" w:color="auto" w:fill="CFF0FC"/>
          </w:tcPr>
          <w:p>
            <w:pPr>
              <w:spacing w:after="0"/>
              <w:rPr>
                <w:sz w:val="16"/>
                <w:szCs w:val="16"/>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(0.8 )</w:t>
            </w:r>
          </w:p>
        </w:tc>
      </w:tr>
      <w:tr>
        <w:trPr>
          <w:trHeight w:val="189"/>
        </w:trPr>
        <w:tc>
          <w:tcPr>
            <w:tcW w:w="5200" w:type="dxa"/>
            <w:vAlign w:val="bottom"/>
          </w:tcPr>
          <w:p>
            <w:pPr>
              <w:ind w:left="20"/>
              <w:spacing w:after="0"/>
              <w:rPr>
                <w:sz w:val="20"/>
                <w:szCs w:val="20"/>
                <w:color w:val="auto"/>
              </w:rPr>
            </w:pPr>
            <w:r>
              <w:rPr>
                <w:rFonts w:ascii="Arial" w:cs="Arial" w:eastAsia="Arial" w:hAnsi="Arial"/>
                <w:sz w:val="16"/>
                <w:szCs w:val="16"/>
                <w:color w:val="auto"/>
              </w:rPr>
              <w:t>Additions for current year tax positions</w:t>
            </w:r>
          </w:p>
        </w:tc>
        <w:tc>
          <w:tcPr>
            <w:tcW w:w="4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w:t>
            </w: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w:t>
            </w:r>
          </w:p>
        </w:tc>
        <w:tc>
          <w:tcPr>
            <w:tcW w:w="4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2.1</w:t>
            </w:r>
          </w:p>
        </w:tc>
      </w:tr>
      <w:tr>
        <w:trPr>
          <w:trHeight w:val="183"/>
        </w:trPr>
        <w:tc>
          <w:tcPr>
            <w:tcW w:w="520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Ending balance</w:t>
            </w:r>
          </w:p>
        </w:tc>
        <w:tc>
          <w:tcPr>
            <w:tcW w:w="440" w:type="dxa"/>
            <w:vAlign w:val="bottom"/>
            <w:shd w:val="clear" w:color="auto" w:fill="CFF0FC"/>
          </w:tcPr>
          <w:p>
            <w:pPr>
              <w:jc w:val="right"/>
              <w:ind w:right="259"/>
              <w:spacing w:after="0" w:line="183" w:lineRule="exact"/>
              <w:rPr>
                <w:sz w:val="20"/>
                <w:szCs w:val="20"/>
                <w:color w:val="auto"/>
              </w:rPr>
            </w:pPr>
            <w:r>
              <w:rPr>
                <w:rFonts w:ascii="Arial" w:cs="Arial" w:eastAsia="Arial" w:hAnsi="Arial"/>
                <w:sz w:val="16"/>
                <w:szCs w:val="16"/>
                <w:color w:val="auto"/>
                <w:w w:val="89"/>
              </w:rPr>
              <w:t>$</w:t>
            </w:r>
          </w:p>
        </w:tc>
        <w:tc>
          <w:tcPr>
            <w:tcW w:w="156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7.8</w:t>
            </w:r>
          </w:p>
        </w:tc>
        <w:tc>
          <w:tcPr>
            <w:tcW w:w="340" w:type="dxa"/>
            <w:vAlign w:val="bottom"/>
            <w:shd w:val="clear" w:color="auto" w:fill="CFF0FC"/>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16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13.7</w:t>
            </w:r>
          </w:p>
        </w:tc>
        <w:tc>
          <w:tcPr>
            <w:tcW w:w="440" w:type="dxa"/>
            <w:vAlign w:val="bottom"/>
            <w:shd w:val="clear" w:color="auto" w:fill="CFF0FC"/>
          </w:tcPr>
          <w:p>
            <w:pPr>
              <w:jc w:val="right"/>
              <w:ind w:right="239"/>
              <w:spacing w:after="0" w:line="183" w:lineRule="exact"/>
              <w:rPr>
                <w:sz w:val="20"/>
                <w:szCs w:val="20"/>
                <w:color w:val="auto"/>
              </w:rPr>
            </w:pPr>
            <w:r>
              <w:rPr>
                <w:rFonts w:ascii="Arial" w:cs="Arial" w:eastAsia="Arial" w:hAnsi="Arial"/>
                <w:sz w:val="16"/>
                <w:szCs w:val="16"/>
                <w:color w:val="auto"/>
              </w:rPr>
              <w:t>$</w:t>
            </w:r>
          </w:p>
        </w:tc>
        <w:tc>
          <w:tcPr>
            <w:tcW w:w="158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11.9</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total amount of unrecognized tax benefits that, if recognized, would impact the effective tax rate is approximately $7.5 million.</w:t>
      </w:r>
    </w:p>
    <w:p>
      <w:pPr>
        <w:spacing w:after="0" w:line="194"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We recognized no interest expense associated with income taxes for the years ended December 31, 2024, 2023, and 2022. We had no accrued interest (before tax effect) associated with income taxes at December 31, 2024, and 2023.</w:t>
      </w:r>
    </w:p>
    <w:p>
      <w:pPr>
        <w:spacing w:after="0" w:line="129"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As of December 31, 2024, we do not have any tax positions for which it is reasonably possible that the total amount of unrecognized tax benefits will significantly increase or decrease on or before December 31, 2025. In 2024, we released all uncertain tax positions for tax repairs of gas transmission and distribution property due to a change in a method of accounting provided by Revenue Procedure 2023-15.</w:t>
      </w:r>
    </w:p>
    <w:p>
      <w:pPr>
        <w:spacing w:after="0" w:line="144"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We are subject to federal income tax as well as income tax in various state and local jurisdictions. As of December 31, 2024, tax years for 2021, 2022, and 2023 are subject to examination by the tax authorities. With few exceptions, we are no longer subject to U.S. or state exam for years before 2021. Tax years 2018 and 2019 were open as of December 31, 2024.</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8" w:name="page99"/>
    <w:bookmarkEnd w:id="9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BUSINESS SEGMENT INFORMATION</w:t>
      </w:r>
    </w:p>
    <w:p>
      <w:pPr>
        <w:spacing w:after="0" w:line="194"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We are a holding company that, through our subsidiaries, conducts our operations through the following reportable segments: Electric Utilities and Gas Utilities. Certain unallocated corporate expenses that support our reportable segments are presented as Corporate and Other.</w:t>
      </w:r>
    </w:p>
    <w:p>
      <w:pPr>
        <w:spacing w:after="0" w:line="129"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Our operating segments, which are equivalent to our reportable segments, are based on our method of internal reporting, which is generally segregated by differences in products and services. All of our operations and assets are located within the United States.</w:t>
      </w:r>
    </w:p>
    <w:p>
      <w:pPr>
        <w:spacing w:after="0" w:line="129" w:lineRule="exact"/>
        <w:rPr>
          <w:sz w:val="20"/>
          <w:szCs w:val="20"/>
          <w:color w:val="auto"/>
        </w:rPr>
      </w:pPr>
    </w:p>
    <w:p>
      <w:pPr>
        <w:ind w:right="320"/>
        <w:spacing w:after="0" w:line="266" w:lineRule="auto"/>
        <w:rPr>
          <w:sz w:val="20"/>
          <w:szCs w:val="20"/>
          <w:color w:val="auto"/>
        </w:rPr>
      </w:pPr>
      <w:r>
        <w:rPr>
          <w:rFonts w:ascii="Arial" w:cs="Arial" w:eastAsia="Arial" w:hAnsi="Arial"/>
          <w:sz w:val="16"/>
          <w:szCs w:val="16"/>
          <w:color w:val="auto"/>
        </w:rPr>
        <w:t>Our Electric Utilities segment includes the operating results of the regulated electric utility operations of Colorado Electric, South Dakota Electric, and Wyoming Electric, which supply regulated electric utility services to areas in Colorado, Montana, South Dakota, and Wyoming. We also own and operate non-regulated power generation and mining businesses that are vertically integrated with our Electric Utilities.</w:t>
      </w:r>
    </w:p>
    <w:p>
      <w:pPr>
        <w:spacing w:after="0" w:line="144"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Our Gas Utilities segment consists of the operating results of our regulated natural gas utility subsidiaries in Arkansas, Colorado, Iowa, Kansas, Nebraska, and Wyoming.</w:t>
      </w:r>
    </w:p>
    <w:p>
      <w:pPr>
        <w:spacing w:after="0" w:line="129"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Corporate and Other consists of certain unallocated expenses for administrative activities that support our operating segments. Corporate and Other also includes business development activities that are not part of our operating segments and inter-segment eliminations.</w:t>
      </w:r>
    </w:p>
    <w:p>
      <w:pPr>
        <w:spacing w:after="0" w:line="129"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Our Chief Executive Officer, who is considered to be our CODM, reviews financial information presented on an operating segment basis for purposes of making decisions, allocating resources, and assessing financial performance. Our CODM assesses the performance of our operating segments and decides how to allocate resources based on operating income. Our CODM reviews capital expenditures by operating segment rather than any individual or total asset amount.</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Segment information was as follows:</w:t>
      </w:r>
    </w:p>
    <w:p>
      <w:pPr>
        <w:spacing w:after="0" w:line="194" w:lineRule="exact"/>
        <w:rPr>
          <w:sz w:val="20"/>
          <w:szCs w:val="20"/>
          <w:color w:val="auto"/>
        </w:rPr>
      </w:pPr>
    </w:p>
    <w:p>
      <w:pPr>
        <w:ind w:left="6760"/>
        <w:spacing w:after="0"/>
        <w:rPr>
          <w:sz w:val="20"/>
          <w:szCs w:val="20"/>
          <w:color w:val="auto"/>
        </w:rPr>
      </w:pPr>
      <w:r>
        <w:rPr>
          <w:rFonts w:ascii="Arial" w:cs="Arial" w:eastAsia="Arial" w:hAnsi="Arial"/>
          <w:sz w:val="16"/>
          <w:szCs w:val="16"/>
          <w:b w:val="1"/>
          <w:bCs w:val="1"/>
          <w:color w:val="auto"/>
        </w:rPr>
        <w:t>Consolidating Income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12065</wp:posOffset>
            </wp:positionV>
            <wp:extent cx="402018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020185" cy="8255"/>
                    </a:xfrm>
                    <a:prstGeom prst="rect">
                      <a:avLst/>
                    </a:prstGeom>
                    <a:noFill/>
                  </pic:spPr>
                </pic:pic>
              </a:graphicData>
            </a:graphic>
          </wp:anchor>
        </w:drawing>
      </w:r>
    </w:p>
    <w:p>
      <w:pPr>
        <w:spacing w:after="0" w:line="15" w:lineRule="exact"/>
        <w:rPr>
          <w:sz w:val="20"/>
          <w:szCs w:val="20"/>
          <w:color w:val="auto"/>
        </w:rPr>
      </w:pPr>
    </w:p>
    <w:p>
      <w:pPr>
        <w:ind w:left="8400"/>
        <w:spacing w:after="0"/>
        <w:rPr>
          <w:sz w:val="20"/>
          <w:szCs w:val="20"/>
          <w:color w:val="auto"/>
        </w:rPr>
      </w:pPr>
      <w:r>
        <w:rPr>
          <w:rFonts w:ascii="Arial" w:cs="Arial" w:eastAsia="Arial" w:hAnsi="Arial"/>
          <w:sz w:val="16"/>
          <w:szCs w:val="16"/>
          <w:b w:val="1"/>
          <w:bCs w:val="1"/>
          <w:color w:val="auto"/>
        </w:rPr>
        <w:t>Corporate</w:t>
      </w:r>
    </w:p>
    <w:p>
      <w:pPr>
        <w:spacing w:after="0" w:line="5" w:lineRule="exact"/>
        <w:rPr>
          <w:sz w:val="20"/>
          <w:szCs w:val="20"/>
          <w:color w:val="auto"/>
        </w:rPr>
      </w:pPr>
    </w:p>
    <w:p>
      <w:pPr>
        <w:ind w:left="20"/>
        <w:spacing w:after="0"/>
        <w:tabs>
          <w:tab w:leader="none" w:pos="5020" w:val="left"/>
          <w:tab w:leader="none" w:pos="6740" w:val="left"/>
          <w:tab w:leader="none" w:pos="8400" w:val="left"/>
          <w:tab w:leader="none" w:pos="10180" w:val="left"/>
        </w:tabs>
        <w:rPr>
          <w:sz w:val="20"/>
          <w:szCs w:val="20"/>
          <w:color w:val="auto"/>
        </w:rPr>
      </w:pPr>
      <w:r>
        <w:rPr>
          <w:rFonts w:ascii="Arial" w:cs="Arial" w:eastAsia="Arial" w:hAnsi="Arial"/>
          <w:sz w:val="16"/>
          <w:szCs w:val="16"/>
          <w:b w:val="1"/>
          <w:bCs w:val="1"/>
          <w:color w:val="auto"/>
        </w:rPr>
        <w:t>Year Ended December 31, 2024</w:t>
      </w:r>
      <w:r>
        <w:rPr>
          <w:sz w:val="20"/>
          <w:szCs w:val="20"/>
          <w:color w:val="auto"/>
        </w:rPr>
        <w:tab/>
      </w:r>
      <w:r>
        <w:rPr>
          <w:rFonts w:ascii="Arial" w:cs="Arial" w:eastAsia="Arial" w:hAnsi="Arial"/>
          <w:sz w:val="16"/>
          <w:szCs w:val="16"/>
          <w:b w:val="1"/>
          <w:bCs w:val="1"/>
          <w:color w:val="auto"/>
        </w:rPr>
        <w:t>Electric Utilities</w:t>
      </w:r>
      <w:r>
        <w:rPr>
          <w:sz w:val="20"/>
          <w:szCs w:val="20"/>
          <w:color w:val="auto"/>
        </w:rPr>
        <w:tab/>
      </w:r>
      <w:r>
        <w:rPr>
          <w:rFonts w:ascii="Arial" w:cs="Arial" w:eastAsia="Arial" w:hAnsi="Arial"/>
          <w:sz w:val="16"/>
          <w:szCs w:val="16"/>
          <w:b w:val="1"/>
          <w:bCs w:val="1"/>
          <w:color w:val="auto"/>
        </w:rPr>
        <w:t>Gas Utilities</w:t>
      </w:r>
      <w:r>
        <w:rPr>
          <w:sz w:val="20"/>
          <w:szCs w:val="20"/>
          <w:color w:val="auto"/>
        </w:rPr>
        <w:tab/>
      </w:r>
      <w:r>
        <w:rPr>
          <w:rFonts w:ascii="Arial" w:cs="Arial" w:eastAsia="Arial" w:hAnsi="Arial"/>
          <w:sz w:val="16"/>
          <w:szCs w:val="16"/>
          <w:b w:val="1"/>
          <w:bCs w:val="1"/>
          <w:color w:val="auto"/>
        </w:rPr>
        <w:t>and Other</w:t>
      </w:r>
      <w:r>
        <w:rPr>
          <w:sz w:val="20"/>
          <w:szCs w:val="20"/>
          <w:color w:val="auto"/>
        </w:rPr>
        <w:tab/>
      </w:r>
      <w:r>
        <w:rPr>
          <w:rFonts w:ascii="Arial" w:cs="Arial" w:eastAsia="Arial" w:hAnsi="Arial"/>
          <w:sz w:val="15"/>
          <w:szCs w:val="15"/>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7600"/>
        <w:spacing w:after="0"/>
        <w:rPr>
          <w:sz w:val="20"/>
          <w:szCs w:val="20"/>
          <w:color w:val="auto"/>
        </w:rPr>
      </w:pPr>
      <w:r>
        <w:rPr>
          <w:rFonts w:ascii="Arial" w:cs="Arial" w:eastAsia="Arial" w:hAnsi="Arial"/>
          <w:sz w:val="16"/>
          <w:szCs w:val="16"/>
          <w:color w:val="auto"/>
        </w:rPr>
        <w:t>(in millions)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900" w:type="dxa"/>
            <w:vAlign w:val="bottom"/>
            <w:tcBorders>
              <w:top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Revenue -</w:t>
            </w:r>
          </w:p>
        </w:tc>
        <w:tc>
          <w:tcPr>
            <w:tcW w:w="380" w:type="dxa"/>
            <w:vAlign w:val="bottom"/>
            <w:tcBorders>
              <w:top w:val="single" w:sz="8" w:color="auto"/>
            </w:tcBorders>
            <w:shd w:val="clear" w:color="auto" w:fill="CFF0FC"/>
          </w:tcPr>
          <w:p>
            <w:pPr>
              <w:spacing w:after="0"/>
              <w:rPr>
                <w:sz w:val="15"/>
                <w:szCs w:val="15"/>
                <w:color w:val="auto"/>
              </w:rPr>
            </w:pPr>
          </w:p>
        </w:tc>
        <w:tc>
          <w:tcPr>
            <w:tcW w:w="1160" w:type="dxa"/>
            <w:vAlign w:val="bottom"/>
            <w:tcBorders>
              <w:top w:val="single" w:sz="8" w:color="auto"/>
            </w:tcBorders>
            <w:shd w:val="clear" w:color="auto" w:fill="CFF0FC"/>
          </w:tcPr>
          <w:p>
            <w:pPr>
              <w:spacing w:after="0"/>
              <w:rPr>
                <w:sz w:val="15"/>
                <w:szCs w:val="15"/>
                <w:color w:val="auto"/>
              </w:rPr>
            </w:pPr>
          </w:p>
        </w:tc>
        <w:tc>
          <w:tcPr>
            <w:tcW w:w="56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660" w:type="dxa"/>
            <w:vAlign w:val="bottom"/>
            <w:tcBorders>
              <w:top w:val="single" w:sz="8" w:color="auto"/>
            </w:tcBorders>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15"/>
                <w:szCs w:val="15"/>
                <w:color w:val="auto"/>
              </w:rPr>
            </w:pPr>
          </w:p>
        </w:tc>
        <w:tc>
          <w:tcPr>
            <w:tcW w:w="500" w:type="dxa"/>
            <w:vAlign w:val="bottom"/>
            <w:tcBorders>
              <w:top w:val="single" w:sz="8" w:color="auto"/>
            </w:tcBorders>
            <w:shd w:val="clear" w:color="auto" w:fill="CFF0FC"/>
          </w:tcPr>
          <w:p>
            <w:pPr>
              <w:spacing w:after="0"/>
              <w:rPr>
                <w:sz w:val="15"/>
                <w:szCs w:val="15"/>
                <w:color w:val="auto"/>
              </w:rPr>
            </w:pPr>
          </w:p>
        </w:tc>
        <w:tc>
          <w:tcPr>
            <w:tcW w:w="1080" w:type="dxa"/>
            <w:vAlign w:val="bottom"/>
            <w:tcBorders>
              <w:top w:val="single" w:sz="8" w:color="auto"/>
            </w:tcBorders>
            <w:shd w:val="clear" w:color="auto" w:fill="CFF0FC"/>
          </w:tcPr>
          <w:p>
            <w:pPr>
              <w:spacing w:after="0"/>
              <w:rPr>
                <w:sz w:val="15"/>
                <w:szCs w:val="15"/>
                <w:color w:val="auto"/>
              </w:rPr>
            </w:pPr>
          </w:p>
        </w:tc>
      </w:tr>
      <w:tr>
        <w:trPr>
          <w:trHeight w:val="189"/>
        </w:trPr>
        <w:tc>
          <w:tcPr>
            <w:tcW w:w="4900" w:type="dxa"/>
            <w:vAlign w:val="bottom"/>
          </w:tcPr>
          <w:p>
            <w:pPr>
              <w:ind w:left="200"/>
              <w:spacing w:after="0"/>
              <w:rPr>
                <w:sz w:val="20"/>
                <w:szCs w:val="20"/>
                <w:color w:val="auto"/>
              </w:rPr>
            </w:pPr>
            <w:r>
              <w:rPr>
                <w:rFonts w:ascii="Arial" w:cs="Arial" w:eastAsia="Arial" w:hAnsi="Arial"/>
                <w:sz w:val="16"/>
                <w:szCs w:val="16"/>
                <w:color w:val="auto"/>
              </w:rPr>
              <w:t>External Customers</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864.4</w:t>
            </w:r>
          </w:p>
        </w:tc>
        <w:tc>
          <w:tcPr>
            <w:tcW w:w="5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1,263.3</w:t>
            </w:r>
          </w:p>
        </w:tc>
        <w:tc>
          <w:tcPr>
            <w:tcW w:w="66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400"/>
              <w:spacing w:after="0"/>
              <w:rPr>
                <w:sz w:val="20"/>
                <w:szCs w:val="20"/>
                <w:color w:val="auto"/>
              </w:rPr>
            </w:pPr>
            <w:r>
              <w:rPr>
                <w:rFonts w:ascii="Arial" w:cs="Arial" w:eastAsia="Arial" w:hAnsi="Arial"/>
                <w:sz w:val="16"/>
                <w:szCs w:val="16"/>
                <w:color w:val="auto"/>
              </w:rPr>
              <w:t>—  $</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2,127.7</w:t>
            </w:r>
          </w:p>
        </w:tc>
      </w:tr>
      <w:tr>
        <w:trPr>
          <w:trHeight w:val="189"/>
        </w:trPr>
        <w:tc>
          <w:tcPr>
            <w:tcW w:w="49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Inter-segment</w:t>
            </w:r>
          </w:p>
        </w:tc>
        <w:tc>
          <w:tcPr>
            <w:tcW w:w="38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11.7</w:t>
            </w:r>
          </w:p>
        </w:tc>
        <w:tc>
          <w:tcPr>
            <w:tcW w:w="56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w:t>
            </w:r>
          </w:p>
        </w:tc>
        <w:tc>
          <w:tcPr>
            <w:tcW w:w="66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(17.8 )</w:t>
            </w:r>
          </w:p>
        </w:tc>
        <w:tc>
          <w:tcPr>
            <w:tcW w:w="50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r>
      <w:tr>
        <w:trPr>
          <w:trHeight w:val="183"/>
        </w:trPr>
        <w:tc>
          <w:tcPr>
            <w:tcW w:w="4900" w:type="dxa"/>
            <w:vAlign w:val="bottom"/>
          </w:tcPr>
          <w:p>
            <w:pPr>
              <w:ind w:left="20"/>
              <w:spacing w:after="0" w:line="183" w:lineRule="exact"/>
              <w:rPr>
                <w:sz w:val="20"/>
                <w:szCs w:val="20"/>
                <w:color w:val="auto"/>
              </w:rPr>
            </w:pPr>
            <w:r>
              <w:rPr>
                <w:rFonts w:ascii="Arial" w:cs="Arial" w:eastAsia="Arial" w:hAnsi="Arial"/>
                <w:sz w:val="16"/>
                <w:szCs w:val="16"/>
                <w:color w:val="auto"/>
              </w:rPr>
              <w:t>Total revenue</w:t>
            </w: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876.1</w:t>
            </w:r>
          </w:p>
        </w:tc>
        <w:tc>
          <w:tcPr>
            <w:tcW w:w="5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1,269.4</w:t>
            </w:r>
          </w:p>
        </w:tc>
        <w:tc>
          <w:tcPr>
            <w:tcW w:w="6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(17.8 )</w:t>
            </w:r>
          </w:p>
        </w:tc>
        <w:tc>
          <w:tcPr>
            <w:tcW w:w="5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2,127.7</w:t>
            </w:r>
          </w:p>
        </w:tc>
      </w:tr>
      <w:tr>
        <w:trPr>
          <w:trHeight w:val="183"/>
        </w:trPr>
        <w:tc>
          <w:tcPr>
            <w:tcW w:w="49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r>
      <w:tr>
        <w:trPr>
          <w:trHeight w:val="189"/>
        </w:trPr>
        <w:tc>
          <w:tcPr>
            <w:tcW w:w="4900" w:type="dxa"/>
            <w:vAlign w:val="bottom"/>
          </w:tcPr>
          <w:p>
            <w:pPr>
              <w:ind w:left="20"/>
              <w:spacing w:after="0"/>
              <w:rPr>
                <w:sz w:val="20"/>
                <w:szCs w:val="20"/>
                <w:color w:val="auto"/>
              </w:rPr>
            </w:pPr>
            <w:r>
              <w:rPr>
                <w:rFonts w:ascii="Arial" w:cs="Arial" w:eastAsia="Arial" w:hAnsi="Arial"/>
                <w:sz w:val="16"/>
                <w:szCs w:val="16"/>
                <w:color w:val="auto"/>
              </w:rPr>
              <w:t>Fuel, purchased power and cost of natural gas sold</w:t>
            </w:r>
          </w:p>
        </w:tc>
        <w:tc>
          <w:tcPr>
            <w:tcW w:w="3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206.4</w:t>
            </w:r>
          </w:p>
        </w:tc>
        <w:tc>
          <w:tcPr>
            <w:tcW w:w="5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524.3</w:t>
            </w:r>
          </w:p>
        </w:tc>
        <w:tc>
          <w:tcPr>
            <w:tcW w:w="6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(0.4 )</w:t>
            </w:r>
          </w:p>
        </w:tc>
        <w:tc>
          <w:tcPr>
            <w:tcW w:w="500" w:type="dxa"/>
            <w:vAlign w:val="bottom"/>
          </w:tcPr>
          <w:p>
            <w:pPr>
              <w:spacing w:after="0"/>
              <w:rPr>
                <w:sz w:val="16"/>
                <w:szCs w:val="16"/>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730.3</w:t>
            </w:r>
          </w:p>
        </w:tc>
      </w:tr>
      <w:tr>
        <w:trPr>
          <w:trHeight w:val="189"/>
        </w:trPr>
        <w:tc>
          <w:tcPr>
            <w:tcW w:w="4900" w:type="dxa"/>
            <w:vAlign w:val="bottom"/>
            <w:shd w:val="clear" w:color="auto" w:fill="CFF0FC"/>
          </w:tcPr>
          <w:p>
            <w:pPr>
              <w:ind w:left="20"/>
              <w:spacing w:after="0" w:line="189" w:lineRule="exact"/>
              <w:rPr>
                <w:sz w:val="20"/>
                <w:szCs w:val="20"/>
                <w:color w:val="auto"/>
              </w:rPr>
            </w:pPr>
            <w:r>
              <w:rPr>
                <w:rFonts w:ascii="Arial" w:cs="Arial" w:eastAsia="Arial" w:hAnsi="Arial"/>
                <w:sz w:val="16"/>
                <w:szCs w:val="16"/>
                <w:color w:val="auto"/>
              </w:rPr>
              <w:t xml:space="preserve">Operations and maintenance </w:t>
            </w:r>
            <w:r>
              <w:rPr>
                <w:rFonts w:ascii="Arial" w:cs="Arial" w:eastAsia="Arial" w:hAnsi="Arial"/>
                <w:sz w:val="21"/>
                <w:szCs w:val="21"/>
                <w:color w:val="auto"/>
                <w:vertAlign w:val="superscript"/>
              </w:rPr>
              <w:t>(a)</w:t>
            </w:r>
            <w:r>
              <w:rPr>
                <w:rFonts w:ascii="Arial" w:cs="Arial" w:eastAsia="Arial" w:hAnsi="Arial"/>
                <w:sz w:val="16"/>
                <w:szCs w:val="16"/>
                <w:color w:val="auto"/>
              </w:rPr>
              <w:t xml:space="preserve"> -</w:t>
            </w:r>
          </w:p>
        </w:tc>
        <w:tc>
          <w:tcPr>
            <w:tcW w:w="38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r>
      <w:tr>
        <w:trPr>
          <w:trHeight w:val="189"/>
        </w:trPr>
        <w:tc>
          <w:tcPr>
            <w:tcW w:w="4900" w:type="dxa"/>
            <w:vAlign w:val="bottom"/>
          </w:tcPr>
          <w:p>
            <w:pPr>
              <w:ind w:left="200"/>
              <w:spacing w:after="0"/>
              <w:rPr>
                <w:sz w:val="20"/>
                <w:szCs w:val="20"/>
                <w:color w:val="auto"/>
              </w:rPr>
            </w:pPr>
            <w:r>
              <w:rPr>
                <w:rFonts w:ascii="Arial" w:cs="Arial" w:eastAsia="Arial" w:hAnsi="Arial"/>
                <w:sz w:val="16"/>
                <w:szCs w:val="16"/>
                <w:color w:val="auto"/>
              </w:rPr>
              <w:t>Direct</w:t>
            </w:r>
          </w:p>
        </w:tc>
        <w:tc>
          <w:tcPr>
            <w:tcW w:w="3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127.5</w:t>
            </w:r>
          </w:p>
        </w:tc>
        <w:tc>
          <w:tcPr>
            <w:tcW w:w="5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155.4</w:t>
            </w:r>
          </w:p>
        </w:tc>
        <w:tc>
          <w:tcPr>
            <w:tcW w:w="6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(16.3 )</w:t>
            </w:r>
          </w:p>
        </w:tc>
        <w:tc>
          <w:tcPr>
            <w:tcW w:w="500" w:type="dxa"/>
            <w:vAlign w:val="bottom"/>
          </w:tcPr>
          <w:p>
            <w:pPr>
              <w:spacing w:after="0"/>
              <w:rPr>
                <w:sz w:val="16"/>
                <w:szCs w:val="16"/>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266.6</w:t>
            </w:r>
          </w:p>
        </w:tc>
      </w:tr>
      <w:tr>
        <w:trPr>
          <w:trHeight w:val="189"/>
        </w:trPr>
        <w:tc>
          <w:tcPr>
            <w:tcW w:w="49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Allocated</w:t>
            </w:r>
          </w:p>
        </w:tc>
        <w:tc>
          <w:tcPr>
            <w:tcW w:w="38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125.1</w:t>
            </w:r>
          </w:p>
        </w:tc>
        <w:tc>
          <w:tcPr>
            <w:tcW w:w="56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165.3</w:t>
            </w:r>
          </w:p>
        </w:tc>
        <w:tc>
          <w:tcPr>
            <w:tcW w:w="660" w:type="dxa"/>
            <w:vAlign w:val="bottom"/>
            <w:shd w:val="clear" w:color="auto" w:fill="CFF0FC"/>
          </w:tcPr>
          <w:p>
            <w:pPr>
              <w:spacing w:after="0"/>
              <w:rPr>
                <w:sz w:val="16"/>
                <w:szCs w:val="16"/>
                <w:color w:val="auto"/>
              </w:rPr>
            </w:pPr>
          </w:p>
        </w:tc>
        <w:tc>
          <w:tcPr>
            <w:tcW w:w="1480" w:type="dxa"/>
            <w:vAlign w:val="bottom"/>
            <w:gridSpan w:val="2"/>
            <w:shd w:val="clear" w:color="auto" w:fill="CFF0FC"/>
          </w:tcPr>
          <w:p>
            <w:pPr>
              <w:jc w:val="right"/>
              <w:ind w:right="6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290.4</w:t>
            </w:r>
          </w:p>
        </w:tc>
      </w:tr>
      <w:tr>
        <w:trPr>
          <w:trHeight w:val="189"/>
        </w:trPr>
        <w:tc>
          <w:tcPr>
            <w:tcW w:w="4900" w:type="dxa"/>
            <w:vAlign w:val="bottom"/>
          </w:tcPr>
          <w:p>
            <w:pPr>
              <w:ind w:left="20"/>
              <w:spacing w:after="0"/>
              <w:rPr>
                <w:sz w:val="20"/>
                <w:szCs w:val="20"/>
                <w:color w:val="auto"/>
              </w:rPr>
            </w:pPr>
            <w:r>
              <w:rPr>
                <w:rFonts w:ascii="Arial" w:cs="Arial" w:eastAsia="Arial" w:hAnsi="Arial"/>
                <w:sz w:val="16"/>
                <w:szCs w:val="16"/>
                <w:color w:val="auto"/>
              </w:rPr>
              <w:t>Depreciation, depletion and amortization</w:t>
            </w:r>
          </w:p>
        </w:tc>
        <w:tc>
          <w:tcPr>
            <w:tcW w:w="3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145.3</w:t>
            </w:r>
          </w:p>
        </w:tc>
        <w:tc>
          <w:tcPr>
            <w:tcW w:w="5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124.7</w:t>
            </w:r>
          </w:p>
        </w:tc>
        <w:tc>
          <w:tcPr>
            <w:tcW w:w="660" w:type="dxa"/>
            <w:vAlign w:val="bottom"/>
          </w:tcPr>
          <w:p>
            <w:pPr>
              <w:spacing w:after="0"/>
              <w:rPr>
                <w:sz w:val="16"/>
                <w:szCs w:val="16"/>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0.1</w:t>
            </w:r>
          </w:p>
        </w:tc>
        <w:tc>
          <w:tcPr>
            <w:tcW w:w="500" w:type="dxa"/>
            <w:vAlign w:val="bottom"/>
          </w:tcPr>
          <w:p>
            <w:pPr>
              <w:spacing w:after="0"/>
              <w:rPr>
                <w:sz w:val="16"/>
                <w:szCs w:val="16"/>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270.1</w:t>
            </w:r>
          </w:p>
        </w:tc>
      </w:tr>
      <w:tr>
        <w:trPr>
          <w:trHeight w:val="189"/>
        </w:trPr>
        <w:tc>
          <w:tcPr>
            <w:tcW w:w="4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Taxes other than income taxes</w:t>
            </w:r>
          </w:p>
        </w:tc>
        <w:tc>
          <w:tcPr>
            <w:tcW w:w="38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38.8</w:t>
            </w:r>
          </w:p>
        </w:tc>
        <w:tc>
          <w:tcPr>
            <w:tcW w:w="56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28.4</w:t>
            </w:r>
          </w:p>
        </w:tc>
        <w:tc>
          <w:tcPr>
            <w:tcW w:w="660" w:type="dxa"/>
            <w:vAlign w:val="bottom"/>
            <w:tcBorders>
              <w:bottom w:val="single" w:sz="8" w:color="auto"/>
            </w:tcBorders>
            <w:shd w:val="clear" w:color="auto" w:fill="CFF0FC"/>
          </w:tcPr>
          <w:p>
            <w:pPr>
              <w:spacing w:after="0"/>
              <w:rPr>
                <w:sz w:val="16"/>
                <w:szCs w:val="16"/>
                <w:color w:val="auto"/>
              </w:rPr>
            </w:pPr>
          </w:p>
        </w:tc>
        <w:tc>
          <w:tcPr>
            <w:tcW w:w="1480" w:type="dxa"/>
            <w:vAlign w:val="bottom"/>
            <w:tcBorders>
              <w:bottom w:val="single" w:sz="8" w:color="auto"/>
            </w:tcBorders>
            <w:gridSpan w:val="2"/>
            <w:shd w:val="clear" w:color="auto" w:fill="CFF0FC"/>
          </w:tcPr>
          <w:p>
            <w:pPr>
              <w:jc w:val="right"/>
              <w:ind w:right="6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67.2</w:t>
            </w:r>
          </w:p>
        </w:tc>
      </w:tr>
      <w:tr>
        <w:trPr>
          <w:trHeight w:val="183"/>
        </w:trPr>
        <w:tc>
          <w:tcPr>
            <w:tcW w:w="4900" w:type="dxa"/>
            <w:vAlign w:val="bottom"/>
          </w:tcPr>
          <w:p>
            <w:pPr>
              <w:ind w:left="200"/>
              <w:spacing w:after="0" w:line="183" w:lineRule="exact"/>
              <w:rPr>
                <w:sz w:val="20"/>
                <w:szCs w:val="20"/>
                <w:color w:val="auto"/>
              </w:rPr>
            </w:pPr>
            <w:r>
              <w:rPr>
                <w:rFonts w:ascii="Arial" w:cs="Arial" w:eastAsia="Arial" w:hAnsi="Arial"/>
                <w:sz w:val="16"/>
                <w:szCs w:val="16"/>
                <w:color w:val="auto"/>
              </w:rPr>
              <w:t>Operating income (loss)</w:t>
            </w:r>
          </w:p>
        </w:tc>
        <w:tc>
          <w:tcPr>
            <w:tcW w:w="380" w:type="dxa"/>
            <w:vAlign w:val="bottom"/>
            <w:tcBorders>
              <w:bottom w:val="single" w:sz="8" w:color="auto"/>
            </w:tcBorders>
          </w:tcPr>
          <w:p>
            <w:pPr>
              <w:jc w:val="right"/>
              <w:ind w:right="179"/>
              <w:spacing w:after="0" w:line="183" w:lineRule="exact"/>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233.0</w:t>
            </w:r>
          </w:p>
        </w:tc>
        <w:tc>
          <w:tcPr>
            <w:tcW w:w="560" w:type="dxa"/>
            <w:vAlign w:val="bottom"/>
            <w:tcBorders>
              <w:bottom w:val="single" w:sz="8" w:color="auto"/>
            </w:tcBorders>
          </w:tcPr>
          <w:p>
            <w:pPr>
              <w:jc w:val="right"/>
              <w:ind w:right="319"/>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271.3</w:t>
            </w:r>
          </w:p>
        </w:tc>
        <w:tc>
          <w:tcPr>
            <w:tcW w:w="660" w:type="dxa"/>
            <w:vAlign w:val="bottom"/>
            <w:tcBorders>
              <w:bottom w:val="single" w:sz="8" w:color="auto"/>
            </w:tcBorders>
          </w:tcPr>
          <w:p>
            <w:pPr>
              <w:jc w:val="right"/>
              <w:ind w:right="419"/>
              <w:spacing w:after="0" w:line="183" w:lineRule="exact"/>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gridSpan w:val="2"/>
          </w:tcPr>
          <w:p>
            <w:pPr>
              <w:jc w:val="right"/>
              <w:ind w:right="400"/>
              <w:spacing w:after="0" w:line="183" w:lineRule="exact"/>
              <w:rPr>
                <w:sz w:val="20"/>
                <w:szCs w:val="20"/>
                <w:color w:val="auto"/>
              </w:rPr>
            </w:pPr>
            <w:r>
              <w:rPr>
                <w:rFonts w:ascii="Arial" w:cs="Arial" w:eastAsia="Arial" w:hAnsi="Arial"/>
                <w:sz w:val="16"/>
                <w:szCs w:val="16"/>
                <w:color w:val="auto"/>
              </w:rPr>
              <w:t>(1.2 ) $</w:t>
            </w:r>
          </w:p>
        </w:tc>
        <w:tc>
          <w:tcPr>
            <w:tcW w:w="108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503.1</w:t>
            </w:r>
          </w:p>
        </w:tc>
      </w:tr>
      <w:tr>
        <w:trPr>
          <w:trHeight w:val="183"/>
        </w:trPr>
        <w:tc>
          <w:tcPr>
            <w:tcW w:w="49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r>
      <w:tr>
        <w:trPr>
          <w:trHeight w:val="189"/>
        </w:trPr>
        <w:tc>
          <w:tcPr>
            <w:tcW w:w="490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(181.7 )</w:t>
            </w:r>
          </w:p>
        </w:tc>
      </w:tr>
      <w:tr>
        <w:trPr>
          <w:trHeight w:val="189"/>
        </w:trPr>
        <w:tc>
          <w:tcPr>
            <w:tcW w:w="4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income (expense), net</w:t>
            </w:r>
          </w:p>
        </w:tc>
        <w:tc>
          <w:tcPr>
            <w:tcW w:w="38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(1.4 )</w:t>
            </w:r>
          </w:p>
        </w:tc>
      </w:tr>
      <w:tr>
        <w:trPr>
          <w:trHeight w:val="189"/>
        </w:trPr>
        <w:tc>
          <w:tcPr>
            <w:tcW w:w="490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(36.3 )</w:t>
            </w:r>
          </w:p>
        </w:tc>
      </w:tr>
      <w:tr>
        <w:trPr>
          <w:trHeight w:val="183"/>
        </w:trPr>
        <w:tc>
          <w:tcPr>
            <w:tcW w:w="4900" w:type="dxa"/>
            <w:vAlign w:val="bottom"/>
            <w:shd w:val="clear" w:color="auto" w:fill="CFF0FC"/>
          </w:tcPr>
          <w:p>
            <w:pPr>
              <w:ind w:left="200"/>
              <w:spacing w:after="0" w:line="183" w:lineRule="exact"/>
              <w:rPr>
                <w:sz w:val="20"/>
                <w:szCs w:val="20"/>
                <w:color w:val="auto"/>
              </w:rPr>
            </w:pPr>
            <w:r>
              <w:rPr>
                <w:rFonts w:ascii="Arial" w:cs="Arial" w:eastAsia="Arial" w:hAnsi="Arial"/>
                <w:sz w:val="16"/>
                <w:szCs w:val="16"/>
                <w:color w:val="auto"/>
              </w:rPr>
              <w:t>Net income</w:t>
            </w:r>
          </w:p>
        </w:tc>
        <w:tc>
          <w:tcPr>
            <w:tcW w:w="38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283.7</w:t>
            </w:r>
          </w:p>
        </w:tc>
      </w:tr>
      <w:tr>
        <w:trPr>
          <w:trHeight w:val="189"/>
        </w:trPr>
        <w:tc>
          <w:tcPr>
            <w:tcW w:w="4900" w:type="dxa"/>
            <w:vAlign w:val="bottom"/>
          </w:tcPr>
          <w:p>
            <w:pPr>
              <w:ind w:left="20"/>
              <w:spacing w:after="0"/>
              <w:rPr>
                <w:sz w:val="20"/>
                <w:szCs w:val="20"/>
                <w:color w:val="auto"/>
              </w:rPr>
            </w:pPr>
            <w:r>
              <w:rPr>
                <w:rFonts w:ascii="Arial" w:cs="Arial" w:eastAsia="Arial" w:hAnsi="Arial"/>
                <w:sz w:val="16"/>
                <w:szCs w:val="16"/>
                <w:color w:val="auto"/>
              </w:rPr>
              <w:t>Net income attributable to non-controlling interest</w:t>
            </w: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(10.6 )</w:t>
            </w:r>
          </w:p>
        </w:tc>
      </w:tr>
      <w:tr>
        <w:trPr>
          <w:trHeight w:val="183"/>
        </w:trPr>
        <w:tc>
          <w:tcPr>
            <w:tcW w:w="4900" w:type="dxa"/>
            <w:vAlign w:val="bottom"/>
            <w:shd w:val="clear" w:color="auto" w:fill="CFF0FC"/>
          </w:tcPr>
          <w:p>
            <w:pPr>
              <w:ind w:left="200"/>
              <w:spacing w:after="0" w:line="183" w:lineRule="exact"/>
              <w:rPr>
                <w:sz w:val="20"/>
                <w:szCs w:val="20"/>
                <w:color w:val="auto"/>
              </w:rPr>
            </w:pPr>
            <w:r>
              <w:rPr>
                <w:rFonts w:ascii="Arial" w:cs="Arial" w:eastAsia="Arial" w:hAnsi="Arial"/>
                <w:sz w:val="16"/>
                <w:szCs w:val="16"/>
                <w:color w:val="auto"/>
              </w:rPr>
              <w:t>Net income available for common stock</w:t>
            </w:r>
          </w:p>
        </w:tc>
        <w:tc>
          <w:tcPr>
            <w:tcW w:w="38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400"/>
              <w:spacing w:after="0" w:line="183" w:lineRule="exact"/>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273.1</w:t>
            </w:r>
          </w:p>
        </w:tc>
      </w:tr>
      <w:tr>
        <w:trPr>
          <w:trHeight w:val="410"/>
        </w:trPr>
        <w:tc>
          <w:tcPr>
            <w:tcW w:w="4900" w:type="dxa"/>
            <w:vAlign w:val="bottom"/>
            <w:tcBorders>
              <w:top w:val="single" w:sz="8" w:color="CFF0FC"/>
            </w:tcBorders>
          </w:tcPr>
          <w:p>
            <w:pPr>
              <w:spacing w:after="0"/>
              <w:rPr>
                <w:sz w:val="24"/>
                <w:szCs w:val="24"/>
                <w:color w:val="auto"/>
              </w:rPr>
            </w:pPr>
          </w:p>
        </w:tc>
        <w:tc>
          <w:tcPr>
            <w:tcW w:w="380" w:type="dxa"/>
            <w:vAlign w:val="bottom"/>
            <w:tcBorders>
              <w:top w:val="single" w:sz="8" w:color="CFF0FC"/>
            </w:tcBorders>
          </w:tcPr>
          <w:p>
            <w:pPr>
              <w:spacing w:after="0"/>
              <w:rPr>
                <w:sz w:val="24"/>
                <w:szCs w:val="24"/>
                <w:color w:val="auto"/>
              </w:rPr>
            </w:pPr>
          </w:p>
        </w:tc>
        <w:tc>
          <w:tcPr>
            <w:tcW w:w="1160" w:type="dxa"/>
            <w:vAlign w:val="bottom"/>
            <w:tcBorders>
              <w:top w:val="single" w:sz="8" w:color="CFF0FC"/>
            </w:tcBorders>
          </w:tcPr>
          <w:p>
            <w:pPr>
              <w:jc w:val="right"/>
              <w:ind w:right="639"/>
              <w:spacing w:after="0"/>
              <w:rPr>
                <w:sz w:val="20"/>
                <w:szCs w:val="20"/>
                <w:color w:val="auto"/>
              </w:rPr>
            </w:pPr>
            <w:r>
              <w:rPr>
                <w:rFonts w:ascii="Arial" w:cs="Arial" w:eastAsia="Arial" w:hAnsi="Arial"/>
                <w:sz w:val="16"/>
                <w:szCs w:val="16"/>
                <w:color w:val="auto"/>
              </w:rPr>
              <w:t>99</w:t>
            </w:r>
          </w:p>
        </w:tc>
        <w:tc>
          <w:tcPr>
            <w:tcW w:w="560" w:type="dxa"/>
            <w:vAlign w:val="bottom"/>
            <w:tcBorders>
              <w:top w:val="single" w:sz="8" w:color="CFF0FC"/>
            </w:tcBorders>
          </w:tcPr>
          <w:p>
            <w:pPr>
              <w:spacing w:after="0"/>
              <w:rPr>
                <w:sz w:val="24"/>
                <w:szCs w:val="24"/>
                <w:color w:val="auto"/>
              </w:rPr>
            </w:pPr>
          </w:p>
        </w:tc>
        <w:tc>
          <w:tcPr>
            <w:tcW w:w="1020" w:type="dxa"/>
            <w:vAlign w:val="bottom"/>
            <w:tcBorders>
              <w:top w:val="single" w:sz="8" w:color="CFF0FC"/>
            </w:tcBorders>
          </w:tcPr>
          <w:p>
            <w:pPr>
              <w:spacing w:after="0"/>
              <w:rPr>
                <w:sz w:val="24"/>
                <w:szCs w:val="24"/>
                <w:color w:val="auto"/>
              </w:rPr>
            </w:pPr>
          </w:p>
        </w:tc>
        <w:tc>
          <w:tcPr>
            <w:tcW w:w="660" w:type="dxa"/>
            <w:vAlign w:val="bottom"/>
            <w:tcBorders>
              <w:top w:val="single" w:sz="8" w:color="CFF0FC"/>
            </w:tcBorders>
          </w:tcPr>
          <w:p>
            <w:pPr>
              <w:spacing w:after="0"/>
              <w:rPr>
                <w:sz w:val="24"/>
                <w:szCs w:val="24"/>
                <w:color w:val="auto"/>
              </w:rPr>
            </w:pPr>
          </w:p>
        </w:tc>
        <w:tc>
          <w:tcPr>
            <w:tcW w:w="980" w:type="dxa"/>
            <w:vAlign w:val="bottom"/>
            <w:tcBorders>
              <w:top w:val="single" w:sz="8" w:color="CFF0FC"/>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r>
      <w:tr>
        <w:trPr>
          <w:trHeight w:val="751"/>
        </w:trPr>
        <w:tc>
          <w:tcPr>
            <w:tcW w:w="49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9" w:name="page100"/>
    <w:bookmarkEnd w:id="9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6"/>
                <w:szCs w:val="16"/>
                <w:b w:val="1"/>
                <w:bCs w:val="1"/>
                <w:color w:val="auto"/>
              </w:rPr>
              <w:t>Consolidating Income Statement</w:t>
            </w:r>
          </w:p>
        </w:tc>
        <w:tc>
          <w:tcPr>
            <w:tcW w:w="1260" w:type="dxa"/>
            <w:vAlign w:val="bottom"/>
            <w:tcBorders>
              <w:bottom w:val="single" w:sz="8" w:color="auto"/>
            </w:tcBorders>
          </w:tcPr>
          <w:p>
            <w:pPr>
              <w:spacing w:after="0"/>
              <w:rPr>
                <w:sz w:val="17"/>
                <w:szCs w:val="17"/>
                <w:color w:val="auto"/>
              </w:rPr>
            </w:pPr>
          </w:p>
        </w:tc>
      </w:tr>
      <w:tr>
        <w:trPr>
          <w:trHeight w:val="168"/>
        </w:trPr>
        <w:tc>
          <w:tcPr>
            <w:tcW w:w="4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60" w:type="dxa"/>
            <w:vAlign w:val="bottom"/>
            <w:gridSpan w:val="2"/>
          </w:tcPr>
          <w:p>
            <w:pPr>
              <w:jc w:val="right"/>
              <w:ind w:right="699"/>
              <w:spacing w:after="0" w:line="168" w:lineRule="exact"/>
              <w:rPr>
                <w:sz w:val="20"/>
                <w:szCs w:val="20"/>
                <w:color w:val="auto"/>
              </w:rPr>
            </w:pPr>
            <w:r>
              <w:rPr>
                <w:rFonts w:ascii="Arial" w:cs="Arial" w:eastAsia="Arial" w:hAnsi="Arial"/>
                <w:sz w:val="16"/>
                <w:szCs w:val="16"/>
                <w:b w:val="1"/>
                <w:bCs w:val="1"/>
                <w:color w:val="auto"/>
                <w:w w:val="99"/>
              </w:rPr>
              <w:t>Corporate</w:t>
            </w:r>
          </w:p>
        </w:tc>
        <w:tc>
          <w:tcPr>
            <w:tcW w:w="1260" w:type="dxa"/>
            <w:vAlign w:val="bottom"/>
          </w:tcPr>
          <w:p>
            <w:pPr>
              <w:spacing w:after="0"/>
              <w:rPr>
                <w:sz w:val="14"/>
                <w:szCs w:val="14"/>
                <w:color w:val="auto"/>
              </w:rPr>
            </w:pPr>
          </w:p>
        </w:tc>
      </w:tr>
      <w:tr>
        <w:trPr>
          <w:trHeight w:val="203"/>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Year Ended December 31, 2023</w:t>
            </w: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Electric Utilities</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Gas Utilities</w:t>
            </w:r>
          </w:p>
        </w:tc>
        <w:tc>
          <w:tcPr>
            <w:tcW w:w="4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jc w:val="right"/>
              <w:ind w:right="699"/>
              <w:spacing w:after="0"/>
              <w:rPr>
                <w:sz w:val="20"/>
                <w:szCs w:val="20"/>
                <w:color w:val="auto"/>
              </w:rPr>
            </w:pPr>
            <w:r>
              <w:rPr>
                <w:rFonts w:ascii="Arial" w:cs="Arial" w:eastAsia="Arial" w:hAnsi="Arial"/>
                <w:sz w:val="16"/>
                <w:szCs w:val="16"/>
                <w:b w:val="1"/>
                <w:bCs w:val="1"/>
                <w:color w:val="auto"/>
              </w:rPr>
              <w:t>and Other</w:t>
            </w: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Total</w:t>
            </w:r>
          </w:p>
        </w:tc>
      </w:tr>
      <w:tr>
        <w:trPr>
          <w:trHeight w:val="183"/>
        </w:trPr>
        <w:tc>
          <w:tcPr>
            <w:tcW w:w="49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(in millions)</w:t>
            </w:r>
          </w:p>
        </w:tc>
        <w:tc>
          <w:tcPr>
            <w:tcW w:w="12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r>
      <w:tr>
        <w:trPr>
          <w:trHeight w:val="183"/>
        </w:trPr>
        <w:tc>
          <w:tcPr>
            <w:tcW w:w="490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Revenue -</w:t>
            </w:r>
          </w:p>
        </w:tc>
        <w:tc>
          <w:tcPr>
            <w:tcW w:w="12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r>
      <w:tr>
        <w:trPr>
          <w:trHeight w:val="189"/>
        </w:trPr>
        <w:tc>
          <w:tcPr>
            <w:tcW w:w="4900" w:type="dxa"/>
            <w:vAlign w:val="bottom"/>
          </w:tcPr>
          <w:p>
            <w:pPr>
              <w:ind w:left="200"/>
              <w:spacing w:after="0"/>
              <w:rPr>
                <w:sz w:val="20"/>
                <w:szCs w:val="20"/>
                <w:color w:val="auto"/>
              </w:rPr>
            </w:pPr>
            <w:r>
              <w:rPr>
                <w:rFonts w:ascii="Arial" w:cs="Arial" w:eastAsia="Arial" w:hAnsi="Arial"/>
                <w:sz w:val="16"/>
                <w:szCs w:val="16"/>
                <w:color w:val="auto"/>
              </w:rPr>
              <w:t>External Customers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853.6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1,477.7</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139"/>
              <w:spacing w:after="0"/>
              <w:rPr>
                <w:sz w:val="20"/>
                <w:szCs w:val="20"/>
                <w:color w:val="auto"/>
              </w:rPr>
            </w:pPr>
            <w:r>
              <w:rPr>
                <w:rFonts w:ascii="Arial" w:cs="Arial" w:eastAsia="Arial" w:hAnsi="Arial"/>
                <w:sz w:val="16"/>
                <w:szCs w:val="16"/>
                <w:color w:val="auto"/>
              </w:rPr>
              <w:t>—  $</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2,331.3</w:t>
            </w:r>
          </w:p>
        </w:tc>
      </w:tr>
      <w:tr>
        <w:trPr>
          <w:trHeight w:val="189"/>
        </w:trPr>
        <w:tc>
          <w:tcPr>
            <w:tcW w:w="49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Inter-segment</w:t>
            </w:r>
          </w:p>
        </w:tc>
        <w:tc>
          <w:tcPr>
            <w:tcW w:w="120" w:type="dxa"/>
            <w:vAlign w:val="bottom"/>
            <w:tcBorders>
              <w:bottom w:val="single" w:sz="8" w:color="auto"/>
            </w:tcBorders>
            <w:shd w:val="clear" w:color="auto" w:fill="CFF0FC"/>
          </w:tcPr>
          <w:p>
            <w:pPr>
              <w:spacing w:after="0"/>
              <w:rPr>
                <w:sz w:val="16"/>
                <w:szCs w:val="16"/>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11.4</w:t>
            </w:r>
          </w:p>
        </w:tc>
        <w:tc>
          <w:tcPr>
            <w:tcW w:w="24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w:t>
            </w:r>
          </w:p>
        </w:tc>
        <w:tc>
          <w:tcPr>
            <w:tcW w:w="40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(17.9 )</w:t>
            </w:r>
          </w:p>
        </w:tc>
        <w:tc>
          <w:tcPr>
            <w:tcW w:w="320" w:type="dxa"/>
            <w:vAlign w:val="bottom"/>
            <w:tcBorders>
              <w:bottom w:val="single" w:sz="8" w:color="auto"/>
            </w:tcBorders>
            <w:shd w:val="clear" w:color="auto" w:fill="CFF0FC"/>
          </w:tcPr>
          <w:p>
            <w:pPr>
              <w:spacing w:after="0"/>
              <w:rPr>
                <w:sz w:val="16"/>
                <w:szCs w:val="16"/>
                <w:color w:val="auto"/>
              </w:rPr>
            </w:pPr>
          </w:p>
        </w:tc>
        <w:tc>
          <w:tcPr>
            <w:tcW w:w="12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r>
      <w:tr>
        <w:trPr>
          <w:trHeight w:val="183"/>
        </w:trPr>
        <w:tc>
          <w:tcPr>
            <w:tcW w:w="4900" w:type="dxa"/>
            <w:vAlign w:val="bottom"/>
          </w:tcPr>
          <w:p>
            <w:pPr>
              <w:ind w:left="20"/>
              <w:spacing w:after="0" w:line="183" w:lineRule="exact"/>
              <w:rPr>
                <w:sz w:val="20"/>
                <w:szCs w:val="20"/>
                <w:color w:val="auto"/>
              </w:rPr>
            </w:pPr>
            <w:r>
              <w:rPr>
                <w:rFonts w:ascii="Arial" w:cs="Arial" w:eastAsia="Arial" w:hAnsi="Arial"/>
                <w:sz w:val="16"/>
                <w:szCs w:val="16"/>
                <w:color w:val="auto"/>
              </w:rPr>
              <w:t>Total revenue</w:t>
            </w: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865.0</w:t>
            </w: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1,484.2</w:t>
            </w: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(17.9 )</w:t>
            </w: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2,331.3</w:t>
            </w:r>
          </w:p>
        </w:tc>
      </w:tr>
      <w:tr>
        <w:trPr>
          <w:trHeight w:val="183"/>
        </w:trPr>
        <w:tc>
          <w:tcPr>
            <w:tcW w:w="4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r>
      <w:tr>
        <w:trPr>
          <w:trHeight w:val="189"/>
        </w:trPr>
        <w:tc>
          <w:tcPr>
            <w:tcW w:w="4900" w:type="dxa"/>
            <w:vAlign w:val="bottom"/>
          </w:tcPr>
          <w:p>
            <w:pPr>
              <w:ind w:left="20"/>
              <w:spacing w:after="0"/>
              <w:rPr>
                <w:sz w:val="20"/>
                <w:szCs w:val="20"/>
                <w:color w:val="auto"/>
              </w:rPr>
            </w:pPr>
            <w:r>
              <w:rPr>
                <w:rFonts w:ascii="Arial" w:cs="Arial" w:eastAsia="Arial" w:hAnsi="Arial"/>
                <w:sz w:val="16"/>
                <w:szCs w:val="16"/>
                <w:color w:val="auto"/>
              </w:rPr>
              <w:t>Fuel, purchased power and cost of natural gas sold</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200.1</w:t>
            </w: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783.2</w:t>
            </w:r>
          </w:p>
        </w:tc>
        <w:tc>
          <w:tcPr>
            <w:tcW w:w="4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(0.4 )</w:t>
            </w:r>
          </w:p>
        </w:tc>
        <w:tc>
          <w:tcPr>
            <w:tcW w:w="320" w:type="dxa"/>
            <w:vAlign w:val="bottom"/>
          </w:tcPr>
          <w:p>
            <w:pPr>
              <w:spacing w:after="0"/>
              <w:rPr>
                <w:sz w:val="16"/>
                <w:szCs w:val="16"/>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982.9</w:t>
            </w:r>
          </w:p>
        </w:tc>
      </w:tr>
      <w:tr>
        <w:trPr>
          <w:trHeight w:val="189"/>
        </w:trPr>
        <w:tc>
          <w:tcPr>
            <w:tcW w:w="4900" w:type="dxa"/>
            <w:vAlign w:val="bottom"/>
            <w:shd w:val="clear" w:color="auto" w:fill="CFF0FC"/>
          </w:tcPr>
          <w:p>
            <w:pPr>
              <w:ind w:left="20"/>
              <w:spacing w:after="0" w:line="189" w:lineRule="exact"/>
              <w:rPr>
                <w:sz w:val="20"/>
                <w:szCs w:val="20"/>
                <w:color w:val="auto"/>
              </w:rPr>
            </w:pPr>
            <w:r>
              <w:rPr>
                <w:rFonts w:ascii="Arial" w:cs="Arial" w:eastAsia="Arial" w:hAnsi="Arial"/>
                <w:sz w:val="16"/>
                <w:szCs w:val="16"/>
                <w:color w:val="auto"/>
              </w:rPr>
              <w:t xml:space="preserve">Operations and maintenance </w:t>
            </w:r>
            <w:r>
              <w:rPr>
                <w:rFonts w:ascii="Arial" w:cs="Arial" w:eastAsia="Arial" w:hAnsi="Arial"/>
                <w:sz w:val="21"/>
                <w:szCs w:val="21"/>
                <w:color w:val="auto"/>
                <w:vertAlign w:val="superscript"/>
              </w:rPr>
              <w:t>(a)</w:t>
            </w:r>
            <w:r>
              <w:rPr>
                <w:rFonts w:ascii="Arial" w:cs="Arial" w:eastAsia="Arial" w:hAnsi="Arial"/>
                <w:sz w:val="16"/>
                <w:szCs w:val="16"/>
                <w:color w:val="auto"/>
              </w:rPr>
              <w:t xml:space="preserve"> -</w:t>
            </w:r>
          </w:p>
        </w:tc>
        <w:tc>
          <w:tcPr>
            <w:tcW w:w="12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r>
      <w:tr>
        <w:trPr>
          <w:trHeight w:val="189"/>
        </w:trPr>
        <w:tc>
          <w:tcPr>
            <w:tcW w:w="4900" w:type="dxa"/>
            <w:vAlign w:val="bottom"/>
          </w:tcPr>
          <w:p>
            <w:pPr>
              <w:ind w:left="200"/>
              <w:spacing w:after="0"/>
              <w:rPr>
                <w:sz w:val="20"/>
                <w:szCs w:val="20"/>
                <w:color w:val="auto"/>
              </w:rPr>
            </w:pPr>
            <w:r>
              <w:rPr>
                <w:rFonts w:ascii="Arial" w:cs="Arial" w:eastAsia="Arial" w:hAnsi="Arial"/>
                <w:sz w:val="16"/>
                <w:szCs w:val="16"/>
                <w:color w:val="auto"/>
              </w:rPr>
              <w:t>Direct</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112.2</w:t>
            </w: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162.2</w:t>
            </w:r>
          </w:p>
        </w:tc>
        <w:tc>
          <w:tcPr>
            <w:tcW w:w="4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(12.9 )</w:t>
            </w:r>
          </w:p>
        </w:tc>
        <w:tc>
          <w:tcPr>
            <w:tcW w:w="320" w:type="dxa"/>
            <w:vAlign w:val="bottom"/>
          </w:tcPr>
          <w:p>
            <w:pPr>
              <w:spacing w:after="0"/>
              <w:rPr>
                <w:sz w:val="16"/>
                <w:szCs w:val="16"/>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261.5</w:t>
            </w:r>
          </w:p>
        </w:tc>
      </w:tr>
      <w:tr>
        <w:trPr>
          <w:trHeight w:val="189"/>
        </w:trPr>
        <w:tc>
          <w:tcPr>
            <w:tcW w:w="49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Allocated</w:t>
            </w:r>
          </w:p>
        </w:tc>
        <w:tc>
          <w:tcPr>
            <w:tcW w:w="12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124.0</w:t>
            </w: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166.5</w:t>
            </w:r>
          </w:p>
        </w:tc>
        <w:tc>
          <w:tcPr>
            <w:tcW w:w="400" w:type="dxa"/>
            <w:vAlign w:val="bottom"/>
            <w:shd w:val="clear" w:color="auto" w:fill="CFF0FC"/>
          </w:tcPr>
          <w:p>
            <w:pPr>
              <w:spacing w:after="0"/>
              <w:rPr>
                <w:sz w:val="16"/>
                <w:szCs w:val="16"/>
                <w:color w:val="auto"/>
              </w:rPr>
            </w:pPr>
          </w:p>
        </w:tc>
        <w:tc>
          <w:tcPr>
            <w:tcW w:w="1560" w:type="dxa"/>
            <w:vAlign w:val="bottom"/>
            <w:gridSpan w:val="2"/>
            <w:shd w:val="clear" w:color="auto" w:fill="CFF0FC"/>
          </w:tcPr>
          <w:p>
            <w:pPr>
              <w:jc w:val="right"/>
              <w:ind w:right="3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290.5</w:t>
            </w:r>
          </w:p>
        </w:tc>
      </w:tr>
      <w:tr>
        <w:trPr>
          <w:trHeight w:val="189"/>
        </w:trPr>
        <w:tc>
          <w:tcPr>
            <w:tcW w:w="4900" w:type="dxa"/>
            <w:vAlign w:val="bottom"/>
          </w:tcPr>
          <w:p>
            <w:pPr>
              <w:ind w:left="20"/>
              <w:spacing w:after="0"/>
              <w:rPr>
                <w:sz w:val="20"/>
                <w:szCs w:val="20"/>
                <w:color w:val="auto"/>
              </w:rPr>
            </w:pPr>
            <w:r>
              <w:rPr>
                <w:rFonts w:ascii="Arial" w:cs="Arial" w:eastAsia="Arial" w:hAnsi="Arial"/>
                <w:sz w:val="16"/>
                <w:szCs w:val="16"/>
                <w:color w:val="auto"/>
              </w:rPr>
              <w:t>Depreciation, depletion and amortization</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142.6</w:t>
            </w: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113.9</w:t>
            </w:r>
          </w:p>
        </w:tc>
        <w:tc>
          <w:tcPr>
            <w:tcW w:w="400" w:type="dxa"/>
            <w:vAlign w:val="bottom"/>
          </w:tcPr>
          <w:p>
            <w:pPr>
              <w:spacing w:after="0"/>
              <w:rPr>
                <w:sz w:val="16"/>
                <w:szCs w:val="16"/>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0.3</w:t>
            </w:r>
          </w:p>
        </w:tc>
        <w:tc>
          <w:tcPr>
            <w:tcW w:w="320" w:type="dxa"/>
            <w:vAlign w:val="bottom"/>
          </w:tcPr>
          <w:p>
            <w:pPr>
              <w:spacing w:after="0"/>
              <w:rPr>
                <w:sz w:val="16"/>
                <w:szCs w:val="16"/>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256.8</w:t>
            </w:r>
          </w:p>
        </w:tc>
      </w:tr>
      <w:tr>
        <w:trPr>
          <w:trHeight w:val="189"/>
        </w:trPr>
        <w:tc>
          <w:tcPr>
            <w:tcW w:w="4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Taxes other than income taxes</w:t>
            </w:r>
          </w:p>
        </w:tc>
        <w:tc>
          <w:tcPr>
            <w:tcW w:w="120" w:type="dxa"/>
            <w:vAlign w:val="bottom"/>
            <w:tcBorders>
              <w:bottom w:val="single" w:sz="8" w:color="auto"/>
            </w:tcBorders>
            <w:shd w:val="clear" w:color="auto" w:fill="CFF0FC"/>
          </w:tcPr>
          <w:p>
            <w:pPr>
              <w:spacing w:after="0"/>
              <w:rPr>
                <w:sz w:val="16"/>
                <w:szCs w:val="16"/>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37.3</w:t>
            </w:r>
          </w:p>
        </w:tc>
        <w:tc>
          <w:tcPr>
            <w:tcW w:w="24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29.6</w:t>
            </w:r>
          </w:p>
        </w:tc>
        <w:tc>
          <w:tcPr>
            <w:tcW w:w="400" w:type="dxa"/>
            <w:vAlign w:val="bottom"/>
            <w:tcBorders>
              <w:bottom w:val="single" w:sz="8" w:color="auto"/>
            </w:tcBorders>
            <w:shd w:val="clear" w:color="auto" w:fill="CFF0FC"/>
          </w:tcPr>
          <w:p>
            <w:pPr>
              <w:spacing w:after="0"/>
              <w:rPr>
                <w:sz w:val="16"/>
                <w:szCs w:val="16"/>
                <w:color w:val="auto"/>
              </w:rPr>
            </w:pPr>
          </w:p>
        </w:tc>
        <w:tc>
          <w:tcPr>
            <w:tcW w:w="1560" w:type="dxa"/>
            <w:vAlign w:val="bottom"/>
            <w:tcBorders>
              <w:bottom w:val="single" w:sz="8" w:color="auto"/>
            </w:tcBorders>
            <w:gridSpan w:val="2"/>
            <w:shd w:val="clear" w:color="auto" w:fill="CFF0FC"/>
          </w:tcPr>
          <w:p>
            <w:pPr>
              <w:jc w:val="right"/>
              <w:ind w:right="3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66.9</w:t>
            </w:r>
          </w:p>
        </w:tc>
      </w:tr>
      <w:tr>
        <w:trPr>
          <w:trHeight w:val="183"/>
        </w:trPr>
        <w:tc>
          <w:tcPr>
            <w:tcW w:w="4900" w:type="dxa"/>
            <w:vAlign w:val="bottom"/>
          </w:tcPr>
          <w:p>
            <w:pPr>
              <w:ind w:left="200"/>
              <w:spacing w:after="0" w:line="183" w:lineRule="exact"/>
              <w:rPr>
                <w:sz w:val="20"/>
                <w:szCs w:val="20"/>
                <w:color w:val="auto"/>
              </w:rPr>
            </w:pPr>
            <w:r>
              <w:rPr>
                <w:rFonts w:ascii="Arial" w:cs="Arial" w:eastAsia="Arial" w:hAnsi="Arial"/>
                <w:sz w:val="16"/>
                <w:szCs w:val="16"/>
                <w:color w:val="auto"/>
              </w:rPr>
              <w:t>Operating income (loss)</w:t>
            </w:r>
          </w:p>
        </w:tc>
        <w:tc>
          <w:tcPr>
            <w:tcW w:w="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248.8</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228.8</w:t>
            </w:r>
          </w:p>
        </w:tc>
        <w:tc>
          <w:tcPr>
            <w:tcW w:w="400" w:type="dxa"/>
            <w:vAlign w:val="bottom"/>
            <w:tcBorders>
              <w:bottom w:val="single" w:sz="8" w:color="auto"/>
            </w:tcBorders>
          </w:tcPr>
          <w:p>
            <w:pPr>
              <w:jc w:val="right"/>
              <w:ind w:right="159"/>
              <w:spacing w:after="0" w:line="183" w:lineRule="exact"/>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gridSpan w:val="2"/>
          </w:tcPr>
          <w:p>
            <w:pPr>
              <w:jc w:val="right"/>
              <w:ind w:right="139"/>
              <w:spacing w:after="0" w:line="183" w:lineRule="exact"/>
              <w:rPr>
                <w:sz w:val="20"/>
                <w:szCs w:val="20"/>
                <w:color w:val="auto"/>
              </w:rPr>
            </w:pPr>
            <w:r>
              <w:rPr>
                <w:rFonts w:ascii="Arial" w:cs="Arial" w:eastAsia="Arial" w:hAnsi="Arial"/>
                <w:sz w:val="16"/>
                <w:szCs w:val="16"/>
                <w:color w:val="auto"/>
              </w:rPr>
              <w:t>(4.9 ) $</w:t>
            </w:r>
          </w:p>
        </w:tc>
        <w:tc>
          <w:tcPr>
            <w:tcW w:w="126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472.7</w:t>
            </w:r>
          </w:p>
        </w:tc>
      </w:tr>
      <w:tr>
        <w:trPr>
          <w:trHeight w:val="183"/>
        </w:trPr>
        <w:tc>
          <w:tcPr>
            <w:tcW w:w="4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r>
      <w:tr>
        <w:trPr>
          <w:trHeight w:val="189"/>
        </w:trPr>
        <w:tc>
          <w:tcPr>
            <w:tcW w:w="490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(167.9 )</w:t>
            </w:r>
          </w:p>
        </w:tc>
      </w:tr>
      <w:tr>
        <w:trPr>
          <w:trHeight w:val="189"/>
        </w:trPr>
        <w:tc>
          <w:tcPr>
            <w:tcW w:w="4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income (expense), net</w:t>
            </w:r>
          </w:p>
        </w:tc>
        <w:tc>
          <w:tcPr>
            <w:tcW w:w="12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(3.2 )</w:t>
            </w:r>
          </w:p>
        </w:tc>
      </w:tr>
      <w:tr>
        <w:trPr>
          <w:trHeight w:val="189"/>
        </w:trPr>
        <w:tc>
          <w:tcPr>
            <w:tcW w:w="490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(25.6 )</w:t>
            </w:r>
          </w:p>
        </w:tc>
      </w:tr>
      <w:tr>
        <w:trPr>
          <w:trHeight w:val="182"/>
        </w:trPr>
        <w:tc>
          <w:tcPr>
            <w:tcW w:w="4900" w:type="dxa"/>
            <w:vAlign w:val="bottom"/>
            <w:shd w:val="clear" w:color="auto" w:fill="CFF0FC"/>
          </w:tcPr>
          <w:p>
            <w:pPr>
              <w:ind w:left="200"/>
              <w:spacing w:after="0" w:line="183" w:lineRule="exact"/>
              <w:rPr>
                <w:sz w:val="20"/>
                <w:szCs w:val="20"/>
                <w:color w:val="auto"/>
              </w:rPr>
            </w:pPr>
            <w:r>
              <w:rPr>
                <w:rFonts w:ascii="Arial" w:cs="Arial" w:eastAsia="Arial" w:hAnsi="Arial"/>
                <w:sz w:val="16"/>
                <w:szCs w:val="16"/>
                <w:color w:val="auto"/>
              </w:rPr>
              <w:t>Net income</w:t>
            </w:r>
          </w:p>
        </w:tc>
        <w:tc>
          <w:tcPr>
            <w:tcW w:w="12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6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276.0</w:t>
            </w:r>
          </w:p>
        </w:tc>
      </w:tr>
      <w:tr>
        <w:trPr>
          <w:trHeight w:val="189"/>
        </w:trPr>
        <w:tc>
          <w:tcPr>
            <w:tcW w:w="4900" w:type="dxa"/>
            <w:vAlign w:val="bottom"/>
          </w:tcPr>
          <w:p>
            <w:pPr>
              <w:ind w:left="20"/>
              <w:spacing w:after="0"/>
              <w:rPr>
                <w:sz w:val="20"/>
                <w:szCs w:val="20"/>
                <w:color w:val="auto"/>
              </w:rPr>
            </w:pPr>
            <w:r>
              <w:rPr>
                <w:rFonts w:ascii="Arial" w:cs="Arial" w:eastAsia="Arial" w:hAnsi="Arial"/>
                <w:sz w:val="16"/>
                <w:szCs w:val="16"/>
                <w:color w:val="auto"/>
              </w:rPr>
              <w:t>Net income attributable to non-controlling interest</w:t>
            </w: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(13.8 )</w:t>
            </w:r>
          </w:p>
        </w:tc>
      </w:tr>
      <w:tr>
        <w:trPr>
          <w:trHeight w:val="183"/>
        </w:trPr>
        <w:tc>
          <w:tcPr>
            <w:tcW w:w="4900" w:type="dxa"/>
            <w:vAlign w:val="bottom"/>
            <w:tcBorders>
              <w:bottom w:val="single" w:sz="8" w:color="CFF0FC"/>
            </w:tcBorders>
            <w:shd w:val="clear" w:color="auto" w:fill="CFF0FC"/>
          </w:tcPr>
          <w:p>
            <w:pPr>
              <w:ind w:left="200"/>
              <w:spacing w:after="0" w:line="183" w:lineRule="exact"/>
              <w:rPr>
                <w:sz w:val="20"/>
                <w:szCs w:val="20"/>
                <w:color w:val="auto"/>
              </w:rPr>
            </w:pPr>
            <w:r>
              <w:rPr>
                <w:rFonts w:ascii="Arial" w:cs="Arial" w:eastAsia="Arial" w:hAnsi="Arial"/>
                <w:sz w:val="16"/>
                <w:szCs w:val="16"/>
                <w:color w:val="auto"/>
              </w:rPr>
              <w:t>Net income available for common stock</w:t>
            </w:r>
          </w:p>
        </w:tc>
        <w:tc>
          <w:tcPr>
            <w:tcW w:w="120" w:type="dxa"/>
            <w:vAlign w:val="bottom"/>
            <w:tcBorders>
              <w:bottom w:val="single" w:sz="8" w:color="CFF0FC"/>
            </w:tcBorders>
            <w:shd w:val="clear" w:color="auto" w:fill="CFF0FC"/>
          </w:tcPr>
          <w:p>
            <w:pPr>
              <w:spacing w:after="0"/>
              <w:rPr>
                <w:sz w:val="15"/>
                <w:szCs w:val="15"/>
                <w:color w:val="auto"/>
              </w:rPr>
            </w:pPr>
          </w:p>
        </w:tc>
        <w:tc>
          <w:tcPr>
            <w:tcW w:w="14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34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CFF0FC"/>
            </w:tcBorders>
            <w:shd w:val="clear" w:color="auto" w:fill="CFF0FC"/>
          </w:tcPr>
          <w:p>
            <w:pPr>
              <w:spacing w:after="0"/>
              <w:rPr>
                <w:sz w:val="15"/>
                <w:szCs w:val="15"/>
                <w:color w:val="auto"/>
              </w:rPr>
            </w:pPr>
          </w:p>
        </w:tc>
        <w:tc>
          <w:tcPr>
            <w:tcW w:w="124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jc w:val="right"/>
              <w:ind w:right="139"/>
              <w:spacing w:after="0" w:line="183" w:lineRule="exact"/>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262.2</w:t>
            </w: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6"/>
                <w:szCs w:val="16"/>
                <w:b w:val="1"/>
                <w:bCs w:val="1"/>
                <w:color w:val="auto"/>
              </w:rPr>
              <w:t>Consolidating Income Statement</w:t>
            </w:r>
          </w:p>
        </w:tc>
        <w:tc>
          <w:tcPr>
            <w:tcW w:w="1260" w:type="dxa"/>
            <w:vAlign w:val="bottom"/>
            <w:tcBorders>
              <w:bottom w:val="single" w:sz="8" w:color="auto"/>
            </w:tcBorders>
          </w:tcPr>
          <w:p>
            <w:pPr>
              <w:spacing w:after="0"/>
              <w:rPr>
                <w:sz w:val="17"/>
                <w:szCs w:val="17"/>
                <w:color w:val="auto"/>
              </w:rPr>
            </w:pPr>
          </w:p>
        </w:tc>
      </w:tr>
      <w:tr>
        <w:trPr>
          <w:trHeight w:val="168"/>
        </w:trPr>
        <w:tc>
          <w:tcPr>
            <w:tcW w:w="4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60" w:type="dxa"/>
            <w:vAlign w:val="bottom"/>
            <w:gridSpan w:val="2"/>
          </w:tcPr>
          <w:p>
            <w:pPr>
              <w:jc w:val="right"/>
              <w:ind w:right="699"/>
              <w:spacing w:after="0" w:line="168" w:lineRule="exact"/>
              <w:rPr>
                <w:sz w:val="20"/>
                <w:szCs w:val="20"/>
                <w:color w:val="auto"/>
              </w:rPr>
            </w:pPr>
            <w:r>
              <w:rPr>
                <w:rFonts w:ascii="Arial" w:cs="Arial" w:eastAsia="Arial" w:hAnsi="Arial"/>
                <w:sz w:val="16"/>
                <w:szCs w:val="16"/>
                <w:b w:val="1"/>
                <w:bCs w:val="1"/>
                <w:color w:val="auto"/>
                <w:w w:val="99"/>
              </w:rPr>
              <w:t>Corporate</w:t>
            </w:r>
          </w:p>
        </w:tc>
        <w:tc>
          <w:tcPr>
            <w:tcW w:w="1260" w:type="dxa"/>
            <w:vAlign w:val="bottom"/>
          </w:tcPr>
          <w:p>
            <w:pPr>
              <w:spacing w:after="0"/>
              <w:rPr>
                <w:sz w:val="14"/>
                <w:szCs w:val="14"/>
                <w:color w:val="auto"/>
              </w:rPr>
            </w:pPr>
          </w:p>
        </w:tc>
      </w:tr>
      <w:tr>
        <w:trPr>
          <w:trHeight w:val="203"/>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Year Ended December 31, 2022</w:t>
            </w: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Electric Utilities</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Gas Utilities</w:t>
            </w:r>
          </w:p>
        </w:tc>
        <w:tc>
          <w:tcPr>
            <w:tcW w:w="4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jc w:val="right"/>
              <w:ind w:right="699"/>
              <w:spacing w:after="0"/>
              <w:rPr>
                <w:sz w:val="20"/>
                <w:szCs w:val="20"/>
                <w:color w:val="auto"/>
              </w:rPr>
            </w:pPr>
            <w:r>
              <w:rPr>
                <w:rFonts w:ascii="Arial" w:cs="Arial" w:eastAsia="Arial" w:hAnsi="Arial"/>
                <w:sz w:val="16"/>
                <w:szCs w:val="16"/>
                <w:b w:val="1"/>
                <w:bCs w:val="1"/>
                <w:color w:val="auto"/>
              </w:rPr>
              <w:t>and Other</w:t>
            </w: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Total</w:t>
            </w:r>
          </w:p>
        </w:tc>
      </w:tr>
      <w:tr>
        <w:trPr>
          <w:trHeight w:val="183"/>
        </w:trPr>
        <w:tc>
          <w:tcPr>
            <w:tcW w:w="49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(in millions)</w:t>
            </w:r>
          </w:p>
        </w:tc>
        <w:tc>
          <w:tcPr>
            <w:tcW w:w="12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r>
      <w:tr>
        <w:trPr>
          <w:trHeight w:val="182"/>
        </w:trPr>
        <w:tc>
          <w:tcPr>
            <w:tcW w:w="490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Revenue -</w:t>
            </w:r>
          </w:p>
        </w:tc>
        <w:tc>
          <w:tcPr>
            <w:tcW w:w="12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r>
      <w:tr>
        <w:trPr>
          <w:trHeight w:val="189"/>
        </w:trPr>
        <w:tc>
          <w:tcPr>
            <w:tcW w:w="4900" w:type="dxa"/>
            <w:vAlign w:val="bottom"/>
          </w:tcPr>
          <w:p>
            <w:pPr>
              <w:ind w:left="200"/>
              <w:spacing w:after="0"/>
              <w:rPr>
                <w:sz w:val="20"/>
                <w:szCs w:val="20"/>
                <w:color w:val="auto"/>
              </w:rPr>
            </w:pPr>
            <w:r>
              <w:rPr>
                <w:rFonts w:ascii="Arial" w:cs="Arial" w:eastAsia="Arial" w:hAnsi="Arial"/>
                <w:sz w:val="16"/>
                <w:szCs w:val="16"/>
                <w:color w:val="auto"/>
              </w:rPr>
              <w:t>External Customers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888.4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1,663.4</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139"/>
              <w:spacing w:after="0"/>
              <w:rPr>
                <w:sz w:val="20"/>
                <w:szCs w:val="20"/>
                <w:color w:val="auto"/>
              </w:rPr>
            </w:pPr>
            <w:r>
              <w:rPr>
                <w:rFonts w:ascii="Arial" w:cs="Arial" w:eastAsia="Arial" w:hAnsi="Arial"/>
                <w:sz w:val="16"/>
                <w:szCs w:val="16"/>
                <w:color w:val="auto"/>
              </w:rPr>
              <w:t>—  $</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2,551.8</w:t>
            </w:r>
          </w:p>
        </w:tc>
      </w:tr>
      <w:tr>
        <w:trPr>
          <w:trHeight w:val="189"/>
        </w:trPr>
        <w:tc>
          <w:tcPr>
            <w:tcW w:w="49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Inter-segment</w:t>
            </w:r>
          </w:p>
        </w:tc>
        <w:tc>
          <w:tcPr>
            <w:tcW w:w="120" w:type="dxa"/>
            <w:vAlign w:val="bottom"/>
            <w:tcBorders>
              <w:bottom w:val="single" w:sz="8" w:color="auto"/>
            </w:tcBorders>
            <w:shd w:val="clear" w:color="auto" w:fill="CFF0FC"/>
          </w:tcPr>
          <w:p>
            <w:pPr>
              <w:spacing w:after="0"/>
              <w:rPr>
                <w:sz w:val="16"/>
                <w:szCs w:val="16"/>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11.8</w:t>
            </w:r>
          </w:p>
        </w:tc>
        <w:tc>
          <w:tcPr>
            <w:tcW w:w="24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w:t>
            </w:r>
          </w:p>
        </w:tc>
        <w:tc>
          <w:tcPr>
            <w:tcW w:w="40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(17.5 )</w:t>
            </w:r>
          </w:p>
        </w:tc>
        <w:tc>
          <w:tcPr>
            <w:tcW w:w="320" w:type="dxa"/>
            <w:vAlign w:val="bottom"/>
            <w:tcBorders>
              <w:bottom w:val="single" w:sz="8" w:color="auto"/>
            </w:tcBorders>
            <w:shd w:val="clear" w:color="auto" w:fill="CFF0FC"/>
          </w:tcPr>
          <w:p>
            <w:pPr>
              <w:spacing w:after="0"/>
              <w:rPr>
                <w:sz w:val="16"/>
                <w:szCs w:val="16"/>
                <w:color w:val="auto"/>
              </w:rPr>
            </w:pPr>
          </w:p>
        </w:tc>
        <w:tc>
          <w:tcPr>
            <w:tcW w:w="12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r>
      <w:tr>
        <w:trPr>
          <w:trHeight w:val="183"/>
        </w:trPr>
        <w:tc>
          <w:tcPr>
            <w:tcW w:w="4900" w:type="dxa"/>
            <w:vAlign w:val="bottom"/>
          </w:tcPr>
          <w:p>
            <w:pPr>
              <w:ind w:left="20"/>
              <w:spacing w:after="0" w:line="183" w:lineRule="exact"/>
              <w:rPr>
                <w:sz w:val="20"/>
                <w:szCs w:val="20"/>
                <w:color w:val="auto"/>
              </w:rPr>
            </w:pPr>
            <w:r>
              <w:rPr>
                <w:rFonts w:ascii="Arial" w:cs="Arial" w:eastAsia="Arial" w:hAnsi="Arial"/>
                <w:sz w:val="16"/>
                <w:szCs w:val="16"/>
                <w:color w:val="auto"/>
              </w:rPr>
              <w:t>Total revenue</w:t>
            </w: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900.2</w:t>
            </w: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1,669.1</w:t>
            </w: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(17.5 )</w:t>
            </w: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2,551.8</w:t>
            </w:r>
          </w:p>
        </w:tc>
      </w:tr>
      <w:tr>
        <w:trPr>
          <w:trHeight w:val="183"/>
        </w:trPr>
        <w:tc>
          <w:tcPr>
            <w:tcW w:w="4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r>
      <w:tr>
        <w:trPr>
          <w:trHeight w:val="189"/>
        </w:trPr>
        <w:tc>
          <w:tcPr>
            <w:tcW w:w="4900" w:type="dxa"/>
            <w:vAlign w:val="bottom"/>
          </w:tcPr>
          <w:p>
            <w:pPr>
              <w:ind w:left="20"/>
              <w:spacing w:after="0"/>
              <w:rPr>
                <w:sz w:val="20"/>
                <w:szCs w:val="20"/>
                <w:color w:val="auto"/>
              </w:rPr>
            </w:pPr>
            <w:r>
              <w:rPr>
                <w:rFonts w:ascii="Arial" w:cs="Arial" w:eastAsia="Arial" w:hAnsi="Arial"/>
                <w:sz w:val="16"/>
                <w:szCs w:val="16"/>
                <w:color w:val="auto"/>
              </w:rPr>
              <w:t>Fuel, purchased power and cost of natural gas sold</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266.3</w:t>
            </w: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965.1</w:t>
            </w:r>
          </w:p>
        </w:tc>
        <w:tc>
          <w:tcPr>
            <w:tcW w:w="4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(0.8 )</w:t>
            </w:r>
          </w:p>
        </w:tc>
        <w:tc>
          <w:tcPr>
            <w:tcW w:w="320" w:type="dxa"/>
            <w:vAlign w:val="bottom"/>
          </w:tcPr>
          <w:p>
            <w:pPr>
              <w:spacing w:after="0"/>
              <w:rPr>
                <w:sz w:val="16"/>
                <w:szCs w:val="16"/>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1,230.6</w:t>
            </w:r>
          </w:p>
        </w:tc>
      </w:tr>
      <w:tr>
        <w:trPr>
          <w:trHeight w:val="189"/>
        </w:trPr>
        <w:tc>
          <w:tcPr>
            <w:tcW w:w="4900" w:type="dxa"/>
            <w:vAlign w:val="bottom"/>
            <w:shd w:val="clear" w:color="auto" w:fill="CFF0FC"/>
          </w:tcPr>
          <w:p>
            <w:pPr>
              <w:ind w:left="20"/>
              <w:spacing w:after="0" w:line="189" w:lineRule="exact"/>
              <w:rPr>
                <w:sz w:val="20"/>
                <w:szCs w:val="20"/>
                <w:color w:val="auto"/>
              </w:rPr>
            </w:pPr>
            <w:r>
              <w:rPr>
                <w:rFonts w:ascii="Arial" w:cs="Arial" w:eastAsia="Arial" w:hAnsi="Arial"/>
                <w:sz w:val="16"/>
                <w:szCs w:val="16"/>
                <w:color w:val="auto"/>
              </w:rPr>
              <w:t xml:space="preserve">Operations and maintenance </w:t>
            </w:r>
            <w:r>
              <w:rPr>
                <w:rFonts w:ascii="Arial" w:cs="Arial" w:eastAsia="Arial" w:hAnsi="Arial"/>
                <w:sz w:val="21"/>
                <w:szCs w:val="21"/>
                <w:color w:val="auto"/>
                <w:vertAlign w:val="superscript"/>
              </w:rPr>
              <w:t>(a)</w:t>
            </w:r>
            <w:r>
              <w:rPr>
                <w:rFonts w:ascii="Arial" w:cs="Arial" w:eastAsia="Arial" w:hAnsi="Arial"/>
                <w:sz w:val="16"/>
                <w:szCs w:val="16"/>
                <w:color w:val="auto"/>
              </w:rPr>
              <w:t xml:space="preserve"> -</w:t>
            </w:r>
          </w:p>
        </w:tc>
        <w:tc>
          <w:tcPr>
            <w:tcW w:w="12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r>
      <w:tr>
        <w:trPr>
          <w:trHeight w:val="189"/>
        </w:trPr>
        <w:tc>
          <w:tcPr>
            <w:tcW w:w="4900" w:type="dxa"/>
            <w:vAlign w:val="bottom"/>
          </w:tcPr>
          <w:p>
            <w:pPr>
              <w:ind w:left="200"/>
              <w:spacing w:after="0"/>
              <w:rPr>
                <w:sz w:val="20"/>
                <w:szCs w:val="20"/>
                <w:color w:val="auto"/>
              </w:rPr>
            </w:pPr>
            <w:r>
              <w:rPr>
                <w:rFonts w:ascii="Arial" w:cs="Arial" w:eastAsia="Arial" w:hAnsi="Arial"/>
                <w:sz w:val="16"/>
                <w:szCs w:val="16"/>
                <w:color w:val="auto"/>
              </w:rPr>
              <w:t>Direct</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124.0</w:t>
            </w: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158.5</w:t>
            </w:r>
          </w:p>
        </w:tc>
        <w:tc>
          <w:tcPr>
            <w:tcW w:w="4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(13.7 )</w:t>
            </w:r>
          </w:p>
        </w:tc>
        <w:tc>
          <w:tcPr>
            <w:tcW w:w="320" w:type="dxa"/>
            <w:vAlign w:val="bottom"/>
          </w:tcPr>
          <w:p>
            <w:pPr>
              <w:spacing w:after="0"/>
              <w:rPr>
                <w:sz w:val="16"/>
                <w:szCs w:val="16"/>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268.8</w:t>
            </w:r>
          </w:p>
        </w:tc>
      </w:tr>
      <w:tr>
        <w:trPr>
          <w:trHeight w:val="189"/>
        </w:trPr>
        <w:tc>
          <w:tcPr>
            <w:tcW w:w="49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Allocated</w:t>
            </w:r>
          </w:p>
        </w:tc>
        <w:tc>
          <w:tcPr>
            <w:tcW w:w="12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120.8</w:t>
            </w: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158.8</w:t>
            </w:r>
          </w:p>
        </w:tc>
        <w:tc>
          <w:tcPr>
            <w:tcW w:w="400" w:type="dxa"/>
            <w:vAlign w:val="bottom"/>
            <w:shd w:val="clear" w:color="auto" w:fill="CFF0FC"/>
          </w:tcPr>
          <w:p>
            <w:pPr>
              <w:spacing w:after="0"/>
              <w:rPr>
                <w:sz w:val="16"/>
                <w:szCs w:val="16"/>
                <w:color w:val="auto"/>
              </w:rPr>
            </w:pPr>
          </w:p>
        </w:tc>
        <w:tc>
          <w:tcPr>
            <w:tcW w:w="1560" w:type="dxa"/>
            <w:vAlign w:val="bottom"/>
            <w:gridSpan w:val="2"/>
            <w:shd w:val="clear" w:color="auto" w:fill="CFF0FC"/>
          </w:tcPr>
          <w:p>
            <w:pPr>
              <w:jc w:val="right"/>
              <w:ind w:right="3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279.6</w:t>
            </w:r>
          </w:p>
        </w:tc>
      </w:tr>
      <w:tr>
        <w:trPr>
          <w:trHeight w:val="189"/>
        </w:trPr>
        <w:tc>
          <w:tcPr>
            <w:tcW w:w="4900" w:type="dxa"/>
            <w:vAlign w:val="bottom"/>
          </w:tcPr>
          <w:p>
            <w:pPr>
              <w:ind w:left="20"/>
              <w:spacing w:after="0"/>
              <w:rPr>
                <w:sz w:val="20"/>
                <w:szCs w:val="20"/>
                <w:color w:val="auto"/>
              </w:rPr>
            </w:pPr>
            <w:r>
              <w:rPr>
                <w:rFonts w:ascii="Arial" w:cs="Arial" w:eastAsia="Arial" w:hAnsi="Arial"/>
                <w:sz w:val="16"/>
                <w:szCs w:val="16"/>
                <w:color w:val="auto"/>
              </w:rPr>
              <w:t>Depreciation, depletion and amortization</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135.9</w:t>
            </w: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114.7</w:t>
            </w:r>
          </w:p>
        </w:tc>
        <w:tc>
          <w:tcPr>
            <w:tcW w:w="400" w:type="dxa"/>
            <w:vAlign w:val="bottom"/>
          </w:tcPr>
          <w:p>
            <w:pPr>
              <w:spacing w:after="0"/>
              <w:rPr>
                <w:sz w:val="16"/>
                <w:szCs w:val="16"/>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0.3</w:t>
            </w:r>
          </w:p>
        </w:tc>
        <w:tc>
          <w:tcPr>
            <w:tcW w:w="320" w:type="dxa"/>
            <w:vAlign w:val="bottom"/>
          </w:tcPr>
          <w:p>
            <w:pPr>
              <w:spacing w:after="0"/>
              <w:rPr>
                <w:sz w:val="16"/>
                <w:szCs w:val="16"/>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250.9</w:t>
            </w:r>
          </w:p>
        </w:tc>
      </w:tr>
      <w:tr>
        <w:trPr>
          <w:trHeight w:val="189"/>
        </w:trPr>
        <w:tc>
          <w:tcPr>
            <w:tcW w:w="4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Taxes other than income taxes</w:t>
            </w:r>
          </w:p>
        </w:tc>
        <w:tc>
          <w:tcPr>
            <w:tcW w:w="120" w:type="dxa"/>
            <w:vAlign w:val="bottom"/>
            <w:tcBorders>
              <w:bottom w:val="single" w:sz="8" w:color="auto"/>
            </w:tcBorders>
            <w:shd w:val="clear" w:color="auto" w:fill="CFF0FC"/>
          </w:tcPr>
          <w:p>
            <w:pPr>
              <w:spacing w:after="0"/>
              <w:rPr>
                <w:sz w:val="16"/>
                <w:szCs w:val="16"/>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38.9</w:t>
            </w:r>
          </w:p>
        </w:tc>
        <w:tc>
          <w:tcPr>
            <w:tcW w:w="24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27.8</w:t>
            </w:r>
          </w:p>
        </w:tc>
        <w:tc>
          <w:tcPr>
            <w:tcW w:w="400" w:type="dxa"/>
            <w:vAlign w:val="bottom"/>
            <w:tcBorders>
              <w:bottom w:val="single" w:sz="8" w:color="auto"/>
            </w:tcBorders>
            <w:shd w:val="clear" w:color="auto" w:fill="CFF0FC"/>
          </w:tcPr>
          <w:p>
            <w:pPr>
              <w:spacing w:after="0"/>
              <w:rPr>
                <w:sz w:val="16"/>
                <w:szCs w:val="16"/>
                <w:color w:val="auto"/>
              </w:rPr>
            </w:pPr>
          </w:p>
        </w:tc>
        <w:tc>
          <w:tcPr>
            <w:tcW w:w="1560" w:type="dxa"/>
            <w:vAlign w:val="bottom"/>
            <w:tcBorders>
              <w:bottom w:val="single" w:sz="8" w:color="auto"/>
            </w:tcBorders>
            <w:gridSpan w:val="2"/>
            <w:shd w:val="clear" w:color="auto" w:fill="CFF0FC"/>
          </w:tcPr>
          <w:p>
            <w:pPr>
              <w:jc w:val="right"/>
              <w:ind w:right="3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66.7</w:t>
            </w:r>
          </w:p>
        </w:tc>
      </w:tr>
      <w:tr>
        <w:trPr>
          <w:trHeight w:val="183"/>
        </w:trPr>
        <w:tc>
          <w:tcPr>
            <w:tcW w:w="4900" w:type="dxa"/>
            <w:vAlign w:val="bottom"/>
          </w:tcPr>
          <w:p>
            <w:pPr>
              <w:ind w:left="200"/>
              <w:spacing w:after="0" w:line="183" w:lineRule="exact"/>
              <w:rPr>
                <w:sz w:val="20"/>
                <w:szCs w:val="20"/>
                <w:color w:val="auto"/>
              </w:rPr>
            </w:pPr>
            <w:r>
              <w:rPr>
                <w:rFonts w:ascii="Arial" w:cs="Arial" w:eastAsia="Arial" w:hAnsi="Arial"/>
                <w:sz w:val="16"/>
                <w:szCs w:val="16"/>
                <w:color w:val="auto"/>
              </w:rPr>
              <w:t>Operating income (loss)</w:t>
            </w:r>
          </w:p>
        </w:tc>
        <w:tc>
          <w:tcPr>
            <w:tcW w:w="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214.3</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244.2</w:t>
            </w:r>
          </w:p>
        </w:tc>
        <w:tc>
          <w:tcPr>
            <w:tcW w:w="400" w:type="dxa"/>
            <w:vAlign w:val="bottom"/>
            <w:tcBorders>
              <w:bottom w:val="single" w:sz="8" w:color="auto"/>
            </w:tcBorders>
          </w:tcPr>
          <w:p>
            <w:pPr>
              <w:jc w:val="right"/>
              <w:ind w:right="159"/>
              <w:spacing w:after="0" w:line="183" w:lineRule="exact"/>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gridSpan w:val="2"/>
          </w:tcPr>
          <w:p>
            <w:pPr>
              <w:jc w:val="right"/>
              <w:ind w:right="139"/>
              <w:spacing w:after="0" w:line="183" w:lineRule="exact"/>
              <w:rPr>
                <w:sz w:val="20"/>
                <w:szCs w:val="20"/>
                <w:color w:val="auto"/>
              </w:rPr>
            </w:pPr>
            <w:r>
              <w:rPr>
                <w:rFonts w:ascii="Arial" w:cs="Arial" w:eastAsia="Arial" w:hAnsi="Arial"/>
                <w:sz w:val="16"/>
                <w:szCs w:val="16"/>
                <w:color w:val="auto"/>
              </w:rPr>
              <w:t>(3.3 ) $</w:t>
            </w:r>
          </w:p>
        </w:tc>
        <w:tc>
          <w:tcPr>
            <w:tcW w:w="126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455.2</w:t>
            </w:r>
          </w:p>
        </w:tc>
      </w:tr>
      <w:tr>
        <w:trPr>
          <w:trHeight w:val="183"/>
        </w:trPr>
        <w:tc>
          <w:tcPr>
            <w:tcW w:w="4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r>
      <w:tr>
        <w:trPr>
          <w:trHeight w:val="189"/>
        </w:trPr>
        <w:tc>
          <w:tcPr>
            <w:tcW w:w="490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(161.0 )</w:t>
            </w:r>
          </w:p>
        </w:tc>
      </w:tr>
      <w:tr>
        <w:trPr>
          <w:trHeight w:val="189"/>
        </w:trPr>
        <w:tc>
          <w:tcPr>
            <w:tcW w:w="4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income (expense), net</w:t>
            </w:r>
          </w:p>
        </w:tc>
        <w:tc>
          <w:tcPr>
            <w:tcW w:w="12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1.8</w:t>
            </w:r>
          </w:p>
        </w:tc>
      </w:tr>
      <w:tr>
        <w:trPr>
          <w:trHeight w:val="189"/>
        </w:trPr>
        <w:tc>
          <w:tcPr>
            <w:tcW w:w="490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(25.2 )</w:t>
            </w:r>
          </w:p>
        </w:tc>
      </w:tr>
      <w:tr>
        <w:trPr>
          <w:trHeight w:val="183"/>
        </w:trPr>
        <w:tc>
          <w:tcPr>
            <w:tcW w:w="4900" w:type="dxa"/>
            <w:vAlign w:val="bottom"/>
            <w:shd w:val="clear" w:color="auto" w:fill="CFF0FC"/>
          </w:tcPr>
          <w:p>
            <w:pPr>
              <w:ind w:left="200"/>
              <w:spacing w:after="0" w:line="183" w:lineRule="exact"/>
              <w:rPr>
                <w:sz w:val="20"/>
                <w:szCs w:val="20"/>
                <w:color w:val="auto"/>
              </w:rPr>
            </w:pPr>
            <w:r>
              <w:rPr>
                <w:rFonts w:ascii="Arial" w:cs="Arial" w:eastAsia="Arial" w:hAnsi="Arial"/>
                <w:sz w:val="16"/>
                <w:szCs w:val="16"/>
                <w:color w:val="auto"/>
              </w:rPr>
              <w:t>Net income</w:t>
            </w:r>
          </w:p>
        </w:tc>
        <w:tc>
          <w:tcPr>
            <w:tcW w:w="12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6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270.8</w:t>
            </w:r>
          </w:p>
        </w:tc>
      </w:tr>
      <w:tr>
        <w:trPr>
          <w:trHeight w:val="189"/>
        </w:trPr>
        <w:tc>
          <w:tcPr>
            <w:tcW w:w="4900" w:type="dxa"/>
            <w:vAlign w:val="bottom"/>
          </w:tcPr>
          <w:p>
            <w:pPr>
              <w:ind w:left="20"/>
              <w:spacing w:after="0"/>
              <w:rPr>
                <w:sz w:val="20"/>
                <w:szCs w:val="20"/>
                <w:color w:val="auto"/>
              </w:rPr>
            </w:pPr>
            <w:r>
              <w:rPr>
                <w:rFonts w:ascii="Arial" w:cs="Arial" w:eastAsia="Arial" w:hAnsi="Arial"/>
                <w:sz w:val="16"/>
                <w:szCs w:val="16"/>
                <w:color w:val="auto"/>
              </w:rPr>
              <w:t>Net income attributable to non-controlling interest</w:t>
            </w: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(12.4 )</w:t>
            </w:r>
          </w:p>
        </w:tc>
      </w:tr>
      <w:tr>
        <w:trPr>
          <w:trHeight w:val="183"/>
        </w:trPr>
        <w:tc>
          <w:tcPr>
            <w:tcW w:w="4900" w:type="dxa"/>
            <w:vAlign w:val="bottom"/>
            <w:tcBorders>
              <w:bottom w:val="single" w:sz="8" w:color="CFF0FC"/>
            </w:tcBorders>
            <w:shd w:val="clear" w:color="auto" w:fill="CFF0FC"/>
          </w:tcPr>
          <w:p>
            <w:pPr>
              <w:ind w:left="200"/>
              <w:spacing w:after="0" w:line="183" w:lineRule="exact"/>
              <w:rPr>
                <w:sz w:val="20"/>
                <w:szCs w:val="20"/>
                <w:color w:val="auto"/>
              </w:rPr>
            </w:pPr>
            <w:r>
              <w:rPr>
                <w:rFonts w:ascii="Arial" w:cs="Arial" w:eastAsia="Arial" w:hAnsi="Arial"/>
                <w:sz w:val="16"/>
                <w:szCs w:val="16"/>
                <w:color w:val="auto"/>
              </w:rPr>
              <w:t>Net income available for common stock</w:t>
            </w:r>
          </w:p>
        </w:tc>
        <w:tc>
          <w:tcPr>
            <w:tcW w:w="120" w:type="dxa"/>
            <w:vAlign w:val="bottom"/>
            <w:tcBorders>
              <w:bottom w:val="single" w:sz="8" w:color="CFF0FC"/>
            </w:tcBorders>
            <w:shd w:val="clear" w:color="auto" w:fill="CFF0FC"/>
          </w:tcPr>
          <w:p>
            <w:pPr>
              <w:spacing w:after="0"/>
              <w:rPr>
                <w:sz w:val="15"/>
                <w:szCs w:val="15"/>
                <w:color w:val="auto"/>
              </w:rPr>
            </w:pPr>
          </w:p>
        </w:tc>
        <w:tc>
          <w:tcPr>
            <w:tcW w:w="14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34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CFF0FC"/>
            </w:tcBorders>
            <w:shd w:val="clear" w:color="auto" w:fill="CFF0FC"/>
          </w:tcPr>
          <w:p>
            <w:pPr>
              <w:spacing w:after="0"/>
              <w:rPr>
                <w:sz w:val="15"/>
                <w:szCs w:val="15"/>
                <w:color w:val="auto"/>
              </w:rPr>
            </w:pPr>
          </w:p>
        </w:tc>
        <w:tc>
          <w:tcPr>
            <w:tcW w:w="124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jc w:val="right"/>
              <w:ind w:right="139"/>
              <w:spacing w:after="0" w:line="183" w:lineRule="exact"/>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258.4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218567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185670" cy="8890"/>
                    </a:xfrm>
                    <a:prstGeom prst="rect">
                      <a:avLst/>
                    </a:prstGeom>
                    <a:noFill/>
                  </pic:spPr>
                </pic:pic>
              </a:graphicData>
            </a:graphic>
          </wp:anchor>
        </w:drawing>
      </w:r>
    </w:p>
    <w:p>
      <w:pPr>
        <w:spacing w:after="0" w:line="160" w:lineRule="exact"/>
        <w:rPr>
          <w:sz w:val="20"/>
          <w:szCs w:val="20"/>
          <w:color w:val="auto"/>
        </w:rPr>
      </w:pPr>
    </w:p>
    <w:p>
      <w:pPr>
        <w:ind w:left="520" w:right="380" w:hanging="512"/>
        <w:spacing w:after="0" w:line="263" w:lineRule="auto"/>
        <w:tabs>
          <w:tab w:leader="none" w:pos="5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Direct and Allocated Operations and maintenance expenses for our operating segments are regularly provided to the CODM. Direct expenses represents the costs incurred directly by our operating segments. Allocated expenses represent costs incurred by BHSC for various direct and indirect support services provided to our operating segments. Pursuant to the BHSC Cost Allocation Manual, indirect cost allocations are determined in accordance with PUHCA 2005.</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3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 xml:space="preserve">Capital Expenditures </w:t>
            </w:r>
            <w:r>
              <w:rPr>
                <w:rFonts w:ascii="Arial" w:cs="Arial" w:eastAsia="Arial" w:hAnsi="Arial"/>
                <w:sz w:val="21"/>
                <w:szCs w:val="21"/>
                <w:b w:val="1"/>
                <w:bCs w:val="1"/>
                <w:color w:val="auto"/>
                <w:vertAlign w:val="superscript"/>
              </w:rPr>
              <w:t>(a)</w:t>
            </w:r>
            <w:r>
              <w:rPr>
                <w:rFonts w:ascii="Arial" w:cs="Arial" w:eastAsia="Arial" w:hAnsi="Arial"/>
                <w:sz w:val="16"/>
                <w:szCs w:val="16"/>
                <w:b w:val="1"/>
                <w:bCs w:val="1"/>
                <w:color w:val="auto"/>
              </w:rPr>
              <w:t xml:space="preserve"> for the years ended December 31,</w:t>
            </w: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2024</w:t>
            </w: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2023</w:t>
            </w: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2022</w:t>
            </w:r>
          </w:p>
        </w:tc>
      </w:tr>
      <w:tr>
        <w:trPr>
          <w:trHeight w:val="183"/>
        </w:trPr>
        <w:tc>
          <w:tcPr>
            <w:tcW w:w="346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339"/>
              <w:spacing w:after="0" w:line="183" w:lineRule="exact"/>
              <w:rPr>
                <w:sz w:val="20"/>
                <w:szCs w:val="20"/>
                <w:color w:val="auto"/>
              </w:rPr>
            </w:pPr>
            <w:r>
              <w:rPr>
                <w:rFonts w:ascii="Arial" w:cs="Arial" w:eastAsia="Arial" w:hAnsi="Arial"/>
                <w:sz w:val="16"/>
                <w:szCs w:val="16"/>
                <w:color w:val="auto"/>
              </w:rPr>
              <w:t>(in millions)</w:t>
            </w: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r>
        <w:trPr>
          <w:trHeight w:val="183"/>
        </w:trPr>
        <w:tc>
          <w:tcPr>
            <w:tcW w:w="6300" w:type="dxa"/>
            <w:vAlign w:val="bottom"/>
            <w:gridSpan w:val="2"/>
            <w:shd w:val="clear" w:color="auto" w:fill="CFF0FC"/>
          </w:tcPr>
          <w:p>
            <w:pPr>
              <w:ind w:left="200"/>
              <w:spacing w:after="0" w:line="183" w:lineRule="exact"/>
              <w:rPr>
                <w:sz w:val="20"/>
                <w:szCs w:val="20"/>
                <w:color w:val="auto"/>
              </w:rPr>
            </w:pPr>
            <w:r>
              <w:rPr>
                <w:rFonts w:ascii="Arial" w:cs="Arial" w:eastAsia="Arial" w:hAnsi="Arial"/>
                <w:sz w:val="16"/>
                <w:szCs w:val="16"/>
                <w:color w:val="auto"/>
              </w:rPr>
              <w:t>Electric Utilities</w:t>
            </w:r>
          </w:p>
        </w:tc>
        <w:tc>
          <w:tcPr>
            <w:tcW w:w="340" w:type="dxa"/>
            <w:vAlign w:val="bottom"/>
            <w:shd w:val="clear" w:color="auto" w:fill="CFF0FC"/>
          </w:tcPr>
          <w:p>
            <w:pPr>
              <w:jc w:val="right"/>
              <w:ind w:right="159"/>
              <w:spacing w:after="0" w:line="183" w:lineRule="exact"/>
              <w:rPr>
                <w:sz w:val="20"/>
                <w:szCs w:val="20"/>
                <w:color w:val="auto"/>
              </w:rPr>
            </w:pPr>
            <w:r>
              <w:rPr>
                <w:rFonts w:ascii="Arial" w:cs="Arial" w:eastAsia="Arial" w:hAnsi="Arial"/>
                <w:sz w:val="16"/>
                <w:szCs w:val="16"/>
                <w:color w:val="auto"/>
                <w:w w:val="89"/>
              </w:rPr>
              <w:t>$</w:t>
            </w:r>
          </w:p>
        </w:tc>
        <w:tc>
          <w:tcPr>
            <w:tcW w:w="12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381.9</w:t>
            </w:r>
          </w:p>
        </w:tc>
        <w:tc>
          <w:tcPr>
            <w:tcW w:w="30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210.7</w:t>
            </w:r>
          </w:p>
        </w:tc>
        <w:tc>
          <w:tcPr>
            <w:tcW w:w="400" w:type="dxa"/>
            <w:vAlign w:val="bottom"/>
            <w:shd w:val="clear" w:color="auto" w:fill="CFF0FC"/>
          </w:tcPr>
          <w:p>
            <w:pPr>
              <w:jc w:val="right"/>
              <w:ind w:right="159"/>
              <w:spacing w:after="0" w:line="183" w:lineRule="exact"/>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243.1</w:t>
            </w:r>
          </w:p>
        </w:tc>
      </w:tr>
      <w:tr>
        <w:trPr>
          <w:trHeight w:val="189"/>
        </w:trPr>
        <w:tc>
          <w:tcPr>
            <w:tcW w:w="6300" w:type="dxa"/>
            <w:vAlign w:val="bottom"/>
            <w:gridSpan w:val="2"/>
          </w:tcPr>
          <w:p>
            <w:pPr>
              <w:ind w:left="200"/>
              <w:spacing w:after="0"/>
              <w:rPr>
                <w:sz w:val="20"/>
                <w:szCs w:val="20"/>
                <w:color w:val="auto"/>
              </w:rPr>
            </w:pPr>
            <w:r>
              <w:rPr>
                <w:rFonts w:ascii="Arial" w:cs="Arial" w:eastAsia="Arial" w:hAnsi="Arial"/>
                <w:sz w:val="16"/>
                <w:szCs w:val="16"/>
                <w:color w:val="auto"/>
              </w:rPr>
              <w:t>Gas Utilities</w:t>
            </w:r>
          </w:p>
        </w:tc>
        <w:tc>
          <w:tcPr>
            <w:tcW w:w="3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402.7</w:t>
            </w: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371.9</w:t>
            </w:r>
          </w:p>
        </w:tc>
        <w:tc>
          <w:tcPr>
            <w:tcW w:w="400" w:type="dxa"/>
            <w:vAlign w:val="bottom"/>
          </w:tcPr>
          <w:p>
            <w:pPr>
              <w:spacing w:after="0"/>
              <w:rPr>
                <w:sz w:val="16"/>
                <w:szCs w:val="16"/>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349.5</w:t>
            </w:r>
          </w:p>
        </w:tc>
      </w:tr>
      <w:tr>
        <w:trPr>
          <w:trHeight w:val="189"/>
        </w:trPr>
        <w:tc>
          <w:tcPr>
            <w:tcW w:w="630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6"/>
                <w:szCs w:val="16"/>
                <w:color w:val="auto"/>
              </w:rPr>
              <w:t>Corporate and Other</w:t>
            </w:r>
          </w:p>
        </w:tc>
        <w:tc>
          <w:tcPr>
            <w:tcW w:w="34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13.0</w:t>
            </w:r>
          </w:p>
        </w:tc>
        <w:tc>
          <w:tcPr>
            <w:tcW w:w="30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w:t>
            </w:r>
          </w:p>
        </w:tc>
        <w:tc>
          <w:tcPr>
            <w:tcW w:w="400" w:type="dxa"/>
            <w:vAlign w:val="bottom"/>
            <w:tcBorders>
              <w:bottom w:val="single" w:sz="8" w:color="auto"/>
            </w:tcBorders>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5.1</w:t>
            </w:r>
          </w:p>
        </w:tc>
      </w:tr>
      <w:tr>
        <w:trPr>
          <w:trHeight w:val="183"/>
        </w:trPr>
        <w:tc>
          <w:tcPr>
            <w:tcW w:w="6300" w:type="dxa"/>
            <w:vAlign w:val="bottom"/>
            <w:gridSpan w:val="2"/>
          </w:tcPr>
          <w:p>
            <w:pPr>
              <w:ind w:left="20"/>
              <w:spacing w:after="0" w:line="183" w:lineRule="exact"/>
              <w:rPr>
                <w:sz w:val="20"/>
                <w:szCs w:val="20"/>
                <w:color w:val="auto"/>
              </w:rPr>
            </w:pPr>
            <w:r>
              <w:rPr>
                <w:rFonts w:ascii="Arial" w:cs="Arial" w:eastAsia="Arial" w:hAnsi="Arial"/>
                <w:sz w:val="16"/>
                <w:szCs w:val="16"/>
                <w:color w:val="auto"/>
              </w:rPr>
              <w:t>Total capital expenditures</w:t>
            </w:r>
          </w:p>
        </w:tc>
        <w:tc>
          <w:tcPr>
            <w:tcW w:w="340" w:type="dxa"/>
            <w:vAlign w:val="bottom"/>
            <w:tcBorders>
              <w:bottom w:val="single" w:sz="8" w:color="auto"/>
            </w:tcBorders>
          </w:tcPr>
          <w:p>
            <w:pPr>
              <w:jc w:val="right"/>
              <w:ind w:right="159"/>
              <w:spacing w:after="0" w:line="183" w:lineRule="exact"/>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797.6</w:t>
            </w:r>
          </w:p>
        </w:tc>
        <w:tc>
          <w:tcPr>
            <w:tcW w:w="30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589.9</w:t>
            </w:r>
          </w:p>
        </w:tc>
        <w:tc>
          <w:tcPr>
            <w:tcW w:w="400" w:type="dxa"/>
            <w:vAlign w:val="bottom"/>
            <w:tcBorders>
              <w:bottom w:val="single" w:sz="8" w:color="auto"/>
            </w:tcBorders>
          </w:tcPr>
          <w:p>
            <w:pPr>
              <w:jc w:val="right"/>
              <w:ind w:right="159"/>
              <w:spacing w:after="0" w:line="183" w:lineRule="exact"/>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597.7</w:t>
            </w:r>
          </w:p>
        </w:tc>
      </w:tr>
      <w:tr>
        <w:trPr>
          <w:trHeight w:val="20"/>
        </w:trPr>
        <w:tc>
          <w:tcPr>
            <w:tcW w:w="34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15"/>
        </w:trPr>
        <w:tc>
          <w:tcPr>
            <w:tcW w:w="3460" w:type="dxa"/>
            <w:vAlign w:val="bottom"/>
            <w:tcBorders>
              <w:bottom w:val="single" w:sz="8" w:color="auto"/>
            </w:tcBorders>
          </w:tcPr>
          <w:p>
            <w:pPr>
              <w:spacing w:after="0"/>
              <w:rPr>
                <w:sz w:val="10"/>
                <w:szCs w:val="10"/>
                <w:color w:val="auto"/>
              </w:rPr>
            </w:pPr>
          </w:p>
        </w:tc>
        <w:tc>
          <w:tcPr>
            <w:tcW w:w="28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00" w:type="dxa"/>
            <w:vAlign w:val="bottom"/>
          </w:tcPr>
          <w:p>
            <w:pPr>
              <w:spacing w:after="0"/>
              <w:rPr>
                <w:sz w:val="10"/>
                <w:szCs w:val="10"/>
                <w:color w:val="auto"/>
              </w:rPr>
            </w:pPr>
          </w:p>
        </w:tc>
      </w:tr>
    </w:tbl>
    <w:p>
      <w:pPr>
        <w:spacing w:after="0" w:line="31" w:lineRule="exact"/>
        <w:rPr>
          <w:sz w:val="20"/>
          <w:szCs w:val="20"/>
          <w:color w:val="auto"/>
        </w:rPr>
      </w:pPr>
    </w:p>
    <w:p>
      <w:pPr>
        <w:ind w:left="520" w:hanging="512"/>
        <w:spacing w:after="0"/>
        <w:tabs>
          <w:tab w:leader="none" w:pos="5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 xml:space="preserve">Includes accruals for property, plant, and equipment as disclosed in the Supplemental Cash Flow Information to the </w:t>
      </w:r>
      <w:r>
        <w:rPr>
          <w:rFonts w:ascii="Arial" w:cs="Arial" w:eastAsia="Arial" w:hAnsi="Arial"/>
          <w:sz w:val="14"/>
          <w:szCs w:val="14"/>
          <w:u w:val="single" w:color="auto"/>
          <w:color w:val="0000FF"/>
        </w:rPr>
        <w:t>Consolidated Statement of Cash Flows</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5010150</wp:posOffset>
            </wp:positionH>
            <wp:positionV relativeFrom="paragraph">
              <wp:posOffset>-1270</wp:posOffset>
            </wp:positionV>
            <wp:extent cx="157924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579245"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0" w:name="page101"/>
    <w:bookmarkEnd w:id="10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SUBSEQUENT EVENTS</w:t>
      </w:r>
    </w:p>
    <w:p>
      <w:pPr>
        <w:spacing w:after="0" w:line="19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Except as described in Notes </w:t>
      </w:r>
      <w:r>
        <w:rPr>
          <w:rFonts w:ascii="Arial" w:cs="Arial" w:eastAsia="Arial" w:hAnsi="Arial"/>
          <w:sz w:val="16"/>
          <w:szCs w:val="16"/>
          <w:u w:val="single" w:color="auto"/>
          <w:color w:val="0000FF"/>
        </w:rPr>
        <w:t>2</w:t>
      </w:r>
      <w:r>
        <w:rPr>
          <w:rFonts w:ascii="Arial" w:cs="Arial" w:eastAsia="Arial" w:hAnsi="Arial"/>
          <w:sz w:val="16"/>
          <w:szCs w:val="16"/>
          <w:color w:val="auto"/>
        </w:rPr>
        <w:t xml:space="preserve">, </w:t>
      </w:r>
      <w:r>
        <w:rPr>
          <w:rFonts w:ascii="Arial" w:cs="Arial" w:eastAsia="Arial" w:hAnsi="Arial"/>
          <w:sz w:val="16"/>
          <w:szCs w:val="16"/>
          <w:u w:val="single" w:color="auto"/>
          <w:color w:val="0000FF"/>
        </w:rPr>
        <w:t>3</w:t>
      </w:r>
      <w:r>
        <w:rPr>
          <w:rFonts w:ascii="Arial" w:cs="Arial" w:eastAsia="Arial" w:hAnsi="Arial"/>
          <w:sz w:val="16"/>
          <w:szCs w:val="16"/>
          <w:color w:val="auto"/>
        </w:rPr>
        <w:t xml:space="preserve"> and </w:t>
      </w:r>
      <w:r>
        <w:rPr>
          <w:rFonts w:ascii="Arial" w:cs="Arial" w:eastAsia="Arial" w:hAnsi="Arial"/>
          <w:sz w:val="16"/>
          <w:szCs w:val="16"/>
          <w:u w:val="single" w:color="auto"/>
          <w:color w:val="0000FF"/>
        </w:rPr>
        <w:t>15</w:t>
      </w:r>
      <w:r>
        <w:rPr>
          <w:rFonts w:ascii="Arial" w:cs="Arial" w:eastAsia="Arial" w:hAnsi="Arial"/>
          <w:sz w:val="16"/>
          <w:szCs w:val="16"/>
          <w:color w:val="auto"/>
        </w:rPr>
        <w:t>, there have been no events subsequent to December 31, 2024, which would require recognition in the Consolidated Financial Statements or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1365885</wp:posOffset>
            </wp:positionH>
            <wp:positionV relativeFrom="paragraph">
              <wp:posOffset>-165735</wp:posOffset>
            </wp:positionV>
            <wp:extent cx="5715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7150" cy="8890"/>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-165735</wp:posOffset>
            </wp:positionV>
            <wp:extent cx="5715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7150" cy="8890"/>
                    </a:xfrm>
                    <a:prstGeom prst="rect">
                      <a:avLst/>
                    </a:prstGeom>
                    <a:noFill/>
                  </pic:spPr>
                </pic:pic>
              </a:graphicData>
            </a:graphic>
          </wp:anchor>
        </w:drawing>
        <w:drawing>
          <wp:anchor simplePos="0" relativeHeight="251657728" behindDoc="1" locked="0" layoutInCell="0" allowOverlap="1">
            <wp:simplePos x="0" y="0"/>
            <wp:positionH relativeFrom="column">
              <wp:posOffset>1765935</wp:posOffset>
            </wp:positionH>
            <wp:positionV relativeFrom="paragraph">
              <wp:posOffset>-165735</wp:posOffset>
            </wp:positionV>
            <wp:extent cx="1143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136"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00"/>
          </w:cols>
          <w:pgMar w:left="320" w:top="125" w:right="1279" w:bottom="1440" w:gutter="0" w:footer="0" w:header="0"/>
        </w:sectPr>
      </w:pPr>
    </w:p>
    <w:bookmarkStart w:id="101" w:name="page102"/>
    <w:bookmarkEnd w:id="10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9.</w:t>
        <w:tab/>
        <w:t>CHANGES IN AND DISAGREEMENTS WITH ACCOUNTANTS ON ACCOUNTING AND FINANCIAL DISCLOSURE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94"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b w:val="1"/>
          <w:bCs w:val="1"/>
          <w:color w:val="auto"/>
        </w:rPr>
        <w:t>ITEM 9A.</w:t>
        <w:tab/>
        <w:t>CONTROLS AND PROCEDURES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Disclosure Controls and Procedures</w:t>
      </w:r>
    </w:p>
    <w:p>
      <w:pPr>
        <w:spacing w:after="0" w:line="194"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Our Chief Executive Officer and Chief Financial Officer evaluated the effectiveness of our disclosure controls and procedures (as defined in Rules 13a-15(e) and 15d-15(e) of the Securities Exchange Act of 1934 (Exchange Act)) as of December 31, 2024. Based on their evaluation, they have concluded that our disclosure controls and procedures are effective.</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disclosure controls and procedures are designed to ensure that information required to be disclosed by us in the reports that we file or submit under the Exchange Act, as amended,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During the quarter ended December 31, 2024, there were no changes in the Company’s internal control over financial reporting (as defined in Rule 13a-15(f) under the Exchange Act) that have materially affected, or are reasonably likely to materially affect, the Company’s internal control over financial reporting.</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Management’s Report on Internal Control over Financial Reporting is presented on Page </w:t>
      </w:r>
      <w:r>
        <w:rPr>
          <w:rFonts w:ascii="Arial" w:cs="Arial" w:eastAsia="Arial" w:hAnsi="Arial"/>
          <w:sz w:val="16"/>
          <w:szCs w:val="16"/>
          <w:u w:val="single" w:color="auto"/>
          <w:color w:val="0000FF"/>
        </w:rPr>
        <w:t>54</w:t>
      </w:r>
      <w:r>
        <w:rPr>
          <w:rFonts w:ascii="Arial" w:cs="Arial" w:eastAsia="Arial" w:hAnsi="Arial"/>
          <w:sz w:val="16"/>
          <w:szCs w:val="16"/>
          <w:color w:val="auto"/>
        </w:rPr>
        <w:t xml:space="preserve">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4065270</wp:posOffset>
            </wp:positionH>
            <wp:positionV relativeFrom="paragraph">
              <wp:posOffset>-4445</wp:posOffset>
            </wp:positionV>
            <wp:extent cx="14287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42875" cy="8255"/>
                    </a:xfrm>
                    <a:prstGeom prst="rect">
                      <a:avLst/>
                    </a:prstGeom>
                    <a:noFill/>
                  </pic:spPr>
                </pic:pic>
              </a:graphicData>
            </a:graphic>
          </wp:anchor>
        </w:drawing>
      </w:r>
    </w:p>
    <w:p>
      <w:pPr>
        <w:spacing w:after="0" w:line="174"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b w:val="1"/>
          <w:bCs w:val="1"/>
          <w:color w:val="auto"/>
        </w:rPr>
        <w:t>ITEM 9B.</w:t>
        <w:tab/>
        <w:t>OTHER INFORMATION</w:t>
      </w:r>
    </w:p>
    <w:p>
      <w:pPr>
        <w:spacing w:after="0" w:line="194"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None of our directors or officers adopted, modified, or terminated a Rule 10b5-1 trading arrangement or a non-Rule 10b5-1 trading arrangement during the three months ended December 31, 2024.</w:t>
      </w:r>
    </w:p>
    <w:p>
      <w:pPr>
        <w:spacing w:after="0" w:line="129"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b w:val="1"/>
          <w:bCs w:val="1"/>
          <w:color w:val="auto"/>
        </w:rPr>
        <w:t>ITEM 9C.</w:t>
        <w:tab/>
        <w:t>DISCLOSURE REGARDING FOREIGN JURISDICTIONS THAT PREVENT INSPECTIONS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III</w:t>
      </w:r>
    </w:p>
    <w:p>
      <w:pPr>
        <w:spacing w:after="0" w:line="194" w:lineRule="exact"/>
        <w:rPr>
          <w:sz w:val="20"/>
          <w:szCs w:val="20"/>
          <w:color w:val="auto"/>
        </w:rPr>
      </w:pPr>
    </w:p>
    <w:p>
      <w:pPr>
        <w:spacing w:after="0"/>
        <w:tabs>
          <w:tab w:leader="none" w:pos="920" w:val="left"/>
        </w:tabs>
        <w:rPr>
          <w:sz w:val="20"/>
          <w:szCs w:val="20"/>
          <w:color w:val="auto"/>
        </w:rPr>
      </w:pPr>
      <w:r>
        <w:rPr>
          <w:rFonts w:ascii="Arial" w:cs="Arial" w:eastAsia="Arial" w:hAnsi="Arial"/>
          <w:sz w:val="16"/>
          <w:szCs w:val="16"/>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94"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 xml:space="preserve">Information required under this item with respect to directors and information required by Items 401, 405, 406, 407(c)(3), 407(d)(4), 407(d)(5), and 408(b) of Regulation S-K, is set forth in the Proxy Statement for our 2025 Annual Meeting of Shareholders, which is incorporated herein by reference. Information about our Executive Officers is reported in </w:t>
      </w:r>
      <w:r>
        <w:rPr>
          <w:rFonts w:ascii="Arial" w:cs="Arial" w:eastAsia="Arial" w:hAnsi="Arial"/>
          <w:sz w:val="16"/>
          <w:szCs w:val="16"/>
          <w:u w:val="single" w:color="auto"/>
          <w:color w:val="0000FF"/>
        </w:rPr>
        <w:t>Part 1</w:t>
      </w:r>
      <w:r>
        <w:rPr>
          <w:rFonts w:ascii="Arial" w:cs="Arial" w:eastAsia="Arial" w:hAnsi="Arial"/>
          <w:sz w:val="16"/>
          <w:szCs w:val="16"/>
          <w:color w:val="auto"/>
        </w:rPr>
        <w:t xml:space="preserve">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1948815</wp:posOffset>
            </wp:positionH>
            <wp:positionV relativeFrom="paragraph">
              <wp:posOffset>-36195</wp:posOffset>
            </wp:positionV>
            <wp:extent cx="27432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313" w:lineRule="exact"/>
        <w:rPr>
          <w:sz w:val="20"/>
          <w:szCs w:val="20"/>
          <w:color w:val="auto"/>
        </w:rPr>
      </w:pPr>
    </w:p>
    <w:p>
      <w:pPr>
        <w:spacing w:after="0"/>
        <w:tabs>
          <w:tab w:leader="none" w:pos="920" w:val="left"/>
        </w:tabs>
        <w:rPr>
          <w:sz w:val="20"/>
          <w:szCs w:val="20"/>
          <w:color w:val="auto"/>
        </w:rPr>
      </w:pPr>
      <w:r>
        <w:rPr>
          <w:rFonts w:ascii="Arial" w:cs="Arial" w:eastAsia="Arial" w:hAnsi="Arial"/>
          <w:sz w:val="16"/>
          <w:szCs w:val="16"/>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194" w:lineRule="exact"/>
        <w:rPr>
          <w:sz w:val="20"/>
          <w:szCs w:val="20"/>
          <w:color w:val="auto"/>
        </w:rPr>
      </w:pPr>
    </w:p>
    <w:p>
      <w:pPr>
        <w:ind w:right="560"/>
        <w:spacing w:after="0" w:line="286" w:lineRule="auto"/>
        <w:rPr>
          <w:sz w:val="20"/>
          <w:szCs w:val="20"/>
          <w:color w:val="auto"/>
        </w:rPr>
      </w:pPr>
      <w:r>
        <w:rPr>
          <w:rFonts w:ascii="Arial" w:cs="Arial" w:eastAsia="Arial" w:hAnsi="Arial"/>
          <w:sz w:val="16"/>
          <w:szCs w:val="16"/>
          <w:color w:val="auto"/>
        </w:rPr>
        <w:t>Information required under this item is set forth in the Proxy Statement for our 2025 Annual Meeting of Shareholders, which is incorporated herein by reference.</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02" w:name="page103"/>
    <w:bookmarkEnd w:id="10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880" w:val="left"/>
        </w:tabs>
        <w:rPr>
          <w:sz w:val="20"/>
          <w:szCs w:val="20"/>
          <w:color w:val="auto"/>
        </w:rPr>
      </w:pPr>
      <w:r>
        <w:rPr>
          <w:rFonts w:ascii="Arial" w:cs="Arial" w:eastAsia="Arial" w:hAnsi="Arial"/>
          <w:sz w:val="16"/>
          <w:szCs w:val="16"/>
          <w:b w:val="1"/>
          <w:bCs w:val="1"/>
          <w:color w:val="auto"/>
        </w:rPr>
        <w:t>ITEM 12.</w:t>
        <w:tab/>
        <w:t>SECURITY OWNERSHIP OF CERTAIN BENEFICIAL OWNERS AND MANAGEMENT AND RELATED STOCKHOLDER MATTERS</w:t>
      </w:r>
    </w:p>
    <w:p>
      <w:pPr>
        <w:spacing w:after="0" w:line="194"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Information regarding the security ownership of certain beneficial owners and management is set forth in the Proxy Statement for our 2025 Annual Meeting of Shareholders, which is incorporated herein by reference.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COMPENSATION PLAN INFORMATION</w:t>
      </w:r>
    </w:p>
    <w:p>
      <w:pPr>
        <w:spacing w:after="0" w:line="19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following table includes information as of December 31, 2024, with respect to our equity compensation plans which includes the Amended and Restated 2015 Omnibus Incentive Plan.</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60" w:type="dxa"/>
            <w:vAlign w:val="bottom"/>
            <w:vMerge w:val="restart"/>
          </w:tcPr>
          <w:p>
            <w:pPr>
              <w:jc w:val="center"/>
              <w:ind w:right="199"/>
              <w:spacing w:after="0"/>
              <w:rPr>
                <w:sz w:val="20"/>
                <w:szCs w:val="20"/>
                <w:color w:val="auto"/>
              </w:rPr>
            </w:pPr>
            <w:r>
              <w:rPr>
                <w:rFonts w:ascii="Arial" w:cs="Arial" w:eastAsia="Arial" w:hAnsi="Arial"/>
                <w:sz w:val="16"/>
                <w:szCs w:val="16"/>
                <w:color w:val="auto"/>
              </w:rPr>
              <w:t>Number of securities to be</w:t>
            </w:r>
          </w:p>
        </w:tc>
        <w:tc>
          <w:tcPr>
            <w:tcW w:w="2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80" w:type="dxa"/>
            <w:vAlign w:val="bottom"/>
            <w:gridSpan w:val="2"/>
          </w:tcPr>
          <w:p>
            <w:pPr>
              <w:jc w:val="center"/>
              <w:ind w:right="299"/>
              <w:spacing w:after="0"/>
              <w:rPr>
                <w:sz w:val="20"/>
                <w:szCs w:val="20"/>
                <w:color w:val="auto"/>
              </w:rPr>
            </w:pPr>
            <w:r>
              <w:rPr>
                <w:rFonts w:ascii="Arial" w:cs="Arial" w:eastAsia="Arial" w:hAnsi="Arial"/>
                <w:sz w:val="16"/>
                <w:szCs w:val="16"/>
                <w:color w:val="auto"/>
              </w:rPr>
              <w:t>Number of securities remaining</w:t>
            </w:r>
          </w:p>
        </w:tc>
        <w:tc>
          <w:tcPr>
            <w:tcW w:w="0" w:type="dxa"/>
            <w:vAlign w:val="bottom"/>
          </w:tcPr>
          <w:p>
            <w:pPr>
              <w:spacing w:after="0"/>
              <w:rPr>
                <w:sz w:val="1"/>
                <w:szCs w:val="1"/>
                <w:color w:val="auto"/>
              </w:rPr>
            </w:pPr>
          </w:p>
        </w:tc>
      </w:tr>
      <w:tr>
        <w:trPr>
          <w:trHeight w:val="95"/>
        </w:trPr>
        <w:tc>
          <w:tcPr>
            <w:tcW w:w="3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6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2220" w:type="dxa"/>
            <w:vAlign w:val="bottom"/>
            <w:vMerge w:val="restart"/>
          </w:tcPr>
          <w:p>
            <w:pPr>
              <w:jc w:val="right"/>
              <w:spacing w:after="0"/>
              <w:rPr>
                <w:sz w:val="20"/>
                <w:szCs w:val="20"/>
                <w:color w:val="auto"/>
              </w:rPr>
            </w:pPr>
            <w:r>
              <w:rPr>
                <w:rFonts w:ascii="Arial" w:cs="Arial" w:eastAsia="Arial" w:hAnsi="Arial"/>
                <w:sz w:val="16"/>
                <w:szCs w:val="16"/>
                <w:color w:val="auto"/>
              </w:rPr>
              <w:t>Weighted-average exercise</w:t>
            </w: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0" w:type="dxa"/>
            <w:vAlign w:val="bottom"/>
            <w:vMerge w:val="restart"/>
          </w:tcPr>
          <w:p>
            <w:pPr>
              <w:jc w:val="center"/>
              <w:ind w:right="459"/>
              <w:spacing w:after="0"/>
              <w:rPr>
                <w:sz w:val="20"/>
                <w:szCs w:val="20"/>
                <w:color w:val="auto"/>
              </w:rPr>
            </w:pPr>
            <w:r>
              <w:rPr>
                <w:rFonts w:ascii="Arial" w:cs="Arial" w:eastAsia="Arial" w:hAnsi="Arial"/>
                <w:sz w:val="16"/>
                <w:szCs w:val="16"/>
                <w:color w:val="auto"/>
              </w:rPr>
              <w:t>available for future issuance</w:t>
            </w:r>
          </w:p>
        </w:tc>
        <w:tc>
          <w:tcPr>
            <w:tcW w:w="0" w:type="dxa"/>
            <w:vAlign w:val="bottom"/>
          </w:tcPr>
          <w:p>
            <w:pPr>
              <w:spacing w:after="0"/>
              <w:rPr>
                <w:sz w:val="1"/>
                <w:szCs w:val="1"/>
                <w:color w:val="auto"/>
              </w:rPr>
            </w:pPr>
          </w:p>
        </w:tc>
      </w:tr>
      <w:tr>
        <w:trPr>
          <w:trHeight w:val="94"/>
        </w:trPr>
        <w:tc>
          <w:tcPr>
            <w:tcW w:w="3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60" w:type="dxa"/>
            <w:vAlign w:val="bottom"/>
            <w:vMerge w:val="restart"/>
          </w:tcPr>
          <w:p>
            <w:pPr>
              <w:jc w:val="center"/>
              <w:ind w:right="199"/>
              <w:spacing w:after="0"/>
              <w:rPr>
                <w:sz w:val="20"/>
                <w:szCs w:val="20"/>
                <w:color w:val="auto"/>
              </w:rPr>
            </w:pPr>
            <w:r>
              <w:rPr>
                <w:rFonts w:ascii="Arial" w:cs="Arial" w:eastAsia="Arial" w:hAnsi="Arial"/>
                <w:sz w:val="16"/>
                <w:szCs w:val="16"/>
                <w:color w:val="auto"/>
              </w:rPr>
              <w:t>issued upon exercise of</w:t>
            </w:r>
          </w:p>
        </w:tc>
        <w:tc>
          <w:tcPr>
            <w:tcW w:w="260" w:type="dxa"/>
            <w:vAlign w:val="bottom"/>
          </w:tcPr>
          <w:p>
            <w:pPr>
              <w:spacing w:after="0"/>
              <w:rPr>
                <w:sz w:val="8"/>
                <w:szCs w:val="8"/>
                <w:color w:val="auto"/>
              </w:rPr>
            </w:pPr>
          </w:p>
        </w:tc>
        <w:tc>
          <w:tcPr>
            <w:tcW w:w="222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3040" w:type="dxa"/>
            <w:vAlign w:val="bottom"/>
            <w:vMerge w:val="restart"/>
          </w:tcPr>
          <w:p>
            <w:pPr>
              <w:ind w:left="1020"/>
              <w:spacing w:after="0"/>
              <w:rPr>
                <w:sz w:val="20"/>
                <w:szCs w:val="20"/>
                <w:color w:val="auto"/>
              </w:rPr>
            </w:pPr>
            <w:r>
              <w:rPr>
                <w:rFonts w:ascii="Arial" w:cs="Arial" w:eastAsia="Arial" w:hAnsi="Arial"/>
                <w:sz w:val="16"/>
                <w:szCs w:val="16"/>
                <w:color w:val="auto"/>
              </w:rPr>
              <w:t>Plan category</w:t>
            </w:r>
          </w:p>
        </w:tc>
        <w:tc>
          <w:tcPr>
            <w:tcW w:w="160" w:type="dxa"/>
            <w:vAlign w:val="bottom"/>
          </w:tcPr>
          <w:p>
            <w:pPr>
              <w:spacing w:after="0"/>
              <w:rPr>
                <w:sz w:val="8"/>
                <w:szCs w:val="8"/>
                <w:color w:val="auto"/>
              </w:rPr>
            </w:pPr>
          </w:p>
        </w:tc>
        <w:tc>
          <w:tcPr>
            <w:tcW w:w="226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2220" w:type="dxa"/>
            <w:vAlign w:val="bottom"/>
            <w:vMerge w:val="restart"/>
          </w:tcPr>
          <w:p>
            <w:pPr>
              <w:jc w:val="right"/>
              <w:spacing w:after="0"/>
              <w:rPr>
                <w:sz w:val="20"/>
                <w:szCs w:val="20"/>
                <w:color w:val="auto"/>
              </w:rPr>
            </w:pPr>
            <w:r>
              <w:rPr>
                <w:rFonts w:ascii="Arial" w:cs="Arial" w:eastAsia="Arial" w:hAnsi="Arial"/>
                <w:sz w:val="16"/>
                <w:szCs w:val="16"/>
                <w:color w:val="auto"/>
              </w:rPr>
              <w:t>price of outstanding options,</w:t>
            </w: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0" w:type="dxa"/>
            <w:vAlign w:val="bottom"/>
            <w:vMerge w:val="restart"/>
          </w:tcPr>
          <w:p>
            <w:pPr>
              <w:jc w:val="center"/>
              <w:ind w:right="459"/>
              <w:spacing w:after="0"/>
              <w:rPr>
                <w:sz w:val="20"/>
                <w:szCs w:val="20"/>
                <w:color w:val="auto"/>
              </w:rPr>
            </w:pPr>
            <w:r>
              <w:rPr>
                <w:rFonts w:ascii="Arial" w:cs="Arial" w:eastAsia="Arial" w:hAnsi="Arial"/>
                <w:sz w:val="16"/>
                <w:szCs w:val="16"/>
                <w:color w:val="auto"/>
              </w:rPr>
              <w:t>under equity compensation</w:t>
            </w:r>
          </w:p>
        </w:tc>
        <w:tc>
          <w:tcPr>
            <w:tcW w:w="0" w:type="dxa"/>
            <w:vAlign w:val="bottom"/>
          </w:tcPr>
          <w:p>
            <w:pPr>
              <w:spacing w:after="0"/>
              <w:rPr>
                <w:sz w:val="1"/>
                <w:szCs w:val="1"/>
                <w:color w:val="auto"/>
              </w:rPr>
            </w:pPr>
          </w:p>
        </w:tc>
      </w:tr>
      <w:tr>
        <w:trPr>
          <w:trHeight w:val="94"/>
        </w:trPr>
        <w:tc>
          <w:tcPr>
            <w:tcW w:w="3040" w:type="dxa"/>
            <w:vAlign w:val="bottom"/>
            <w:vMerge w:val="continue"/>
          </w:tcPr>
          <w:p>
            <w:pPr>
              <w:spacing w:after="0"/>
              <w:rPr>
                <w:sz w:val="8"/>
                <w:szCs w:val="8"/>
                <w:color w:val="auto"/>
              </w:rPr>
            </w:pPr>
          </w:p>
        </w:tc>
        <w:tc>
          <w:tcPr>
            <w:tcW w:w="2420" w:type="dxa"/>
            <w:vAlign w:val="bottom"/>
            <w:gridSpan w:val="2"/>
            <w:vMerge w:val="restart"/>
          </w:tcPr>
          <w:p>
            <w:pPr>
              <w:jc w:val="center"/>
              <w:ind w:right="39"/>
              <w:spacing w:after="0"/>
              <w:rPr>
                <w:sz w:val="20"/>
                <w:szCs w:val="20"/>
                <w:color w:val="auto"/>
              </w:rPr>
            </w:pPr>
            <w:r>
              <w:rPr>
                <w:rFonts w:ascii="Arial" w:cs="Arial" w:eastAsia="Arial" w:hAnsi="Arial"/>
                <w:sz w:val="16"/>
                <w:szCs w:val="16"/>
                <w:color w:val="auto"/>
              </w:rPr>
              <w:t>outstanding options, warrants</w:t>
            </w:r>
          </w:p>
        </w:tc>
        <w:tc>
          <w:tcPr>
            <w:tcW w:w="260" w:type="dxa"/>
            <w:vAlign w:val="bottom"/>
          </w:tcPr>
          <w:p>
            <w:pPr>
              <w:spacing w:after="0"/>
              <w:rPr>
                <w:sz w:val="8"/>
                <w:szCs w:val="8"/>
                <w:color w:val="auto"/>
              </w:rPr>
            </w:pPr>
          </w:p>
        </w:tc>
        <w:tc>
          <w:tcPr>
            <w:tcW w:w="222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3040" w:type="dxa"/>
            <w:vAlign w:val="bottom"/>
          </w:tcPr>
          <w:p>
            <w:pPr>
              <w:spacing w:after="0"/>
              <w:rPr>
                <w:sz w:val="8"/>
                <w:szCs w:val="8"/>
                <w:color w:val="auto"/>
              </w:rPr>
            </w:pPr>
          </w:p>
        </w:tc>
        <w:tc>
          <w:tcPr>
            <w:tcW w:w="242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2220" w:type="dxa"/>
            <w:vAlign w:val="bottom"/>
            <w:vMerge w:val="restart"/>
          </w:tcPr>
          <w:p>
            <w:pPr>
              <w:jc w:val="right"/>
              <w:ind w:right="219"/>
              <w:spacing w:after="0"/>
              <w:rPr>
                <w:sz w:val="20"/>
                <w:szCs w:val="20"/>
                <w:color w:val="auto"/>
              </w:rPr>
            </w:pPr>
            <w:r>
              <w:rPr>
                <w:rFonts w:ascii="Arial" w:cs="Arial" w:eastAsia="Arial" w:hAnsi="Arial"/>
                <w:sz w:val="16"/>
                <w:szCs w:val="16"/>
                <w:color w:val="auto"/>
              </w:rPr>
              <w:t>warrants and rights</w:t>
            </w: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0" w:type="dxa"/>
            <w:vAlign w:val="bottom"/>
            <w:vMerge w:val="restart"/>
          </w:tcPr>
          <w:p>
            <w:pPr>
              <w:jc w:val="center"/>
              <w:ind w:right="459"/>
              <w:spacing w:after="0"/>
              <w:rPr>
                <w:sz w:val="20"/>
                <w:szCs w:val="20"/>
                <w:color w:val="auto"/>
              </w:rPr>
            </w:pPr>
            <w:r>
              <w:rPr>
                <w:rFonts w:ascii="Arial" w:cs="Arial" w:eastAsia="Arial" w:hAnsi="Arial"/>
                <w:sz w:val="16"/>
                <w:szCs w:val="16"/>
                <w:color w:val="auto"/>
              </w:rPr>
              <w:t>plans (excluding securities</w:t>
            </w:r>
          </w:p>
        </w:tc>
        <w:tc>
          <w:tcPr>
            <w:tcW w:w="0" w:type="dxa"/>
            <w:vAlign w:val="bottom"/>
          </w:tcPr>
          <w:p>
            <w:pPr>
              <w:spacing w:after="0"/>
              <w:rPr>
                <w:sz w:val="1"/>
                <w:szCs w:val="1"/>
                <w:color w:val="auto"/>
              </w:rPr>
            </w:pPr>
          </w:p>
        </w:tc>
      </w:tr>
      <w:tr>
        <w:trPr>
          <w:trHeight w:val="95"/>
        </w:trPr>
        <w:tc>
          <w:tcPr>
            <w:tcW w:w="3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60" w:type="dxa"/>
            <w:vAlign w:val="bottom"/>
            <w:vMerge w:val="restart"/>
          </w:tcPr>
          <w:p>
            <w:pPr>
              <w:jc w:val="right"/>
              <w:ind w:right="819"/>
              <w:spacing w:after="0"/>
              <w:rPr>
                <w:sz w:val="20"/>
                <w:szCs w:val="20"/>
                <w:color w:val="auto"/>
              </w:rPr>
            </w:pPr>
            <w:r>
              <w:rPr>
                <w:rFonts w:ascii="Arial" w:cs="Arial" w:eastAsia="Arial" w:hAnsi="Arial"/>
                <w:sz w:val="16"/>
                <w:szCs w:val="16"/>
                <w:color w:val="auto"/>
              </w:rPr>
              <w:t>and rights</w:t>
            </w:r>
          </w:p>
        </w:tc>
        <w:tc>
          <w:tcPr>
            <w:tcW w:w="260" w:type="dxa"/>
            <w:vAlign w:val="bottom"/>
          </w:tcPr>
          <w:p>
            <w:pPr>
              <w:spacing w:after="0"/>
              <w:rPr>
                <w:sz w:val="8"/>
                <w:szCs w:val="8"/>
                <w:color w:val="auto"/>
              </w:rPr>
            </w:pPr>
          </w:p>
        </w:tc>
        <w:tc>
          <w:tcPr>
            <w:tcW w:w="222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3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0" w:type="dxa"/>
            <w:vAlign w:val="bottom"/>
            <w:vMerge w:val="restart"/>
          </w:tcPr>
          <w:p>
            <w:pPr>
              <w:jc w:val="right"/>
              <w:ind w:right="639"/>
              <w:spacing w:after="0"/>
              <w:rPr>
                <w:sz w:val="20"/>
                <w:szCs w:val="20"/>
                <w:color w:val="auto"/>
              </w:rPr>
            </w:pPr>
            <w:r>
              <w:rPr>
                <w:rFonts w:ascii="Arial" w:cs="Arial" w:eastAsia="Arial" w:hAnsi="Arial"/>
                <w:sz w:val="16"/>
                <w:szCs w:val="16"/>
                <w:color w:val="auto"/>
              </w:rPr>
              <w:t>reflected in column (a))</w:t>
            </w:r>
          </w:p>
        </w:tc>
        <w:tc>
          <w:tcPr>
            <w:tcW w:w="0" w:type="dxa"/>
            <w:vAlign w:val="bottom"/>
          </w:tcPr>
          <w:p>
            <w:pPr>
              <w:spacing w:after="0"/>
              <w:rPr>
                <w:sz w:val="1"/>
                <w:szCs w:val="1"/>
                <w:color w:val="auto"/>
              </w:rPr>
            </w:pPr>
          </w:p>
        </w:tc>
      </w:tr>
      <w:tr>
        <w:trPr>
          <w:trHeight w:val="69"/>
        </w:trPr>
        <w:tc>
          <w:tcPr>
            <w:tcW w:w="30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0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tcPr>
          <w:p>
            <w:pPr>
              <w:jc w:val="right"/>
              <w:ind w:right="1059"/>
              <w:spacing w:after="0"/>
              <w:rPr>
                <w:sz w:val="20"/>
                <w:szCs w:val="20"/>
                <w:color w:val="auto"/>
              </w:rPr>
            </w:pPr>
            <w:r>
              <w:rPr>
                <w:rFonts w:ascii="Arial" w:cs="Arial" w:eastAsia="Arial" w:hAnsi="Arial"/>
                <w:sz w:val="16"/>
                <w:szCs w:val="16"/>
                <w:color w:val="auto"/>
              </w:rPr>
              <w:t>(a)</w:t>
            </w:r>
          </w:p>
        </w:tc>
        <w:tc>
          <w:tcPr>
            <w:tcW w:w="26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rPr>
              <w:t>(b)</w:t>
            </w:r>
          </w:p>
        </w:tc>
        <w:tc>
          <w:tcPr>
            <w:tcW w:w="2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tcPr>
          <w:p>
            <w:pPr>
              <w:jc w:val="right"/>
              <w:ind w:right="1379"/>
              <w:spacing w:after="0"/>
              <w:rPr>
                <w:sz w:val="20"/>
                <w:szCs w:val="20"/>
                <w:color w:val="auto"/>
              </w:rPr>
            </w:pPr>
            <w:r>
              <w:rPr>
                <w:rFonts w:ascii="Arial" w:cs="Arial" w:eastAsia="Arial" w:hAnsi="Arial"/>
                <w:sz w:val="16"/>
                <w:szCs w:val="16"/>
                <w:color w:val="auto"/>
              </w:rPr>
              <w:t>(c)</w:t>
            </w:r>
          </w:p>
        </w:tc>
        <w:tc>
          <w:tcPr>
            <w:tcW w:w="0" w:type="dxa"/>
            <w:vAlign w:val="bottom"/>
          </w:tcPr>
          <w:p>
            <w:pPr>
              <w:spacing w:after="0"/>
              <w:rPr>
                <w:sz w:val="1"/>
                <w:szCs w:val="1"/>
                <w:color w:val="auto"/>
              </w:rPr>
            </w:pPr>
          </w:p>
        </w:tc>
      </w:tr>
      <w:tr>
        <w:trPr>
          <w:trHeight w:val="168"/>
        </w:trPr>
        <w:tc>
          <w:tcPr>
            <w:tcW w:w="3040" w:type="dxa"/>
            <w:vAlign w:val="bottom"/>
            <w:shd w:val="clear" w:color="auto" w:fill="CFF0FC"/>
          </w:tcPr>
          <w:p>
            <w:pPr>
              <w:ind w:left="20"/>
              <w:spacing w:after="0" w:line="168" w:lineRule="exact"/>
              <w:rPr>
                <w:sz w:val="20"/>
                <w:szCs w:val="20"/>
                <w:color w:val="auto"/>
              </w:rPr>
            </w:pPr>
            <w:r>
              <w:rPr>
                <w:rFonts w:ascii="Arial" w:cs="Arial" w:eastAsia="Arial" w:hAnsi="Arial"/>
                <w:sz w:val="16"/>
                <w:szCs w:val="16"/>
                <w:color w:val="auto"/>
              </w:rPr>
              <w:t>Equity compensation plans approved by</w:t>
            </w:r>
          </w:p>
        </w:tc>
        <w:tc>
          <w:tcPr>
            <w:tcW w:w="160" w:type="dxa"/>
            <w:vAlign w:val="bottom"/>
            <w:shd w:val="clear" w:color="auto" w:fill="CFF0FC"/>
          </w:tcPr>
          <w:p>
            <w:pPr>
              <w:spacing w:after="0"/>
              <w:rPr>
                <w:sz w:val="14"/>
                <w:szCs w:val="14"/>
                <w:color w:val="auto"/>
              </w:rPr>
            </w:pPr>
          </w:p>
        </w:tc>
        <w:tc>
          <w:tcPr>
            <w:tcW w:w="2260" w:type="dxa"/>
            <w:vAlign w:val="bottom"/>
            <w:shd w:val="clear" w:color="auto" w:fill="CFF0FC"/>
          </w:tcPr>
          <w:p>
            <w:pPr>
              <w:spacing w:after="0"/>
              <w:rPr>
                <w:sz w:val="14"/>
                <w:szCs w:val="14"/>
                <w:color w:val="auto"/>
              </w:rPr>
            </w:pPr>
          </w:p>
        </w:tc>
        <w:tc>
          <w:tcPr>
            <w:tcW w:w="260" w:type="dxa"/>
            <w:vAlign w:val="bottom"/>
            <w:vMerge w:val="restart"/>
            <w:shd w:val="clear" w:color="auto" w:fill="CFF0FC"/>
          </w:tcPr>
          <w:p>
            <w:pPr>
              <w:jc w:val="right"/>
              <w:ind w:right="6"/>
              <w:spacing w:after="0"/>
              <w:rPr>
                <w:sz w:val="20"/>
                <w:szCs w:val="20"/>
                <w:color w:val="auto"/>
              </w:rPr>
            </w:pPr>
            <w:r>
              <w:rPr>
                <w:rFonts w:ascii="Arial" w:cs="Arial" w:eastAsia="Arial" w:hAnsi="Arial"/>
                <w:sz w:val="11"/>
                <w:szCs w:val="11"/>
                <w:color w:val="auto"/>
              </w:rPr>
              <w:t>(1)</w:t>
            </w:r>
          </w:p>
        </w:tc>
        <w:tc>
          <w:tcPr>
            <w:tcW w:w="2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vMerge w:val="restart"/>
            <w:shd w:val="clear" w:color="auto" w:fill="CFF0FC"/>
          </w:tcPr>
          <w:p>
            <w:pPr>
              <w:jc w:val="right"/>
              <w:ind w:right="6"/>
              <w:spacing w:after="0"/>
              <w:rPr>
                <w:sz w:val="20"/>
                <w:szCs w:val="20"/>
                <w:color w:val="auto"/>
              </w:rPr>
            </w:pPr>
            <w:r>
              <w:rPr>
                <w:rFonts w:ascii="Arial" w:cs="Arial" w:eastAsia="Arial" w:hAnsi="Arial"/>
                <w:sz w:val="11"/>
                <w:szCs w:val="11"/>
                <w:color w:val="auto"/>
              </w:rPr>
              <w:t>(1)</w:t>
            </w:r>
          </w:p>
        </w:tc>
        <w:tc>
          <w:tcPr>
            <w:tcW w:w="180" w:type="dxa"/>
            <w:vAlign w:val="bottom"/>
            <w:shd w:val="clear" w:color="auto" w:fill="CFF0FC"/>
          </w:tcPr>
          <w:p>
            <w:pPr>
              <w:spacing w:after="0"/>
              <w:rPr>
                <w:sz w:val="14"/>
                <w:szCs w:val="14"/>
                <w:color w:val="auto"/>
              </w:rPr>
            </w:pPr>
          </w:p>
        </w:tc>
        <w:tc>
          <w:tcPr>
            <w:tcW w:w="2600" w:type="dxa"/>
            <w:vAlign w:val="bottom"/>
            <w:vMerge w:val="restart"/>
            <w:shd w:val="clear" w:color="auto" w:fill="CFF0FC"/>
          </w:tcPr>
          <w:p>
            <w:pPr>
              <w:jc w:val="right"/>
              <w:ind w:right="19"/>
              <w:spacing w:after="0"/>
              <w:rPr>
                <w:sz w:val="20"/>
                <w:szCs w:val="20"/>
                <w:color w:val="auto"/>
              </w:rPr>
            </w:pPr>
            <w:r>
              <w:rPr>
                <w:rFonts w:ascii="Arial" w:cs="Arial" w:eastAsia="Arial" w:hAnsi="Arial"/>
                <w:sz w:val="16"/>
                <w:szCs w:val="16"/>
                <w:color w:val="auto"/>
              </w:rPr>
              <w:t xml:space="preserve">1,988,252  </w:t>
            </w:r>
            <w:r>
              <w:rPr>
                <w:rFonts w:ascii="Arial" w:cs="Arial" w:eastAsia="Arial" w:hAnsi="Arial"/>
                <w:sz w:val="21"/>
                <w:szCs w:val="21"/>
                <w:color w:val="auto"/>
                <w:vertAlign w:val="superscript"/>
              </w:rPr>
              <w:t>(2)</w:t>
            </w:r>
          </w:p>
        </w:tc>
        <w:tc>
          <w:tcPr>
            <w:tcW w:w="0" w:type="dxa"/>
            <w:vAlign w:val="bottom"/>
          </w:tcPr>
          <w:p>
            <w:pPr>
              <w:spacing w:after="0"/>
              <w:rPr>
                <w:sz w:val="1"/>
                <w:szCs w:val="1"/>
                <w:color w:val="auto"/>
              </w:rPr>
            </w:pPr>
          </w:p>
        </w:tc>
      </w:tr>
      <w:tr>
        <w:trPr>
          <w:trHeight w:val="203"/>
        </w:trPr>
        <w:tc>
          <w:tcPr>
            <w:tcW w:w="3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security holders</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2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290,799</w:t>
            </w:r>
          </w:p>
        </w:tc>
        <w:tc>
          <w:tcPr>
            <w:tcW w:w="260" w:type="dxa"/>
            <w:vAlign w:val="bottom"/>
            <w:vMerge w:val="continue"/>
            <w:shd w:val="clear" w:color="auto" w:fill="CFF0FC"/>
          </w:tcPr>
          <w:p>
            <w:pPr>
              <w:spacing w:after="0"/>
              <w:rPr>
                <w:sz w:val="17"/>
                <w:szCs w:val="17"/>
                <w:color w:val="auto"/>
              </w:rPr>
            </w:pPr>
          </w:p>
        </w:tc>
        <w:tc>
          <w:tcPr>
            <w:tcW w:w="2220" w:type="dxa"/>
            <w:vAlign w:val="bottom"/>
            <w:shd w:val="clear" w:color="auto" w:fill="CFF0FC"/>
          </w:tcPr>
          <w:p>
            <w:pPr>
              <w:jc w:val="right"/>
              <w:ind w:right="1999"/>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260" w:type="dxa"/>
            <w:vAlign w:val="bottom"/>
            <w:vMerge w:val="continue"/>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0" w:type="dxa"/>
            <w:vAlign w:val="bottom"/>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040" w:type="dxa"/>
            <w:vAlign w:val="bottom"/>
          </w:tcPr>
          <w:p>
            <w:pPr>
              <w:ind w:left="20"/>
              <w:spacing w:after="0" w:line="175" w:lineRule="exact"/>
              <w:rPr>
                <w:sz w:val="20"/>
                <w:szCs w:val="20"/>
                <w:color w:val="auto"/>
              </w:rPr>
            </w:pPr>
            <w:r>
              <w:rPr>
                <w:rFonts w:ascii="Arial" w:cs="Arial" w:eastAsia="Arial" w:hAnsi="Arial"/>
                <w:sz w:val="16"/>
                <w:szCs w:val="16"/>
                <w:color w:val="auto"/>
              </w:rPr>
              <w:t>Equity compensation plans not approved</w:t>
            </w:r>
          </w:p>
        </w:tc>
        <w:tc>
          <w:tcPr>
            <w:tcW w:w="160" w:type="dxa"/>
            <w:vAlign w:val="bottom"/>
          </w:tcPr>
          <w:p>
            <w:pPr>
              <w:spacing w:after="0"/>
              <w:rPr>
                <w:sz w:val="15"/>
                <w:szCs w:val="15"/>
                <w:color w:val="auto"/>
              </w:rPr>
            </w:pPr>
          </w:p>
        </w:tc>
        <w:tc>
          <w:tcPr>
            <w:tcW w:w="22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6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0" w:type="dxa"/>
            <w:vAlign w:val="bottom"/>
            <w:vMerge w:val="restart"/>
          </w:tcPr>
          <w:p>
            <w:pPr>
              <w:jc w:val="right"/>
              <w:ind w:right="2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7"/>
        </w:trPr>
        <w:tc>
          <w:tcPr>
            <w:tcW w:w="3040" w:type="dxa"/>
            <w:vAlign w:val="bottom"/>
            <w:vMerge w:val="restart"/>
          </w:tcPr>
          <w:p>
            <w:pPr>
              <w:ind w:left="20"/>
              <w:spacing w:after="0"/>
              <w:rPr>
                <w:sz w:val="20"/>
                <w:szCs w:val="20"/>
                <w:color w:val="auto"/>
              </w:rPr>
            </w:pPr>
            <w:r>
              <w:rPr>
                <w:rFonts w:ascii="Arial" w:cs="Arial" w:eastAsia="Arial" w:hAnsi="Arial"/>
                <w:sz w:val="16"/>
                <w:szCs w:val="16"/>
                <w:color w:val="auto"/>
              </w:rPr>
              <w:t>by security holders</w:t>
            </w:r>
          </w:p>
        </w:tc>
        <w:tc>
          <w:tcPr>
            <w:tcW w:w="160" w:type="dxa"/>
            <w:vAlign w:val="bottom"/>
          </w:tcPr>
          <w:p>
            <w:pPr>
              <w:spacing w:after="0"/>
              <w:rPr>
                <w:sz w:val="9"/>
                <w:szCs w:val="9"/>
                <w:color w:val="auto"/>
              </w:rPr>
            </w:pPr>
          </w:p>
        </w:tc>
        <w:tc>
          <w:tcPr>
            <w:tcW w:w="22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3040" w:type="dxa"/>
            <w:vAlign w:val="bottom"/>
            <w:vMerge w:val="continue"/>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2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6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3040" w:type="dxa"/>
            <w:vAlign w:val="bottom"/>
            <w:tcBorders>
              <w:bottom w:val="single" w:sz="8" w:color="CFF0FC"/>
            </w:tcBorders>
            <w:shd w:val="clear" w:color="auto" w:fill="CFF0FC"/>
          </w:tcPr>
          <w:p>
            <w:pPr>
              <w:ind w:left="200"/>
              <w:spacing w:after="0" w:line="183" w:lineRule="exact"/>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22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290,799</w:t>
            </w:r>
          </w:p>
        </w:tc>
        <w:tc>
          <w:tcPr>
            <w:tcW w:w="260" w:type="dxa"/>
            <w:vAlign w:val="bottom"/>
            <w:tcBorders>
              <w:bottom w:val="single" w:sz="8" w:color="auto"/>
            </w:tcBorders>
            <w:shd w:val="clear" w:color="auto" w:fill="CFF0FC"/>
          </w:tcPr>
          <w:p>
            <w:pPr>
              <w:spacing w:after="0"/>
              <w:rPr>
                <w:sz w:val="19"/>
                <w:szCs w:val="19"/>
                <w:color w:val="auto"/>
              </w:rPr>
            </w:pPr>
          </w:p>
        </w:tc>
        <w:tc>
          <w:tcPr>
            <w:tcW w:w="2220" w:type="dxa"/>
            <w:vAlign w:val="bottom"/>
            <w:tcBorders>
              <w:bottom w:val="single" w:sz="8" w:color="auto"/>
            </w:tcBorders>
            <w:shd w:val="clear" w:color="auto" w:fill="CFF0FC"/>
          </w:tcPr>
          <w:p>
            <w:pPr>
              <w:jc w:val="right"/>
              <w:ind w:right="1999"/>
              <w:spacing w:after="0" w:line="183" w:lineRule="exact"/>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2600" w:type="dxa"/>
            <w:vAlign w:val="bottom"/>
            <w:tcBorders>
              <w:bottom w:val="single" w:sz="8" w:color="auto"/>
            </w:tcBorders>
            <w:shd w:val="clear" w:color="auto" w:fill="CFF0FC"/>
          </w:tcPr>
          <w:p>
            <w:pPr>
              <w:jc w:val="right"/>
              <w:ind w:right="299"/>
              <w:spacing w:after="0" w:line="183" w:lineRule="exact"/>
              <w:rPr>
                <w:sz w:val="20"/>
                <w:szCs w:val="20"/>
                <w:color w:val="auto"/>
              </w:rPr>
            </w:pPr>
            <w:r>
              <w:rPr>
                <w:rFonts w:ascii="Arial" w:cs="Arial" w:eastAsia="Arial" w:hAnsi="Arial"/>
                <w:sz w:val="16"/>
                <w:szCs w:val="16"/>
                <w:color w:val="auto"/>
              </w:rPr>
              <w:t>1,988,252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218567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160" w:lineRule="exact"/>
        <w:rPr>
          <w:sz w:val="20"/>
          <w:szCs w:val="20"/>
          <w:color w:val="auto"/>
        </w:rPr>
      </w:pPr>
    </w:p>
    <w:p>
      <w:pPr>
        <w:jc w:val="both"/>
        <w:ind w:left="520" w:right="260" w:hanging="512"/>
        <w:spacing w:after="0" w:line="248" w:lineRule="auto"/>
        <w:tabs>
          <w:tab w:leader="none" w:pos="5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290,799 full value awards outstanding as of December 31, 2024, comprised of restricted stock units, performance shares, short-term incentive plan (STIP) units and Director common stock units. In addition, 210,090 shares of unvested restricted stock were outstanding as of December 31, 2024, which are not included in the table above because they have already been issued. We do not have any outstanding options, warrants or rights.</w:t>
      </w:r>
    </w:p>
    <w:p>
      <w:pPr>
        <w:jc w:val="both"/>
        <w:ind w:left="520" w:right="240" w:hanging="512"/>
        <w:spacing w:after="0" w:line="252" w:lineRule="auto"/>
        <w:tabs>
          <w:tab w:leader="none" w:pos="5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Shares available for issuance are from the 2015 Amended and Restated Omnibus Incentive Plan. The 2015 Amended and Restated Omnibus Incentive Plan permits grant of stock options, stock appreciation rights, restricted stock, restricted stock units, performance shares, performance units, cash-based awards and other stock-based awards.</w:t>
      </w:r>
    </w:p>
    <w:p>
      <w:pPr>
        <w:spacing w:after="0" w:line="149" w:lineRule="exact"/>
        <w:rPr>
          <w:sz w:val="20"/>
          <w:szCs w:val="20"/>
          <w:color w:val="auto"/>
        </w:rPr>
      </w:pPr>
    </w:p>
    <w:p>
      <w:pPr>
        <w:spacing w:after="0"/>
        <w:tabs>
          <w:tab w:leader="none" w:pos="920" w:val="left"/>
        </w:tabs>
        <w:rPr>
          <w:sz w:val="20"/>
          <w:szCs w:val="20"/>
          <w:color w:val="auto"/>
        </w:rPr>
      </w:pPr>
      <w:r>
        <w:rPr>
          <w:rFonts w:ascii="Arial" w:cs="Arial" w:eastAsia="Arial" w:hAnsi="Arial"/>
          <w:sz w:val="16"/>
          <w:szCs w:val="16"/>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94"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color w:val="auto"/>
        </w:rPr>
        <w:t>Information regarding certain relationships and related transactions and director independence is set forth in the Proxy Statement for our 2025 Annual Meeting of Shareholders, which is incorporated herein by reference.</w:t>
      </w:r>
    </w:p>
    <w:p>
      <w:pPr>
        <w:spacing w:after="0" w:line="129" w:lineRule="exact"/>
        <w:rPr>
          <w:sz w:val="20"/>
          <w:szCs w:val="20"/>
          <w:color w:val="auto"/>
        </w:rPr>
      </w:pPr>
    </w:p>
    <w:p>
      <w:pPr>
        <w:spacing w:after="0"/>
        <w:tabs>
          <w:tab w:leader="none" w:pos="920" w:val="left"/>
        </w:tabs>
        <w:rPr>
          <w:sz w:val="20"/>
          <w:szCs w:val="20"/>
          <w:color w:val="auto"/>
        </w:rPr>
      </w:pPr>
      <w:r>
        <w:rPr>
          <w:rFonts w:ascii="Arial" w:cs="Arial" w:eastAsia="Arial" w:hAnsi="Arial"/>
          <w:sz w:val="16"/>
          <w:szCs w:val="16"/>
          <w:b w:val="1"/>
          <w:bCs w:val="1"/>
          <w:color w:val="auto"/>
        </w:rPr>
        <w:t>ITEM 14.</w:t>
      </w:r>
      <w:r>
        <w:rPr>
          <w:sz w:val="20"/>
          <w:szCs w:val="20"/>
          <w:color w:val="auto"/>
        </w:rPr>
        <w:tab/>
      </w:r>
      <w:r>
        <w:rPr>
          <w:rFonts w:ascii="Arial" w:cs="Arial" w:eastAsia="Arial" w:hAnsi="Arial"/>
          <w:sz w:val="16"/>
          <w:szCs w:val="16"/>
          <w:b w:val="1"/>
          <w:bCs w:val="1"/>
          <w:color w:val="auto"/>
        </w:rPr>
        <w:t>PRINCIPAL ACCOUNTING FEES AND SERVICES</w:t>
      </w:r>
    </w:p>
    <w:p>
      <w:pPr>
        <w:spacing w:after="0" w:line="194"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Information regarding principal accounting fees and services billed to us by our principal accountant, Deloitte &amp; Touche LLP (PCAOB ID No. 34) is set forth in the Proxy Statement for our 2025 Annual Meeting to Shareholders, which is incorporated herein by reference.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3" w:name="page104"/>
    <w:bookmarkEnd w:id="10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IV</w:t>
      </w:r>
    </w:p>
    <w:p>
      <w:pPr>
        <w:spacing w:after="0" w:line="194" w:lineRule="exact"/>
        <w:rPr>
          <w:sz w:val="20"/>
          <w:szCs w:val="20"/>
          <w:color w:val="auto"/>
        </w:rPr>
      </w:pPr>
    </w:p>
    <w:p>
      <w:pPr>
        <w:spacing w:after="0"/>
        <w:tabs>
          <w:tab w:leader="none" w:pos="920" w:val="left"/>
        </w:tabs>
        <w:rPr>
          <w:sz w:val="20"/>
          <w:szCs w:val="20"/>
          <w:color w:val="auto"/>
        </w:rPr>
      </w:pPr>
      <w:r>
        <w:rPr>
          <w:rFonts w:ascii="Arial" w:cs="Arial" w:eastAsia="Arial" w:hAnsi="Arial"/>
          <w:sz w:val="16"/>
          <w:szCs w:val="16"/>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194" w:lineRule="exact"/>
        <w:rPr>
          <w:sz w:val="20"/>
          <w:szCs w:val="20"/>
          <w:color w:val="auto"/>
        </w:rPr>
      </w:pPr>
    </w:p>
    <w:p>
      <w:pPr>
        <w:ind w:left="520" w:hanging="512"/>
        <w:spacing w:after="0"/>
        <w:tabs>
          <w:tab w:leader="none" w:pos="520" w:val="left"/>
        </w:tabs>
        <w:numPr>
          <w:ilvl w:val="0"/>
          <w:numId w:val="76"/>
        </w:numPr>
        <w:rPr>
          <w:rFonts w:ascii="Arial" w:cs="Arial" w:eastAsia="Arial" w:hAnsi="Arial"/>
          <w:sz w:val="16"/>
          <w:szCs w:val="16"/>
          <w:b w:val="1"/>
          <w:bCs w:val="1"/>
          <w:color w:val="auto"/>
        </w:rPr>
      </w:pPr>
      <w:r>
        <w:rPr>
          <w:rFonts w:ascii="Arial" w:cs="Arial" w:eastAsia="Arial" w:hAnsi="Arial"/>
          <w:sz w:val="16"/>
          <w:szCs w:val="16"/>
          <w:b w:val="1"/>
          <w:bCs w:val="1"/>
          <w:color w:val="auto"/>
        </w:rPr>
        <w:t>Documents filed as part of this report</w:t>
      </w:r>
    </w:p>
    <w:p>
      <w:pPr>
        <w:spacing w:after="0" w:line="194" w:lineRule="exact"/>
        <w:rPr>
          <w:sz w:val="20"/>
          <w:szCs w:val="20"/>
          <w:color w:val="auto"/>
        </w:rPr>
      </w:pPr>
    </w:p>
    <w:p>
      <w:pPr>
        <w:ind w:left="520" w:hanging="512"/>
        <w:spacing w:after="0"/>
        <w:tabs>
          <w:tab w:leader="none" w:pos="520" w:val="left"/>
        </w:tabs>
        <w:numPr>
          <w:ilvl w:val="0"/>
          <w:numId w:val="77"/>
        </w:numPr>
        <w:rPr>
          <w:rFonts w:ascii="Arial" w:cs="Arial" w:eastAsia="Arial" w:hAnsi="Arial"/>
          <w:sz w:val="16"/>
          <w:szCs w:val="16"/>
          <w:b w:val="1"/>
          <w:bCs w:val="1"/>
          <w:color w:val="auto"/>
        </w:rPr>
      </w:pPr>
      <w:r>
        <w:rPr>
          <w:rFonts w:ascii="Arial" w:cs="Arial" w:eastAsia="Arial" w:hAnsi="Arial"/>
          <w:sz w:val="16"/>
          <w:szCs w:val="16"/>
          <w:b w:val="1"/>
          <w:bCs w:val="1"/>
          <w:color w:val="auto"/>
        </w:rPr>
        <w:t>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Financial statements required under this item are included in </w:t>
      </w:r>
      <w:r>
        <w:rPr>
          <w:rFonts w:ascii="Arial" w:cs="Arial" w:eastAsia="Arial" w:hAnsi="Arial"/>
          <w:sz w:val="16"/>
          <w:szCs w:val="16"/>
          <w:u w:val="single" w:color="auto"/>
          <w:color w:val="0000FF"/>
        </w:rPr>
        <w:t>Item 8</w:t>
      </w:r>
      <w:r>
        <w:rPr>
          <w:rFonts w:ascii="Arial" w:cs="Arial" w:eastAsia="Arial" w:hAnsi="Arial"/>
          <w:sz w:val="16"/>
          <w:szCs w:val="16"/>
          <w:color w:val="auto"/>
        </w:rPr>
        <w:t xml:space="preserve"> of 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-4445</wp:posOffset>
            </wp:positionV>
            <wp:extent cx="28575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85750" cy="8255"/>
                    </a:xfrm>
                    <a:prstGeom prst="rect">
                      <a:avLst/>
                    </a:prstGeom>
                    <a:noFill/>
                  </pic:spPr>
                </pic:pic>
              </a:graphicData>
            </a:graphic>
          </wp:anchor>
        </w:drawing>
      </w:r>
    </w:p>
    <w:p>
      <w:pPr>
        <w:spacing w:after="0" w:line="174" w:lineRule="exact"/>
        <w:rPr>
          <w:sz w:val="20"/>
          <w:szCs w:val="20"/>
          <w:color w:val="auto"/>
        </w:rPr>
      </w:pPr>
    </w:p>
    <w:p>
      <w:pPr>
        <w:ind w:left="520" w:hanging="512"/>
        <w:spacing w:after="0"/>
        <w:tabs>
          <w:tab w:leader="none" w:pos="520" w:val="left"/>
        </w:tabs>
        <w:numPr>
          <w:ilvl w:val="0"/>
          <w:numId w:val="78"/>
        </w:numPr>
        <w:rPr>
          <w:rFonts w:ascii="Arial" w:cs="Arial" w:eastAsia="Arial" w:hAnsi="Arial"/>
          <w:sz w:val="16"/>
          <w:szCs w:val="16"/>
          <w:b w:val="1"/>
          <w:bCs w:val="1"/>
          <w:color w:val="auto"/>
        </w:rPr>
      </w:pPr>
      <w:r>
        <w:rPr>
          <w:rFonts w:ascii="Arial" w:cs="Arial" w:eastAsia="Arial" w:hAnsi="Arial"/>
          <w:sz w:val="16"/>
          <w:szCs w:val="16"/>
          <w:b w:val="1"/>
          <w:bCs w:val="1"/>
          <w:color w:val="auto"/>
        </w:rPr>
        <w:t>Schedules</w:t>
      </w:r>
    </w:p>
    <w:p>
      <w:pPr>
        <w:spacing w:after="0" w:line="194"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 xml:space="preserve">All other schedules have been omitted because of the absence of the conditions under which they are required or because the required information is included in our consolidated financial statements and notes thereto. Consolidated valuation and qualifying accounts are detailed within </w:t>
      </w:r>
      <w:r>
        <w:rPr>
          <w:rFonts w:ascii="Arial" w:cs="Arial" w:eastAsia="Arial" w:hAnsi="Arial"/>
          <w:sz w:val="16"/>
          <w:szCs w:val="16"/>
          <w:u w:val="single" w:color="auto"/>
          <w:color w:val="0000FF"/>
        </w:rPr>
        <w:t>Note 1</w:t>
      </w:r>
      <w:r>
        <w:rPr>
          <w:rFonts w:ascii="Arial" w:cs="Arial" w:eastAsia="Arial" w:hAnsi="Arial"/>
          <w:sz w:val="16"/>
          <w:szCs w:val="16"/>
          <w:color w:val="auto"/>
        </w:rPr>
        <w:t xml:space="preserve"> of the Notes to the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6135370</wp:posOffset>
            </wp:positionH>
            <wp:positionV relativeFrom="paragraph">
              <wp:posOffset>-156210</wp:posOffset>
            </wp:positionV>
            <wp:extent cx="30289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24" w:lineRule="exact"/>
        <w:rPr>
          <w:sz w:val="20"/>
          <w:szCs w:val="20"/>
          <w:color w:val="auto"/>
        </w:rPr>
      </w:pPr>
    </w:p>
    <w:p>
      <w:pPr>
        <w:ind w:left="520" w:hanging="512"/>
        <w:spacing w:after="0"/>
        <w:tabs>
          <w:tab w:leader="none" w:pos="520" w:val="left"/>
        </w:tabs>
        <w:numPr>
          <w:ilvl w:val="0"/>
          <w:numId w:val="79"/>
        </w:numPr>
        <w:rPr>
          <w:rFonts w:ascii="Arial" w:cs="Arial" w:eastAsia="Arial" w:hAnsi="Arial"/>
          <w:sz w:val="16"/>
          <w:szCs w:val="16"/>
          <w:b w:val="1"/>
          <w:bCs w:val="1"/>
          <w:color w:val="auto"/>
        </w:rPr>
      </w:pPr>
      <w:r>
        <w:rPr>
          <w:rFonts w:ascii="Arial" w:cs="Arial" w:eastAsia="Arial" w:hAnsi="Arial"/>
          <w:sz w:val="16"/>
          <w:szCs w:val="16"/>
          <w:b w:val="1"/>
          <w:bCs w:val="1"/>
          <w:color w:val="auto"/>
        </w:rPr>
        <w:t>Exhibits</w:t>
      </w:r>
    </w:p>
    <w:p>
      <w:pPr>
        <w:spacing w:after="0" w:line="194"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Exhibits filed herewithin are designated by an asterisk (*). All exhibits not so designated are incorporated by reference to a prior filing, as indicated. Items constituting a board of director or management compensatory plan are designated by a cross (†).</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460" w:type="dxa"/>
            <w:vAlign w:val="bottom"/>
          </w:tcPr>
          <w:p>
            <w:pPr>
              <w:ind w:left="380"/>
              <w:spacing w:after="0"/>
              <w:rPr>
                <w:sz w:val="20"/>
                <w:szCs w:val="20"/>
                <w:color w:val="auto"/>
              </w:rPr>
            </w:pPr>
            <w:r>
              <w:rPr>
                <w:rFonts w:ascii="Arial" w:cs="Arial" w:eastAsia="Arial" w:hAnsi="Arial"/>
                <w:sz w:val="16"/>
                <w:szCs w:val="16"/>
                <w:b w:val="1"/>
                <w:bCs w:val="1"/>
                <w:color w:val="auto"/>
              </w:rPr>
              <w:t>Exhibit</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60" w:type="dxa"/>
            <w:vAlign w:val="bottom"/>
            <w:gridSpan w:val="13"/>
          </w:tcPr>
          <w:p>
            <w:pPr>
              <w:ind w:left="2660"/>
              <w:spacing w:after="0"/>
              <w:rPr>
                <w:sz w:val="20"/>
                <w:szCs w:val="20"/>
                <w:color w:val="auto"/>
              </w:rPr>
            </w:pPr>
            <w:r>
              <w:rPr>
                <w:rFonts w:ascii="Arial" w:cs="Arial" w:eastAsia="Arial" w:hAnsi="Arial"/>
                <w:sz w:val="16"/>
                <w:szCs w:val="16"/>
                <w:b w:val="1"/>
                <w:bCs w:val="1"/>
                <w:color w:val="auto"/>
              </w:rPr>
              <w:t>Description</w:t>
            </w:r>
          </w:p>
        </w:tc>
      </w:tr>
      <w:tr>
        <w:trPr>
          <w:trHeight w:val="226"/>
        </w:trPr>
        <w:tc>
          <w:tcPr>
            <w:tcW w:w="146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color w:val="auto"/>
              </w:rPr>
              <w:t>Number</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7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r>
      <w:tr>
        <w:trPr>
          <w:trHeight w:val="456"/>
        </w:trPr>
        <w:tc>
          <w:tcPr>
            <w:tcW w:w="1460" w:type="dxa"/>
            <w:vAlign w:val="bottom"/>
          </w:tcPr>
          <w:p>
            <w:pPr>
              <w:ind w:left="120"/>
              <w:spacing w:after="0"/>
              <w:rPr>
                <w:sz w:val="20"/>
                <w:szCs w:val="20"/>
                <w:color w:val="auto"/>
              </w:rPr>
            </w:pPr>
            <w:r>
              <w:rPr>
                <w:rFonts w:ascii="Arial" w:cs="Arial" w:eastAsia="Arial" w:hAnsi="Arial"/>
                <w:sz w:val="16"/>
                <w:szCs w:val="16"/>
                <w:color w:val="auto"/>
              </w:rPr>
              <w:t>3.1</w:t>
            </w:r>
          </w:p>
        </w:tc>
        <w:tc>
          <w:tcPr>
            <w:tcW w:w="9780" w:type="dxa"/>
            <w:vAlign w:val="bottom"/>
            <w:gridSpan w:val="19"/>
          </w:tcPr>
          <w:p>
            <w:pPr>
              <w:spacing w:after="0"/>
              <w:rPr>
                <w:rFonts w:ascii="Arial" w:cs="Arial" w:eastAsia="Arial" w:hAnsi="Arial"/>
                <w:sz w:val="16"/>
                <w:szCs w:val="16"/>
                <w:color w:val="0000FF"/>
              </w:rPr>
            </w:pPr>
            <w:hyperlink r:id="rId316">
              <w:r>
                <w:rPr>
                  <w:rFonts w:ascii="Arial" w:cs="Arial" w:eastAsia="Arial" w:hAnsi="Arial"/>
                  <w:sz w:val="16"/>
                  <w:szCs w:val="16"/>
                  <w:color w:val="0000FF"/>
                </w:rPr>
                <w:t>Restated Articles of Incorporation of the Registrant (filed as Exhibit 3 to the Registrant’s Form 8-K filed on February 5, 2018).</w:t>
              </w:r>
            </w:hyperlink>
          </w:p>
        </w:tc>
      </w:tr>
      <w:tr>
        <w:trPr>
          <w:trHeight w:val="20"/>
        </w:trPr>
        <w:tc>
          <w:tcPr>
            <w:tcW w:w="1460" w:type="dxa"/>
            <w:vAlign w:val="bottom"/>
            <w:tcBorders>
              <w:right w:val="single" w:sz="8" w:color="0000EE"/>
            </w:tcBorders>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71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460" w:type="dxa"/>
            <w:vAlign w:val="bottom"/>
          </w:tcPr>
          <w:p>
            <w:pPr>
              <w:ind w:left="120"/>
              <w:spacing w:after="0"/>
              <w:rPr>
                <w:sz w:val="20"/>
                <w:szCs w:val="20"/>
                <w:color w:val="auto"/>
              </w:rPr>
            </w:pPr>
            <w:r>
              <w:rPr>
                <w:rFonts w:ascii="Arial" w:cs="Arial" w:eastAsia="Arial" w:hAnsi="Arial"/>
                <w:sz w:val="16"/>
                <w:szCs w:val="16"/>
                <w:color w:val="auto"/>
              </w:rPr>
              <w:t>3.2</w:t>
            </w:r>
          </w:p>
        </w:tc>
        <w:tc>
          <w:tcPr>
            <w:tcW w:w="9780" w:type="dxa"/>
            <w:vAlign w:val="bottom"/>
            <w:gridSpan w:val="19"/>
          </w:tcPr>
          <w:p>
            <w:pPr>
              <w:spacing w:after="0"/>
              <w:rPr>
                <w:rFonts w:ascii="Arial" w:cs="Arial" w:eastAsia="Arial" w:hAnsi="Arial"/>
                <w:sz w:val="16"/>
                <w:szCs w:val="16"/>
                <w:color w:val="0000FF"/>
              </w:rPr>
            </w:pPr>
            <w:hyperlink r:id="rId317">
              <w:r>
                <w:rPr>
                  <w:rFonts w:ascii="Arial" w:cs="Arial" w:eastAsia="Arial" w:hAnsi="Arial"/>
                  <w:sz w:val="16"/>
                  <w:szCs w:val="16"/>
                  <w:color w:val="0000FF"/>
                </w:rPr>
                <w:t>Amended and Restated Bylaws of the Registrant dated April 24, 2023, (filed as Exhibit 3.2 to the Registrant’s Form 8-K filed on May 3,</w:t>
              </w:r>
            </w:hyperlink>
          </w:p>
        </w:tc>
      </w:tr>
      <w:tr>
        <w:trPr>
          <w:trHeight w:val="169"/>
        </w:trPr>
        <w:tc>
          <w:tcPr>
            <w:tcW w:w="1460" w:type="dxa"/>
            <w:vAlign w:val="bottom"/>
          </w:tcPr>
          <w:p>
            <w:pPr>
              <w:spacing w:after="0"/>
              <w:rPr>
                <w:sz w:val="14"/>
                <w:szCs w:val="14"/>
                <w:color w:val="auto"/>
              </w:rPr>
            </w:pPr>
          </w:p>
        </w:tc>
        <w:tc>
          <w:tcPr>
            <w:tcW w:w="440" w:type="dxa"/>
            <w:vAlign w:val="bottom"/>
            <w:tcBorders>
              <w:top w:val="single" w:sz="8" w:color="0000FF"/>
              <w:bottom w:val="single" w:sz="8" w:color="0000FF"/>
            </w:tcBorders>
            <w:gridSpan w:val="2"/>
          </w:tcPr>
          <w:p>
            <w:pPr>
              <w:spacing w:after="0" w:line="169" w:lineRule="exact"/>
              <w:rPr>
                <w:rFonts w:ascii="Arial" w:cs="Arial" w:eastAsia="Arial" w:hAnsi="Arial"/>
                <w:sz w:val="16"/>
                <w:szCs w:val="16"/>
                <w:color w:val="0000FF"/>
                <w:w w:val="92"/>
              </w:rPr>
            </w:pPr>
            <w:hyperlink r:id="rId317">
              <w:r>
                <w:rPr>
                  <w:rFonts w:ascii="Arial" w:cs="Arial" w:eastAsia="Arial" w:hAnsi="Arial"/>
                  <w:sz w:val="16"/>
                  <w:szCs w:val="16"/>
                  <w:color w:val="0000FF"/>
                  <w:w w:val="92"/>
                </w:rPr>
                <w:t>2023).</w:t>
              </w:r>
            </w:hyperlink>
          </w:p>
        </w:tc>
        <w:tc>
          <w:tcPr>
            <w:tcW w:w="20" w:type="dxa"/>
            <w:vAlign w:val="bottom"/>
            <w:tcBorders>
              <w:top w:val="single" w:sz="8" w:color="0000FF"/>
              <w:bottom w:val="single" w:sz="8" w:color="0000EE"/>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900" w:type="dxa"/>
            <w:vAlign w:val="bottom"/>
            <w:tcBorders>
              <w:top w:val="single" w:sz="8" w:color="0000FF"/>
            </w:tcBorders>
          </w:tcPr>
          <w:p>
            <w:pPr>
              <w:spacing w:after="0"/>
              <w:rPr>
                <w:sz w:val="14"/>
                <w:szCs w:val="14"/>
                <w:color w:val="auto"/>
              </w:rPr>
            </w:pPr>
          </w:p>
        </w:tc>
        <w:tc>
          <w:tcPr>
            <w:tcW w:w="716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50"/>
        </w:trPr>
        <w:tc>
          <w:tcPr>
            <w:tcW w:w="1460" w:type="dxa"/>
            <w:vAlign w:val="bottom"/>
          </w:tcPr>
          <w:p>
            <w:pPr>
              <w:ind w:left="120"/>
              <w:spacing w:after="0"/>
              <w:rPr>
                <w:sz w:val="20"/>
                <w:szCs w:val="20"/>
                <w:color w:val="auto"/>
              </w:rPr>
            </w:pPr>
            <w:r>
              <w:rPr>
                <w:rFonts w:ascii="Arial" w:cs="Arial" w:eastAsia="Arial" w:hAnsi="Arial"/>
                <w:sz w:val="16"/>
                <w:szCs w:val="16"/>
                <w:color w:val="auto"/>
              </w:rPr>
              <w:t>4.1</w:t>
            </w:r>
          </w:p>
        </w:tc>
        <w:tc>
          <w:tcPr>
            <w:tcW w:w="9780" w:type="dxa"/>
            <w:vAlign w:val="bottom"/>
            <w:gridSpan w:val="19"/>
          </w:tcPr>
          <w:p>
            <w:pPr>
              <w:spacing w:after="0"/>
              <w:rPr>
                <w:rFonts w:ascii="Arial" w:cs="Arial" w:eastAsia="Arial" w:hAnsi="Arial"/>
                <w:sz w:val="16"/>
                <w:szCs w:val="16"/>
                <w:color w:val="0000FF"/>
              </w:rPr>
            </w:pPr>
            <w:hyperlink r:id="rId318">
              <w:r>
                <w:rPr>
                  <w:rFonts w:ascii="Arial" w:cs="Arial" w:eastAsia="Arial" w:hAnsi="Arial"/>
                  <w:sz w:val="16"/>
                  <w:szCs w:val="16"/>
                  <w:color w:val="0000FF"/>
                </w:rPr>
                <w:t>Indenture dated as of May 21, 2003 between the Registrant and Wells Fargo Bank, National Association (as successor to LaSalle</w:t>
              </w:r>
            </w:hyperlink>
          </w:p>
        </w:tc>
      </w:tr>
      <w:tr>
        <w:trPr>
          <w:trHeight w:val="169"/>
        </w:trPr>
        <w:tc>
          <w:tcPr>
            <w:tcW w:w="1460" w:type="dxa"/>
            <w:vAlign w:val="bottom"/>
          </w:tcPr>
          <w:p>
            <w:pPr>
              <w:spacing w:after="0"/>
              <w:rPr>
                <w:sz w:val="14"/>
                <w:szCs w:val="14"/>
                <w:color w:val="auto"/>
              </w:rPr>
            </w:pPr>
          </w:p>
        </w:tc>
        <w:tc>
          <w:tcPr>
            <w:tcW w:w="9300" w:type="dxa"/>
            <w:vAlign w:val="bottom"/>
            <w:tcBorders>
              <w:top w:val="single" w:sz="8" w:color="0000FF"/>
            </w:tcBorders>
            <w:gridSpan w:val="11"/>
          </w:tcPr>
          <w:p>
            <w:pPr>
              <w:spacing w:after="0" w:line="169" w:lineRule="exact"/>
              <w:rPr>
                <w:rFonts w:ascii="Arial" w:cs="Arial" w:eastAsia="Arial" w:hAnsi="Arial"/>
                <w:sz w:val="16"/>
                <w:szCs w:val="16"/>
                <w:color w:val="0000FF"/>
              </w:rPr>
            </w:pPr>
            <w:hyperlink r:id="rId318">
              <w:r>
                <w:rPr>
                  <w:rFonts w:ascii="Arial" w:cs="Arial" w:eastAsia="Arial" w:hAnsi="Arial"/>
                  <w:sz w:val="16"/>
                  <w:szCs w:val="16"/>
                  <w:color w:val="0000FF"/>
                </w:rPr>
                <w:t>Bank National Association), as Trustee (filed as Exhibit 4.1 to the Registrant’s Form 10-Q for the quarterly period ended June 30,</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1460" w:type="dxa"/>
            <w:vAlign w:val="bottom"/>
          </w:tcPr>
          <w:p>
            <w:pPr>
              <w:spacing w:after="0"/>
              <w:rPr>
                <w:sz w:val="14"/>
                <w:szCs w:val="14"/>
                <w:color w:val="auto"/>
              </w:rPr>
            </w:pPr>
          </w:p>
        </w:tc>
        <w:tc>
          <w:tcPr>
            <w:tcW w:w="440" w:type="dxa"/>
            <w:vAlign w:val="bottom"/>
            <w:tcBorders>
              <w:top w:val="single" w:sz="8" w:color="0000FF"/>
              <w:bottom w:val="single" w:sz="8" w:color="0000FF"/>
            </w:tcBorders>
            <w:gridSpan w:val="2"/>
          </w:tcPr>
          <w:p>
            <w:pPr>
              <w:spacing w:after="0" w:line="169" w:lineRule="exact"/>
              <w:rPr>
                <w:rFonts w:ascii="Arial" w:cs="Arial" w:eastAsia="Arial" w:hAnsi="Arial"/>
                <w:sz w:val="16"/>
                <w:szCs w:val="16"/>
                <w:color w:val="0000FF"/>
                <w:w w:val="92"/>
              </w:rPr>
            </w:pPr>
            <w:hyperlink r:id="rId318">
              <w:r>
                <w:rPr>
                  <w:rFonts w:ascii="Arial" w:cs="Arial" w:eastAsia="Arial" w:hAnsi="Arial"/>
                  <w:sz w:val="16"/>
                  <w:szCs w:val="16"/>
                  <w:color w:val="0000FF"/>
                  <w:w w:val="92"/>
                </w:rPr>
                <w:t>2003).</w:t>
              </w:r>
            </w:hyperlink>
          </w:p>
        </w:tc>
        <w:tc>
          <w:tcPr>
            <w:tcW w:w="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900" w:type="dxa"/>
            <w:vAlign w:val="bottom"/>
            <w:tcBorders>
              <w:top w:val="single" w:sz="8" w:color="0000FF"/>
            </w:tcBorders>
          </w:tcPr>
          <w:p>
            <w:pPr>
              <w:spacing w:after="0"/>
              <w:rPr>
                <w:sz w:val="14"/>
                <w:szCs w:val="14"/>
                <w:color w:val="auto"/>
              </w:rPr>
            </w:pPr>
          </w:p>
        </w:tc>
        <w:tc>
          <w:tcPr>
            <w:tcW w:w="716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50"/>
        </w:trPr>
        <w:tc>
          <w:tcPr>
            <w:tcW w:w="1460" w:type="dxa"/>
            <w:vAlign w:val="bottom"/>
          </w:tcPr>
          <w:p>
            <w:pPr>
              <w:ind w:left="220"/>
              <w:spacing w:after="0"/>
              <w:rPr>
                <w:sz w:val="20"/>
                <w:szCs w:val="20"/>
                <w:color w:val="auto"/>
              </w:rPr>
            </w:pPr>
            <w:r>
              <w:rPr>
                <w:rFonts w:ascii="Arial" w:cs="Arial" w:eastAsia="Arial" w:hAnsi="Arial"/>
                <w:sz w:val="16"/>
                <w:szCs w:val="16"/>
                <w:color w:val="auto"/>
              </w:rPr>
              <w:t>4.1-1</w:t>
            </w:r>
          </w:p>
        </w:tc>
        <w:tc>
          <w:tcPr>
            <w:tcW w:w="120" w:type="dxa"/>
            <w:vAlign w:val="bottom"/>
          </w:tcPr>
          <w:p>
            <w:pPr>
              <w:spacing w:after="0"/>
              <w:rPr>
                <w:sz w:val="21"/>
                <w:szCs w:val="21"/>
                <w:color w:val="auto"/>
              </w:rPr>
            </w:pPr>
          </w:p>
        </w:tc>
        <w:tc>
          <w:tcPr>
            <w:tcW w:w="9660" w:type="dxa"/>
            <w:vAlign w:val="bottom"/>
            <w:gridSpan w:val="18"/>
          </w:tcPr>
          <w:p>
            <w:pPr>
              <w:spacing w:after="0"/>
              <w:rPr>
                <w:rFonts w:ascii="Arial" w:cs="Arial" w:eastAsia="Arial" w:hAnsi="Arial"/>
                <w:sz w:val="16"/>
                <w:szCs w:val="16"/>
                <w:color w:val="0000FF"/>
              </w:rPr>
            </w:pPr>
            <w:hyperlink r:id="rId319">
              <w:r>
                <w:rPr>
                  <w:rFonts w:ascii="Arial" w:cs="Arial" w:eastAsia="Arial" w:hAnsi="Arial"/>
                  <w:sz w:val="16"/>
                  <w:szCs w:val="16"/>
                  <w:color w:val="0000FF"/>
                </w:rPr>
                <w:t>First Supplemental Indenture dated as of May 21, 2003, (filed as Exhibit 4.2 to the Registrant’s Form 10-Q for the quarterly period</w:t>
              </w:r>
            </w:hyperlink>
          </w:p>
        </w:tc>
      </w:tr>
      <w:tr>
        <w:trPr>
          <w:trHeight w:val="169"/>
        </w:trPr>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Borders>
              <w:top w:val="single" w:sz="8" w:color="0000FF"/>
              <w:bottom w:val="single" w:sz="8" w:color="0000FF"/>
            </w:tcBorders>
            <w:gridSpan w:val="5"/>
          </w:tcPr>
          <w:p>
            <w:pPr>
              <w:spacing w:after="0" w:line="169" w:lineRule="exact"/>
              <w:rPr>
                <w:rFonts w:ascii="Arial" w:cs="Arial" w:eastAsia="Arial" w:hAnsi="Arial"/>
                <w:sz w:val="16"/>
                <w:szCs w:val="16"/>
                <w:color w:val="0000FF"/>
                <w:w w:val="98"/>
              </w:rPr>
            </w:pPr>
            <w:hyperlink r:id="rId319">
              <w:r>
                <w:rPr>
                  <w:rFonts w:ascii="Arial" w:cs="Arial" w:eastAsia="Arial" w:hAnsi="Arial"/>
                  <w:sz w:val="16"/>
                  <w:szCs w:val="16"/>
                  <w:color w:val="0000FF"/>
                  <w:w w:val="98"/>
                </w:rPr>
                <w:t>ended June 30, 2003).</w:t>
              </w:r>
            </w:hyperlink>
          </w:p>
        </w:tc>
        <w:tc>
          <w:tcPr>
            <w:tcW w:w="7680" w:type="dxa"/>
            <w:vAlign w:val="bottom"/>
            <w:tcBorders>
              <w:top w:val="single" w:sz="8" w:color="0000FF"/>
            </w:tcBorders>
            <w:gridSpan w:val="8"/>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r>
      <w:tr>
        <w:trPr>
          <w:trHeight w:val="250"/>
        </w:trPr>
        <w:tc>
          <w:tcPr>
            <w:tcW w:w="1460" w:type="dxa"/>
            <w:vAlign w:val="bottom"/>
          </w:tcPr>
          <w:p>
            <w:pPr>
              <w:ind w:left="220"/>
              <w:spacing w:after="0"/>
              <w:rPr>
                <w:sz w:val="20"/>
                <w:szCs w:val="20"/>
                <w:color w:val="auto"/>
              </w:rPr>
            </w:pPr>
            <w:r>
              <w:rPr>
                <w:rFonts w:ascii="Arial" w:cs="Arial" w:eastAsia="Arial" w:hAnsi="Arial"/>
                <w:sz w:val="16"/>
                <w:szCs w:val="16"/>
                <w:color w:val="auto"/>
              </w:rPr>
              <w:t>4.1-2</w:t>
            </w:r>
          </w:p>
        </w:tc>
        <w:tc>
          <w:tcPr>
            <w:tcW w:w="120" w:type="dxa"/>
            <w:vAlign w:val="bottom"/>
          </w:tcPr>
          <w:p>
            <w:pPr>
              <w:spacing w:after="0"/>
              <w:rPr>
                <w:sz w:val="21"/>
                <w:szCs w:val="21"/>
                <w:color w:val="auto"/>
              </w:rPr>
            </w:pPr>
          </w:p>
        </w:tc>
        <w:tc>
          <w:tcPr>
            <w:tcW w:w="9660" w:type="dxa"/>
            <w:vAlign w:val="bottom"/>
            <w:gridSpan w:val="18"/>
          </w:tcPr>
          <w:p>
            <w:pPr>
              <w:spacing w:after="0"/>
              <w:rPr>
                <w:rFonts w:ascii="Arial" w:cs="Arial" w:eastAsia="Arial" w:hAnsi="Arial"/>
                <w:sz w:val="16"/>
                <w:szCs w:val="16"/>
                <w:color w:val="0000FF"/>
              </w:rPr>
            </w:pPr>
            <w:hyperlink r:id="rId320">
              <w:r>
                <w:rPr>
                  <w:rFonts w:ascii="Arial" w:cs="Arial" w:eastAsia="Arial" w:hAnsi="Arial"/>
                  <w:sz w:val="16"/>
                  <w:szCs w:val="16"/>
                  <w:color w:val="0000FF"/>
                </w:rPr>
                <w:t>Second Supplemental Indenture dated as of May 14, 2009, (filed as Exhibit 4 to the Registrant’s Form 8-K filed on May 14, 2009).</w:t>
              </w:r>
            </w:hyperlink>
          </w:p>
        </w:tc>
      </w:tr>
      <w:tr>
        <w:trPr>
          <w:trHeight w:val="20"/>
        </w:trPr>
        <w:tc>
          <w:tcPr>
            <w:tcW w:w="14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6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460" w:type="dxa"/>
            <w:vAlign w:val="bottom"/>
          </w:tcPr>
          <w:p>
            <w:pPr>
              <w:ind w:left="220"/>
              <w:spacing w:after="0"/>
              <w:rPr>
                <w:sz w:val="20"/>
                <w:szCs w:val="20"/>
                <w:color w:val="auto"/>
              </w:rPr>
            </w:pPr>
            <w:r>
              <w:rPr>
                <w:rFonts w:ascii="Arial" w:cs="Arial" w:eastAsia="Arial" w:hAnsi="Arial"/>
                <w:sz w:val="16"/>
                <w:szCs w:val="16"/>
                <w:color w:val="auto"/>
              </w:rPr>
              <w:t>4.1-3</w:t>
            </w:r>
          </w:p>
        </w:tc>
        <w:tc>
          <w:tcPr>
            <w:tcW w:w="120" w:type="dxa"/>
            <w:vAlign w:val="bottom"/>
          </w:tcPr>
          <w:p>
            <w:pPr>
              <w:spacing w:after="0"/>
              <w:rPr>
                <w:sz w:val="21"/>
                <w:szCs w:val="21"/>
                <w:color w:val="auto"/>
              </w:rPr>
            </w:pPr>
          </w:p>
        </w:tc>
        <w:tc>
          <w:tcPr>
            <w:tcW w:w="9660" w:type="dxa"/>
            <w:vAlign w:val="bottom"/>
            <w:gridSpan w:val="18"/>
          </w:tcPr>
          <w:p>
            <w:pPr>
              <w:spacing w:after="0"/>
              <w:rPr>
                <w:rFonts w:ascii="Arial" w:cs="Arial" w:eastAsia="Arial" w:hAnsi="Arial"/>
                <w:sz w:val="16"/>
                <w:szCs w:val="16"/>
                <w:color w:val="0000FF"/>
              </w:rPr>
            </w:pPr>
            <w:hyperlink r:id="rId321">
              <w:r>
                <w:rPr>
                  <w:rFonts w:ascii="Arial" w:cs="Arial" w:eastAsia="Arial" w:hAnsi="Arial"/>
                  <w:sz w:val="16"/>
                  <w:szCs w:val="16"/>
                  <w:color w:val="0000FF"/>
                </w:rPr>
                <w:t>Third Supplemental Indenture dated as of July 16, 2010, (filed as Exhibit 4 to Registrant’s Form 8-K filed on July 15, 2010).</w:t>
              </w:r>
            </w:hyperlink>
          </w:p>
        </w:tc>
      </w:tr>
      <w:tr>
        <w:trPr>
          <w:trHeight w:val="20"/>
        </w:trPr>
        <w:tc>
          <w:tcPr>
            <w:tcW w:w="14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6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460" w:type="dxa"/>
            <w:vAlign w:val="bottom"/>
          </w:tcPr>
          <w:p>
            <w:pPr>
              <w:ind w:left="220"/>
              <w:spacing w:after="0"/>
              <w:rPr>
                <w:sz w:val="20"/>
                <w:szCs w:val="20"/>
                <w:color w:val="auto"/>
              </w:rPr>
            </w:pPr>
            <w:r>
              <w:rPr>
                <w:rFonts w:ascii="Arial" w:cs="Arial" w:eastAsia="Arial" w:hAnsi="Arial"/>
                <w:sz w:val="16"/>
                <w:szCs w:val="16"/>
                <w:color w:val="auto"/>
              </w:rPr>
              <w:t>4.1-4</w:t>
            </w:r>
          </w:p>
        </w:tc>
        <w:tc>
          <w:tcPr>
            <w:tcW w:w="120" w:type="dxa"/>
            <w:vAlign w:val="bottom"/>
          </w:tcPr>
          <w:p>
            <w:pPr>
              <w:spacing w:after="0"/>
              <w:rPr>
                <w:sz w:val="21"/>
                <w:szCs w:val="21"/>
                <w:color w:val="auto"/>
              </w:rPr>
            </w:pPr>
          </w:p>
        </w:tc>
        <w:tc>
          <w:tcPr>
            <w:tcW w:w="9660" w:type="dxa"/>
            <w:vAlign w:val="bottom"/>
            <w:gridSpan w:val="18"/>
          </w:tcPr>
          <w:p>
            <w:pPr>
              <w:spacing w:after="0"/>
              <w:rPr>
                <w:rFonts w:ascii="Arial" w:cs="Arial" w:eastAsia="Arial" w:hAnsi="Arial"/>
                <w:sz w:val="16"/>
                <w:szCs w:val="16"/>
                <w:color w:val="0000FF"/>
              </w:rPr>
            </w:pPr>
            <w:hyperlink r:id="rId322">
              <w:r>
                <w:rPr>
                  <w:rFonts w:ascii="Arial" w:cs="Arial" w:eastAsia="Arial" w:hAnsi="Arial"/>
                  <w:sz w:val="16"/>
                  <w:szCs w:val="16"/>
                  <w:color w:val="0000FF"/>
                </w:rPr>
                <w:t>Fourth Supplemental Indenture dated as of November 19, 2013, (filed as Exhibit 4 to the Registrant’s Form 8-K filed on November 18,</w:t>
              </w:r>
            </w:hyperlink>
          </w:p>
        </w:tc>
      </w:tr>
      <w:tr>
        <w:trPr>
          <w:trHeight w:val="169"/>
        </w:trPr>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Borders>
              <w:top w:val="single" w:sz="8" w:color="0000FF"/>
              <w:bottom w:val="single" w:sz="8" w:color="0000FF"/>
            </w:tcBorders>
            <w:gridSpan w:val="3"/>
          </w:tcPr>
          <w:p>
            <w:pPr>
              <w:spacing w:after="0" w:line="169" w:lineRule="exact"/>
              <w:rPr>
                <w:rFonts w:ascii="Arial" w:cs="Arial" w:eastAsia="Arial" w:hAnsi="Arial"/>
                <w:sz w:val="16"/>
                <w:szCs w:val="16"/>
                <w:color w:val="0000FF"/>
                <w:w w:val="92"/>
              </w:rPr>
            </w:pPr>
            <w:hyperlink r:id="rId322">
              <w:r>
                <w:rPr>
                  <w:rFonts w:ascii="Arial" w:cs="Arial" w:eastAsia="Arial" w:hAnsi="Arial"/>
                  <w:sz w:val="16"/>
                  <w:szCs w:val="16"/>
                  <w:color w:val="0000FF"/>
                  <w:w w:val="92"/>
                </w:rPr>
                <w:t>2013).</w:t>
              </w:r>
            </w:hyperlink>
          </w:p>
        </w:tc>
        <w:tc>
          <w:tcPr>
            <w:tcW w:w="260" w:type="dxa"/>
            <w:vAlign w:val="bottom"/>
            <w:tcBorders>
              <w:top w:val="single" w:sz="8" w:color="0000FF"/>
            </w:tcBorders>
          </w:tcPr>
          <w:p>
            <w:pPr>
              <w:spacing w:after="0"/>
              <w:rPr>
                <w:sz w:val="14"/>
                <w:szCs w:val="14"/>
                <w:color w:val="auto"/>
              </w:rPr>
            </w:pPr>
          </w:p>
        </w:tc>
        <w:tc>
          <w:tcPr>
            <w:tcW w:w="900" w:type="dxa"/>
            <w:vAlign w:val="bottom"/>
            <w:tcBorders>
              <w:top w:val="single" w:sz="8" w:color="0000FF"/>
            </w:tcBorders>
          </w:tcPr>
          <w:p>
            <w:pPr>
              <w:spacing w:after="0"/>
              <w:rPr>
                <w:sz w:val="14"/>
                <w:szCs w:val="14"/>
                <w:color w:val="auto"/>
              </w:rPr>
            </w:pPr>
          </w:p>
        </w:tc>
        <w:tc>
          <w:tcPr>
            <w:tcW w:w="716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r>
      <w:tr>
        <w:trPr>
          <w:trHeight w:val="250"/>
        </w:trPr>
        <w:tc>
          <w:tcPr>
            <w:tcW w:w="1460" w:type="dxa"/>
            <w:vAlign w:val="bottom"/>
          </w:tcPr>
          <w:p>
            <w:pPr>
              <w:ind w:left="220"/>
              <w:spacing w:after="0"/>
              <w:rPr>
                <w:sz w:val="20"/>
                <w:szCs w:val="20"/>
                <w:color w:val="auto"/>
              </w:rPr>
            </w:pPr>
            <w:r>
              <w:rPr>
                <w:rFonts w:ascii="Arial" w:cs="Arial" w:eastAsia="Arial" w:hAnsi="Arial"/>
                <w:sz w:val="16"/>
                <w:szCs w:val="16"/>
                <w:color w:val="auto"/>
              </w:rPr>
              <w:t>4.1-5</w:t>
            </w:r>
          </w:p>
        </w:tc>
        <w:tc>
          <w:tcPr>
            <w:tcW w:w="120" w:type="dxa"/>
            <w:vAlign w:val="bottom"/>
          </w:tcPr>
          <w:p>
            <w:pPr>
              <w:spacing w:after="0"/>
              <w:rPr>
                <w:sz w:val="21"/>
                <w:szCs w:val="21"/>
                <w:color w:val="auto"/>
              </w:rPr>
            </w:pPr>
          </w:p>
        </w:tc>
        <w:tc>
          <w:tcPr>
            <w:tcW w:w="9660" w:type="dxa"/>
            <w:vAlign w:val="bottom"/>
            <w:gridSpan w:val="18"/>
          </w:tcPr>
          <w:p>
            <w:pPr>
              <w:spacing w:after="0"/>
              <w:rPr>
                <w:rFonts w:ascii="Arial" w:cs="Arial" w:eastAsia="Arial" w:hAnsi="Arial"/>
                <w:sz w:val="16"/>
                <w:szCs w:val="16"/>
                <w:color w:val="0000FF"/>
              </w:rPr>
            </w:pPr>
            <w:hyperlink r:id="rId323">
              <w:r>
                <w:rPr>
                  <w:rFonts w:ascii="Arial" w:cs="Arial" w:eastAsia="Arial" w:hAnsi="Arial"/>
                  <w:sz w:val="16"/>
                  <w:szCs w:val="16"/>
                  <w:color w:val="0000FF"/>
                </w:rPr>
                <w:t>Fifth Supplemental Indenture dated as of January 13, 2016, (filed as Exhibit 4.1 to the Registrant’s Form 8-K filed on January 13,</w:t>
              </w:r>
            </w:hyperlink>
          </w:p>
        </w:tc>
      </w:tr>
      <w:tr>
        <w:trPr>
          <w:trHeight w:val="169"/>
        </w:trPr>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Borders>
              <w:top w:val="single" w:sz="8" w:color="0000FF"/>
              <w:bottom w:val="single" w:sz="8" w:color="0000FF"/>
            </w:tcBorders>
            <w:gridSpan w:val="3"/>
          </w:tcPr>
          <w:p>
            <w:pPr>
              <w:spacing w:after="0" w:line="169" w:lineRule="exact"/>
              <w:rPr>
                <w:rFonts w:ascii="Arial" w:cs="Arial" w:eastAsia="Arial" w:hAnsi="Arial"/>
                <w:sz w:val="16"/>
                <w:szCs w:val="16"/>
                <w:color w:val="0000FF"/>
                <w:w w:val="92"/>
              </w:rPr>
            </w:pPr>
            <w:hyperlink r:id="rId323">
              <w:r>
                <w:rPr>
                  <w:rFonts w:ascii="Arial" w:cs="Arial" w:eastAsia="Arial" w:hAnsi="Arial"/>
                  <w:sz w:val="16"/>
                  <w:szCs w:val="16"/>
                  <w:color w:val="0000FF"/>
                  <w:w w:val="92"/>
                </w:rPr>
                <w:t>2016).</w:t>
              </w:r>
            </w:hyperlink>
          </w:p>
        </w:tc>
        <w:tc>
          <w:tcPr>
            <w:tcW w:w="260" w:type="dxa"/>
            <w:vAlign w:val="bottom"/>
            <w:tcBorders>
              <w:top w:val="single" w:sz="8" w:color="0000FF"/>
            </w:tcBorders>
          </w:tcPr>
          <w:p>
            <w:pPr>
              <w:spacing w:after="0"/>
              <w:rPr>
                <w:sz w:val="14"/>
                <w:szCs w:val="14"/>
                <w:color w:val="auto"/>
              </w:rPr>
            </w:pPr>
          </w:p>
        </w:tc>
        <w:tc>
          <w:tcPr>
            <w:tcW w:w="900" w:type="dxa"/>
            <w:vAlign w:val="bottom"/>
            <w:tcBorders>
              <w:top w:val="single" w:sz="8" w:color="0000FF"/>
            </w:tcBorders>
          </w:tcPr>
          <w:p>
            <w:pPr>
              <w:spacing w:after="0"/>
              <w:rPr>
                <w:sz w:val="14"/>
                <w:szCs w:val="14"/>
                <w:color w:val="auto"/>
              </w:rPr>
            </w:pPr>
          </w:p>
        </w:tc>
        <w:tc>
          <w:tcPr>
            <w:tcW w:w="716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50"/>
        </w:trPr>
        <w:tc>
          <w:tcPr>
            <w:tcW w:w="1460" w:type="dxa"/>
            <w:vAlign w:val="bottom"/>
          </w:tcPr>
          <w:p>
            <w:pPr>
              <w:ind w:left="220"/>
              <w:spacing w:after="0"/>
              <w:rPr>
                <w:sz w:val="20"/>
                <w:szCs w:val="20"/>
                <w:color w:val="auto"/>
              </w:rPr>
            </w:pPr>
            <w:r>
              <w:rPr>
                <w:rFonts w:ascii="Arial" w:cs="Arial" w:eastAsia="Arial" w:hAnsi="Arial"/>
                <w:sz w:val="16"/>
                <w:szCs w:val="16"/>
                <w:color w:val="auto"/>
              </w:rPr>
              <w:t>4.1-6</w:t>
            </w:r>
          </w:p>
        </w:tc>
        <w:tc>
          <w:tcPr>
            <w:tcW w:w="120" w:type="dxa"/>
            <w:vAlign w:val="bottom"/>
          </w:tcPr>
          <w:p>
            <w:pPr>
              <w:spacing w:after="0"/>
              <w:rPr>
                <w:sz w:val="21"/>
                <w:szCs w:val="21"/>
                <w:color w:val="auto"/>
              </w:rPr>
            </w:pPr>
          </w:p>
        </w:tc>
        <w:tc>
          <w:tcPr>
            <w:tcW w:w="9660" w:type="dxa"/>
            <w:vAlign w:val="bottom"/>
            <w:gridSpan w:val="18"/>
          </w:tcPr>
          <w:p>
            <w:pPr>
              <w:spacing w:after="0"/>
              <w:rPr>
                <w:rFonts w:ascii="Arial" w:cs="Arial" w:eastAsia="Arial" w:hAnsi="Arial"/>
                <w:sz w:val="16"/>
                <w:szCs w:val="16"/>
                <w:color w:val="0000FF"/>
              </w:rPr>
            </w:pPr>
            <w:hyperlink r:id="rId324">
              <w:r>
                <w:rPr>
                  <w:rFonts w:ascii="Arial" w:cs="Arial" w:eastAsia="Arial" w:hAnsi="Arial"/>
                  <w:sz w:val="16"/>
                  <w:szCs w:val="16"/>
                  <w:color w:val="0000FF"/>
                </w:rPr>
                <w:t>Sixth Supplemental Indenture dated as of August 19, 2016, (filed as Exhibit 4.1 to the Registrant’s Form 8-K filed on August 19,</w:t>
              </w:r>
            </w:hyperlink>
          </w:p>
        </w:tc>
      </w:tr>
      <w:tr>
        <w:trPr>
          <w:trHeight w:val="169"/>
        </w:trPr>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Borders>
              <w:top w:val="single" w:sz="8" w:color="0000FF"/>
              <w:bottom w:val="single" w:sz="8" w:color="0000FF"/>
            </w:tcBorders>
            <w:gridSpan w:val="3"/>
          </w:tcPr>
          <w:p>
            <w:pPr>
              <w:spacing w:after="0" w:line="169" w:lineRule="exact"/>
              <w:rPr>
                <w:rFonts w:ascii="Arial" w:cs="Arial" w:eastAsia="Arial" w:hAnsi="Arial"/>
                <w:sz w:val="16"/>
                <w:szCs w:val="16"/>
                <w:color w:val="0000FF"/>
                <w:w w:val="92"/>
              </w:rPr>
            </w:pPr>
            <w:hyperlink r:id="rId324">
              <w:r>
                <w:rPr>
                  <w:rFonts w:ascii="Arial" w:cs="Arial" w:eastAsia="Arial" w:hAnsi="Arial"/>
                  <w:sz w:val="16"/>
                  <w:szCs w:val="16"/>
                  <w:color w:val="0000FF"/>
                  <w:w w:val="92"/>
                </w:rPr>
                <w:t>2016).</w:t>
              </w:r>
            </w:hyperlink>
          </w:p>
        </w:tc>
        <w:tc>
          <w:tcPr>
            <w:tcW w:w="260" w:type="dxa"/>
            <w:vAlign w:val="bottom"/>
            <w:tcBorders>
              <w:top w:val="single" w:sz="8" w:color="0000FF"/>
            </w:tcBorders>
          </w:tcPr>
          <w:p>
            <w:pPr>
              <w:spacing w:after="0"/>
              <w:rPr>
                <w:sz w:val="14"/>
                <w:szCs w:val="14"/>
                <w:color w:val="auto"/>
              </w:rPr>
            </w:pPr>
          </w:p>
        </w:tc>
        <w:tc>
          <w:tcPr>
            <w:tcW w:w="900" w:type="dxa"/>
            <w:vAlign w:val="bottom"/>
            <w:tcBorders>
              <w:top w:val="single" w:sz="8" w:color="0000FF"/>
            </w:tcBorders>
          </w:tcPr>
          <w:p>
            <w:pPr>
              <w:spacing w:after="0"/>
              <w:rPr>
                <w:sz w:val="14"/>
                <w:szCs w:val="14"/>
                <w:color w:val="auto"/>
              </w:rPr>
            </w:pPr>
          </w:p>
        </w:tc>
        <w:tc>
          <w:tcPr>
            <w:tcW w:w="716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50"/>
        </w:trPr>
        <w:tc>
          <w:tcPr>
            <w:tcW w:w="1460" w:type="dxa"/>
            <w:vAlign w:val="bottom"/>
          </w:tcPr>
          <w:p>
            <w:pPr>
              <w:ind w:left="220"/>
              <w:spacing w:after="0"/>
              <w:rPr>
                <w:sz w:val="20"/>
                <w:szCs w:val="20"/>
                <w:color w:val="auto"/>
              </w:rPr>
            </w:pPr>
            <w:r>
              <w:rPr>
                <w:rFonts w:ascii="Arial" w:cs="Arial" w:eastAsia="Arial" w:hAnsi="Arial"/>
                <w:sz w:val="16"/>
                <w:szCs w:val="16"/>
                <w:color w:val="auto"/>
              </w:rPr>
              <w:t>4.1-7</w:t>
            </w:r>
          </w:p>
        </w:tc>
        <w:tc>
          <w:tcPr>
            <w:tcW w:w="120" w:type="dxa"/>
            <w:vAlign w:val="bottom"/>
          </w:tcPr>
          <w:p>
            <w:pPr>
              <w:spacing w:after="0"/>
              <w:rPr>
                <w:sz w:val="21"/>
                <w:szCs w:val="21"/>
                <w:color w:val="auto"/>
              </w:rPr>
            </w:pPr>
          </w:p>
        </w:tc>
        <w:tc>
          <w:tcPr>
            <w:tcW w:w="9660" w:type="dxa"/>
            <w:vAlign w:val="bottom"/>
            <w:gridSpan w:val="18"/>
          </w:tcPr>
          <w:p>
            <w:pPr>
              <w:spacing w:after="0"/>
              <w:rPr>
                <w:rFonts w:ascii="Arial" w:cs="Arial" w:eastAsia="Arial" w:hAnsi="Arial"/>
                <w:sz w:val="16"/>
                <w:szCs w:val="16"/>
                <w:color w:val="0000FF"/>
              </w:rPr>
            </w:pPr>
            <w:hyperlink r:id="rId325">
              <w:r>
                <w:rPr>
                  <w:rFonts w:ascii="Arial" w:cs="Arial" w:eastAsia="Arial" w:hAnsi="Arial"/>
                  <w:sz w:val="16"/>
                  <w:szCs w:val="16"/>
                  <w:color w:val="0000FF"/>
                </w:rPr>
                <w:t>Seventh Supplemental Indenture dated as of August 17, 2018, (filed as Exhibit 4.2 to the Registrant’s Form 8-K filed on August 17,</w:t>
              </w:r>
            </w:hyperlink>
          </w:p>
        </w:tc>
      </w:tr>
      <w:tr>
        <w:trPr>
          <w:trHeight w:val="169"/>
        </w:trPr>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Borders>
              <w:top w:val="single" w:sz="8" w:color="0000FF"/>
              <w:bottom w:val="single" w:sz="8" w:color="0000FF"/>
            </w:tcBorders>
            <w:gridSpan w:val="3"/>
          </w:tcPr>
          <w:p>
            <w:pPr>
              <w:spacing w:after="0" w:line="169" w:lineRule="exact"/>
              <w:rPr>
                <w:rFonts w:ascii="Arial" w:cs="Arial" w:eastAsia="Arial" w:hAnsi="Arial"/>
                <w:sz w:val="16"/>
                <w:szCs w:val="16"/>
                <w:color w:val="0000FF"/>
                <w:w w:val="92"/>
              </w:rPr>
            </w:pPr>
            <w:hyperlink r:id="rId325">
              <w:r>
                <w:rPr>
                  <w:rFonts w:ascii="Arial" w:cs="Arial" w:eastAsia="Arial" w:hAnsi="Arial"/>
                  <w:sz w:val="16"/>
                  <w:szCs w:val="16"/>
                  <w:color w:val="0000FF"/>
                  <w:w w:val="92"/>
                </w:rPr>
                <w:t>2018).</w:t>
              </w:r>
            </w:hyperlink>
          </w:p>
        </w:tc>
        <w:tc>
          <w:tcPr>
            <w:tcW w:w="260" w:type="dxa"/>
            <w:vAlign w:val="bottom"/>
            <w:tcBorders>
              <w:top w:val="single" w:sz="8" w:color="0000FF"/>
            </w:tcBorders>
          </w:tcPr>
          <w:p>
            <w:pPr>
              <w:spacing w:after="0"/>
              <w:rPr>
                <w:sz w:val="14"/>
                <w:szCs w:val="14"/>
                <w:color w:val="auto"/>
              </w:rPr>
            </w:pPr>
          </w:p>
        </w:tc>
        <w:tc>
          <w:tcPr>
            <w:tcW w:w="900" w:type="dxa"/>
            <w:vAlign w:val="bottom"/>
            <w:tcBorders>
              <w:top w:val="single" w:sz="8" w:color="0000FF"/>
            </w:tcBorders>
          </w:tcPr>
          <w:p>
            <w:pPr>
              <w:spacing w:after="0"/>
              <w:rPr>
                <w:sz w:val="14"/>
                <w:szCs w:val="14"/>
                <w:color w:val="auto"/>
              </w:rPr>
            </w:pPr>
          </w:p>
        </w:tc>
        <w:tc>
          <w:tcPr>
            <w:tcW w:w="716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50"/>
        </w:trPr>
        <w:tc>
          <w:tcPr>
            <w:tcW w:w="1460" w:type="dxa"/>
            <w:vAlign w:val="bottom"/>
          </w:tcPr>
          <w:p>
            <w:pPr>
              <w:ind w:left="220"/>
              <w:spacing w:after="0"/>
              <w:rPr>
                <w:sz w:val="20"/>
                <w:szCs w:val="20"/>
                <w:color w:val="auto"/>
              </w:rPr>
            </w:pPr>
            <w:r>
              <w:rPr>
                <w:rFonts w:ascii="Arial" w:cs="Arial" w:eastAsia="Arial" w:hAnsi="Arial"/>
                <w:sz w:val="16"/>
                <w:szCs w:val="16"/>
                <w:color w:val="auto"/>
              </w:rPr>
              <w:t>4.1-8</w:t>
            </w:r>
          </w:p>
        </w:tc>
        <w:tc>
          <w:tcPr>
            <w:tcW w:w="120" w:type="dxa"/>
            <w:vAlign w:val="bottom"/>
          </w:tcPr>
          <w:p>
            <w:pPr>
              <w:spacing w:after="0"/>
              <w:rPr>
                <w:sz w:val="21"/>
                <w:szCs w:val="21"/>
                <w:color w:val="auto"/>
              </w:rPr>
            </w:pPr>
          </w:p>
        </w:tc>
        <w:tc>
          <w:tcPr>
            <w:tcW w:w="9660" w:type="dxa"/>
            <w:vAlign w:val="bottom"/>
            <w:gridSpan w:val="18"/>
          </w:tcPr>
          <w:p>
            <w:pPr>
              <w:spacing w:after="0"/>
              <w:rPr>
                <w:rFonts w:ascii="Arial" w:cs="Arial" w:eastAsia="Arial" w:hAnsi="Arial"/>
                <w:sz w:val="16"/>
                <w:szCs w:val="16"/>
                <w:color w:val="0000FF"/>
              </w:rPr>
            </w:pPr>
            <w:hyperlink r:id="rId326">
              <w:r>
                <w:rPr>
                  <w:rFonts w:ascii="Arial" w:cs="Arial" w:eastAsia="Arial" w:hAnsi="Arial"/>
                  <w:sz w:val="16"/>
                  <w:szCs w:val="16"/>
                  <w:color w:val="0000FF"/>
                </w:rPr>
                <w:t>Eighth Supplemental Indenture dated as of October 3, 2019, (filed as Exhibit 4.1 to the Registrant’s Form 8-K filed on October 4,</w:t>
              </w:r>
            </w:hyperlink>
          </w:p>
        </w:tc>
      </w:tr>
      <w:tr>
        <w:trPr>
          <w:trHeight w:val="169"/>
        </w:trPr>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Borders>
              <w:top w:val="single" w:sz="8" w:color="0000FF"/>
              <w:bottom w:val="single" w:sz="8" w:color="0000FF"/>
            </w:tcBorders>
            <w:gridSpan w:val="3"/>
          </w:tcPr>
          <w:p>
            <w:pPr>
              <w:spacing w:after="0" w:line="169" w:lineRule="exact"/>
              <w:rPr>
                <w:rFonts w:ascii="Arial" w:cs="Arial" w:eastAsia="Arial" w:hAnsi="Arial"/>
                <w:sz w:val="16"/>
                <w:szCs w:val="16"/>
                <w:color w:val="0000FF"/>
                <w:w w:val="92"/>
              </w:rPr>
            </w:pPr>
            <w:hyperlink r:id="rId326">
              <w:r>
                <w:rPr>
                  <w:rFonts w:ascii="Arial" w:cs="Arial" w:eastAsia="Arial" w:hAnsi="Arial"/>
                  <w:sz w:val="16"/>
                  <w:szCs w:val="16"/>
                  <w:color w:val="0000FF"/>
                  <w:w w:val="92"/>
                </w:rPr>
                <w:t>2019).</w:t>
              </w:r>
            </w:hyperlink>
          </w:p>
        </w:tc>
        <w:tc>
          <w:tcPr>
            <w:tcW w:w="260" w:type="dxa"/>
            <w:vAlign w:val="bottom"/>
            <w:tcBorders>
              <w:top w:val="single" w:sz="8" w:color="0000FF"/>
            </w:tcBorders>
          </w:tcPr>
          <w:p>
            <w:pPr>
              <w:spacing w:after="0"/>
              <w:rPr>
                <w:sz w:val="14"/>
                <w:szCs w:val="14"/>
                <w:color w:val="auto"/>
              </w:rPr>
            </w:pPr>
          </w:p>
        </w:tc>
        <w:tc>
          <w:tcPr>
            <w:tcW w:w="900" w:type="dxa"/>
            <w:vAlign w:val="bottom"/>
            <w:tcBorders>
              <w:top w:val="single" w:sz="8" w:color="0000FF"/>
            </w:tcBorders>
          </w:tcPr>
          <w:p>
            <w:pPr>
              <w:spacing w:after="0"/>
              <w:rPr>
                <w:sz w:val="14"/>
                <w:szCs w:val="14"/>
                <w:color w:val="auto"/>
              </w:rPr>
            </w:pPr>
          </w:p>
        </w:tc>
        <w:tc>
          <w:tcPr>
            <w:tcW w:w="716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50"/>
        </w:trPr>
        <w:tc>
          <w:tcPr>
            <w:tcW w:w="1460" w:type="dxa"/>
            <w:vAlign w:val="bottom"/>
          </w:tcPr>
          <w:p>
            <w:pPr>
              <w:ind w:left="220"/>
              <w:spacing w:after="0"/>
              <w:rPr>
                <w:sz w:val="20"/>
                <w:szCs w:val="20"/>
                <w:color w:val="auto"/>
              </w:rPr>
            </w:pPr>
            <w:r>
              <w:rPr>
                <w:rFonts w:ascii="Arial" w:cs="Arial" w:eastAsia="Arial" w:hAnsi="Arial"/>
                <w:sz w:val="16"/>
                <w:szCs w:val="16"/>
                <w:color w:val="auto"/>
              </w:rPr>
              <w:t>4.1-9</w:t>
            </w:r>
          </w:p>
        </w:tc>
        <w:tc>
          <w:tcPr>
            <w:tcW w:w="120" w:type="dxa"/>
            <w:vAlign w:val="bottom"/>
          </w:tcPr>
          <w:p>
            <w:pPr>
              <w:spacing w:after="0"/>
              <w:rPr>
                <w:sz w:val="21"/>
                <w:szCs w:val="21"/>
                <w:color w:val="auto"/>
              </w:rPr>
            </w:pPr>
          </w:p>
        </w:tc>
        <w:tc>
          <w:tcPr>
            <w:tcW w:w="9660" w:type="dxa"/>
            <w:vAlign w:val="bottom"/>
            <w:gridSpan w:val="18"/>
          </w:tcPr>
          <w:p>
            <w:pPr>
              <w:spacing w:after="0"/>
              <w:rPr>
                <w:rFonts w:ascii="Arial" w:cs="Arial" w:eastAsia="Arial" w:hAnsi="Arial"/>
                <w:sz w:val="16"/>
                <w:szCs w:val="16"/>
                <w:color w:val="0000FF"/>
              </w:rPr>
            </w:pPr>
            <w:hyperlink r:id="rId327">
              <w:r>
                <w:rPr>
                  <w:rFonts w:ascii="Arial" w:cs="Arial" w:eastAsia="Arial" w:hAnsi="Arial"/>
                  <w:sz w:val="16"/>
                  <w:szCs w:val="16"/>
                  <w:color w:val="0000FF"/>
                </w:rPr>
                <w:t>Ninth Supplemental Indenture dated as of June 17, 2020, (filed as Exhibit 4.1 to the Registrant’s Form 8-K filed on June 17, 2020).</w:t>
              </w:r>
            </w:hyperlink>
          </w:p>
        </w:tc>
      </w:tr>
      <w:tr>
        <w:trPr>
          <w:trHeight w:val="20"/>
        </w:trPr>
        <w:tc>
          <w:tcPr>
            <w:tcW w:w="14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8400" w:type="dxa"/>
            <w:vAlign w:val="bottom"/>
            <w:gridSpan w:val="3"/>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120" w:type="dxa"/>
            <w:vAlign w:val="bottom"/>
            <w:gridSpan w:val="4"/>
            <w:shd w:val="clear" w:color="auto" w:fill="0000FF"/>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r>
      <w:tr>
        <w:trPr>
          <w:trHeight w:val="250"/>
        </w:trPr>
        <w:tc>
          <w:tcPr>
            <w:tcW w:w="1460" w:type="dxa"/>
            <w:vAlign w:val="bottom"/>
          </w:tcPr>
          <w:p>
            <w:pPr>
              <w:ind w:left="220"/>
              <w:spacing w:after="0"/>
              <w:rPr>
                <w:sz w:val="20"/>
                <w:szCs w:val="20"/>
                <w:color w:val="auto"/>
              </w:rPr>
            </w:pPr>
            <w:r>
              <w:rPr>
                <w:rFonts w:ascii="Arial" w:cs="Arial" w:eastAsia="Arial" w:hAnsi="Arial"/>
                <w:sz w:val="16"/>
                <w:szCs w:val="16"/>
                <w:color w:val="auto"/>
              </w:rPr>
              <w:t>4.1-10</w:t>
            </w:r>
          </w:p>
        </w:tc>
        <w:tc>
          <w:tcPr>
            <w:tcW w:w="120" w:type="dxa"/>
            <w:vAlign w:val="bottom"/>
          </w:tcPr>
          <w:p>
            <w:pPr>
              <w:spacing w:after="0"/>
              <w:rPr>
                <w:sz w:val="21"/>
                <w:szCs w:val="21"/>
                <w:color w:val="auto"/>
              </w:rPr>
            </w:pPr>
          </w:p>
        </w:tc>
        <w:tc>
          <w:tcPr>
            <w:tcW w:w="9660" w:type="dxa"/>
            <w:vAlign w:val="bottom"/>
            <w:gridSpan w:val="18"/>
          </w:tcPr>
          <w:p>
            <w:pPr>
              <w:spacing w:after="0"/>
              <w:rPr>
                <w:rFonts w:ascii="Arial" w:cs="Arial" w:eastAsia="Arial" w:hAnsi="Arial"/>
                <w:sz w:val="16"/>
                <w:szCs w:val="16"/>
                <w:color w:val="0000FF"/>
              </w:rPr>
            </w:pPr>
            <w:hyperlink r:id="rId328">
              <w:r>
                <w:rPr>
                  <w:rFonts w:ascii="Arial" w:cs="Arial" w:eastAsia="Arial" w:hAnsi="Arial"/>
                  <w:sz w:val="16"/>
                  <w:szCs w:val="16"/>
                  <w:color w:val="0000FF"/>
                </w:rPr>
                <w:t>Tenth Supplemental Indenture dated as of August 26, 2021, (filed as Exhibit 4.1 to the Registrant’s Form 8-K filed on August 26,</w:t>
              </w:r>
            </w:hyperlink>
          </w:p>
        </w:tc>
      </w:tr>
      <w:tr>
        <w:trPr>
          <w:trHeight w:val="169"/>
        </w:trPr>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Borders>
              <w:top w:val="single" w:sz="8" w:color="0000FF"/>
              <w:bottom w:val="single" w:sz="8" w:color="0000FF"/>
            </w:tcBorders>
            <w:gridSpan w:val="3"/>
          </w:tcPr>
          <w:p>
            <w:pPr>
              <w:spacing w:after="0" w:line="169" w:lineRule="exact"/>
              <w:rPr>
                <w:rFonts w:ascii="Arial" w:cs="Arial" w:eastAsia="Arial" w:hAnsi="Arial"/>
                <w:sz w:val="16"/>
                <w:szCs w:val="16"/>
                <w:color w:val="0000FF"/>
                <w:w w:val="92"/>
              </w:rPr>
            </w:pPr>
            <w:hyperlink r:id="rId328">
              <w:r>
                <w:rPr>
                  <w:rFonts w:ascii="Arial" w:cs="Arial" w:eastAsia="Arial" w:hAnsi="Arial"/>
                  <w:sz w:val="16"/>
                  <w:szCs w:val="16"/>
                  <w:color w:val="0000FF"/>
                  <w:w w:val="92"/>
                </w:rPr>
                <w:t>2021).</w:t>
              </w:r>
            </w:hyperlink>
          </w:p>
        </w:tc>
        <w:tc>
          <w:tcPr>
            <w:tcW w:w="260" w:type="dxa"/>
            <w:vAlign w:val="bottom"/>
            <w:tcBorders>
              <w:top w:val="single" w:sz="8" w:color="0000FF"/>
            </w:tcBorders>
          </w:tcPr>
          <w:p>
            <w:pPr>
              <w:spacing w:after="0"/>
              <w:rPr>
                <w:sz w:val="14"/>
                <w:szCs w:val="14"/>
                <w:color w:val="auto"/>
              </w:rPr>
            </w:pPr>
          </w:p>
        </w:tc>
        <w:tc>
          <w:tcPr>
            <w:tcW w:w="900" w:type="dxa"/>
            <w:vAlign w:val="bottom"/>
            <w:tcBorders>
              <w:top w:val="single" w:sz="8" w:color="0000FF"/>
            </w:tcBorders>
          </w:tcPr>
          <w:p>
            <w:pPr>
              <w:spacing w:after="0"/>
              <w:rPr>
                <w:sz w:val="14"/>
                <w:szCs w:val="14"/>
                <w:color w:val="auto"/>
              </w:rPr>
            </w:pPr>
          </w:p>
        </w:tc>
        <w:tc>
          <w:tcPr>
            <w:tcW w:w="716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50"/>
        </w:trPr>
        <w:tc>
          <w:tcPr>
            <w:tcW w:w="1460" w:type="dxa"/>
            <w:vAlign w:val="bottom"/>
          </w:tcPr>
          <w:p>
            <w:pPr>
              <w:ind w:left="220"/>
              <w:spacing w:after="0"/>
              <w:rPr>
                <w:sz w:val="20"/>
                <w:szCs w:val="20"/>
                <w:color w:val="auto"/>
              </w:rPr>
            </w:pPr>
            <w:r>
              <w:rPr>
                <w:rFonts w:ascii="Arial" w:cs="Arial" w:eastAsia="Arial" w:hAnsi="Arial"/>
                <w:sz w:val="16"/>
                <w:szCs w:val="16"/>
                <w:color w:val="auto"/>
              </w:rPr>
              <w:t>4.1-11</w:t>
            </w:r>
          </w:p>
        </w:tc>
        <w:tc>
          <w:tcPr>
            <w:tcW w:w="120" w:type="dxa"/>
            <w:vAlign w:val="bottom"/>
          </w:tcPr>
          <w:p>
            <w:pPr>
              <w:spacing w:after="0"/>
              <w:rPr>
                <w:sz w:val="21"/>
                <w:szCs w:val="21"/>
                <w:color w:val="auto"/>
              </w:rPr>
            </w:pPr>
          </w:p>
        </w:tc>
        <w:tc>
          <w:tcPr>
            <w:tcW w:w="9660" w:type="dxa"/>
            <w:vAlign w:val="bottom"/>
            <w:gridSpan w:val="18"/>
          </w:tcPr>
          <w:p>
            <w:pPr>
              <w:spacing w:after="0"/>
              <w:rPr>
                <w:rFonts w:ascii="Arial" w:cs="Arial" w:eastAsia="Arial" w:hAnsi="Arial"/>
                <w:sz w:val="16"/>
                <w:szCs w:val="16"/>
                <w:color w:val="0000FF"/>
              </w:rPr>
            </w:pPr>
            <w:hyperlink r:id="rId329">
              <w:r>
                <w:rPr>
                  <w:rFonts w:ascii="Arial" w:cs="Arial" w:eastAsia="Arial" w:hAnsi="Arial"/>
                  <w:sz w:val="16"/>
                  <w:szCs w:val="16"/>
                  <w:color w:val="0000FF"/>
                </w:rPr>
                <w:t>Eleventh Supplemental Indenture dated as of March 7, 2023, (filed as Exhibit 4.1 to the Registrant's Form 8-K filed on March 7,</w:t>
              </w:r>
            </w:hyperlink>
          </w:p>
        </w:tc>
      </w:tr>
      <w:tr>
        <w:trPr>
          <w:trHeight w:val="169"/>
        </w:trPr>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Borders>
              <w:top w:val="single" w:sz="8" w:color="0000FF"/>
              <w:bottom w:val="single" w:sz="8" w:color="0000FF"/>
            </w:tcBorders>
            <w:gridSpan w:val="3"/>
          </w:tcPr>
          <w:p>
            <w:pPr>
              <w:spacing w:after="0" w:line="169" w:lineRule="exact"/>
              <w:rPr>
                <w:rFonts w:ascii="Arial" w:cs="Arial" w:eastAsia="Arial" w:hAnsi="Arial"/>
                <w:sz w:val="16"/>
                <w:szCs w:val="16"/>
                <w:color w:val="0000FF"/>
                <w:w w:val="92"/>
              </w:rPr>
            </w:pPr>
            <w:hyperlink r:id="rId329">
              <w:r>
                <w:rPr>
                  <w:rFonts w:ascii="Arial" w:cs="Arial" w:eastAsia="Arial" w:hAnsi="Arial"/>
                  <w:sz w:val="16"/>
                  <w:szCs w:val="16"/>
                  <w:color w:val="0000FF"/>
                  <w:w w:val="92"/>
                </w:rPr>
                <w:t>2023).</w:t>
              </w:r>
            </w:hyperlink>
          </w:p>
        </w:tc>
        <w:tc>
          <w:tcPr>
            <w:tcW w:w="260" w:type="dxa"/>
            <w:vAlign w:val="bottom"/>
            <w:tcBorders>
              <w:top w:val="single" w:sz="8" w:color="0000FF"/>
            </w:tcBorders>
          </w:tcPr>
          <w:p>
            <w:pPr>
              <w:spacing w:after="0"/>
              <w:rPr>
                <w:sz w:val="14"/>
                <w:szCs w:val="14"/>
                <w:color w:val="auto"/>
              </w:rPr>
            </w:pPr>
          </w:p>
        </w:tc>
        <w:tc>
          <w:tcPr>
            <w:tcW w:w="900" w:type="dxa"/>
            <w:vAlign w:val="bottom"/>
            <w:tcBorders>
              <w:top w:val="single" w:sz="8" w:color="0000FF"/>
            </w:tcBorders>
          </w:tcPr>
          <w:p>
            <w:pPr>
              <w:spacing w:after="0"/>
              <w:rPr>
                <w:sz w:val="14"/>
                <w:szCs w:val="14"/>
                <w:color w:val="auto"/>
              </w:rPr>
            </w:pPr>
          </w:p>
        </w:tc>
        <w:tc>
          <w:tcPr>
            <w:tcW w:w="716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50"/>
        </w:trPr>
        <w:tc>
          <w:tcPr>
            <w:tcW w:w="1460" w:type="dxa"/>
            <w:vAlign w:val="bottom"/>
          </w:tcPr>
          <w:p>
            <w:pPr>
              <w:ind w:left="220"/>
              <w:spacing w:after="0"/>
              <w:rPr>
                <w:sz w:val="20"/>
                <w:szCs w:val="20"/>
                <w:color w:val="auto"/>
              </w:rPr>
            </w:pPr>
            <w:r>
              <w:rPr>
                <w:rFonts w:ascii="Arial" w:cs="Arial" w:eastAsia="Arial" w:hAnsi="Arial"/>
                <w:sz w:val="16"/>
                <w:szCs w:val="16"/>
                <w:color w:val="auto"/>
              </w:rPr>
              <w:t>4.1-12</w:t>
            </w:r>
          </w:p>
        </w:tc>
        <w:tc>
          <w:tcPr>
            <w:tcW w:w="120" w:type="dxa"/>
            <w:vAlign w:val="bottom"/>
          </w:tcPr>
          <w:p>
            <w:pPr>
              <w:spacing w:after="0"/>
              <w:rPr>
                <w:sz w:val="21"/>
                <w:szCs w:val="21"/>
                <w:color w:val="auto"/>
              </w:rPr>
            </w:pPr>
          </w:p>
        </w:tc>
        <w:tc>
          <w:tcPr>
            <w:tcW w:w="9660" w:type="dxa"/>
            <w:vAlign w:val="bottom"/>
            <w:gridSpan w:val="18"/>
          </w:tcPr>
          <w:p>
            <w:pPr>
              <w:spacing w:after="0"/>
              <w:rPr>
                <w:rFonts w:ascii="Arial" w:cs="Arial" w:eastAsia="Arial" w:hAnsi="Arial"/>
                <w:sz w:val="16"/>
                <w:szCs w:val="16"/>
                <w:color w:val="0000FF"/>
              </w:rPr>
            </w:pPr>
            <w:hyperlink r:id="rId330">
              <w:r>
                <w:rPr>
                  <w:rFonts w:ascii="Arial" w:cs="Arial" w:eastAsia="Arial" w:hAnsi="Arial"/>
                  <w:sz w:val="16"/>
                  <w:szCs w:val="16"/>
                  <w:color w:val="0000FF"/>
                </w:rPr>
                <w:t>Twelfth Supplemental Indenture dated as of September 15, 2023, (filed as Exhibit 4.1 to the Registrant's Form 8-K filed on September</w:t>
              </w:r>
            </w:hyperlink>
          </w:p>
        </w:tc>
      </w:tr>
      <w:tr>
        <w:trPr>
          <w:trHeight w:val="169"/>
        </w:trPr>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Borders>
              <w:top w:val="single" w:sz="8" w:color="0000FF"/>
            </w:tcBorders>
            <w:gridSpan w:val="5"/>
          </w:tcPr>
          <w:p>
            <w:pPr>
              <w:spacing w:after="0" w:line="169" w:lineRule="exact"/>
              <w:rPr>
                <w:rFonts w:ascii="Arial" w:cs="Arial" w:eastAsia="Arial" w:hAnsi="Arial"/>
                <w:sz w:val="16"/>
                <w:szCs w:val="16"/>
                <w:color w:val="0000FF"/>
              </w:rPr>
            </w:pPr>
            <w:hyperlink r:id="rId330">
              <w:r>
                <w:rPr>
                  <w:rFonts w:ascii="Arial" w:cs="Arial" w:eastAsia="Arial" w:hAnsi="Arial"/>
                  <w:sz w:val="16"/>
                  <w:szCs w:val="16"/>
                  <w:color w:val="0000FF"/>
                </w:rPr>
                <w:t>15, 2023).</w:t>
              </w:r>
            </w:hyperlink>
          </w:p>
        </w:tc>
        <w:tc>
          <w:tcPr>
            <w:tcW w:w="716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14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8400" w:type="dxa"/>
            <w:vAlign w:val="bottom"/>
            <w:gridSpan w:val="3"/>
          </w:tcPr>
          <w:p>
            <w:pPr>
              <w:spacing w:after="0" w:line="20" w:lineRule="exact"/>
              <w:rPr>
                <w:sz w:val="1"/>
                <w:szCs w:val="1"/>
                <w:color w:val="auto"/>
              </w:rPr>
            </w:pPr>
          </w:p>
        </w:tc>
        <w:tc>
          <w:tcPr>
            <w:tcW w:w="560" w:type="dxa"/>
            <w:vAlign w:val="bottom"/>
            <w:gridSpan w:val="11"/>
          </w:tcPr>
          <w:p>
            <w:pPr>
              <w:spacing w:after="0" w:line="20" w:lineRule="exact"/>
              <w:rPr>
                <w:sz w:val="1"/>
                <w:szCs w:val="1"/>
                <w:color w:val="auto"/>
              </w:rPr>
            </w:pPr>
          </w:p>
        </w:tc>
      </w:tr>
      <w:tr>
        <w:trPr>
          <w:trHeight w:val="250"/>
        </w:trPr>
        <w:tc>
          <w:tcPr>
            <w:tcW w:w="1460" w:type="dxa"/>
            <w:vAlign w:val="bottom"/>
          </w:tcPr>
          <w:p>
            <w:pPr>
              <w:ind w:left="220"/>
              <w:spacing w:after="0"/>
              <w:rPr>
                <w:sz w:val="20"/>
                <w:szCs w:val="20"/>
                <w:color w:val="auto"/>
              </w:rPr>
            </w:pPr>
            <w:r>
              <w:rPr>
                <w:rFonts w:ascii="Arial" w:cs="Arial" w:eastAsia="Arial" w:hAnsi="Arial"/>
                <w:sz w:val="16"/>
                <w:szCs w:val="16"/>
                <w:color w:val="auto"/>
              </w:rPr>
              <w:t>4.1-13</w:t>
            </w:r>
          </w:p>
        </w:tc>
        <w:tc>
          <w:tcPr>
            <w:tcW w:w="120" w:type="dxa"/>
            <w:vAlign w:val="bottom"/>
          </w:tcPr>
          <w:p>
            <w:pPr>
              <w:spacing w:after="0"/>
              <w:rPr>
                <w:sz w:val="21"/>
                <w:szCs w:val="21"/>
                <w:color w:val="auto"/>
              </w:rPr>
            </w:pPr>
          </w:p>
        </w:tc>
        <w:tc>
          <w:tcPr>
            <w:tcW w:w="9660" w:type="dxa"/>
            <w:vAlign w:val="bottom"/>
            <w:gridSpan w:val="18"/>
          </w:tcPr>
          <w:p>
            <w:pPr>
              <w:spacing w:after="0"/>
              <w:rPr>
                <w:rFonts w:ascii="Arial" w:cs="Arial" w:eastAsia="Arial" w:hAnsi="Arial"/>
                <w:sz w:val="16"/>
                <w:szCs w:val="16"/>
                <w:color w:val="0000FF"/>
              </w:rPr>
            </w:pPr>
            <w:hyperlink r:id="rId331">
              <w:r>
                <w:rPr>
                  <w:rFonts w:ascii="Arial" w:cs="Arial" w:eastAsia="Arial" w:hAnsi="Arial"/>
                  <w:sz w:val="16"/>
                  <w:szCs w:val="16"/>
                  <w:color w:val="0000FF"/>
                </w:rPr>
                <w:t>Thirteenth Supplemental Indenture dated as of May 16, 2024, (filed as Exhibit 4.1 to the Registrant's Form 8-K filed on May 16,</w:t>
              </w:r>
            </w:hyperlink>
          </w:p>
        </w:tc>
      </w:tr>
      <w:tr>
        <w:trPr>
          <w:trHeight w:val="169"/>
        </w:trPr>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Borders>
              <w:top w:val="single" w:sz="8" w:color="0000FF"/>
              <w:bottom w:val="single" w:sz="8" w:color="0000FF"/>
            </w:tcBorders>
            <w:gridSpan w:val="3"/>
          </w:tcPr>
          <w:p>
            <w:pPr>
              <w:spacing w:after="0" w:line="169" w:lineRule="exact"/>
              <w:rPr>
                <w:rFonts w:ascii="Arial" w:cs="Arial" w:eastAsia="Arial" w:hAnsi="Arial"/>
                <w:sz w:val="16"/>
                <w:szCs w:val="16"/>
                <w:color w:val="0000FF"/>
                <w:w w:val="92"/>
              </w:rPr>
            </w:pPr>
            <w:hyperlink r:id="rId331">
              <w:r>
                <w:rPr>
                  <w:rFonts w:ascii="Arial" w:cs="Arial" w:eastAsia="Arial" w:hAnsi="Arial"/>
                  <w:sz w:val="16"/>
                  <w:szCs w:val="16"/>
                  <w:color w:val="0000FF"/>
                  <w:w w:val="92"/>
                </w:rPr>
                <w:t>2024).</w:t>
              </w:r>
            </w:hyperlink>
          </w:p>
        </w:tc>
        <w:tc>
          <w:tcPr>
            <w:tcW w:w="260" w:type="dxa"/>
            <w:vAlign w:val="bottom"/>
            <w:tcBorders>
              <w:top w:val="single" w:sz="8" w:color="0000FF"/>
            </w:tcBorders>
          </w:tcPr>
          <w:p>
            <w:pPr>
              <w:spacing w:after="0"/>
              <w:rPr>
                <w:sz w:val="14"/>
                <w:szCs w:val="14"/>
                <w:color w:val="auto"/>
              </w:rPr>
            </w:pPr>
          </w:p>
        </w:tc>
        <w:tc>
          <w:tcPr>
            <w:tcW w:w="900" w:type="dxa"/>
            <w:vAlign w:val="bottom"/>
            <w:tcBorders>
              <w:top w:val="single" w:sz="8" w:color="0000FF"/>
            </w:tcBorders>
          </w:tcPr>
          <w:p>
            <w:pPr>
              <w:spacing w:after="0"/>
              <w:rPr>
                <w:sz w:val="14"/>
                <w:szCs w:val="14"/>
                <w:color w:val="auto"/>
              </w:rPr>
            </w:pPr>
          </w:p>
        </w:tc>
        <w:tc>
          <w:tcPr>
            <w:tcW w:w="716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5"/>
        </w:trPr>
        <w:tc>
          <w:tcPr>
            <w:tcW w:w="1460" w:type="dxa"/>
            <w:vAlign w:val="bottom"/>
          </w:tcPr>
          <w:p>
            <w:pPr>
              <w:spacing w:after="0"/>
              <w:rPr>
                <w:sz w:val="20"/>
                <w:szCs w:val="20"/>
                <w:color w:val="auto"/>
              </w:rPr>
            </w:pPr>
          </w:p>
        </w:tc>
        <w:tc>
          <w:tcPr>
            <w:tcW w:w="8880" w:type="dxa"/>
            <w:vAlign w:val="bottom"/>
            <w:gridSpan w:val="7"/>
          </w:tcPr>
          <w:p>
            <w:pPr>
              <w:jc w:val="right"/>
              <w:ind w:right="4499"/>
              <w:spacing w:after="0"/>
              <w:rPr>
                <w:sz w:val="20"/>
                <w:szCs w:val="20"/>
                <w:color w:val="auto"/>
              </w:rPr>
            </w:pPr>
            <w:r>
              <w:rPr>
                <w:rFonts w:ascii="Arial" w:cs="Arial" w:eastAsia="Arial" w:hAnsi="Arial"/>
                <w:sz w:val="16"/>
                <w:szCs w:val="16"/>
                <w:color w:val="auto"/>
              </w:rPr>
              <w:t>104</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751"/>
        </w:trPr>
        <w:tc>
          <w:tcPr>
            <w:tcW w:w="1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71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4" w:name="page105"/>
    <w:bookmarkEnd w:id="10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60" w:type="dxa"/>
            <w:vAlign w:val="bottom"/>
          </w:tcPr>
          <w:p>
            <w:pPr>
              <w:ind w:left="120"/>
              <w:spacing w:after="0"/>
              <w:rPr>
                <w:sz w:val="20"/>
                <w:szCs w:val="20"/>
                <w:color w:val="auto"/>
              </w:rPr>
            </w:pPr>
            <w:r>
              <w:rPr>
                <w:rFonts w:ascii="Arial" w:cs="Arial" w:eastAsia="Arial" w:hAnsi="Arial"/>
                <w:sz w:val="16"/>
                <w:szCs w:val="16"/>
                <w:color w:val="auto"/>
              </w:rPr>
              <w:t>4.2</w:t>
            </w:r>
          </w:p>
        </w:tc>
        <w:tc>
          <w:tcPr>
            <w:tcW w:w="9780" w:type="dxa"/>
            <w:vAlign w:val="bottom"/>
            <w:gridSpan w:val="43"/>
          </w:tcPr>
          <w:p>
            <w:pPr>
              <w:spacing w:after="0"/>
              <w:rPr>
                <w:rFonts w:ascii="Arial" w:cs="Arial" w:eastAsia="Arial" w:hAnsi="Arial"/>
                <w:sz w:val="16"/>
                <w:szCs w:val="16"/>
                <w:color w:val="0000FF"/>
              </w:rPr>
            </w:pPr>
            <w:hyperlink r:id="rId334">
              <w:r>
                <w:rPr>
                  <w:rFonts w:ascii="Arial" w:cs="Arial" w:eastAsia="Arial" w:hAnsi="Arial"/>
                  <w:sz w:val="16"/>
                  <w:szCs w:val="16"/>
                  <w:color w:val="0000FF"/>
                </w:rPr>
                <w:t>Restated and Amended Indenture of Mortgage and Deed of Trust of Black Hills Corporation (now called Black Hills Power, Inc.) dated</w:t>
              </w:r>
            </w:hyperlink>
          </w:p>
        </w:tc>
      </w:tr>
      <w:tr>
        <w:trPr>
          <w:trHeight w:val="169"/>
        </w:trPr>
        <w:tc>
          <w:tcPr>
            <w:tcW w:w="1460" w:type="dxa"/>
            <w:vAlign w:val="bottom"/>
          </w:tcPr>
          <w:p>
            <w:pPr>
              <w:spacing w:after="0"/>
              <w:rPr>
                <w:sz w:val="14"/>
                <w:szCs w:val="14"/>
                <w:color w:val="auto"/>
              </w:rPr>
            </w:pPr>
          </w:p>
        </w:tc>
        <w:tc>
          <w:tcPr>
            <w:tcW w:w="9620" w:type="dxa"/>
            <w:vAlign w:val="bottom"/>
            <w:tcBorders>
              <w:top w:val="single" w:sz="8" w:color="0000FF"/>
            </w:tcBorders>
            <w:gridSpan w:val="35"/>
          </w:tcPr>
          <w:p>
            <w:pPr>
              <w:spacing w:after="0" w:line="169" w:lineRule="exact"/>
              <w:rPr>
                <w:rFonts w:ascii="Arial" w:cs="Arial" w:eastAsia="Arial" w:hAnsi="Arial"/>
                <w:sz w:val="16"/>
                <w:szCs w:val="16"/>
                <w:color w:val="0000FF"/>
              </w:rPr>
            </w:pPr>
            <w:hyperlink r:id="rId334">
              <w:r>
                <w:rPr>
                  <w:rFonts w:ascii="Arial" w:cs="Arial" w:eastAsia="Arial" w:hAnsi="Arial"/>
                  <w:sz w:val="16"/>
                  <w:szCs w:val="16"/>
                  <w:color w:val="0000FF"/>
                </w:rPr>
                <w:t>as of September 1, 1999, (filed as Exhibit 4.19 to the Registrant’s Post-Effective Amendment No. 1 to the Registrant’s Registration</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460" w:type="dxa"/>
            <w:vAlign w:val="bottom"/>
          </w:tcPr>
          <w:p>
            <w:pPr>
              <w:spacing w:after="0"/>
              <w:rPr>
                <w:sz w:val="14"/>
                <w:szCs w:val="14"/>
                <w:color w:val="auto"/>
              </w:rPr>
            </w:pPr>
          </w:p>
        </w:tc>
        <w:tc>
          <w:tcPr>
            <w:tcW w:w="9360" w:type="dxa"/>
            <w:vAlign w:val="bottom"/>
            <w:tcBorders>
              <w:top w:val="single" w:sz="8" w:color="0000FF"/>
            </w:tcBorders>
            <w:gridSpan w:val="26"/>
          </w:tcPr>
          <w:p>
            <w:pPr>
              <w:spacing w:after="0" w:line="169" w:lineRule="exact"/>
              <w:rPr>
                <w:rFonts w:ascii="Arial" w:cs="Arial" w:eastAsia="Arial" w:hAnsi="Arial"/>
                <w:sz w:val="16"/>
                <w:szCs w:val="16"/>
                <w:color w:val="0000FF"/>
              </w:rPr>
            </w:pPr>
            <w:hyperlink r:id="rId334">
              <w:r>
                <w:rPr>
                  <w:rFonts w:ascii="Arial" w:cs="Arial" w:eastAsia="Arial" w:hAnsi="Arial"/>
                  <w:sz w:val="16"/>
                  <w:szCs w:val="16"/>
                  <w:color w:val="0000FF"/>
                </w:rPr>
                <w:t>Statement on Form S-3 (No. 333-150669)).</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460" w:type="dxa"/>
            <w:vAlign w:val="bottom"/>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60" w:type="dxa"/>
            <w:vAlign w:val="bottom"/>
          </w:tcPr>
          <w:p>
            <w:pPr>
              <w:ind w:left="220"/>
              <w:spacing w:after="0"/>
              <w:rPr>
                <w:sz w:val="20"/>
                <w:szCs w:val="20"/>
                <w:color w:val="auto"/>
              </w:rPr>
            </w:pPr>
            <w:r>
              <w:rPr>
                <w:rFonts w:ascii="Arial" w:cs="Arial" w:eastAsia="Arial" w:hAnsi="Arial"/>
                <w:sz w:val="16"/>
                <w:szCs w:val="16"/>
                <w:color w:val="auto"/>
              </w:rPr>
              <w:t>4.2-1</w:t>
            </w:r>
          </w:p>
        </w:tc>
        <w:tc>
          <w:tcPr>
            <w:tcW w:w="120" w:type="dxa"/>
            <w:vAlign w:val="bottom"/>
          </w:tcPr>
          <w:p>
            <w:pPr>
              <w:spacing w:after="0"/>
              <w:rPr>
                <w:sz w:val="21"/>
                <w:szCs w:val="21"/>
                <w:color w:val="auto"/>
              </w:rPr>
            </w:pPr>
          </w:p>
        </w:tc>
        <w:tc>
          <w:tcPr>
            <w:tcW w:w="9660" w:type="dxa"/>
            <w:vAlign w:val="bottom"/>
            <w:gridSpan w:val="42"/>
          </w:tcPr>
          <w:p>
            <w:pPr>
              <w:spacing w:after="0"/>
              <w:rPr>
                <w:rFonts w:ascii="Arial" w:cs="Arial" w:eastAsia="Arial" w:hAnsi="Arial"/>
                <w:sz w:val="16"/>
                <w:szCs w:val="16"/>
                <w:color w:val="0000FF"/>
              </w:rPr>
            </w:pPr>
            <w:hyperlink r:id="rId335">
              <w:r>
                <w:rPr>
                  <w:rFonts w:ascii="Arial" w:cs="Arial" w:eastAsia="Arial" w:hAnsi="Arial"/>
                  <w:sz w:val="16"/>
                  <w:szCs w:val="16"/>
                  <w:color w:val="0000FF"/>
                </w:rPr>
                <w:t>First Supplemental Indenture, dated as of August 13, 2002, between Black Hills Power, Inc. and The Bank of New York Mellon (as</w:t>
              </w:r>
            </w:hyperlink>
          </w:p>
        </w:tc>
      </w:tr>
      <w:tr>
        <w:trPr>
          <w:trHeight w:val="169"/>
        </w:trPr>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340" w:type="dxa"/>
            <w:vAlign w:val="bottom"/>
            <w:tcBorders>
              <w:top w:val="single" w:sz="8" w:color="0000FF"/>
            </w:tcBorders>
            <w:gridSpan w:val="29"/>
          </w:tcPr>
          <w:p>
            <w:pPr>
              <w:spacing w:after="0" w:line="169" w:lineRule="exact"/>
              <w:rPr>
                <w:rFonts w:ascii="Arial" w:cs="Arial" w:eastAsia="Arial" w:hAnsi="Arial"/>
                <w:sz w:val="16"/>
                <w:szCs w:val="16"/>
                <w:color w:val="0000FF"/>
              </w:rPr>
            </w:pPr>
            <w:hyperlink r:id="rId335">
              <w:r>
                <w:rPr>
                  <w:rFonts w:ascii="Arial" w:cs="Arial" w:eastAsia="Arial" w:hAnsi="Arial"/>
                  <w:sz w:val="16"/>
                  <w:szCs w:val="16"/>
                  <w:color w:val="0000FF"/>
                </w:rPr>
                <w:t>successor to JPMorgan Chase Bank), as Trustee (filed as Exhibit 4.20 to the Registrant’s Post-Effective Amendment No. 1 to the</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80" w:type="dxa"/>
            <w:vAlign w:val="bottom"/>
            <w:tcBorders>
              <w:top w:val="single" w:sz="8" w:color="0000FF"/>
              <w:bottom w:val="single" w:sz="8" w:color="0000FF"/>
            </w:tcBorders>
            <w:gridSpan w:val="14"/>
          </w:tcPr>
          <w:p>
            <w:pPr>
              <w:spacing w:after="0" w:line="169" w:lineRule="exact"/>
              <w:rPr>
                <w:rFonts w:ascii="Arial" w:cs="Arial" w:eastAsia="Arial" w:hAnsi="Arial"/>
                <w:sz w:val="16"/>
                <w:szCs w:val="16"/>
                <w:color w:val="0000FF"/>
              </w:rPr>
            </w:pPr>
            <w:hyperlink r:id="rId335">
              <w:r>
                <w:rPr>
                  <w:rFonts w:ascii="Arial" w:cs="Arial" w:eastAsia="Arial" w:hAnsi="Arial"/>
                  <w:sz w:val="16"/>
                  <w:szCs w:val="16"/>
                  <w:color w:val="0000FF"/>
                </w:rPr>
                <w:t>Registrant’s Registration Statement on Form S</w:t>
              </w:r>
              <w:r>
                <w:rPr>
                  <w:rFonts w:ascii="MS PGothic" w:cs="MS PGothic" w:eastAsia="MS PGothic" w:hAnsi="MS PGothic"/>
                  <w:sz w:val="16"/>
                  <w:szCs w:val="16"/>
                  <w:color w:val="0000FF"/>
                </w:rPr>
                <w:t>‑</w:t>
              </w:r>
              <w:r>
                <w:rPr>
                  <w:rFonts w:ascii="Arial" w:cs="Arial" w:eastAsia="Arial" w:hAnsi="Arial"/>
                  <w:sz w:val="16"/>
                  <w:szCs w:val="16"/>
                  <w:color w:val="0000FF"/>
                </w:rPr>
                <w:t>3 (No. 333</w:t>
              </w:r>
              <w:r>
                <w:rPr>
                  <w:rFonts w:ascii="MS PGothic" w:cs="MS PGothic" w:eastAsia="MS PGothic" w:hAnsi="MS PGothic"/>
                  <w:sz w:val="16"/>
                  <w:szCs w:val="16"/>
                  <w:color w:val="0000FF"/>
                </w:rPr>
                <w:t>‑</w:t>
              </w:r>
              <w:r>
                <w:rPr>
                  <w:rFonts w:ascii="Arial" w:cs="Arial" w:eastAsia="Arial" w:hAnsi="Arial"/>
                  <w:sz w:val="16"/>
                  <w:szCs w:val="16"/>
                  <w:color w:val="0000FF"/>
                </w:rPr>
                <w:t>150669)).</w:t>
              </w:r>
            </w:hyperlink>
          </w:p>
        </w:tc>
        <w:tc>
          <w:tcPr>
            <w:tcW w:w="4380" w:type="dxa"/>
            <w:vAlign w:val="bottom"/>
            <w:tcBorders>
              <w:top w:val="single" w:sz="8" w:color="0000FF"/>
            </w:tcBorders>
            <w:gridSpan w:val="1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50"/>
        </w:trPr>
        <w:tc>
          <w:tcPr>
            <w:tcW w:w="1460" w:type="dxa"/>
            <w:vAlign w:val="bottom"/>
          </w:tcPr>
          <w:p>
            <w:pPr>
              <w:ind w:left="220"/>
              <w:spacing w:after="0"/>
              <w:rPr>
                <w:sz w:val="20"/>
                <w:szCs w:val="20"/>
                <w:color w:val="auto"/>
              </w:rPr>
            </w:pPr>
            <w:r>
              <w:rPr>
                <w:rFonts w:ascii="Arial" w:cs="Arial" w:eastAsia="Arial" w:hAnsi="Arial"/>
                <w:sz w:val="16"/>
                <w:szCs w:val="16"/>
                <w:color w:val="auto"/>
              </w:rPr>
              <w:t>4.2-2</w:t>
            </w:r>
          </w:p>
        </w:tc>
        <w:tc>
          <w:tcPr>
            <w:tcW w:w="120" w:type="dxa"/>
            <w:vAlign w:val="bottom"/>
          </w:tcPr>
          <w:p>
            <w:pPr>
              <w:spacing w:after="0"/>
              <w:rPr>
                <w:sz w:val="21"/>
                <w:szCs w:val="21"/>
                <w:color w:val="auto"/>
              </w:rPr>
            </w:pPr>
          </w:p>
        </w:tc>
        <w:tc>
          <w:tcPr>
            <w:tcW w:w="9660" w:type="dxa"/>
            <w:vAlign w:val="bottom"/>
            <w:gridSpan w:val="42"/>
          </w:tcPr>
          <w:p>
            <w:pPr>
              <w:spacing w:after="0"/>
              <w:rPr>
                <w:rFonts w:ascii="Arial" w:cs="Arial" w:eastAsia="Arial" w:hAnsi="Arial"/>
                <w:sz w:val="16"/>
                <w:szCs w:val="16"/>
                <w:color w:val="0000FF"/>
              </w:rPr>
            </w:pPr>
            <w:hyperlink r:id="rId336">
              <w:r>
                <w:rPr>
                  <w:rFonts w:ascii="Arial" w:cs="Arial" w:eastAsia="Arial" w:hAnsi="Arial"/>
                  <w:sz w:val="16"/>
                  <w:szCs w:val="16"/>
                  <w:color w:val="0000FF"/>
                </w:rPr>
                <w:t>Second Supplemental Indenture, dated as of October 27, 2009, between Black Hills Power, Inc. and The Bank of New York Mellon</w:t>
              </w:r>
            </w:hyperlink>
          </w:p>
        </w:tc>
      </w:tr>
      <w:tr>
        <w:trPr>
          <w:trHeight w:val="20"/>
        </w:trPr>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60" w:type="dxa"/>
            <w:vAlign w:val="bottom"/>
            <w:gridSpan w:val="42"/>
          </w:tcPr>
          <w:p>
            <w:pPr>
              <w:spacing w:after="0" w:line="169" w:lineRule="exact"/>
              <w:rPr>
                <w:rFonts w:ascii="Arial" w:cs="Arial" w:eastAsia="Arial" w:hAnsi="Arial"/>
                <w:sz w:val="16"/>
                <w:szCs w:val="16"/>
                <w:color w:val="0000FF"/>
              </w:rPr>
            </w:pPr>
            <w:hyperlink r:id="rId336">
              <w:r>
                <w:rPr>
                  <w:rFonts w:ascii="Arial" w:cs="Arial" w:eastAsia="Arial" w:hAnsi="Arial"/>
                  <w:sz w:val="16"/>
                  <w:szCs w:val="16"/>
                  <w:color w:val="0000FF"/>
                </w:rPr>
                <w:t>(filed as Exhibit 4.21 to the Registrant’s Post-Effective Amendment No. 2 to the Registrant’s Registration Statement on Form S-3 (No.</w:t>
              </w:r>
            </w:hyperlink>
          </w:p>
        </w:tc>
      </w:tr>
      <w:tr>
        <w:trPr>
          <w:trHeight w:val="169"/>
        </w:trPr>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Borders>
              <w:top w:val="single" w:sz="8" w:color="0000FF"/>
            </w:tcBorders>
            <w:gridSpan w:val="4"/>
          </w:tcPr>
          <w:p>
            <w:pPr>
              <w:spacing w:after="0" w:line="169" w:lineRule="exact"/>
              <w:rPr>
                <w:rFonts w:ascii="Arial" w:cs="Arial" w:eastAsia="Arial" w:hAnsi="Arial"/>
                <w:sz w:val="16"/>
                <w:szCs w:val="16"/>
                <w:color w:val="0000FF"/>
                <w:w w:val="91"/>
              </w:rPr>
            </w:pPr>
            <w:hyperlink r:id="rId336">
              <w:r>
                <w:rPr>
                  <w:rFonts w:ascii="Arial" w:cs="Arial" w:eastAsia="Arial" w:hAnsi="Arial"/>
                  <w:sz w:val="16"/>
                  <w:szCs w:val="16"/>
                  <w:color w:val="0000FF"/>
                  <w:w w:val="91"/>
                </w:rPr>
                <w:t>333-150669)).</w:t>
              </w:r>
            </w:hyperlink>
          </w:p>
        </w:tc>
        <w:tc>
          <w:tcPr>
            <w:tcW w:w="130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130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10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4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30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0"/>
        </w:trPr>
        <w:tc>
          <w:tcPr>
            <w:tcW w:w="1460" w:type="dxa"/>
            <w:vAlign w:val="bottom"/>
          </w:tcPr>
          <w:p>
            <w:pPr>
              <w:ind w:left="220"/>
              <w:spacing w:after="0"/>
              <w:rPr>
                <w:sz w:val="20"/>
                <w:szCs w:val="20"/>
                <w:color w:val="auto"/>
              </w:rPr>
            </w:pPr>
            <w:r>
              <w:rPr>
                <w:rFonts w:ascii="Arial" w:cs="Arial" w:eastAsia="Arial" w:hAnsi="Arial"/>
                <w:sz w:val="16"/>
                <w:szCs w:val="16"/>
                <w:color w:val="auto"/>
              </w:rPr>
              <w:t>4.2-3</w:t>
            </w:r>
          </w:p>
        </w:tc>
        <w:tc>
          <w:tcPr>
            <w:tcW w:w="120" w:type="dxa"/>
            <w:vAlign w:val="bottom"/>
          </w:tcPr>
          <w:p>
            <w:pPr>
              <w:spacing w:after="0"/>
              <w:rPr>
                <w:sz w:val="21"/>
                <w:szCs w:val="21"/>
                <w:color w:val="auto"/>
              </w:rPr>
            </w:pPr>
          </w:p>
        </w:tc>
        <w:tc>
          <w:tcPr>
            <w:tcW w:w="9660" w:type="dxa"/>
            <w:vAlign w:val="bottom"/>
            <w:gridSpan w:val="42"/>
          </w:tcPr>
          <w:p>
            <w:pPr>
              <w:spacing w:after="0"/>
              <w:rPr>
                <w:rFonts w:ascii="Arial" w:cs="Arial" w:eastAsia="Arial" w:hAnsi="Arial"/>
                <w:sz w:val="16"/>
                <w:szCs w:val="16"/>
                <w:color w:val="0000FF"/>
              </w:rPr>
            </w:pPr>
            <w:hyperlink r:id="rId337">
              <w:r>
                <w:rPr>
                  <w:rFonts w:ascii="Arial" w:cs="Arial" w:eastAsia="Arial" w:hAnsi="Arial"/>
                  <w:sz w:val="16"/>
                  <w:szCs w:val="16"/>
                  <w:color w:val="0000FF"/>
                </w:rPr>
                <w:t>Third Supplemental Indenture, dated as of October 1, 2014, between Black Hills Power, Inc. and The Bank of New York Mellon (filed</w:t>
              </w:r>
            </w:hyperlink>
          </w:p>
        </w:tc>
      </w:tr>
      <w:tr>
        <w:trPr>
          <w:trHeight w:val="169"/>
        </w:trPr>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980" w:type="dxa"/>
            <w:vAlign w:val="bottom"/>
            <w:tcBorders>
              <w:top w:val="single" w:sz="8" w:color="0000FF"/>
              <w:bottom w:val="single" w:sz="8" w:color="0000FF"/>
            </w:tcBorders>
            <w:gridSpan w:val="15"/>
          </w:tcPr>
          <w:p>
            <w:pPr>
              <w:spacing w:after="0" w:line="169" w:lineRule="exact"/>
              <w:rPr>
                <w:rFonts w:ascii="Arial" w:cs="Arial" w:eastAsia="Arial" w:hAnsi="Arial"/>
                <w:sz w:val="16"/>
                <w:szCs w:val="16"/>
                <w:color w:val="0000FF"/>
              </w:rPr>
            </w:pPr>
            <w:hyperlink r:id="rId337">
              <w:r>
                <w:rPr>
                  <w:rFonts w:ascii="Arial" w:cs="Arial" w:eastAsia="Arial" w:hAnsi="Arial"/>
                  <w:sz w:val="16"/>
                  <w:szCs w:val="16"/>
                  <w:color w:val="0000FF"/>
                </w:rPr>
                <w:t>as Exhibit 10.1 to the Registrant’s Form 8-K filed on October 2, 2014).</w:t>
              </w:r>
            </w:hyperlink>
          </w:p>
        </w:tc>
        <w:tc>
          <w:tcPr>
            <w:tcW w:w="4560" w:type="dxa"/>
            <w:vAlign w:val="bottom"/>
            <w:tcBorders>
              <w:top w:val="single" w:sz="8" w:color="0000FF"/>
            </w:tcBorders>
            <w:gridSpan w:val="2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50"/>
        </w:trPr>
        <w:tc>
          <w:tcPr>
            <w:tcW w:w="1460" w:type="dxa"/>
            <w:vAlign w:val="bottom"/>
          </w:tcPr>
          <w:p>
            <w:pPr>
              <w:ind w:left="120"/>
              <w:spacing w:after="0"/>
              <w:rPr>
                <w:sz w:val="20"/>
                <w:szCs w:val="20"/>
                <w:color w:val="auto"/>
              </w:rPr>
            </w:pPr>
            <w:r>
              <w:rPr>
                <w:rFonts w:ascii="Arial" w:cs="Arial" w:eastAsia="Arial" w:hAnsi="Arial"/>
                <w:sz w:val="16"/>
                <w:szCs w:val="16"/>
                <w:color w:val="auto"/>
              </w:rPr>
              <w:t>4.3</w:t>
            </w:r>
          </w:p>
        </w:tc>
        <w:tc>
          <w:tcPr>
            <w:tcW w:w="9780" w:type="dxa"/>
            <w:vAlign w:val="bottom"/>
            <w:gridSpan w:val="43"/>
          </w:tcPr>
          <w:p>
            <w:pPr>
              <w:spacing w:after="0"/>
              <w:rPr>
                <w:rFonts w:ascii="Arial" w:cs="Arial" w:eastAsia="Arial" w:hAnsi="Arial"/>
                <w:sz w:val="16"/>
                <w:szCs w:val="16"/>
                <w:color w:val="0000FF"/>
              </w:rPr>
            </w:pPr>
            <w:hyperlink r:id="rId338">
              <w:r>
                <w:rPr>
                  <w:rFonts w:ascii="Arial" w:cs="Arial" w:eastAsia="Arial" w:hAnsi="Arial"/>
                  <w:sz w:val="16"/>
                  <w:szCs w:val="16"/>
                  <w:color w:val="0000FF"/>
                </w:rPr>
                <w:t>Restated Indenture of Mortgage, Deed of Trust, Security Agreement and Financing Statement, amended and restated as of November</w:t>
              </w:r>
            </w:hyperlink>
          </w:p>
        </w:tc>
      </w:tr>
      <w:tr>
        <w:trPr>
          <w:trHeight w:val="169"/>
        </w:trPr>
        <w:tc>
          <w:tcPr>
            <w:tcW w:w="1460" w:type="dxa"/>
            <w:vAlign w:val="bottom"/>
          </w:tcPr>
          <w:p>
            <w:pPr>
              <w:spacing w:after="0"/>
              <w:rPr>
                <w:sz w:val="14"/>
                <w:szCs w:val="14"/>
                <w:color w:val="auto"/>
              </w:rPr>
            </w:pPr>
          </w:p>
        </w:tc>
        <w:tc>
          <w:tcPr>
            <w:tcW w:w="9720" w:type="dxa"/>
            <w:vAlign w:val="bottom"/>
            <w:tcBorders>
              <w:top w:val="single" w:sz="8" w:color="0000FF"/>
              <w:bottom w:val="single" w:sz="8" w:color="0000FF"/>
            </w:tcBorders>
            <w:gridSpan w:val="40"/>
          </w:tcPr>
          <w:p>
            <w:pPr>
              <w:spacing w:after="0" w:line="169" w:lineRule="exact"/>
              <w:rPr>
                <w:rFonts w:ascii="Arial" w:cs="Arial" w:eastAsia="Arial" w:hAnsi="Arial"/>
                <w:sz w:val="16"/>
                <w:szCs w:val="16"/>
                <w:color w:val="0000FF"/>
              </w:rPr>
            </w:pPr>
            <w:hyperlink r:id="rId338">
              <w:r>
                <w:rPr>
                  <w:rFonts w:ascii="Arial" w:cs="Arial" w:eastAsia="Arial" w:hAnsi="Arial"/>
                  <w:sz w:val="16"/>
                  <w:szCs w:val="16"/>
                  <w:color w:val="0000FF"/>
                </w:rPr>
                <w:t>20, 2007, between Cheyenne Light, Fuel and Power Company and Wells Fargo Bank, National Association (filed as Exhibit 10.2 to the</w:t>
              </w:r>
            </w:hyperlink>
          </w:p>
        </w:tc>
        <w:tc>
          <w:tcPr>
            <w:tcW w:w="20" w:type="dxa"/>
            <w:vAlign w:val="bottom"/>
            <w:tcBorders>
              <w:bottom w:val="single" w:sz="8" w:color="0000FF"/>
            </w:tcBorders>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69"/>
        </w:trPr>
        <w:tc>
          <w:tcPr>
            <w:tcW w:w="1460" w:type="dxa"/>
            <w:vAlign w:val="bottom"/>
          </w:tcPr>
          <w:p>
            <w:pPr>
              <w:spacing w:after="0"/>
              <w:rPr>
                <w:sz w:val="14"/>
                <w:szCs w:val="14"/>
                <w:color w:val="auto"/>
              </w:rPr>
            </w:pPr>
          </w:p>
        </w:tc>
        <w:tc>
          <w:tcPr>
            <w:tcW w:w="3440" w:type="dxa"/>
            <w:vAlign w:val="bottom"/>
            <w:tcBorders>
              <w:bottom w:val="single" w:sz="8" w:color="0000FF"/>
            </w:tcBorders>
            <w:gridSpan w:val="11"/>
          </w:tcPr>
          <w:p>
            <w:pPr>
              <w:spacing w:after="0" w:line="169" w:lineRule="exact"/>
              <w:rPr>
                <w:rFonts w:ascii="Arial" w:cs="Arial" w:eastAsia="Arial" w:hAnsi="Arial"/>
                <w:sz w:val="16"/>
                <w:szCs w:val="16"/>
                <w:color w:val="0000FF"/>
              </w:rPr>
            </w:pPr>
            <w:hyperlink r:id="rId338">
              <w:r>
                <w:rPr>
                  <w:rFonts w:ascii="Arial" w:cs="Arial" w:eastAsia="Arial" w:hAnsi="Arial"/>
                  <w:sz w:val="16"/>
                  <w:szCs w:val="16"/>
                  <w:color w:val="0000FF"/>
                </w:rPr>
                <w:t>Registrant’s Form 8-K filed on October 2, 2014).</w:t>
              </w:r>
            </w:hyperlink>
          </w:p>
        </w:tc>
        <w:tc>
          <w:tcPr>
            <w:tcW w:w="6300" w:type="dxa"/>
            <w:vAlign w:val="bottom"/>
            <w:gridSpan w:val="30"/>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50"/>
        </w:trPr>
        <w:tc>
          <w:tcPr>
            <w:tcW w:w="1460" w:type="dxa"/>
            <w:vAlign w:val="bottom"/>
          </w:tcPr>
          <w:p>
            <w:pPr>
              <w:ind w:left="220"/>
              <w:spacing w:after="0"/>
              <w:rPr>
                <w:sz w:val="20"/>
                <w:szCs w:val="20"/>
                <w:color w:val="auto"/>
              </w:rPr>
            </w:pPr>
            <w:r>
              <w:rPr>
                <w:rFonts w:ascii="Arial" w:cs="Arial" w:eastAsia="Arial" w:hAnsi="Arial"/>
                <w:sz w:val="16"/>
                <w:szCs w:val="16"/>
                <w:color w:val="auto"/>
              </w:rPr>
              <w:t>4.3-1</w:t>
            </w:r>
          </w:p>
        </w:tc>
        <w:tc>
          <w:tcPr>
            <w:tcW w:w="120" w:type="dxa"/>
            <w:vAlign w:val="bottom"/>
          </w:tcPr>
          <w:p>
            <w:pPr>
              <w:spacing w:after="0"/>
              <w:rPr>
                <w:sz w:val="21"/>
                <w:szCs w:val="21"/>
                <w:color w:val="auto"/>
              </w:rPr>
            </w:pPr>
          </w:p>
        </w:tc>
        <w:tc>
          <w:tcPr>
            <w:tcW w:w="9660" w:type="dxa"/>
            <w:vAlign w:val="bottom"/>
            <w:gridSpan w:val="42"/>
          </w:tcPr>
          <w:p>
            <w:pPr>
              <w:spacing w:after="0"/>
              <w:rPr>
                <w:rFonts w:ascii="Arial" w:cs="Arial" w:eastAsia="Arial" w:hAnsi="Arial"/>
                <w:sz w:val="16"/>
                <w:szCs w:val="16"/>
                <w:color w:val="0000FF"/>
              </w:rPr>
            </w:pPr>
            <w:hyperlink r:id="rId339">
              <w:r>
                <w:rPr>
                  <w:rFonts w:ascii="Arial" w:cs="Arial" w:eastAsia="Arial" w:hAnsi="Arial"/>
                  <w:sz w:val="16"/>
                  <w:szCs w:val="16"/>
                  <w:color w:val="0000FF"/>
                </w:rPr>
                <w:t>First Supplemental Indenture, dated as of September 3, 2009, between Cheyenne Light, Fuel and Power Company and Wells Fargo</w:t>
              </w:r>
            </w:hyperlink>
          </w:p>
        </w:tc>
      </w:tr>
      <w:tr>
        <w:trPr>
          <w:trHeight w:val="169"/>
        </w:trPr>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360" w:type="dxa"/>
            <w:vAlign w:val="bottom"/>
            <w:tcBorders>
              <w:top w:val="single" w:sz="8" w:color="0000FF"/>
              <w:bottom w:val="single" w:sz="8" w:color="0000FF"/>
            </w:tcBorders>
            <w:gridSpan w:val="20"/>
          </w:tcPr>
          <w:p>
            <w:pPr>
              <w:spacing w:after="0" w:line="169" w:lineRule="exact"/>
              <w:rPr>
                <w:rFonts w:ascii="Arial" w:cs="Arial" w:eastAsia="Arial" w:hAnsi="Arial"/>
                <w:sz w:val="16"/>
                <w:szCs w:val="16"/>
                <w:color w:val="0000FF"/>
              </w:rPr>
            </w:pPr>
            <w:hyperlink r:id="rId339">
              <w:r>
                <w:rPr>
                  <w:rFonts w:ascii="Arial" w:cs="Arial" w:eastAsia="Arial" w:hAnsi="Arial"/>
                  <w:sz w:val="16"/>
                  <w:szCs w:val="16"/>
                  <w:color w:val="0000FF"/>
                </w:rPr>
                <w:t>Bank, National Association (filed as Exhibit 10.3 to the Registrant’s Form 8-K filed on October 2, 2014).</w:t>
              </w:r>
            </w:hyperlink>
          </w:p>
        </w:tc>
        <w:tc>
          <w:tcPr>
            <w:tcW w:w="2160" w:type="dxa"/>
            <w:vAlign w:val="bottom"/>
            <w:tcBorders>
              <w:top w:val="single" w:sz="8" w:color="0000FF"/>
            </w:tcBorders>
            <w:gridSpan w:val="15"/>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r>
      <w:tr>
        <w:trPr>
          <w:trHeight w:val="250"/>
        </w:trPr>
        <w:tc>
          <w:tcPr>
            <w:tcW w:w="1460" w:type="dxa"/>
            <w:vAlign w:val="bottom"/>
          </w:tcPr>
          <w:p>
            <w:pPr>
              <w:ind w:left="220"/>
              <w:spacing w:after="0"/>
              <w:rPr>
                <w:sz w:val="20"/>
                <w:szCs w:val="20"/>
                <w:color w:val="auto"/>
              </w:rPr>
            </w:pPr>
            <w:r>
              <w:rPr>
                <w:rFonts w:ascii="Arial" w:cs="Arial" w:eastAsia="Arial" w:hAnsi="Arial"/>
                <w:sz w:val="16"/>
                <w:szCs w:val="16"/>
                <w:color w:val="auto"/>
              </w:rPr>
              <w:t>4.3-2</w:t>
            </w:r>
          </w:p>
        </w:tc>
        <w:tc>
          <w:tcPr>
            <w:tcW w:w="120" w:type="dxa"/>
            <w:vAlign w:val="bottom"/>
          </w:tcPr>
          <w:p>
            <w:pPr>
              <w:spacing w:after="0"/>
              <w:rPr>
                <w:sz w:val="21"/>
                <w:szCs w:val="21"/>
                <w:color w:val="auto"/>
              </w:rPr>
            </w:pPr>
          </w:p>
        </w:tc>
        <w:tc>
          <w:tcPr>
            <w:tcW w:w="9660" w:type="dxa"/>
            <w:vAlign w:val="bottom"/>
            <w:gridSpan w:val="42"/>
          </w:tcPr>
          <w:p>
            <w:pPr>
              <w:spacing w:after="0"/>
              <w:rPr>
                <w:rFonts w:ascii="Arial" w:cs="Arial" w:eastAsia="Arial" w:hAnsi="Arial"/>
                <w:sz w:val="16"/>
                <w:szCs w:val="16"/>
                <w:color w:val="0000FF"/>
              </w:rPr>
            </w:pPr>
            <w:hyperlink r:id="rId340">
              <w:r>
                <w:rPr>
                  <w:rFonts w:ascii="Arial" w:cs="Arial" w:eastAsia="Arial" w:hAnsi="Arial"/>
                  <w:sz w:val="16"/>
                  <w:szCs w:val="16"/>
                  <w:color w:val="0000FF"/>
                </w:rPr>
                <w:t>Second Supplemental Indenture, dated as of October 1, 2014, between Cheyenne Light, Fuel and Power Company and Wells Fargo</w:t>
              </w:r>
            </w:hyperlink>
          </w:p>
        </w:tc>
      </w:tr>
      <w:tr>
        <w:trPr>
          <w:trHeight w:val="169"/>
        </w:trPr>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360" w:type="dxa"/>
            <w:vAlign w:val="bottom"/>
            <w:tcBorders>
              <w:top w:val="single" w:sz="8" w:color="0000FF"/>
              <w:bottom w:val="single" w:sz="8" w:color="0000FF"/>
            </w:tcBorders>
            <w:gridSpan w:val="20"/>
          </w:tcPr>
          <w:p>
            <w:pPr>
              <w:spacing w:after="0" w:line="169" w:lineRule="exact"/>
              <w:rPr>
                <w:rFonts w:ascii="Arial" w:cs="Arial" w:eastAsia="Arial" w:hAnsi="Arial"/>
                <w:sz w:val="16"/>
                <w:szCs w:val="16"/>
                <w:color w:val="0000FF"/>
              </w:rPr>
            </w:pPr>
            <w:hyperlink r:id="rId340">
              <w:r>
                <w:rPr>
                  <w:rFonts w:ascii="Arial" w:cs="Arial" w:eastAsia="Arial" w:hAnsi="Arial"/>
                  <w:sz w:val="16"/>
                  <w:szCs w:val="16"/>
                  <w:color w:val="0000FF"/>
                </w:rPr>
                <w:t>Bank, National Association (filed as Exhibit 10.4 to the Registrant’s Form 8-K filed on October 2, 2014).</w:t>
              </w:r>
            </w:hyperlink>
          </w:p>
        </w:tc>
        <w:tc>
          <w:tcPr>
            <w:tcW w:w="2200" w:type="dxa"/>
            <w:vAlign w:val="bottom"/>
            <w:tcBorders>
              <w:top w:val="single" w:sz="8" w:color="0000FF"/>
            </w:tcBorders>
            <w:gridSpan w:val="17"/>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r>
      <w:tr>
        <w:trPr>
          <w:trHeight w:val="250"/>
        </w:trPr>
        <w:tc>
          <w:tcPr>
            <w:tcW w:w="1460" w:type="dxa"/>
            <w:vAlign w:val="bottom"/>
          </w:tcPr>
          <w:p>
            <w:pPr>
              <w:ind w:left="120"/>
              <w:spacing w:after="0"/>
              <w:rPr>
                <w:sz w:val="20"/>
                <w:szCs w:val="20"/>
                <w:color w:val="auto"/>
              </w:rPr>
            </w:pPr>
            <w:r>
              <w:rPr>
                <w:rFonts w:ascii="Arial" w:cs="Arial" w:eastAsia="Arial" w:hAnsi="Arial"/>
                <w:sz w:val="16"/>
                <w:szCs w:val="16"/>
                <w:color w:val="auto"/>
              </w:rPr>
              <w:t>4.4</w:t>
            </w:r>
          </w:p>
        </w:tc>
        <w:tc>
          <w:tcPr>
            <w:tcW w:w="9780" w:type="dxa"/>
            <w:vAlign w:val="bottom"/>
            <w:gridSpan w:val="43"/>
          </w:tcPr>
          <w:p>
            <w:pPr>
              <w:spacing w:after="0"/>
              <w:rPr>
                <w:rFonts w:ascii="Arial" w:cs="Arial" w:eastAsia="Arial" w:hAnsi="Arial"/>
                <w:sz w:val="16"/>
                <w:szCs w:val="16"/>
                <w:color w:val="0000FF"/>
              </w:rPr>
            </w:pPr>
            <w:hyperlink r:id="rId341">
              <w:r>
                <w:rPr>
                  <w:rFonts w:ascii="Arial" w:cs="Arial" w:eastAsia="Arial" w:hAnsi="Arial"/>
                  <w:sz w:val="16"/>
                  <w:szCs w:val="16"/>
                  <w:color w:val="0000FF"/>
                </w:rPr>
                <w:t xml:space="preserve">Form of Stock Certificate for Common Stock, Par Value </w:t>
              </w:r>
              <w:r>
                <w:rPr>
                  <w:rFonts w:ascii="Arial" w:cs="Arial" w:eastAsia="Arial" w:hAnsi="Arial"/>
                  <w:sz w:val="16"/>
                  <w:szCs w:val="16"/>
                  <w:u w:val="single" w:color="auto"/>
                  <w:color w:val="0000FF"/>
                </w:rPr>
                <w:t>$</w:t>
              </w:r>
              <w:r>
                <w:rPr>
                  <w:rFonts w:ascii="Arial" w:cs="Arial" w:eastAsia="Arial" w:hAnsi="Arial"/>
                  <w:sz w:val="16"/>
                  <w:szCs w:val="16"/>
                  <w:color w:val="0000FF"/>
                </w:rPr>
                <w:t>1.00 Per Share (filed as Exhibit 4.2 to the Registrant’s Form 10-K for 2000).</w:t>
              </w:r>
            </w:hyperlink>
          </w:p>
        </w:tc>
      </w:tr>
      <w:tr>
        <w:trPr>
          <w:trHeight w:val="20"/>
        </w:trPr>
        <w:tc>
          <w:tcPr>
            <w:tcW w:w="1460" w:type="dxa"/>
            <w:vAlign w:val="bottom"/>
            <w:tcBorders>
              <w:right w:val="single" w:sz="8" w:color="0000EE"/>
            </w:tcBorders>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50"/>
        </w:trPr>
        <w:tc>
          <w:tcPr>
            <w:tcW w:w="1460" w:type="dxa"/>
            <w:vAlign w:val="bottom"/>
          </w:tcPr>
          <w:p>
            <w:pPr>
              <w:ind w:left="120"/>
              <w:spacing w:after="0"/>
              <w:rPr>
                <w:sz w:val="20"/>
                <w:szCs w:val="20"/>
                <w:color w:val="auto"/>
              </w:rPr>
            </w:pPr>
            <w:r>
              <w:rPr>
                <w:rFonts w:ascii="Arial" w:cs="Arial" w:eastAsia="Arial" w:hAnsi="Arial"/>
                <w:sz w:val="16"/>
                <w:szCs w:val="16"/>
                <w:color w:val="auto"/>
              </w:rPr>
              <w:t>4.5</w:t>
            </w:r>
          </w:p>
        </w:tc>
        <w:tc>
          <w:tcPr>
            <w:tcW w:w="9780" w:type="dxa"/>
            <w:vAlign w:val="bottom"/>
            <w:gridSpan w:val="43"/>
          </w:tcPr>
          <w:p>
            <w:pPr>
              <w:spacing w:after="0"/>
              <w:rPr>
                <w:rFonts w:ascii="Arial" w:cs="Arial" w:eastAsia="Arial" w:hAnsi="Arial"/>
                <w:sz w:val="16"/>
                <w:szCs w:val="16"/>
                <w:color w:val="0000FF"/>
              </w:rPr>
            </w:pPr>
            <w:hyperlink r:id="rId342">
              <w:r>
                <w:rPr>
                  <w:rFonts w:ascii="Arial" w:cs="Arial" w:eastAsia="Arial" w:hAnsi="Arial"/>
                  <w:sz w:val="16"/>
                  <w:szCs w:val="16"/>
                  <w:color w:val="0000FF"/>
                </w:rPr>
                <w:t>Description of Securities (filed as Exhibit 4.5 to the Registrant's Form 10-K for 2019).</w:t>
              </w:r>
            </w:hyperlink>
          </w:p>
        </w:tc>
      </w:tr>
      <w:tr>
        <w:trPr>
          <w:trHeight w:val="20"/>
        </w:trPr>
        <w:tc>
          <w:tcPr>
            <w:tcW w:w="1460" w:type="dxa"/>
            <w:vAlign w:val="bottom"/>
            <w:tcBorders>
              <w:right w:val="single" w:sz="8" w:color="0000EE"/>
            </w:tcBorders>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50"/>
        </w:trPr>
        <w:tc>
          <w:tcPr>
            <w:tcW w:w="1460" w:type="dxa"/>
            <w:vAlign w:val="bottom"/>
          </w:tcPr>
          <w:p>
            <w:pPr>
              <w:ind w:left="120"/>
              <w:spacing w:after="0"/>
              <w:rPr>
                <w:sz w:val="20"/>
                <w:szCs w:val="20"/>
                <w:color w:val="auto"/>
              </w:rPr>
            </w:pPr>
            <w:r>
              <w:rPr>
                <w:rFonts w:ascii="Arial" w:cs="Arial" w:eastAsia="Arial" w:hAnsi="Arial"/>
                <w:sz w:val="16"/>
                <w:szCs w:val="16"/>
                <w:color w:val="auto"/>
              </w:rPr>
              <w:t>10.1†</w:t>
            </w:r>
          </w:p>
        </w:tc>
        <w:tc>
          <w:tcPr>
            <w:tcW w:w="9780" w:type="dxa"/>
            <w:vAlign w:val="bottom"/>
            <w:gridSpan w:val="43"/>
          </w:tcPr>
          <w:p>
            <w:pPr>
              <w:spacing w:after="0"/>
              <w:rPr>
                <w:rFonts w:ascii="Arial" w:cs="Arial" w:eastAsia="Arial" w:hAnsi="Arial"/>
                <w:sz w:val="16"/>
                <w:szCs w:val="16"/>
                <w:color w:val="0000FF"/>
              </w:rPr>
            </w:pPr>
            <w:hyperlink r:id="rId343">
              <w:r>
                <w:rPr>
                  <w:rFonts w:ascii="Arial" w:cs="Arial" w:eastAsia="Arial" w:hAnsi="Arial"/>
                  <w:sz w:val="16"/>
                  <w:szCs w:val="16"/>
                  <w:color w:val="0000FF"/>
                </w:rPr>
                <w:t>Amended and Restated Pension Equalization Plan of Black Hills Corporation dated November 6, 2001, (filed as Exhibit 10.11 to the</w:t>
              </w:r>
            </w:hyperlink>
          </w:p>
        </w:tc>
      </w:tr>
      <w:tr>
        <w:trPr>
          <w:trHeight w:val="169"/>
        </w:trPr>
        <w:tc>
          <w:tcPr>
            <w:tcW w:w="1460" w:type="dxa"/>
            <w:vAlign w:val="bottom"/>
          </w:tcPr>
          <w:p>
            <w:pPr>
              <w:spacing w:after="0"/>
              <w:rPr>
                <w:sz w:val="14"/>
                <w:szCs w:val="14"/>
                <w:color w:val="auto"/>
              </w:rPr>
            </w:pPr>
          </w:p>
        </w:tc>
        <w:tc>
          <w:tcPr>
            <w:tcW w:w="9440" w:type="dxa"/>
            <w:vAlign w:val="bottom"/>
            <w:tcBorders>
              <w:top w:val="single" w:sz="8" w:color="0000FF"/>
            </w:tcBorders>
            <w:gridSpan w:val="29"/>
          </w:tcPr>
          <w:p>
            <w:pPr>
              <w:spacing w:after="0" w:line="169" w:lineRule="exact"/>
              <w:rPr>
                <w:rFonts w:ascii="Arial" w:cs="Arial" w:eastAsia="Arial" w:hAnsi="Arial"/>
                <w:sz w:val="16"/>
                <w:szCs w:val="16"/>
                <w:color w:val="0000FF"/>
              </w:rPr>
            </w:pPr>
            <w:hyperlink r:id="rId343">
              <w:r>
                <w:rPr>
                  <w:rFonts w:ascii="Arial" w:cs="Arial" w:eastAsia="Arial" w:hAnsi="Arial"/>
                  <w:sz w:val="16"/>
                  <w:szCs w:val="16"/>
                  <w:color w:val="0000FF"/>
                </w:rPr>
                <w:t>Registrant’s Form 10-K/A for 2001).</w:t>
              </w:r>
            </w:hyperlink>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80" w:type="dxa"/>
            <w:vAlign w:val="bottom"/>
            <w:gridSpan w:val="4"/>
          </w:tcPr>
          <w:p>
            <w:pPr>
              <w:spacing w:after="0"/>
              <w:rPr>
                <w:sz w:val="14"/>
                <w:szCs w:val="14"/>
                <w:color w:val="auto"/>
              </w:rPr>
            </w:pPr>
          </w:p>
        </w:tc>
      </w:tr>
      <w:tr>
        <w:trPr>
          <w:trHeight w:val="20"/>
        </w:trPr>
        <w:tc>
          <w:tcPr>
            <w:tcW w:w="1460" w:type="dxa"/>
            <w:vAlign w:val="bottom"/>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50"/>
        </w:trPr>
        <w:tc>
          <w:tcPr>
            <w:tcW w:w="1460" w:type="dxa"/>
            <w:vAlign w:val="bottom"/>
          </w:tcPr>
          <w:p>
            <w:pPr>
              <w:ind w:left="220"/>
              <w:spacing w:after="0"/>
              <w:rPr>
                <w:sz w:val="20"/>
                <w:szCs w:val="20"/>
                <w:color w:val="auto"/>
              </w:rPr>
            </w:pPr>
            <w:r>
              <w:rPr>
                <w:rFonts w:ascii="Arial" w:cs="Arial" w:eastAsia="Arial" w:hAnsi="Arial"/>
                <w:sz w:val="16"/>
                <w:szCs w:val="16"/>
                <w:color w:val="auto"/>
              </w:rPr>
              <w:t>10.1-1†</w:t>
            </w:r>
          </w:p>
        </w:tc>
        <w:tc>
          <w:tcPr>
            <w:tcW w:w="120" w:type="dxa"/>
            <w:vAlign w:val="bottom"/>
          </w:tcPr>
          <w:p>
            <w:pPr>
              <w:spacing w:after="0"/>
              <w:rPr>
                <w:sz w:val="21"/>
                <w:szCs w:val="21"/>
                <w:color w:val="auto"/>
              </w:rPr>
            </w:pPr>
          </w:p>
        </w:tc>
        <w:tc>
          <w:tcPr>
            <w:tcW w:w="9660" w:type="dxa"/>
            <w:vAlign w:val="bottom"/>
            <w:gridSpan w:val="42"/>
          </w:tcPr>
          <w:p>
            <w:pPr>
              <w:spacing w:after="0"/>
              <w:rPr>
                <w:rFonts w:ascii="Arial" w:cs="Arial" w:eastAsia="Arial" w:hAnsi="Arial"/>
                <w:sz w:val="16"/>
                <w:szCs w:val="16"/>
                <w:color w:val="0000FF"/>
              </w:rPr>
            </w:pPr>
            <w:hyperlink r:id="rId344">
              <w:r>
                <w:rPr>
                  <w:rFonts w:ascii="Arial" w:cs="Arial" w:eastAsia="Arial" w:hAnsi="Arial"/>
                  <w:sz w:val="16"/>
                  <w:szCs w:val="16"/>
                  <w:color w:val="0000FF"/>
                </w:rPr>
                <w:t>First Amendment to Pension Equalization Plan (filed as Exhibit 10.10 to the Registrant’s Form 10-K for 2002).</w:t>
              </w:r>
            </w:hyperlink>
          </w:p>
        </w:tc>
      </w:tr>
      <w:tr>
        <w:trPr>
          <w:trHeight w:val="20"/>
        </w:trPr>
        <w:tc>
          <w:tcPr>
            <w:tcW w:w="14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30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50"/>
        </w:trPr>
        <w:tc>
          <w:tcPr>
            <w:tcW w:w="1460" w:type="dxa"/>
            <w:vAlign w:val="bottom"/>
          </w:tcPr>
          <w:p>
            <w:pPr>
              <w:ind w:left="220"/>
              <w:spacing w:after="0"/>
              <w:rPr>
                <w:sz w:val="20"/>
                <w:szCs w:val="20"/>
                <w:color w:val="auto"/>
              </w:rPr>
            </w:pPr>
            <w:r>
              <w:rPr>
                <w:rFonts w:ascii="Arial" w:cs="Arial" w:eastAsia="Arial" w:hAnsi="Arial"/>
                <w:sz w:val="16"/>
                <w:szCs w:val="16"/>
                <w:color w:val="auto"/>
              </w:rPr>
              <w:t>10.1-2†</w:t>
            </w:r>
          </w:p>
        </w:tc>
        <w:tc>
          <w:tcPr>
            <w:tcW w:w="120" w:type="dxa"/>
            <w:vAlign w:val="bottom"/>
          </w:tcPr>
          <w:p>
            <w:pPr>
              <w:spacing w:after="0"/>
              <w:rPr>
                <w:sz w:val="21"/>
                <w:szCs w:val="21"/>
                <w:color w:val="auto"/>
              </w:rPr>
            </w:pPr>
          </w:p>
        </w:tc>
        <w:tc>
          <w:tcPr>
            <w:tcW w:w="9660" w:type="dxa"/>
            <w:vAlign w:val="bottom"/>
            <w:gridSpan w:val="42"/>
          </w:tcPr>
          <w:p>
            <w:pPr>
              <w:spacing w:after="0"/>
              <w:rPr>
                <w:rFonts w:ascii="Arial" w:cs="Arial" w:eastAsia="Arial" w:hAnsi="Arial"/>
                <w:sz w:val="16"/>
                <w:szCs w:val="16"/>
                <w:color w:val="0000FF"/>
              </w:rPr>
            </w:pPr>
            <w:hyperlink r:id="rId345">
              <w:r>
                <w:rPr>
                  <w:rFonts w:ascii="Arial" w:cs="Arial" w:eastAsia="Arial" w:hAnsi="Arial"/>
                  <w:sz w:val="16"/>
                  <w:szCs w:val="16"/>
                  <w:color w:val="0000FF"/>
                </w:rPr>
                <w:t>Grandfather Amendment to the Amended and Restated Pension Equalization Plan of Black Hills Corporation (filed as Exhibit 10.2 to</w:t>
              </w:r>
            </w:hyperlink>
          </w:p>
        </w:tc>
      </w:tr>
      <w:tr>
        <w:trPr>
          <w:trHeight w:val="169"/>
        </w:trPr>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80" w:type="dxa"/>
            <w:vAlign w:val="bottom"/>
            <w:tcBorders>
              <w:top w:val="single" w:sz="8" w:color="0000FF"/>
            </w:tcBorders>
            <w:gridSpan w:val="33"/>
          </w:tcPr>
          <w:p>
            <w:pPr>
              <w:spacing w:after="0" w:line="169" w:lineRule="exact"/>
              <w:rPr>
                <w:rFonts w:ascii="Arial" w:cs="Arial" w:eastAsia="Arial" w:hAnsi="Arial"/>
                <w:sz w:val="16"/>
                <w:szCs w:val="16"/>
                <w:color w:val="0000FF"/>
              </w:rPr>
            </w:pPr>
            <w:hyperlink r:id="rId345">
              <w:r>
                <w:rPr>
                  <w:rFonts w:ascii="Arial" w:cs="Arial" w:eastAsia="Arial" w:hAnsi="Arial"/>
                  <w:sz w:val="16"/>
                  <w:szCs w:val="16"/>
                  <w:color w:val="0000FF"/>
                </w:rPr>
                <w:t>the Registrant’s Form 10-K for 2008).</w:t>
              </w:r>
            </w:hyperlink>
          </w:p>
        </w:tc>
        <w:tc>
          <w:tcPr>
            <w:tcW w:w="100" w:type="dxa"/>
            <w:vAlign w:val="bottom"/>
            <w:gridSpan w:val="5"/>
          </w:tcPr>
          <w:p>
            <w:pPr>
              <w:spacing w:after="0"/>
              <w:rPr>
                <w:sz w:val="14"/>
                <w:szCs w:val="14"/>
                <w:color w:val="auto"/>
              </w:rPr>
            </w:pPr>
          </w:p>
        </w:tc>
        <w:tc>
          <w:tcPr>
            <w:tcW w:w="80" w:type="dxa"/>
            <w:vAlign w:val="bottom"/>
            <w:gridSpan w:val="4"/>
          </w:tcPr>
          <w:p>
            <w:pPr>
              <w:spacing w:after="0"/>
              <w:rPr>
                <w:sz w:val="14"/>
                <w:szCs w:val="14"/>
                <w:color w:val="auto"/>
              </w:rPr>
            </w:pPr>
          </w:p>
        </w:tc>
      </w:tr>
      <w:tr>
        <w:trPr>
          <w:trHeight w:val="20"/>
        </w:trPr>
        <w:tc>
          <w:tcPr>
            <w:tcW w:w="14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30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50"/>
        </w:trPr>
        <w:tc>
          <w:tcPr>
            <w:tcW w:w="1460" w:type="dxa"/>
            <w:vAlign w:val="bottom"/>
          </w:tcPr>
          <w:p>
            <w:pPr>
              <w:ind w:left="120"/>
              <w:spacing w:after="0"/>
              <w:rPr>
                <w:sz w:val="20"/>
                <w:szCs w:val="20"/>
                <w:color w:val="auto"/>
              </w:rPr>
            </w:pPr>
            <w:r>
              <w:rPr>
                <w:rFonts w:ascii="Arial" w:cs="Arial" w:eastAsia="Arial" w:hAnsi="Arial"/>
                <w:sz w:val="16"/>
                <w:szCs w:val="16"/>
                <w:color w:val="auto"/>
              </w:rPr>
              <w:t>10.2†</w:t>
            </w:r>
          </w:p>
        </w:tc>
        <w:tc>
          <w:tcPr>
            <w:tcW w:w="9780" w:type="dxa"/>
            <w:vAlign w:val="bottom"/>
            <w:gridSpan w:val="43"/>
          </w:tcPr>
          <w:p>
            <w:pPr>
              <w:spacing w:after="0"/>
              <w:rPr>
                <w:rFonts w:ascii="Arial" w:cs="Arial" w:eastAsia="Arial" w:hAnsi="Arial"/>
                <w:sz w:val="16"/>
                <w:szCs w:val="16"/>
                <w:color w:val="0000FF"/>
              </w:rPr>
            </w:pPr>
            <w:hyperlink r:id="rId346">
              <w:r>
                <w:rPr>
                  <w:rFonts w:ascii="Arial" w:cs="Arial" w:eastAsia="Arial" w:hAnsi="Arial"/>
                  <w:sz w:val="16"/>
                  <w:szCs w:val="16"/>
                  <w:color w:val="0000FF"/>
                </w:rPr>
                <w:t>Restoration Plan of Black Hills Corporation (filed as Exhibit 10.5 to the Registrant’s Form 10-K for 2008).</w:t>
              </w:r>
            </w:hyperlink>
          </w:p>
        </w:tc>
      </w:tr>
      <w:tr>
        <w:trPr>
          <w:trHeight w:val="20"/>
        </w:trPr>
        <w:tc>
          <w:tcPr>
            <w:tcW w:w="1460" w:type="dxa"/>
            <w:vAlign w:val="bottom"/>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3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50"/>
        </w:trPr>
        <w:tc>
          <w:tcPr>
            <w:tcW w:w="1460" w:type="dxa"/>
            <w:vAlign w:val="bottom"/>
          </w:tcPr>
          <w:p>
            <w:pPr>
              <w:ind w:left="220"/>
              <w:spacing w:after="0"/>
              <w:rPr>
                <w:sz w:val="20"/>
                <w:szCs w:val="20"/>
                <w:color w:val="auto"/>
              </w:rPr>
            </w:pPr>
            <w:r>
              <w:rPr>
                <w:rFonts w:ascii="Arial" w:cs="Arial" w:eastAsia="Arial" w:hAnsi="Arial"/>
                <w:sz w:val="16"/>
                <w:szCs w:val="16"/>
                <w:color w:val="auto"/>
              </w:rPr>
              <w:t>10.2-1†</w:t>
            </w:r>
          </w:p>
        </w:tc>
        <w:tc>
          <w:tcPr>
            <w:tcW w:w="120" w:type="dxa"/>
            <w:vAlign w:val="bottom"/>
          </w:tcPr>
          <w:p>
            <w:pPr>
              <w:spacing w:after="0"/>
              <w:rPr>
                <w:sz w:val="21"/>
                <w:szCs w:val="21"/>
                <w:color w:val="auto"/>
              </w:rPr>
            </w:pPr>
          </w:p>
        </w:tc>
        <w:tc>
          <w:tcPr>
            <w:tcW w:w="9660" w:type="dxa"/>
            <w:vAlign w:val="bottom"/>
            <w:gridSpan w:val="42"/>
          </w:tcPr>
          <w:p>
            <w:pPr>
              <w:spacing w:after="0"/>
              <w:rPr>
                <w:rFonts w:ascii="Arial" w:cs="Arial" w:eastAsia="Arial" w:hAnsi="Arial"/>
                <w:sz w:val="16"/>
                <w:szCs w:val="16"/>
                <w:color w:val="0000FF"/>
              </w:rPr>
            </w:pPr>
            <w:hyperlink r:id="rId347">
              <w:r>
                <w:rPr>
                  <w:rFonts w:ascii="Arial" w:cs="Arial" w:eastAsia="Arial" w:hAnsi="Arial"/>
                  <w:sz w:val="16"/>
                  <w:szCs w:val="16"/>
                  <w:color w:val="0000FF"/>
                </w:rPr>
                <w:t>First Amendment to the Restoration Plan of Black Hills Corporation dated July 24, 2011, (filed as Exhibit 10.2 to the Registrant’s Form</w:t>
              </w:r>
            </w:hyperlink>
          </w:p>
        </w:tc>
      </w:tr>
      <w:tr>
        <w:trPr>
          <w:trHeight w:val="169"/>
        </w:trPr>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80" w:type="dxa"/>
            <w:vAlign w:val="bottom"/>
            <w:tcBorders>
              <w:top w:val="single" w:sz="8" w:color="0000FF"/>
              <w:bottom w:val="single" w:sz="8" w:color="0000FF"/>
            </w:tcBorders>
            <w:gridSpan w:val="12"/>
          </w:tcPr>
          <w:p>
            <w:pPr>
              <w:spacing w:after="0" w:line="169" w:lineRule="exact"/>
              <w:rPr>
                <w:rFonts w:ascii="Arial" w:cs="Arial" w:eastAsia="Arial" w:hAnsi="Arial"/>
                <w:sz w:val="16"/>
                <w:szCs w:val="16"/>
                <w:color w:val="0000FF"/>
              </w:rPr>
            </w:pPr>
            <w:hyperlink r:id="rId347">
              <w:r>
                <w:rPr>
                  <w:rFonts w:ascii="Arial" w:cs="Arial" w:eastAsia="Arial" w:hAnsi="Arial"/>
                  <w:sz w:val="16"/>
                  <w:szCs w:val="16"/>
                  <w:color w:val="0000FF"/>
                </w:rPr>
                <w:t>10-Q for the quarterly period ended June 30, 2011).</w:t>
              </w:r>
            </w:hyperlink>
          </w:p>
        </w:tc>
        <w:tc>
          <w:tcPr>
            <w:tcW w:w="5960" w:type="dxa"/>
            <w:vAlign w:val="bottom"/>
            <w:tcBorders>
              <w:top w:val="single" w:sz="8" w:color="0000FF"/>
            </w:tcBorders>
            <w:gridSpan w:val="29"/>
          </w:tcPr>
          <w:p>
            <w:pPr>
              <w:spacing w:after="0"/>
              <w:rPr>
                <w:sz w:val="14"/>
                <w:szCs w:val="14"/>
                <w:color w:val="auto"/>
              </w:rPr>
            </w:pPr>
          </w:p>
        </w:tc>
        <w:tc>
          <w:tcPr>
            <w:tcW w:w="20" w:type="dxa"/>
            <w:vAlign w:val="bottom"/>
          </w:tcPr>
          <w:p>
            <w:pPr>
              <w:spacing w:after="0"/>
              <w:rPr>
                <w:sz w:val="14"/>
                <w:szCs w:val="14"/>
                <w:color w:val="auto"/>
              </w:rPr>
            </w:pPr>
          </w:p>
        </w:tc>
      </w:tr>
      <w:tr>
        <w:trPr>
          <w:trHeight w:val="250"/>
        </w:trPr>
        <w:tc>
          <w:tcPr>
            <w:tcW w:w="1460" w:type="dxa"/>
            <w:vAlign w:val="bottom"/>
          </w:tcPr>
          <w:p>
            <w:pPr>
              <w:ind w:left="120"/>
              <w:spacing w:after="0"/>
              <w:rPr>
                <w:sz w:val="20"/>
                <w:szCs w:val="20"/>
                <w:color w:val="auto"/>
              </w:rPr>
            </w:pPr>
            <w:r>
              <w:rPr>
                <w:rFonts w:ascii="Arial" w:cs="Arial" w:eastAsia="Arial" w:hAnsi="Arial"/>
                <w:sz w:val="16"/>
                <w:szCs w:val="16"/>
                <w:color w:val="auto"/>
              </w:rPr>
              <w:t>10.3†</w:t>
            </w:r>
          </w:p>
        </w:tc>
        <w:tc>
          <w:tcPr>
            <w:tcW w:w="9780" w:type="dxa"/>
            <w:vAlign w:val="bottom"/>
            <w:gridSpan w:val="43"/>
          </w:tcPr>
          <w:p>
            <w:pPr>
              <w:spacing w:after="0"/>
              <w:rPr>
                <w:rFonts w:ascii="Arial" w:cs="Arial" w:eastAsia="Arial" w:hAnsi="Arial"/>
                <w:sz w:val="16"/>
                <w:szCs w:val="16"/>
                <w:color w:val="0000FF"/>
              </w:rPr>
            </w:pPr>
            <w:hyperlink r:id="rId348">
              <w:r>
                <w:rPr>
                  <w:rFonts w:ascii="Arial" w:cs="Arial" w:eastAsia="Arial" w:hAnsi="Arial"/>
                  <w:sz w:val="16"/>
                  <w:szCs w:val="16"/>
                  <w:color w:val="0000FF"/>
                </w:rPr>
                <w:t>Black Hills Corporation Non-qualified Deferred Compensation Plan as Amended and Restated effective January 1, 2011, (filed as</w:t>
              </w:r>
            </w:hyperlink>
          </w:p>
        </w:tc>
      </w:tr>
      <w:tr>
        <w:trPr>
          <w:trHeight w:val="169"/>
        </w:trPr>
        <w:tc>
          <w:tcPr>
            <w:tcW w:w="1460" w:type="dxa"/>
            <w:vAlign w:val="bottom"/>
          </w:tcPr>
          <w:p>
            <w:pPr>
              <w:spacing w:after="0"/>
              <w:rPr>
                <w:sz w:val="14"/>
                <w:szCs w:val="14"/>
                <w:color w:val="auto"/>
              </w:rPr>
            </w:pPr>
          </w:p>
        </w:tc>
        <w:tc>
          <w:tcPr>
            <w:tcW w:w="3740" w:type="dxa"/>
            <w:vAlign w:val="bottom"/>
            <w:tcBorders>
              <w:top w:val="single" w:sz="8" w:color="0000FF"/>
              <w:bottom w:val="single" w:sz="8" w:color="0000FF"/>
            </w:tcBorders>
            <w:gridSpan w:val="12"/>
          </w:tcPr>
          <w:p>
            <w:pPr>
              <w:spacing w:after="0" w:line="169" w:lineRule="exact"/>
              <w:rPr>
                <w:rFonts w:ascii="Arial" w:cs="Arial" w:eastAsia="Arial" w:hAnsi="Arial"/>
                <w:sz w:val="16"/>
                <w:szCs w:val="16"/>
                <w:color w:val="0000FF"/>
              </w:rPr>
            </w:pPr>
            <w:hyperlink r:id="rId348">
              <w:r>
                <w:rPr>
                  <w:rFonts w:ascii="Arial" w:cs="Arial" w:eastAsia="Arial" w:hAnsi="Arial"/>
                  <w:sz w:val="16"/>
                  <w:szCs w:val="16"/>
                  <w:color w:val="0000FF"/>
                </w:rPr>
                <w:t>Exhibit 10.4 to the Registrant’s Form 10-K for 2010).</w:t>
              </w:r>
            </w:hyperlink>
          </w:p>
        </w:tc>
        <w:tc>
          <w:tcPr>
            <w:tcW w:w="5540" w:type="dxa"/>
            <w:vAlign w:val="bottom"/>
            <w:tcBorders>
              <w:top w:val="single" w:sz="8" w:color="0000FF"/>
            </w:tcBorders>
            <w:gridSpan w:val="13"/>
          </w:tcPr>
          <w:p>
            <w:pPr>
              <w:spacing w:after="0"/>
              <w:rPr>
                <w:sz w:val="14"/>
                <w:szCs w:val="14"/>
                <w:color w:val="auto"/>
              </w:rPr>
            </w:pPr>
          </w:p>
        </w:tc>
        <w:tc>
          <w:tcPr>
            <w:tcW w:w="140" w:type="dxa"/>
            <w:vAlign w:val="bottom"/>
            <w:gridSpan w:val="3"/>
          </w:tcPr>
          <w:p>
            <w:pPr>
              <w:spacing w:after="0"/>
              <w:rPr>
                <w:sz w:val="14"/>
                <w:szCs w:val="14"/>
                <w:color w:val="auto"/>
              </w:rPr>
            </w:pPr>
          </w:p>
        </w:tc>
        <w:tc>
          <w:tcPr>
            <w:tcW w:w="10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6"/>
          </w:tcPr>
          <w:p>
            <w:pPr>
              <w:spacing w:after="0"/>
              <w:rPr>
                <w:sz w:val="14"/>
                <w:szCs w:val="14"/>
                <w:color w:val="auto"/>
              </w:rPr>
            </w:pPr>
          </w:p>
        </w:tc>
        <w:tc>
          <w:tcPr>
            <w:tcW w:w="80" w:type="dxa"/>
            <w:vAlign w:val="bottom"/>
            <w:gridSpan w:val="4"/>
          </w:tcPr>
          <w:p>
            <w:pPr>
              <w:spacing w:after="0"/>
              <w:rPr>
                <w:sz w:val="14"/>
                <w:szCs w:val="14"/>
                <w:color w:val="auto"/>
              </w:rPr>
            </w:pPr>
          </w:p>
        </w:tc>
      </w:tr>
      <w:tr>
        <w:trPr>
          <w:trHeight w:val="250"/>
        </w:trPr>
        <w:tc>
          <w:tcPr>
            <w:tcW w:w="1460" w:type="dxa"/>
            <w:vAlign w:val="bottom"/>
          </w:tcPr>
          <w:p>
            <w:pPr>
              <w:ind w:left="220"/>
              <w:spacing w:after="0"/>
              <w:rPr>
                <w:sz w:val="20"/>
                <w:szCs w:val="20"/>
                <w:color w:val="auto"/>
              </w:rPr>
            </w:pPr>
            <w:r>
              <w:rPr>
                <w:rFonts w:ascii="Arial" w:cs="Arial" w:eastAsia="Arial" w:hAnsi="Arial"/>
                <w:sz w:val="16"/>
                <w:szCs w:val="16"/>
                <w:color w:val="auto"/>
              </w:rPr>
              <w:t>10.3-1†</w:t>
            </w:r>
          </w:p>
        </w:tc>
        <w:tc>
          <w:tcPr>
            <w:tcW w:w="120" w:type="dxa"/>
            <w:vAlign w:val="bottom"/>
          </w:tcPr>
          <w:p>
            <w:pPr>
              <w:spacing w:after="0"/>
              <w:rPr>
                <w:sz w:val="21"/>
                <w:szCs w:val="21"/>
                <w:color w:val="auto"/>
              </w:rPr>
            </w:pPr>
          </w:p>
        </w:tc>
        <w:tc>
          <w:tcPr>
            <w:tcW w:w="9660" w:type="dxa"/>
            <w:vAlign w:val="bottom"/>
            <w:gridSpan w:val="42"/>
          </w:tcPr>
          <w:p>
            <w:pPr>
              <w:spacing w:after="0"/>
              <w:rPr>
                <w:rFonts w:ascii="Arial" w:cs="Arial" w:eastAsia="Arial" w:hAnsi="Arial"/>
                <w:sz w:val="16"/>
                <w:szCs w:val="16"/>
                <w:color w:val="0000FF"/>
              </w:rPr>
            </w:pPr>
            <w:hyperlink r:id="rId349">
              <w:r>
                <w:rPr>
                  <w:rFonts w:ascii="Arial" w:cs="Arial" w:eastAsia="Arial" w:hAnsi="Arial"/>
                  <w:sz w:val="16"/>
                  <w:szCs w:val="16"/>
                  <w:color w:val="0000FF"/>
                </w:rPr>
                <w:t>First Amendment to the Black Hills Corporation Nonqualified Deferred Compensation Plan as Amended and Restated effective</w:t>
              </w:r>
            </w:hyperlink>
          </w:p>
        </w:tc>
      </w:tr>
      <w:tr>
        <w:trPr>
          <w:trHeight w:val="169"/>
        </w:trPr>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80" w:type="dxa"/>
            <w:vAlign w:val="bottom"/>
            <w:tcBorders>
              <w:top w:val="single" w:sz="8" w:color="0000FF"/>
            </w:tcBorders>
            <w:gridSpan w:val="23"/>
          </w:tcPr>
          <w:p>
            <w:pPr>
              <w:spacing w:after="0" w:line="169" w:lineRule="exact"/>
              <w:rPr>
                <w:rFonts w:ascii="Arial" w:cs="Arial" w:eastAsia="Arial" w:hAnsi="Arial"/>
                <w:sz w:val="16"/>
                <w:szCs w:val="16"/>
                <w:color w:val="0000FF"/>
              </w:rPr>
            </w:pPr>
            <w:hyperlink r:id="rId349">
              <w:r>
                <w:rPr>
                  <w:rFonts w:ascii="Arial" w:cs="Arial" w:eastAsia="Arial" w:hAnsi="Arial"/>
                  <w:sz w:val="16"/>
                  <w:szCs w:val="16"/>
                  <w:color w:val="0000FF"/>
                </w:rPr>
                <w:t>January 1, 2011, (filed as Exhibit 10.5 to the Registrant’s Form 10-K for 2018).</w:t>
              </w:r>
            </w:hyperlink>
          </w:p>
        </w:tc>
        <w:tc>
          <w:tcPr>
            <w:tcW w:w="220" w:type="dxa"/>
            <w:vAlign w:val="bottom"/>
            <w:gridSpan w:val="4"/>
          </w:tcPr>
          <w:p>
            <w:pPr>
              <w:spacing w:after="0"/>
              <w:rPr>
                <w:sz w:val="14"/>
                <w:szCs w:val="14"/>
                <w:color w:val="auto"/>
              </w:rPr>
            </w:pPr>
          </w:p>
        </w:tc>
        <w:tc>
          <w:tcPr>
            <w:tcW w:w="10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6"/>
          </w:tcPr>
          <w:p>
            <w:pPr>
              <w:spacing w:after="0"/>
              <w:rPr>
                <w:sz w:val="14"/>
                <w:szCs w:val="14"/>
                <w:color w:val="auto"/>
              </w:rPr>
            </w:pPr>
          </w:p>
        </w:tc>
        <w:tc>
          <w:tcPr>
            <w:tcW w:w="80" w:type="dxa"/>
            <w:vAlign w:val="bottom"/>
            <w:gridSpan w:val="4"/>
          </w:tcPr>
          <w:p>
            <w:pPr>
              <w:spacing w:after="0"/>
              <w:rPr>
                <w:sz w:val="14"/>
                <w:szCs w:val="14"/>
                <w:color w:val="auto"/>
              </w:rPr>
            </w:pPr>
          </w:p>
        </w:tc>
      </w:tr>
      <w:tr>
        <w:trPr>
          <w:trHeight w:val="20"/>
        </w:trPr>
        <w:tc>
          <w:tcPr>
            <w:tcW w:w="14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3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50"/>
        </w:trPr>
        <w:tc>
          <w:tcPr>
            <w:tcW w:w="1460" w:type="dxa"/>
            <w:vAlign w:val="bottom"/>
          </w:tcPr>
          <w:p>
            <w:pPr>
              <w:ind w:left="120"/>
              <w:spacing w:after="0"/>
              <w:rPr>
                <w:sz w:val="20"/>
                <w:szCs w:val="20"/>
                <w:color w:val="auto"/>
              </w:rPr>
            </w:pPr>
            <w:r>
              <w:rPr>
                <w:rFonts w:ascii="Arial" w:cs="Arial" w:eastAsia="Arial" w:hAnsi="Arial"/>
                <w:sz w:val="16"/>
                <w:szCs w:val="16"/>
                <w:color w:val="auto"/>
              </w:rPr>
              <w:t>10.4†</w:t>
            </w:r>
          </w:p>
        </w:tc>
        <w:tc>
          <w:tcPr>
            <w:tcW w:w="9780" w:type="dxa"/>
            <w:vAlign w:val="bottom"/>
            <w:gridSpan w:val="43"/>
          </w:tcPr>
          <w:p>
            <w:pPr>
              <w:spacing w:after="0"/>
              <w:rPr>
                <w:rFonts w:ascii="Arial" w:cs="Arial" w:eastAsia="Arial" w:hAnsi="Arial"/>
                <w:sz w:val="16"/>
                <w:szCs w:val="16"/>
                <w:color w:val="0000FF"/>
              </w:rPr>
            </w:pPr>
            <w:hyperlink r:id="rId350">
              <w:r>
                <w:rPr>
                  <w:rFonts w:ascii="Arial" w:cs="Arial" w:eastAsia="Arial" w:hAnsi="Arial"/>
                  <w:sz w:val="16"/>
                  <w:szCs w:val="16"/>
                  <w:color w:val="0000FF"/>
                </w:rPr>
                <w:t>Black Hills Corporation Post-2018 Nonqualified Deferred Compensation Plan (filed as Exhibit 10.4 to the Registrant's Form 10-K for</w:t>
              </w:r>
            </w:hyperlink>
          </w:p>
        </w:tc>
      </w:tr>
      <w:tr>
        <w:trPr>
          <w:trHeight w:val="169"/>
        </w:trPr>
        <w:tc>
          <w:tcPr>
            <w:tcW w:w="1460" w:type="dxa"/>
            <w:vAlign w:val="bottom"/>
          </w:tcPr>
          <w:p>
            <w:pPr>
              <w:spacing w:after="0"/>
              <w:rPr>
                <w:sz w:val="14"/>
                <w:szCs w:val="14"/>
                <w:color w:val="auto"/>
              </w:rPr>
            </w:pPr>
          </w:p>
        </w:tc>
        <w:tc>
          <w:tcPr>
            <w:tcW w:w="440" w:type="dxa"/>
            <w:vAlign w:val="bottom"/>
            <w:tcBorders>
              <w:top w:val="single" w:sz="8" w:color="0000FF"/>
              <w:bottom w:val="single" w:sz="8" w:color="0000FF"/>
            </w:tcBorders>
            <w:gridSpan w:val="2"/>
          </w:tcPr>
          <w:p>
            <w:pPr>
              <w:spacing w:after="0" w:line="169" w:lineRule="exact"/>
              <w:rPr>
                <w:rFonts w:ascii="Arial" w:cs="Arial" w:eastAsia="Arial" w:hAnsi="Arial"/>
                <w:sz w:val="16"/>
                <w:szCs w:val="16"/>
                <w:color w:val="0000FF"/>
                <w:w w:val="92"/>
              </w:rPr>
            </w:pPr>
            <w:hyperlink r:id="rId350">
              <w:r>
                <w:rPr>
                  <w:rFonts w:ascii="Arial" w:cs="Arial" w:eastAsia="Arial" w:hAnsi="Arial"/>
                  <w:sz w:val="16"/>
                  <w:szCs w:val="16"/>
                  <w:color w:val="0000FF"/>
                  <w:w w:val="92"/>
                </w:rPr>
                <w:t>2022).</w:t>
              </w:r>
            </w:hyperlink>
          </w:p>
        </w:tc>
        <w:tc>
          <w:tcPr>
            <w:tcW w:w="20" w:type="dxa"/>
            <w:vAlign w:val="bottom"/>
            <w:tcBorders>
              <w:top w:val="single" w:sz="8" w:color="0000FF"/>
              <w:bottom w:val="single" w:sz="8" w:color="0000EE"/>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130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130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10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50"/>
        </w:trPr>
        <w:tc>
          <w:tcPr>
            <w:tcW w:w="1460" w:type="dxa"/>
            <w:vAlign w:val="bottom"/>
          </w:tcPr>
          <w:p>
            <w:pPr>
              <w:ind w:left="120"/>
              <w:spacing w:after="0"/>
              <w:rPr>
                <w:sz w:val="20"/>
                <w:szCs w:val="20"/>
                <w:color w:val="auto"/>
              </w:rPr>
            </w:pPr>
            <w:r>
              <w:rPr>
                <w:rFonts w:ascii="Arial" w:cs="Arial" w:eastAsia="Arial" w:hAnsi="Arial"/>
                <w:sz w:val="16"/>
                <w:szCs w:val="16"/>
                <w:color w:val="auto"/>
              </w:rPr>
              <w:t>10.5†</w:t>
            </w:r>
          </w:p>
        </w:tc>
        <w:tc>
          <w:tcPr>
            <w:tcW w:w="9780" w:type="dxa"/>
            <w:vAlign w:val="bottom"/>
            <w:gridSpan w:val="43"/>
          </w:tcPr>
          <w:p>
            <w:pPr>
              <w:spacing w:after="0"/>
              <w:rPr>
                <w:rFonts w:ascii="Arial" w:cs="Arial" w:eastAsia="Arial" w:hAnsi="Arial"/>
                <w:sz w:val="16"/>
                <w:szCs w:val="16"/>
                <w:color w:val="0000FF"/>
              </w:rPr>
            </w:pPr>
            <w:hyperlink r:id="rId351">
              <w:r>
                <w:rPr>
                  <w:rFonts w:ascii="Arial" w:cs="Arial" w:eastAsia="Arial" w:hAnsi="Arial"/>
                  <w:sz w:val="16"/>
                  <w:szCs w:val="16"/>
                  <w:color w:val="0000FF"/>
                </w:rPr>
                <w:t>Black Hills Corporation 2005 Omnibus Incentive Plan (”Omnibus Plan”) (filed as Appendix A to the Registrant’s Proxy Statement filed</w:t>
              </w:r>
            </w:hyperlink>
          </w:p>
        </w:tc>
      </w:tr>
      <w:tr>
        <w:trPr>
          <w:trHeight w:val="169"/>
        </w:trPr>
        <w:tc>
          <w:tcPr>
            <w:tcW w:w="1460" w:type="dxa"/>
            <w:vAlign w:val="bottom"/>
          </w:tcPr>
          <w:p>
            <w:pPr>
              <w:spacing w:after="0"/>
              <w:rPr>
                <w:sz w:val="14"/>
                <w:szCs w:val="14"/>
                <w:color w:val="auto"/>
              </w:rPr>
            </w:pPr>
          </w:p>
        </w:tc>
        <w:tc>
          <w:tcPr>
            <w:tcW w:w="9540" w:type="dxa"/>
            <w:vAlign w:val="bottom"/>
            <w:tcBorders>
              <w:top w:val="single" w:sz="8" w:color="0000FF"/>
            </w:tcBorders>
            <w:gridSpan w:val="33"/>
          </w:tcPr>
          <w:p>
            <w:pPr>
              <w:spacing w:after="0" w:line="169" w:lineRule="exact"/>
              <w:rPr>
                <w:rFonts w:ascii="Arial" w:cs="Arial" w:eastAsia="Arial" w:hAnsi="Arial"/>
                <w:sz w:val="16"/>
                <w:szCs w:val="16"/>
                <w:color w:val="0000FF"/>
              </w:rPr>
            </w:pPr>
            <w:hyperlink r:id="rId351">
              <w:r>
                <w:rPr>
                  <w:rFonts w:ascii="Arial" w:cs="Arial" w:eastAsia="Arial" w:hAnsi="Arial"/>
                  <w:sz w:val="16"/>
                  <w:szCs w:val="16"/>
                  <w:color w:val="0000FF"/>
                </w:rPr>
                <w:t>April 13, 2005).</w:t>
              </w:r>
            </w:hyperlink>
          </w:p>
        </w:tc>
        <w:tc>
          <w:tcPr>
            <w:tcW w:w="160" w:type="dxa"/>
            <w:vAlign w:val="bottom"/>
            <w:gridSpan w:val="6"/>
          </w:tcPr>
          <w:p>
            <w:pPr>
              <w:spacing w:after="0"/>
              <w:rPr>
                <w:sz w:val="14"/>
                <w:szCs w:val="14"/>
                <w:color w:val="auto"/>
              </w:rPr>
            </w:pPr>
          </w:p>
        </w:tc>
        <w:tc>
          <w:tcPr>
            <w:tcW w:w="80" w:type="dxa"/>
            <w:vAlign w:val="bottom"/>
            <w:gridSpan w:val="4"/>
          </w:tcPr>
          <w:p>
            <w:pPr>
              <w:spacing w:after="0"/>
              <w:rPr>
                <w:sz w:val="14"/>
                <w:szCs w:val="14"/>
                <w:color w:val="auto"/>
              </w:rPr>
            </w:pPr>
          </w:p>
        </w:tc>
      </w:tr>
      <w:tr>
        <w:trPr>
          <w:trHeight w:val="20"/>
        </w:trPr>
        <w:tc>
          <w:tcPr>
            <w:tcW w:w="1460" w:type="dxa"/>
            <w:vAlign w:val="bottom"/>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1340" w:type="dxa"/>
            <w:vAlign w:val="bottom"/>
            <w:gridSpan w:val="9"/>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50"/>
        </w:trPr>
        <w:tc>
          <w:tcPr>
            <w:tcW w:w="1460" w:type="dxa"/>
            <w:vAlign w:val="bottom"/>
          </w:tcPr>
          <w:p>
            <w:pPr>
              <w:ind w:left="220"/>
              <w:spacing w:after="0"/>
              <w:rPr>
                <w:sz w:val="20"/>
                <w:szCs w:val="20"/>
                <w:color w:val="auto"/>
              </w:rPr>
            </w:pPr>
            <w:r>
              <w:rPr>
                <w:rFonts w:ascii="Arial" w:cs="Arial" w:eastAsia="Arial" w:hAnsi="Arial"/>
                <w:sz w:val="16"/>
                <w:szCs w:val="16"/>
                <w:color w:val="auto"/>
              </w:rPr>
              <w:t>10.5-1†</w:t>
            </w:r>
          </w:p>
        </w:tc>
        <w:tc>
          <w:tcPr>
            <w:tcW w:w="120" w:type="dxa"/>
            <w:vAlign w:val="bottom"/>
          </w:tcPr>
          <w:p>
            <w:pPr>
              <w:spacing w:after="0"/>
              <w:rPr>
                <w:sz w:val="21"/>
                <w:szCs w:val="21"/>
                <w:color w:val="auto"/>
              </w:rPr>
            </w:pPr>
          </w:p>
        </w:tc>
        <w:tc>
          <w:tcPr>
            <w:tcW w:w="9660" w:type="dxa"/>
            <w:vAlign w:val="bottom"/>
            <w:gridSpan w:val="42"/>
          </w:tcPr>
          <w:p>
            <w:pPr>
              <w:spacing w:after="0"/>
              <w:rPr>
                <w:rFonts w:ascii="Arial" w:cs="Arial" w:eastAsia="Arial" w:hAnsi="Arial"/>
                <w:sz w:val="16"/>
                <w:szCs w:val="16"/>
                <w:color w:val="0000FF"/>
              </w:rPr>
            </w:pPr>
            <w:hyperlink r:id="rId352">
              <w:r>
                <w:rPr>
                  <w:rFonts w:ascii="Arial" w:cs="Arial" w:eastAsia="Arial" w:hAnsi="Arial"/>
                  <w:sz w:val="16"/>
                  <w:szCs w:val="16"/>
                  <w:color w:val="0000FF"/>
                </w:rPr>
                <w:t>First Amendment to the Omnibus Plan (filed as Exhibit 10.11 to the Registrant’s Form 10-K for 2008).</w:t>
              </w:r>
            </w:hyperlink>
          </w:p>
        </w:tc>
      </w:tr>
      <w:tr>
        <w:trPr>
          <w:trHeight w:val="20"/>
        </w:trPr>
        <w:tc>
          <w:tcPr>
            <w:tcW w:w="14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2900" w:type="dxa"/>
            <w:vAlign w:val="bottom"/>
            <w:gridSpan w:val="5"/>
            <w:shd w:val="clear" w:color="auto" w:fill="0000FF"/>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1340" w:type="dxa"/>
            <w:vAlign w:val="bottom"/>
            <w:gridSpan w:val="9"/>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50"/>
        </w:trPr>
        <w:tc>
          <w:tcPr>
            <w:tcW w:w="1460" w:type="dxa"/>
            <w:vAlign w:val="bottom"/>
          </w:tcPr>
          <w:p>
            <w:pPr>
              <w:ind w:left="220"/>
              <w:spacing w:after="0"/>
              <w:rPr>
                <w:sz w:val="20"/>
                <w:szCs w:val="20"/>
                <w:color w:val="auto"/>
              </w:rPr>
            </w:pPr>
            <w:r>
              <w:rPr>
                <w:rFonts w:ascii="Arial" w:cs="Arial" w:eastAsia="Arial" w:hAnsi="Arial"/>
                <w:sz w:val="16"/>
                <w:szCs w:val="16"/>
                <w:color w:val="auto"/>
              </w:rPr>
              <w:t>10.5-2†</w:t>
            </w:r>
          </w:p>
        </w:tc>
        <w:tc>
          <w:tcPr>
            <w:tcW w:w="120" w:type="dxa"/>
            <w:vAlign w:val="bottom"/>
          </w:tcPr>
          <w:p>
            <w:pPr>
              <w:spacing w:after="0"/>
              <w:rPr>
                <w:sz w:val="21"/>
                <w:szCs w:val="21"/>
                <w:color w:val="auto"/>
              </w:rPr>
            </w:pPr>
          </w:p>
        </w:tc>
        <w:tc>
          <w:tcPr>
            <w:tcW w:w="9660" w:type="dxa"/>
            <w:vAlign w:val="bottom"/>
            <w:gridSpan w:val="42"/>
          </w:tcPr>
          <w:p>
            <w:pPr>
              <w:spacing w:after="0"/>
              <w:rPr>
                <w:rFonts w:ascii="Arial" w:cs="Arial" w:eastAsia="Arial" w:hAnsi="Arial"/>
                <w:sz w:val="16"/>
                <w:szCs w:val="16"/>
                <w:color w:val="0000FF"/>
              </w:rPr>
            </w:pPr>
            <w:hyperlink r:id="rId353">
              <w:r>
                <w:rPr>
                  <w:rFonts w:ascii="Arial" w:cs="Arial" w:eastAsia="Arial" w:hAnsi="Arial"/>
                  <w:sz w:val="16"/>
                  <w:szCs w:val="16"/>
                  <w:color w:val="0000FF"/>
                </w:rPr>
                <w:t>Second Amendment to the Omnibus Plan (filed as Exhibit 10 to the Registrant’s Form 8-K filed on May 26, 2010).</w:t>
              </w:r>
            </w:hyperlink>
          </w:p>
        </w:tc>
      </w:tr>
      <w:tr>
        <w:trPr>
          <w:trHeight w:val="20"/>
        </w:trPr>
        <w:tc>
          <w:tcPr>
            <w:tcW w:w="14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3740" w:type="dxa"/>
            <w:vAlign w:val="bottom"/>
            <w:gridSpan w:val="9"/>
            <w:shd w:val="clear" w:color="auto" w:fill="0000FF"/>
          </w:tcPr>
          <w:p>
            <w:pPr>
              <w:spacing w:after="0" w:line="20" w:lineRule="exact"/>
              <w:rPr>
                <w:sz w:val="1"/>
                <w:szCs w:val="1"/>
                <w:color w:val="auto"/>
              </w:rPr>
            </w:pPr>
          </w:p>
        </w:tc>
        <w:tc>
          <w:tcPr>
            <w:tcW w:w="1340" w:type="dxa"/>
            <w:vAlign w:val="bottom"/>
            <w:tcBorders>
              <w:left w:val="single" w:sz="8" w:color="0000FF"/>
            </w:tcBorders>
            <w:gridSpan w:val="9"/>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50"/>
        </w:trPr>
        <w:tc>
          <w:tcPr>
            <w:tcW w:w="1460" w:type="dxa"/>
            <w:vAlign w:val="bottom"/>
          </w:tcPr>
          <w:p>
            <w:pPr>
              <w:ind w:left="120"/>
              <w:spacing w:after="0"/>
              <w:rPr>
                <w:sz w:val="20"/>
                <w:szCs w:val="20"/>
                <w:color w:val="auto"/>
              </w:rPr>
            </w:pPr>
            <w:r>
              <w:rPr>
                <w:rFonts w:ascii="Arial" w:cs="Arial" w:eastAsia="Arial" w:hAnsi="Arial"/>
                <w:sz w:val="16"/>
                <w:szCs w:val="16"/>
                <w:color w:val="auto"/>
              </w:rPr>
              <w:t>10.6†</w:t>
            </w:r>
          </w:p>
        </w:tc>
        <w:tc>
          <w:tcPr>
            <w:tcW w:w="9780" w:type="dxa"/>
            <w:vAlign w:val="bottom"/>
            <w:gridSpan w:val="43"/>
          </w:tcPr>
          <w:p>
            <w:pPr>
              <w:spacing w:after="0"/>
              <w:rPr>
                <w:rFonts w:ascii="Arial" w:cs="Arial" w:eastAsia="Arial" w:hAnsi="Arial"/>
                <w:sz w:val="16"/>
                <w:szCs w:val="16"/>
                <w:color w:val="0000FF"/>
              </w:rPr>
            </w:pPr>
            <w:hyperlink r:id="rId354">
              <w:r>
                <w:rPr>
                  <w:rFonts w:ascii="Arial" w:cs="Arial" w:eastAsia="Arial" w:hAnsi="Arial"/>
                  <w:sz w:val="16"/>
                  <w:szCs w:val="16"/>
                  <w:color w:val="0000FF"/>
                </w:rPr>
                <w:t>Black Hills Corporation Amended and Restated 2015 Omnibus Incentive Plan effective January 24, 2023, (filed as Exhibit 10.6 to the</w:t>
              </w:r>
            </w:hyperlink>
          </w:p>
        </w:tc>
      </w:tr>
      <w:tr>
        <w:trPr>
          <w:trHeight w:val="169"/>
        </w:trPr>
        <w:tc>
          <w:tcPr>
            <w:tcW w:w="1460" w:type="dxa"/>
            <w:vAlign w:val="bottom"/>
          </w:tcPr>
          <w:p>
            <w:pPr>
              <w:spacing w:after="0"/>
              <w:rPr>
                <w:sz w:val="14"/>
                <w:szCs w:val="14"/>
                <w:color w:val="auto"/>
              </w:rPr>
            </w:pPr>
          </w:p>
        </w:tc>
        <w:tc>
          <w:tcPr>
            <w:tcW w:w="9520" w:type="dxa"/>
            <w:vAlign w:val="bottom"/>
            <w:tcBorders>
              <w:top w:val="single" w:sz="8" w:color="0000FF"/>
            </w:tcBorders>
            <w:gridSpan w:val="32"/>
          </w:tcPr>
          <w:p>
            <w:pPr>
              <w:spacing w:after="0" w:line="169" w:lineRule="exact"/>
              <w:rPr>
                <w:rFonts w:ascii="Arial" w:cs="Arial" w:eastAsia="Arial" w:hAnsi="Arial"/>
                <w:sz w:val="16"/>
                <w:szCs w:val="16"/>
                <w:color w:val="0000FF"/>
              </w:rPr>
            </w:pPr>
            <w:hyperlink r:id="rId354">
              <w:r>
                <w:rPr>
                  <w:rFonts w:ascii="Arial" w:cs="Arial" w:eastAsia="Arial" w:hAnsi="Arial"/>
                  <w:sz w:val="16"/>
                  <w:szCs w:val="16"/>
                  <w:color w:val="0000FF"/>
                </w:rPr>
                <w:t>Registrant's Form 10-K for 2022).</w:t>
              </w:r>
            </w:hyperlink>
          </w:p>
        </w:tc>
        <w:tc>
          <w:tcPr>
            <w:tcW w:w="180" w:type="dxa"/>
            <w:vAlign w:val="bottom"/>
            <w:gridSpan w:val="7"/>
          </w:tcPr>
          <w:p>
            <w:pPr>
              <w:spacing w:after="0"/>
              <w:rPr>
                <w:sz w:val="14"/>
                <w:szCs w:val="14"/>
                <w:color w:val="auto"/>
              </w:rPr>
            </w:pPr>
          </w:p>
        </w:tc>
        <w:tc>
          <w:tcPr>
            <w:tcW w:w="80" w:type="dxa"/>
            <w:vAlign w:val="bottom"/>
            <w:gridSpan w:val="4"/>
          </w:tcPr>
          <w:p>
            <w:pPr>
              <w:spacing w:after="0"/>
              <w:rPr>
                <w:sz w:val="14"/>
                <w:szCs w:val="14"/>
                <w:color w:val="auto"/>
              </w:rPr>
            </w:pPr>
          </w:p>
        </w:tc>
      </w:tr>
      <w:tr>
        <w:trPr>
          <w:trHeight w:val="20"/>
        </w:trPr>
        <w:tc>
          <w:tcPr>
            <w:tcW w:w="1460" w:type="dxa"/>
            <w:vAlign w:val="bottom"/>
            <w:tcBorders>
              <w:right w:val="single" w:sz="8" w:color="0000EE"/>
            </w:tcBorders>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3740" w:type="dxa"/>
            <w:vAlign w:val="bottom"/>
            <w:gridSpan w:val="9"/>
          </w:tcPr>
          <w:p>
            <w:pPr>
              <w:spacing w:after="0" w:line="20" w:lineRule="exact"/>
              <w:rPr>
                <w:sz w:val="1"/>
                <w:szCs w:val="1"/>
                <w:color w:val="auto"/>
              </w:rPr>
            </w:pPr>
          </w:p>
        </w:tc>
        <w:tc>
          <w:tcPr>
            <w:tcW w:w="1520" w:type="dxa"/>
            <w:vAlign w:val="bottom"/>
            <w:gridSpan w:val="1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50"/>
        </w:trPr>
        <w:tc>
          <w:tcPr>
            <w:tcW w:w="1460" w:type="dxa"/>
            <w:vAlign w:val="bottom"/>
          </w:tcPr>
          <w:p>
            <w:pPr>
              <w:ind w:left="120"/>
              <w:spacing w:after="0"/>
              <w:rPr>
                <w:sz w:val="20"/>
                <w:szCs w:val="20"/>
                <w:color w:val="auto"/>
              </w:rPr>
            </w:pPr>
            <w:r>
              <w:rPr>
                <w:rFonts w:ascii="Arial" w:cs="Arial" w:eastAsia="Arial" w:hAnsi="Arial"/>
                <w:sz w:val="16"/>
                <w:szCs w:val="16"/>
                <w:color w:val="auto"/>
              </w:rPr>
              <w:t>10.7†</w:t>
            </w:r>
          </w:p>
        </w:tc>
        <w:tc>
          <w:tcPr>
            <w:tcW w:w="9780" w:type="dxa"/>
            <w:vAlign w:val="bottom"/>
            <w:gridSpan w:val="43"/>
          </w:tcPr>
          <w:p>
            <w:pPr>
              <w:spacing w:after="0"/>
              <w:rPr>
                <w:rFonts w:ascii="Arial" w:cs="Arial" w:eastAsia="Arial" w:hAnsi="Arial"/>
                <w:sz w:val="16"/>
                <w:szCs w:val="16"/>
                <w:color w:val="0000FF"/>
              </w:rPr>
            </w:pPr>
            <w:hyperlink r:id="rId355">
              <w:r>
                <w:rPr>
                  <w:rFonts w:ascii="Arial" w:cs="Arial" w:eastAsia="Arial" w:hAnsi="Arial"/>
                  <w:sz w:val="16"/>
                  <w:szCs w:val="16"/>
                  <w:color w:val="0000FF"/>
                </w:rPr>
                <w:t>Form of Stock Option Agreement effective for awards granted on or after April 28, 2015, (filed as Exhibit 10.8 to Registrant’s Form 10-K</w:t>
              </w:r>
            </w:hyperlink>
          </w:p>
        </w:tc>
      </w:tr>
      <w:tr>
        <w:trPr>
          <w:trHeight w:val="169"/>
        </w:trPr>
        <w:tc>
          <w:tcPr>
            <w:tcW w:w="1460" w:type="dxa"/>
            <w:vAlign w:val="bottom"/>
          </w:tcPr>
          <w:p>
            <w:pPr>
              <w:spacing w:after="0"/>
              <w:rPr>
                <w:sz w:val="14"/>
                <w:szCs w:val="14"/>
                <w:color w:val="auto"/>
              </w:rPr>
            </w:pPr>
          </w:p>
        </w:tc>
        <w:tc>
          <w:tcPr>
            <w:tcW w:w="9760" w:type="dxa"/>
            <w:vAlign w:val="bottom"/>
            <w:tcBorders>
              <w:top w:val="single" w:sz="8" w:color="0000FF"/>
            </w:tcBorders>
            <w:gridSpan w:val="42"/>
          </w:tcPr>
          <w:p>
            <w:pPr>
              <w:spacing w:after="0" w:line="169" w:lineRule="exact"/>
              <w:rPr>
                <w:rFonts w:ascii="Arial" w:cs="Arial" w:eastAsia="Arial" w:hAnsi="Arial"/>
                <w:sz w:val="16"/>
                <w:szCs w:val="16"/>
                <w:color w:val="0000FF"/>
              </w:rPr>
            </w:pPr>
            <w:hyperlink r:id="rId355">
              <w:r>
                <w:rPr>
                  <w:rFonts w:ascii="Arial" w:cs="Arial" w:eastAsia="Arial" w:hAnsi="Arial"/>
                  <w:sz w:val="16"/>
                  <w:szCs w:val="16"/>
                  <w:color w:val="0000FF"/>
                </w:rPr>
                <w:t>for 2015).</w:t>
              </w:r>
            </w:hyperlink>
          </w:p>
        </w:tc>
        <w:tc>
          <w:tcPr>
            <w:tcW w:w="20" w:type="dxa"/>
            <w:vAlign w:val="bottom"/>
          </w:tcPr>
          <w:p>
            <w:pPr>
              <w:spacing w:after="0"/>
              <w:rPr>
                <w:sz w:val="14"/>
                <w:szCs w:val="14"/>
                <w:color w:val="auto"/>
              </w:rPr>
            </w:pPr>
          </w:p>
        </w:tc>
      </w:tr>
      <w:tr>
        <w:trPr>
          <w:trHeight w:val="20"/>
        </w:trPr>
        <w:tc>
          <w:tcPr>
            <w:tcW w:w="1460" w:type="dxa"/>
            <w:vAlign w:val="bottom"/>
            <w:tcBorders>
              <w:right w:val="single" w:sz="8" w:color="0000EE"/>
            </w:tcBorders>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3740" w:type="dxa"/>
            <w:vAlign w:val="bottom"/>
            <w:gridSpan w:val="9"/>
          </w:tcPr>
          <w:p>
            <w:pPr>
              <w:spacing w:after="0" w:line="20" w:lineRule="exact"/>
              <w:rPr>
                <w:sz w:val="1"/>
                <w:szCs w:val="1"/>
                <w:color w:val="auto"/>
              </w:rPr>
            </w:pPr>
          </w:p>
        </w:tc>
        <w:tc>
          <w:tcPr>
            <w:tcW w:w="1520" w:type="dxa"/>
            <w:vAlign w:val="bottom"/>
            <w:gridSpan w:val="1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50"/>
        </w:trPr>
        <w:tc>
          <w:tcPr>
            <w:tcW w:w="1460" w:type="dxa"/>
            <w:vAlign w:val="bottom"/>
          </w:tcPr>
          <w:p>
            <w:pPr>
              <w:ind w:left="120"/>
              <w:spacing w:after="0"/>
              <w:rPr>
                <w:sz w:val="20"/>
                <w:szCs w:val="20"/>
                <w:color w:val="auto"/>
              </w:rPr>
            </w:pPr>
            <w:r>
              <w:rPr>
                <w:rFonts w:ascii="Arial" w:cs="Arial" w:eastAsia="Arial" w:hAnsi="Arial"/>
                <w:sz w:val="16"/>
                <w:szCs w:val="16"/>
                <w:color w:val="auto"/>
              </w:rPr>
              <w:t>10.8†</w:t>
            </w:r>
          </w:p>
        </w:tc>
        <w:tc>
          <w:tcPr>
            <w:tcW w:w="9780" w:type="dxa"/>
            <w:vAlign w:val="bottom"/>
            <w:gridSpan w:val="43"/>
          </w:tcPr>
          <w:p>
            <w:pPr>
              <w:spacing w:after="0"/>
              <w:rPr>
                <w:rFonts w:ascii="Arial" w:cs="Arial" w:eastAsia="Arial" w:hAnsi="Arial"/>
                <w:sz w:val="16"/>
                <w:szCs w:val="16"/>
                <w:color w:val="0000FF"/>
              </w:rPr>
            </w:pPr>
            <w:hyperlink r:id="rId356">
              <w:r>
                <w:rPr>
                  <w:rFonts w:ascii="Arial" w:cs="Arial" w:eastAsia="Arial" w:hAnsi="Arial"/>
                  <w:sz w:val="16"/>
                  <w:szCs w:val="16"/>
                  <w:color w:val="0000FF"/>
                </w:rPr>
                <w:t>Form of Performance Unit Award Agreement for 2015 Omnibus Incentive Plan effective for awards granted on or after January 1, 2021,</w:t>
              </w:r>
            </w:hyperlink>
          </w:p>
        </w:tc>
      </w:tr>
      <w:tr>
        <w:trPr>
          <w:trHeight w:val="169"/>
        </w:trPr>
        <w:tc>
          <w:tcPr>
            <w:tcW w:w="1460" w:type="dxa"/>
            <w:vAlign w:val="bottom"/>
          </w:tcPr>
          <w:p>
            <w:pPr>
              <w:spacing w:after="0"/>
              <w:rPr>
                <w:sz w:val="14"/>
                <w:szCs w:val="14"/>
                <w:color w:val="auto"/>
              </w:rPr>
            </w:pPr>
          </w:p>
        </w:tc>
        <w:tc>
          <w:tcPr>
            <w:tcW w:w="4440" w:type="dxa"/>
            <w:vAlign w:val="bottom"/>
            <w:tcBorders>
              <w:top w:val="single" w:sz="8" w:color="0000FF"/>
              <w:bottom w:val="single" w:sz="8" w:color="0000FF"/>
            </w:tcBorders>
            <w:gridSpan w:val="14"/>
          </w:tcPr>
          <w:p>
            <w:pPr>
              <w:spacing w:after="0" w:line="169" w:lineRule="exact"/>
              <w:rPr>
                <w:rFonts w:ascii="Arial" w:cs="Arial" w:eastAsia="Arial" w:hAnsi="Arial"/>
                <w:sz w:val="16"/>
                <w:szCs w:val="16"/>
                <w:color w:val="0000FF"/>
              </w:rPr>
            </w:pPr>
            <w:hyperlink r:id="rId356">
              <w:r>
                <w:rPr>
                  <w:rFonts w:ascii="Arial" w:cs="Arial" w:eastAsia="Arial" w:hAnsi="Arial"/>
                  <w:sz w:val="16"/>
                  <w:szCs w:val="16"/>
                  <w:color w:val="0000FF"/>
                </w:rPr>
                <w:t>(filed as Exhibit 10.17 to the Registrant's Form 10-K for 2020).</w:t>
              </w:r>
            </w:hyperlink>
          </w:p>
        </w:tc>
        <w:tc>
          <w:tcPr>
            <w:tcW w:w="5320" w:type="dxa"/>
            <w:vAlign w:val="bottom"/>
            <w:tcBorders>
              <w:top w:val="single" w:sz="8" w:color="0000FF"/>
            </w:tcBorders>
            <w:gridSpan w:val="28"/>
          </w:tcPr>
          <w:p>
            <w:pPr>
              <w:spacing w:after="0"/>
              <w:rPr>
                <w:sz w:val="14"/>
                <w:szCs w:val="14"/>
                <w:color w:val="auto"/>
              </w:rPr>
            </w:pPr>
          </w:p>
        </w:tc>
        <w:tc>
          <w:tcPr>
            <w:tcW w:w="20" w:type="dxa"/>
            <w:vAlign w:val="bottom"/>
          </w:tcPr>
          <w:p>
            <w:pPr>
              <w:spacing w:after="0"/>
              <w:rPr>
                <w:sz w:val="14"/>
                <w:szCs w:val="14"/>
                <w:color w:val="auto"/>
              </w:rPr>
            </w:pPr>
          </w:p>
        </w:tc>
      </w:tr>
      <w:tr>
        <w:trPr>
          <w:trHeight w:val="250"/>
        </w:trPr>
        <w:tc>
          <w:tcPr>
            <w:tcW w:w="1460" w:type="dxa"/>
            <w:vAlign w:val="bottom"/>
          </w:tcPr>
          <w:p>
            <w:pPr>
              <w:ind w:left="120"/>
              <w:spacing w:after="0"/>
              <w:rPr>
                <w:sz w:val="20"/>
                <w:szCs w:val="20"/>
                <w:color w:val="auto"/>
              </w:rPr>
            </w:pPr>
            <w:r>
              <w:rPr>
                <w:rFonts w:ascii="Arial" w:cs="Arial" w:eastAsia="Arial" w:hAnsi="Arial"/>
                <w:sz w:val="16"/>
                <w:szCs w:val="16"/>
                <w:color w:val="auto"/>
              </w:rPr>
              <w:t>10.9†</w:t>
            </w:r>
          </w:p>
        </w:tc>
        <w:tc>
          <w:tcPr>
            <w:tcW w:w="9780" w:type="dxa"/>
            <w:vAlign w:val="bottom"/>
            <w:gridSpan w:val="43"/>
          </w:tcPr>
          <w:p>
            <w:pPr>
              <w:spacing w:after="0"/>
              <w:rPr>
                <w:rFonts w:ascii="Arial" w:cs="Arial" w:eastAsia="Arial" w:hAnsi="Arial"/>
                <w:sz w:val="16"/>
                <w:szCs w:val="16"/>
                <w:color w:val="0000FF"/>
              </w:rPr>
            </w:pPr>
            <w:hyperlink r:id="rId357">
              <w:r>
                <w:rPr>
                  <w:rFonts w:ascii="Arial" w:cs="Arial" w:eastAsia="Arial" w:hAnsi="Arial"/>
                  <w:sz w:val="16"/>
                  <w:szCs w:val="16"/>
                  <w:color w:val="0000FF"/>
                </w:rPr>
                <w:t>Form of Indemnification Agreement (filed as Exhibit 10.5 to the Registrant’s Form 8-K filed on September 3, 2004).</w:t>
              </w:r>
            </w:hyperlink>
          </w:p>
        </w:tc>
      </w:tr>
      <w:tr>
        <w:trPr>
          <w:trHeight w:val="20"/>
        </w:trPr>
        <w:tc>
          <w:tcPr>
            <w:tcW w:w="1460" w:type="dxa"/>
            <w:vAlign w:val="bottom"/>
            <w:tcBorders>
              <w:right w:val="single" w:sz="8" w:color="0000EE"/>
            </w:tcBorders>
          </w:tcPr>
          <w:p>
            <w:pPr>
              <w:spacing w:after="0" w:line="20" w:lineRule="exact"/>
              <w:rPr>
                <w:sz w:val="1"/>
                <w:szCs w:val="1"/>
                <w:color w:val="auto"/>
              </w:rPr>
            </w:pPr>
          </w:p>
        </w:tc>
        <w:tc>
          <w:tcPr>
            <w:tcW w:w="2840" w:type="dxa"/>
            <w:vAlign w:val="bottom"/>
            <w:gridSpan w:val="9"/>
            <w:shd w:val="clear" w:color="auto" w:fill="0000FF"/>
          </w:tcPr>
          <w:p>
            <w:pPr>
              <w:spacing w:after="0" w:line="20" w:lineRule="exact"/>
              <w:rPr>
                <w:sz w:val="1"/>
                <w:szCs w:val="1"/>
                <w:color w:val="auto"/>
              </w:rPr>
            </w:pPr>
          </w:p>
        </w:tc>
        <w:tc>
          <w:tcPr>
            <w:tcW w:w="5340" w:type="dxa"/>
            <w:vAlign w:val="bottom"/>
            <w:gridSpan w:val="14"/>
            <w:shd w:val="clear" w:color="auto" w:fill="0000FF"/>
          </w:tcPr>
          <w:p>
            <w:pPr>
              <w:spacing w:after="0" w:line="20" w:lineRule="exact"/>
              <w:rPr>
                <w:sz w:val="1"/>
                <w:szCs w:val="1"/>
                <w:color w:val="auto"/>
              </w:rPr>
            </w:pPr>
          </w:p>
        </w:tc>
        <w:tc>
          <w:tcPr>
            <w:tcW w:w="1520" w:type="dxa"/>
            <w:vAlign w:val="bottom"/>
            <w:gridSpan w:val="1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50"/>
        </w:trPr>
        <w:tc>
          <w:tcPr>
            <w:tcW w:w="1460" w:type="dxa"/>
            <w:vAlign w:val="bottom"/>
          </w:tcPr>
          <w:p>
            <w:pPr>
              <w:ind w:left="120"/>
              <w:spacing w:after="0"/>
              <w:rPr>
                <w:sz w:val="20"/>
                <w:szCs w:val="20"/>
                <w:color w:val="auto"/>
              </w:rPr>
            </w:pPr>
            <w:r>
              <w:rPr>
                <w:rFonts w:ascii="Arial" w:cs="Arial" w:eastAsia="Arial" w:hAnsi="Arial"/>
                <w:sz w:val="16"/>
                <w:szCs w:val="16"/>
                <w:color w:val="auto"/>
              </w:rPr>
              <w:t>10.10†</w:t>
            </w:r>
          </w:p>
        </w:tc>
        <w:tc>
          <w:tcPr>
            <w:tcW w:w="9780" w:type="dxa"/>
            <w:vAlign w:val="bottom"/>
            <w:gridSpan w:val="43"/>
          </w:tcPr>
          <w:p>
            <w:pPr>
              <w:spacing w:after="0"/>
              <w:rPr>
                <w:rFonts w:ascii="Arial" w:cs="Arial" w:eastAsia="Arial" w:hAnsi="Arial"/>
                <w:sz w:val="16"/>
                <w:szCs w:val="16"/>
                <w:color w:val="0000FF"/>
              </w:rPr>
            </w:pPr>
            <w:hyperlink r:id="rId358">
              <w:r>
                <w:rPr>
                  <w:rFonts w:ascii="Arial" w:cs="Arial" w:eastAsia="Arial" w:hAnsi="Arial"/>
                  <w:sz w:val="16"/>
                  <w:szCs w:val="16"/>
                  <w:color w:val="0000FF"/>
                </w:rPr>
                <w:t>Change in Control Agreement dated November 15, 2022, between Black Hills Corporation and Linden R. Evans (filed as Exhibit 10.17</w:t>
              </w:r>
            </w:hyperlink>
          </w:p>
        </w:tc>
      </w:tr>
      <w:tr>
        <w:trPr>
          <w:trHeight w:val="169"/>
        </w:trPr>
        <w:tc>
          <w:tcPr>
            <w:tcW w:w="1460" w:type="dxa"/>
            <w:vAlign w:val="bottom"/>
          </w:tcPr>
          <w:p>
            <w:pPr>
              <w:spacing w:after="0"/>
              <w:rPr>
                <w:sz w:val="14"/>
                <w:szCs w:val="14"/>
                <w:color w:val="auto"/>
              </w:rPr>
            </w:pPr>
          </w:p>
        </w:tc>
        <w:tc>
          <w:tcPr>
            <w:tcW w:w="2840" w:type="dxa"/>
            <w:vAlign w:val="bottom"/>
            <w:tcBorders>
              <w:top w:val="single" w:sz="8" w:color="0000FF"/>
              <w:bottom w:val="single" w:sz="8" w:color="0000FF"/>
            </w:tcBorders>
            <w:gridSpan w:val="9"/>
          </w:tcPr>
          <w:p>
            <w:pPr>
              <w:spacing w:after="0" w:line="169" w:lineRule="exact"/>
              <w:rPr>
                <w:rFonts w:ascii="Arial" w:cs="Arial" w:eastAsia="Arial" w:hAnsi="Arial"/>
                <w:sz w:val="16"/>
                <w:szCs w:val="16"/>
                <w:color w:val="0000FF"/>
              </w:rPr>
            </w:pPr>
            <w:hyperlink r:id="rId358">
              <w:r>
                <w:rPr>
                  <w:rFonts w:ascii="Arial" w:cs="Arial" w:eastAsia="Arial" w:hAnsi="Arial"/>
                  <w:sz w:val="16"/>
                  <w:szCs w:val="16"/>
                  <w:color w:val="0000FF"/>
                </w:rPr>
                <w:t>to the Registrant's Form 10-K for 2022).</w:t>
              </w:r>
            </w:hyperlink>
          </w:p>
        </w:tc>
        <w:tc>
          <w:tcPr>
            <w:tcW w:w="6860" w:type="dxa"/>
            <w:vAlign w:val="bottom"/>
            <w:tcBorders>
              <w:top w:val="single" w:sz="8" w:color="0000FF"/>
            </w:tcBorders>
            <w:gridSpan w:val="30"/>
          </w:tcPr>
          <w:p>
            <w:pPr>
              <w:spacing w:after="0"/>
              <w:rPr>
                <w:sz w:val="14"/>
                <w:szCs w:val="14"/>
                <w:color w:val="auto"/>
              </w:rPr>
            </w:pPr>
          </w:p>
        </w:tc>
        <w:tc>
          <w:tcPr>
            <w:tcW w:w="80" w:type="dxa"/>
            <w:vAlign w:val="bottom"/>
            <w:gridSpan w:val="4"/>
          </w:tcPr>
          <w:p>
            <w:pPr>
              <w:spacing w:after="0"/>
              <w:rPr>
                <w:sz w:val="14"/>
                <w:szCs w:val="14"/>
                <w:color w:val="auto"/>
              </w:rPr>
            </w:pPr>
          </w:p>
        </w:tc>
      </w:tr>
      <w:tr>
        <w:trPr>
          <w:trHeight w:val="235"/>
        </w:trPr>
        <w:tc>
          <w:tcPr>
            <w:tcW w:w="1460" w:type="dxa"/>
            <w:vAlign w:val="bottom"/>
          </w:tcPr>
          <w:p>
            <w:pPr>
              <w:spacing w:after="0"/>
              <w:rPr>
                <w:sz w:val="20"/>
                <w:szCs w:val="20"/>
                <w:color w:val="auto"/>
              </w:rPr>
            </w:pPr>
          </w:p>
        </w:tc>
        <w:tc>
          <w:tcPr>
            <w:tcW w:w="4440" w:type="dxa"/>
            <w:vAlign w:val="bottom"/>
            <w:gridSpan w:val="14"/>
          </w:tcPr>
          <w:p>
            <w:pPr>
              <w:jc w:val="right"/>
              <w:ind w:right="140"/>
              <w:spacing w:after="0"/>
              <w:rPr>
                <w:sz w:val="20"/>
                <w:szCs w:val="20"/>
                <w:color w:val="auto"/>
              </w:rPr>
            </w:pPr>
            <w:r>
              <w:rPr>
                <w:rFonts w:ascii="Arial" w:cs="Arial" w:eastAsia="Arial" w:hAnsi="Arial"/>
                <w:sz w:val="16"/>
                <w:szCs w:val="16"/>
                <w:color w:val="auto"/>
              </w:rPr>
              <w:t>105</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751"/>
        </w:trPr>
        <w:tc>
          <w:tcPr>
            <w:tcW w:w="1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5" w:name="page106"/>
    <w:bookmarkEnd w:id="10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1340" w:type="dxa"/>
            <w:vAlign w:val="bottom"/>
          </w:tcPr>
          <w:p>
            <w:pPr>
              <w:spacing w:after="0"/>
              <w:rPr>
                <w:sz w:val="20"/>
                <w:szCs w:val="20"/>
                <w:color w:val="auto"/>
              </w:rPr>
            </w:pPr>
            <w:r>
              <w:rPr>
                <w:rFonts w:ascii="Arial" w:cs="Arial" w:eastAsia="Arial" w:hAnsi="Arial"/>
                <w:sz w:val="16"/>
                <w:szCs w:val="16"/>
                <w:color w:val="auto"/>
              </w:rPr>
              <w:t>10.11†</w:t>
            </w:r>
          </w:p>
        </w:tc>
        <w:tc>
          <w:tcPr>
            <w:tcW w:w="9740" w:type="dxa"/>
            <w:vAlign w:val="bottom"/>
            <w:gridSpan w:val="27"/>
          </w:tcPr>
          <w:p>
            <w:pPr>
              <w:spacing w:after="0"/>
              <w:rPr>
                <w:rFonts w:ascii="Arial" w:cs="Arial" w:eastAsia="Arial" w:hAnsi="Arial"/>
                <w:sz w:val="16"/>
                <w:szCs w:val="16"/>
                <w:color w:val="0000FF"/>
              </w:rPr>
            </w:pPr>
            <w:hyperlink r:id="rId361">
              <w:r>
                <w:rPr>
                  <w:rFonts w:ascii="Arial" w:cs="Arial" w:eastAsia="Arial" w:hAnsi="Arial"/>
                  <w:sz w:val="16"/>
                  <w:szCs w:val="16"/>
                  <w:color w:val="0000FF"/>
                </w:rPr>
                <w:t>Change in Control Agreements dated November 15, 2022, between Black Hills Corporation and its non-CEO Senior Executive Officers</w:t>
              </w:r>
            </w:hyperlink>
          </w:p>
        </w:tc>
      </w:tr>
      <w:tr>
        <w:trPr>
          <w:trHeight w:val="169"/>
        </w:trPr>
        <w:tc>
          <w:tcPr>
            <w:tcW w:w="1340" w:type="dxa"/>
            <w:vAlign w:val="bottom"/>
          </w:tcPr>
          <w:p>
            <w:pPr>
              <w:spacing w:after="0"/>
              <w:rPr>
                <w:sz w:val="14"/>
                <w:szCs w:val="14"/>
                <w:color w:val="auto"/>
              </w:rPr>
            </w:pPr>
          </w:p>
        </w:tc>
        <w:tc>
          <w:tcPr>
            <w:tcW w:w="4440" w:type="dxa"/>
            <w:vAlign w:val="bottom"/>
            <w:tcBorders>
              <w:top w:val="single" w:sz="8" w:color="0000FF"/>
              <w:bottom w:val="single" w:sz="8" w:color="0000FF"/>
            </w:tcBorders>
            <w:gridSpan w:val="6"/>
          </w:tcPr>
          <w:p>
            <w:pPr>
              <w:spacing w:after="0" w:line="169" w:lineRule="exact"/>
              <w:rPr>
                <w:rFonts w:ascii="Arial" w:cs="Arial" w:eastAsia="Arial" w:hAnsi="Arial"/>
                <w:sz w:val="16"/>
                <w:szCs w:val="16"/>
                <w:color w:val="0000FF"/>
              </w:rPr>
            </w:pPr>
            <w:hyperlink r:id="rId361">
              <w:r>
                <w:rPr>
                  <w:rFonts w:ascii="Arial" w:cs="Arial" w:eastAsia="Arial" w:hAnsi="Arial"/>
                  <w:sz w:val="16"/>
                  <w:szCs w:val="16"/>
                  <w:color w:val="0000FF"/>
                </w:rPr>
                <w:t>(filed as Exhibit 10.18 to the Registrant's Form 10-K for 2022).</w:t>
              </w:r>
            </w:hyperlink>
          </w:p>
        </w:tc>
        <w:tc>
          <w:tcPr>
            <w:tcW w:w="5300" w:type="dxa"/>
            <w:vAlign w:val="bottom"/>
            <w:tcBorders>
              <w:top w:val="single" w:sz="8" w:color="0000FF"/>
            </w:tcBorders>
            <w:gridSpan w:val="21"/>
          </w:tcPr>
          <w:p>
            <w:pPr>
              <w:spacing w:after="0"/>
              <w:rPr>
                <w:sz w:val="14"/>
                <w:szCs w:val="14"/>
                <w:color w:val="auto"/>
              </w:rPr>
            </w:pPr>
          </w:p>
        </w:tc>
      </w:tr>
      <w:tr>
        <w:trPr>
          <w:trHeight w:val="250"/>
        </w:trPr>
        <w:tc>
          <w:tcPr>
            <w:tcW w:w="1340" w:type="dxa"/>
            <w:vAlign w:val="bottom"/>
          </w:tcPr>
          <w:p>
            <w:pPr>
              <w:spacing w:after="0"/>
              <w:rPr>
                <w:sz w:val="20"/>
                <w:szCs w:val="20"/>
                <w:color w:val="auto"/>
              </w:rPr>
            </w:pPr>
            <w:r>
              <w:rPr>
                <w:rFonts w:ascii="Arial" w:cs="Arial" w:eastAsia="Arial" w:hAnsi="Arial"/>
                <w:sz w:val="16"/>
                <w:szCs w:val="16"/>
                <w:color w:val="auto"/>
              </w:rPr>
              <w:t>10.12†</w:t>
            </w:r>
          </w:p>
        </w:tc>
        <w:tc>
          <w:tcPr>
            <w:tcW w:w="9740" w:type="dxa"/>
            <w:vAlign w:val="bottom"/>
            <w:gridSpan w:val="27"/>
          </w:tcPr>
          <w:p>
            <w:pPr>
              <w:spacing w:after="0"/>
              <w:rPr>
                <w:rFonts w:ascii="Arial" w:cs="Arial" w:eastAsia="Arial" w:hAnsi="Arial"/>
                <w:sz w:val="16"/>
                <w:szCs w:val="16"/>
                <w:color w:val="0000FF"/>
              </w:rPr>
            </w:pPr>
            <w:hyperlink r:id="rId362">
              <w:r>
                <w:rPr>
                  <w:rFonts w:ascii="Arial" w:cs="Arial" w:eastAsia="Arial" w:hAnsi="Arial"/>
                  <w:sz w:val="16"/>
                  <w:szCs w:val="16"/>
                  <w:color w:val="0000FF"/>
                </w:rPr>
                <w:t>Outside Directors Stock Based Compensation Plan as Amended and Restated effective January 1, 2009, (filed as Exhibit 10.23 to the</w:t>
              </w:r>
            </w:hyperlink>
          </w:p>
        </w:tc>
      </w:tr>
      <w:tr>
        <w:trPr>
          <w:trHeight w:val="169"/>
        </w:trPr>
        <w:tc>
          <w:tcPr>
            <w:tcW w:w="1340" w:type="dxa"/>
            <w:vAlign w:val="bottom"/>
          </w:tcPr>
          <w:p>
            <w:pPr>
              <w:spacing w:after="0"/>
              <w:rPr>
                <w:sz w:val="14"/>
                <w:szCs w:val="14"/>
                <w:color w:val="auto"/>
              </w:rPr>
            </w:pPr>
          </w:p>
        </w:tc>
        <w:tc>
          <w:tcPr>
            <w:tcW w:w="2400" w:type="dxa"/>
            <w:vAlign w:val="bottom"/>
            <w:tcBorders>
              <w:top w:val="single" w:sz="8" w:color="0000FF"/>
              <w:bottom w:val="single" w:sz="8" w:color="0000FF"/>
            </w:tcBorders>
            <w:gridSpan w:val="2"/>
          </w:tcPr>
          <w:p>
            <w:pPr>
              <w:spacing w:after="0" w:line="169" w:lineRule="exact"/>
              <w:rPr>
                <w:rFonts w:ascii="Arial" w:cs="Arial" w:eastAsia="Arial" w:hAnsi="Arial"/>
                <w:sz w:val="16"/>
                <w:szCs w:val="16"/>
                <w:color w:val="0000FF"/>
              </w:rPr>
            </w:pPr>
            <w:hyperlink r:id="rId362">
              <w:r>
                <w:rPr>
                  <w:rFonts w:ascii="Arial" w:cs="Arial" w:eastAsia="Arial" w:hAnsi="Arial"/>
                  <w:sz w:val="16"/>
                  <w:szCs w:val="16"/>
                  <w:color w:val="0000FF"/>
                </w:rPr>
                <w:t>Registrant’s Form 10-K for 2008).</w:t>
              </w:r>
            </w:hyperlink>
          </w:p>
        </w:tc>
        <w:tc>
          <w:tcPr>
            <w:tcW w:w="7280" w:type="dxa"/>
            <w:vAlign w:val="bottom"/>
            <w:tcBorders>
              <w:top w:val="single" w:sz="8" w:color="0000FF"/>
            </w:tcBorders>
            <w:gridSpan w:val="2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50"/>
        </w:trPr>
        <w:tc>
          <w:tcPr>
            <w:tcW w:w="1340" w:type="dxa"/>
            <w:vAlign w:val="bottom"/>
          </w:tcPr>
          <w:p>
            <w:pPr>
              <w:ind w:left="100"/>
              <w:spacing w:after="0"/>
              <w:rPr>
                <w:sz w:val="20"/>
                <w:szCs w:val="20"/>
                <w:color w:val="auto"/>
              </w:rPr>
            </w:pPr>
            <w:r>
              <w:rPr>
                <w:rFonts w:ascii="Arial" w:cs="Arial" w:eastAsia="Arial" w:hAnsi="Arial"/>
                <w:sz w:val="16"/>
                <w:szCs w:val="16"/>
                <w:color w:val="auto"/>
              </w:rPr>
              <w:t>10.12-1†</w:t>
            </w:r>
          </w:p>
        </w:tc>
        <w:tc>
          <w:tcPr>
            <w:tcW w:w="120" w:type="dxa"/>
            <w:vAlign w:val="bottom"/>
          </w:tcPr>
          <w:p>
            <w:pPr>
              <w:spacing w:after="0"/>
              <w:rPr>
                <w:sz w:val="21"/>
                <w:szCs w:val="21"/>
                <w:color w:val="auto"/>
              </w:rPr>
            </w:pPr>
          </w:p>
        </w:tc>
        <w:tc>
          <w:tcPr>
            <w:tcW w:w="9620" w:type="dxa"/>
            <w:vAlign w:val="bottom"/>
            <w:gridSpan w:val="26"/>
          </w:tcPr>
          <w:p>
            <w:pPr>
              <w:spacing w:after="0"/>
              <w:rPr>
                <w:rFonts w:ascii="Arial" w:cs="Arial" w:eastAsia="Arial" w:hAnsi="Arial"/>
                <w:sz w:val="16"/>
                <w:szCs w:val="16"/>
                <w:color w:val="0000FF"/>
              </w:rPr>
            </w:pPr>
            <w:hyperlink r:id="rId363">
              <w:r>
                <w:rPr>
                  <w:rFonts w:ascii="Arial" w:cs="Arial" w:eastAsia="Arial" w:hAnsi="Arial"/>
                  <w:sz w:val="16"/>
                  <w:szCs w:val="16"/>
                  <w:color w:val="0000FF"/>
                </w:rPr>
                <w:t>First Amendment to the Outside Directors Stock Based Compensation Plan effective January 1, 2011, (filed as Exhibit 10.16 to the</w:t>
              </w:r>
            </w:hyperlink>
          </w:p>
        </w:tc>
      </w:tr>
      <w:tr>
        <w:trPr>
          <w:trHeight w:val="169"/>
        </w:trPr>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tcBorders>
              <w:top w:val="single" w:sz="8" w:color="0000FF"/>
              <w:bottom w:val="single" w:sz="8" w:color="0000FF"/>
            </w:tcBorders>
            <w:gridSpan w:val="2"/>
          </w:tcPr>
          <w:p>
            <w:pPr>
              <w:spacing w:after="0" w:line="169" w:lineRule="exact"/>
              <w:rPr>
                <w:rFonts w:ascii="Arial" w:cs="Arial" w:eastAsia="Arial" w:hAnsi="Arial"/>
                <w:sz w:val="16"/>
                <w:szCs w:val="16"/>
                <w:color w:val="0000FF"/>
                <w:w w:val="99"/>
              </w:rPr>
            </w:pPr>
            <w:hyperlink r:id="rId363">
              <w:r>
                <w:rPr>
                  <w:rFonts w:ascii="Arial" w:cs="Arial" w:eastAsia="Arial" w:hAnsi="Arial"/>
                  <w:sz w:val="16"/>
                  <w:szCs w:val="16"/>
                  <w:color w:val="0000FF"/>
                  <w:w w:val="99"/>
                </w:rPr>
                <w:t>Registrant’s Form 10-K for 2010).</w:t>
              </w:r>
            </w:hyperlink>
          </w:p>
        </w:tc>
        <w:tc>
          <w:tcPr>
            <w:tcW w:w="6980" w:type="dxa"/>
            <w:vAlign w:val="bottom"/>
            <w:tcBorders>
              <w:top w:val="single" w:sz="8" w:color="0000FF"/>
            </w:tcBorders>
            <w:gridSpan w:val="1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50"/>
        </w:trPr>
        <w:tc>
          <w:tcPr>
            <w:tcW w:w="1340" w:type="dxa"/>
            <w:vAlign w:val="bottom"/>
          </w:tcPr>
          <w:p>
            <w:pPr>
              <w:ind w:left="100"/>
              <w:spacing w:after="0"/>
              <w:rPr>
                <w:sz w:val="20"/>
                <w:szCs w:val="20"/>
                <w:color w:val="auto"/>
              </w:rPr>
            </w:pPr>
            <w:r>
              <w:rPr>
                <w:rFonts w:ascii="Arial" w:cs="Arial" w:eastAsia="Arial" w:hAnsi="Arial"/>
                <w:sz w:val="16"/>
                <w:szCs w:val="16"/>
                <w:color w:val="auto"/>
              </w:rPr>
              <w:t>10.12-2†</w:t>
            </w:r>
          </w:p>
        </w:tc>
        <w:tc>
          <w:tcPr>
            <w:tcW w:w="120" w:type="dxa"/>
            <w:vAlign w:val="bottom"/>
          </w:tcPr>
          <w:p>
            <w:pPr>
              <w:spacing w:after="0"/>
              <w:rPr>
                <w:sz w:val="21"/>
                <w:szCs w:val="21"/>
                <w:color w:val="auto"/>
              </w:rPr>
            </w:pPr>
          </w:p>
        </w:tc>
        <w:tc>
          <w:tcPr>
            <w:tcW w:w="9620" w:type="dxa"/>
            <w:vAlign w:val="bottom"/>
            <w:gridSpan w:val="26"/>
          </w:tcPr>
          <w:p>
            <w:pPr>
              <w:spacing w:after="0"/>
              <w:rPr>
                <w:rFonts w:ascii="Arial" w:cs="Arial" w:eastAsia="Arial" w:hAnsi="Arial"/>
                <w:sz w:val="16"/>
                <w:szCs w:val="16"/>
                <w:color w:val="0000FF"/>
              </w:rPr>
            </w:pPr>
            <w:hyperlink r:id="rId364">
              <w:r>
                <w:rPr>
                  <w:rFonts w:ascii="Arial" w:cs="Arial" w:eastAsia="Arial" w:hAnsi="Arial"/>
                  <w:sz w:val="16"/>
                  <w:szCs w:val="16"/>
                  <w:color w:val="0000FF"/>
                </w:rPr>
                <w:t>Second Amendment to the Outside Director’s Stock Based Compensation Plan effective January 1, 2013, (filed as Exhibit 10.15 to</w:t>
              </w:r>
            </w:hyperlink>
          </w:p>
        </w:tc>
      </w:tr>
      <w:tr>
        <w:trPr>
          <w:trHeight w:val="169"/>
        </w:trPr>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380" w:type="dxa"/>
            <w:vAlign w:val="bottom"/>
            <w:tcBorders>
              <w:top w:val="single" w:sz="8" w:color="0000FF"/>
            </w:tcBorders>
            <w:gridSpan w:val="15"/>
          </w:tcPr>
          <w:p>
            <w:pPr>
              <w:spacing w:after="0" w:line="169" w:lineRule="exact"/>
              <w:rPr>
                <w:rFonts w:ascii="Arial" w:cs="Arial" w:eastAsia="Arial" w:hAnsi="Arial"/>
                <w:sz w:val="16"/>
                <w:szCs w:val="16"/>
                <w:color w:val="0000FF"/>
              </w:rPr>
            </w:pPr>
            <w:hyperlink r:id="rId364">
              <w:r>
                <w:rPr>
                  <w:rFonts w:ascii="Arial" w:cs="Arial" w:eastAsia="Arial" w:hAnsi="Arial"/>
                  <w:sz w:val="16"/>
                  <w:szCs w:val="16"/>
                  <w:color w:val="0000FF"/>
                </w:rPr>
                <w:t>the Registrant’s Form 10-K for 2012).</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3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640" w:type="dxa"/>
            <w:vAlign w:val="bottom"/>
            <w:gridSpan w:val="3"/>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40" w:type="dxa"/>
            <w:vAlign w:val="bottom"/>
          </w:tcPr>
          <w:p>
            <w:pPr>
              <w:ind w:left="100"/>
              <w:spacing w:after="0"/>
              <w:rPr>
                <w:sz w:val="20"/>
                <w:szCs w:val="20"/>
                <w:color w:val="auto"/>
              </w:rPr>
            </w:pPr>
            <w:r>
              <w:rPr>
                <w:rFonts w:ascii="Arial" w:cs="Arial" w:eastAsia="Arial" w:hAnsi="Arial"/>
                <w:sz w:val="16"/>
                <w:szCs w:val="16"/>
                <w:color w:val="auto"/>
              </w:rPr>
              <w:t>10.12-3†</w:t>
            </w:r>
          </w:p>
        </w:tc>
        <w:tc>
          <w:tcPr>
            <w:tcW w:w="120" w:type="dxa"/>
            <w:vAlign w:val="bottom"/>
          </w:tcPr>
          <w:p>
            <w:pPr>
              <w:spacing w:after="0"/>
              <w:rPr>
                <w:sz w:val="21"/>
                <w:szCs w:val="21"/>
                <w:color w:val="auto"/>
              </w:rPr>
            </w:pPr>
          </w:p>
        </w:tc>
        <w:tc>
          <w:tcPr>
            <w:tcW w:w="9620" w:type="dxa"/>
            <w:vAlign w:val="bottom"/>
            <w:gridSpan w:val="26"/>
          </w:tcPr>
          <w:p>
            <w:pPr>
              <w:spacing w:after="0"/>
              <w:rPr>
                <w:rFonts w:ascii="Arial" w:cs="Arial" w:eastAsia="Arial" w:hAnsi="Arial"/>
                <w:sz w:val="16"/>
                <w:szCs w:val="16"/>
                <w:color w:val="0000FF"/>
              </w:rPr>
            </w:pPr>
            <w:hyperlink r:id="rId365">
              <w:r>
                <w:rPr>
                  <w:rFonts w:ascii="Arial" w:cs="Arial" w:eastAsia="Arial" w:hAnsi="Arial"/>
                  <w:sz w:val="16"/>
                  <w:szCs w:val="16"/>
                  <w:color w:val="0000FF"/>
                </w:rPr>
                <w:t>Third Amendment to the Outside Director’s Stock Based Compensation Plan effective January 1, 2015, (filed as Exhibit 10.16 to the</w:t>
              </w:r>
            </w:hyperlink>
          </w:p>
        </w:tc>
      </w:tr>
      <w:tr>
        <w:trPr>
          <w:trHeight w:val="169"/>
        </w:trPr>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tcBorders>
              <w:top w:val="single" w:sz="8" w:color="0000FF"/>
              <w:bottom w:val="single" w:sz="8" w:color="0000FF"/>
            </w:tcBorders>
            <w:gridSpan w:val="2"/>
          </w:tcPr>
          <w:p>
            <w:pPr>
              <w:spacing w:after="0" w:line="169" w:lineRule="exact"/>
              <w:rPr>
                <w:rFonts w:ascii="Arial" w:cs="Arial" w:eastAsia="Arial" w:hAnsi="Arial"/>
                <w:sz w:val="16"/>
                <w:szCs w:val="16"/>
                <w:color w:val="0000FF"/>
                <w:w w:val="99"/>
              </w:rPr>
            </w:pPr>
            <w:hyperlink r:id="rId365">
              <w:r>
                <w:rPr>
                  <w:rFonts w:ascii="Arial" w:cs="Arial" w:eastAsia="Arial" w:hAnsi="Arial"/>
                  <w:sz w:val="16"/>
                  <w:szCs w:val="16"/>
                  <w:color w:val="0000FF"/>
                  <w:w w:val="99"/>
                </w:rPr>
                <w:t>Registrant’s Form 10-K for 2014).</w:t>
              </w:r>
            </w:hyperlink>
          </w:p>
        </w:tc>
        <w:tc>
          <w:tcPr>
            <w:tcW w:w="7080" w:type="dxa"/>
            <w:vAlign w:val="bottom"/>
            <w:tcBorders>
              <w:top w:val="single" w:sz="8" w:color="0000FF"/>
            </w:tcBorders>
            <w:gridSpan w:val="1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50"/>
        </w:trPr>
        <w:tc>
          <w:tcPr>
            <w:tcW w:w="1340" w:type="dxa"/>
            <w:vAlign w:val="bottom"/>
          </w:tcPr>
          <w:p>
            <w:pPr>
              <w:ind w:left="100"/>
              <w:spacing w:after="0"/>
              <w:rPr>
                <w:sz w:val="20"/>
                <w:szCs w:val="20"/>
                <w:color w:val="auto"/>
              </w:rPr>
            </w:pPr>
            <w:r>
              <w:rPr>
                <w:rFonts w:ascii="Arial" w:cs="Arial" w:eastAsia="Arial" w:hAnsi="Arial"/>
                <w:sz w:val="16"/>
                <w:szCs w:val="16"/>
                <w:color w:val="auto"/>
              </w:rPr>
              <w:t>10.12-4†</w:t>
            </w:r>
          </w:p>
        </w:tc>
        <w:tc>
          <w:tcPr>
            <w:tcW w:w="120" w:type="dxa"/>
            <w:vAlign w:val="bottom"/>
          </w:tcPr>
          <w:p>
            <w:pPr>
              <w:spacing w:after="0"/>
              <w:rPr>
                <w:sz w:val="21"/>
                <w:szCs w:val="21"/>
                <w:color w:val="auto"/>
              </w:rPr>
            </w:pPr>
          </w:p>
        </w:tc>
        <w:tc>
          <w:tcPr>
            <w:tcW w:w="9620" w:type="dxa"/>
            <w:vAlign w:val="bottom"/>
            <w:gridSpan w:val="26"/>
          </w:tcPr>
          <w:p>
            <w:pPr>
              <w:spacing w:after="0"/>
              <w:rPr>
                <w:rFonts w:ascii="Arial" w:cs="Arial" w:eastAsia="Arial" w:hAnsi="Arial"/>
                <w:sz w:val="16"/>
                <w:szCs w:val="16"/>
                <w:color w:val="0000FF"/>
              </w:rPr>
            </w:pPr>
            <w:hyperlink r:id="rId366">
              <w:r>
                <w:rPr>
                  <w:rFonts w:ascii="Arial" w:cs="Arial" w:eastAsia="Arial" w:hAnsi="Arial"/>
                  <w:sz w:val="16"/>
                  <w:szCs w:val="16"/>
                  <w:color w:val="0000FF"/>
                </w:rPr>
                <w:t>Fourth Amendment to the Outside Director’s Stock Based Compensation Plan effective January 1, 2017, (filed as Exhibit 10.4 to the</w:t>
              </w:r>
            </w:hyperlink>
          </w:p>
        </w:tc>
      </w:tr>
      <w:tr>
        <w:trPr>
          <w:trHeight w:val="169"/>
        </w:trPr>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40" w:type="dxa"/>
            <w:vAlign w:val="bottom"/>
            <w:tcBorders>
              <w:top w:val="single" w:sz="8" w:color="0000FF"/>
              <w:bottom w:val="single" w:sz="8" w:color="0000FF"/>
            </w:tcBorders>
            <w:gridSpan w:val="7"/>
          </w:tcPr>
          <w:p>
            <w:pPr>
              <w:spacing w:after="0" w:line="169" w:lineRule="exact"/>
              <w:rPr>
                <w:rFonts w:ascii="Arial" w:cs="Arial" w:eastAsia="Arial" w:hAnsi="Arial"/>
                <w:sz w:val="16"/>
                <w:szCs w:val="16"/>
                <w:color w:val="0000FF"/>
              </w:rPr>
            </w:pPr>
            <w:hyperlink r:id="rId366">
              <w:r>
                <w:rPr>
                  <w:rFonts w:ascii="Arial" w:cs="Arial" w:eastAsia="Arial" w:hAnsi="Arial"/>
                  <w:sz w:val="16"/>
                  <w:szCs w:val="16"/>
                  <w:color w:val="0000FF"/>
                </w:rPr>
                <w:t>Registrant’s Form 10-Q for the quarterly period ended September 30, 2016).</w:t>
              </w:r>
            </w:hyperlink>
          </w:p>
        </w:tc>
        <w:tc>
          <w:tcPr>
            <w:tcW w:w="4040" w:type="dxa"/>
            <w:vAlign w:val="bottom"/>
            <w:tcBorders>
              <w:top w:val="single" w:sz="8" w:color="0000FF"/>
            </w:tcBorders>
            <w:gridSpan w:val="1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50"/>
        </w:trPr>
        <w:tc>
          <w:tcPr>
            <w:tcW w:w="1340" w:type="dxa"/>
            <w:vAlign w:val="bottom"/>
          </w:tcPr>
          <w:p>
            <w:pPr>
              <w:ind w:left="100"/>
              <w:spacing w:after="0"/>
              <w:rPr>
                <w:sz w:val="20"/>
                <w:szCs w:val="20"/>
                <w:color w:val="auto"/>
              </w:rPr>
            </w:pPr>
            <w:r>
              <w:rPr>
                <w:rFonts w:ascii="Arial" w:cs="Arial" w:eastAsia="Arial" w:hAnsi="Arial"/>
                <w:sz w:val="16"/>
                <w:szCs w:val="16"/>
                <w:color w:val="auto"/>
              </w:rPr>
              <w:t>10.12-5†</w:t>
            </w:r>
          </w:p>
        </w:tc>
        <w:tc>
          <w:tcPr>
            <w:tcW w:w="120" w:type="dxa"/>
            <w:vAlign w:val="bottom"/>
          </w:tcPr>
          <w:p>
            <w:pPr>
              <w:spacing w:after="0"/>
              <w:rPr>
                <w:sz w:val="21"/>
                <w:szCs w:val="21"/>
                <w:color w:val="auto"/>
              </w:rPr>
            </w:pPr>
          </w:p>
        </w:tc>
        <w:tc>
          <w:tcPr>
            <w:tcW w:w="9620" w:type="dxa"/>
            <w:vAlign w:val="bottom"/>
            <w:gridSpan w:val="26"/>
          </w:tcPr>
          <w:p>
            <w:pPr>
              <w:spacing w:after="0"/>
              <w:rPr>
                <w:rFonts w:ascii="Arial" w:cs="Arial" w:eastAsia="Arial" w:hAnsi="Arial"/>
                <w:sz w:val="16"/>
                <w:szCs w:val="16"/>
                <w:color w:val="0000FF"/>
              </w:rPr>
            </w:pPr>
            <w:hyperlink r:id="rId367">
              <w:r>
                <w:rPr>
                  <w:rFonts w:ascii="Arial" w:cs="Arial" w:eastAsia="Arial" w:hAnsi="Arial"/>
                  <w:sz w:val="16"/>
                  <w:szCs w:val="16"/>
                  <w:color w:val="0000FF"/>
                </w:rPr>
                <w:t>Fifth Amendment to the Outside Director’s Stock Based Compensation Plan effective January 1, 2018, (filed as Exhibit 10.16 to the</w:t>
              </w:r>
            </w:hyperlink>
          </w:p>
        </w:tc>
      </w:tr>
      <w:tr>
        <w:trPr>
          <w:trHeight w:val="169"/>
        </w:trPr>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tcBorders>
              <w:top w:val="single" w:sz="8" w:color="0000FF"/>
              <w:bottom w:val="single" w:sz="8" w:color="0000FF"/>
            </w:tcBorders>
            <w:gridSpan w:val="2"/>
          </w:tcPr>
          <w:p>
            <w:pPr>
              <w:spacing w:after="0" w:line="169" w:lineRule="exact"/>
              <w:rPr>
                <w:rFonts w:ascii="Arial" w:cs="Arial" w:eastAsia="Arial" w:hAnsi="Arial"/>
                <w:sz w:val="16"/>
                <w:szCs w:val="16"/>
                <w:color w:val="0000FF"/>
                <w:w w:val="99"/>
              </w:rPr>
            </w:pPr>
            <w:hyperlink r:id="rId367">
              <w:r>
                <w:rPr>
                  <w:rFonts w:ascii="Arial" w:cs="Arial" w:eastAsia="Arial" w:hAnsi="Arial"/>
                  <w:sz w:val="16"/>
                  <w:szCs w:val="16"/>
                  <w:color w:val="0000FF"/>
                  <w:w w:val="99"/>
                </w:rPr>
                <w:t>Registrant’s Form 10-K for 2017).</w:t>
              </w:r>
            </w:hyperlink>
          </w:p>
        </w:tc>
        <w:tc>
          <w:tcPr>
            <w:tcW w:w="7020" w:type="dxa"/>
            <w:vAlign w:val="bottom"/>
            <w:tcBorders>
              <w:top w:val="single" w:sz="8" w:color="0000FF"/>
            </w:tcBorders>
            <w:gridSpan w:val="14"/>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50"/>
        </w:trPr>
        <w:tc>
          <w:tcPr>
            <w:tcW w:w="1340" w:type="dxa"/>
            <w:vAlign w:val="bottom"/>
          </w:tcPr>
          <w:p>
            <w:pPr>
              <w:ind w:left="100"/>
              <w:spacing w:after="0"/>
              <w:rPr>
                <w:sz w:val="20"/>
                <w:szCs w:val="20"/>
                <w:color w:val="auto"/>
              </w:rPr>
            </w:pPr>
            <w:r>
              <w:rPr>
                <w:rFonts w:ascii="Arial" w:cs="Arial" w:eastAsia="Arial" w:hAnsi="Arial"/>
                <w:sz w:val="16"/>
                <w:szCs w:val="16"/>
                <w:color w:val="auto"/>
              </w:rPr>
              <w:t>10.12-6†</w:t>
            </w:r>
          </w:p>
        </w:tc>
        <w:tc>
          <w:tcPr>
            <w:tcW w:w="120" w:type="dxa"/>
            <w:vAlign w:val="bottom"/>
          </w:tcPr>
          <w:p>
            <w:pPr>
              <w:spacing w:after="0"/>
              <w:rPr>
                <w:sz w:val="21"/>
                <w:szCs w:val="21"/>
                <w:color w:val="auto"/>
              </w:rPr>
            </w:pPr>
          </w:p>
        </w:tc>
        <w:tc>
          <w:tcPr>
            <w:tcW w:w="9620" w:type="dxa"/>
            <w:vAlign w:val="bottom"/>
            <w:gridSpan w:val="26"/>
          </w:tcPr>
          <w:p>
            <w:pPr>
              <w:spacing w:after="0"/>
              <w:rPr>
                <w:rFonts w:ascii="Arial" w:cs="Arial" w:eastAsia="Arial" w:hAnsi="Arial"/>
                <w:sz w:val="16"/>
                <w:szCs w:val="16"/>
                <w:color w:val="0000FF"/>
              </w:rPr>
            </w:pPr>
            <w:hyperlink r:id="rId368">
              <w:r>
                <w:rPr>
                  <w:rFonts w:ascii="Arial" w:cs="Arial" w:eastAsia="Arial" w:hAnsi="Arial"/>
                  <w:sz w:val="16"/>
                  <w:szCs w:val="16"/>
                  <w:color w:val="0000FF"/>
                </w:rPr>
                <w:t>Sixth Amendment to the Outside Director’s Stock Based Compensation Plan effective January 1, 2019, (filed as Exhibit 10.18 to the</w:t>
              </w:r>
            </w:hyperlink>
          </w:p>
        </w:tc>
      </w:tr>
      <w:tr>
        <w:trPr>
          <w:trHeight w:val="169"/>
        </w:trPr>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tcBorders>
              <w:top w:val="single" w:sz="8" w:color="0000FF"/>
              <w:bottom w:val="single" w:sz="8" w:color="0000FF"/>
            </w:tcBorders>
            <w:gridSpan w:val="2"/>
          </w:tcPr>
          <w:p>
            <w:pPr>
              <w:spacing w:after="0" w:line="169" w:lineRule="exact"/>
              <w:rPr>
                <w:rFonts w:ascii="Arial" w:cs="Arial" w:eastAsia="Arial" w:hAnsi="Arial"/>
                <w:sz w:val="16"/>
                <w:szCs w:val="16"/>
                <w:color w:val="0000FF"/>
                <w:w w:val="99"/>
              </w:rPr>
            </w:pPr>
            <w:hyperlink r:id="rId368">
              <w:r>
                <w:rPr>
                  <w:rFonts w:ascii="Arial" w:cs="Arial" w:eastAsia="Arial" w:hAnsi="Arial"/>
                  <w:sz w:val="16"/>
                  <w:szCs w:val="16"/>
                  <w:color w:val="0000FF"/>
                  <w:w w:val="99"/>
                </w:rPr>
                <w:t>Registrant’s Form 10-K for 2018).</w:t>
              </w:r>
            </w:hyperlink>
          </w:p>
        </w:tc>
        <w:tc>
          <w:tcPr>
            <w:tcW w:w="7060" w:type="dxa"/>
            <w:vAlign w:val="bottom"/>
            <w:tcBorders>
              <w:top w:val="single" w:sz="8" w:color="0000FF"/>
            </w:tcBorders>
            <w:gridSpan w:val="15"/>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50"/>
        </w:trPr>
        <w:tc>
          <w:tcPr>
            <w:tcW w:w="1340" w:type="dxa"/>
            <w:vAlign w:val="bottom"/>
          </w:tcPr>
          <w:p>
            <w:pPr>
              <w:spacing w:after="0"/>
              <w:rPr>
                <w:sz w:val="20"/>
                <w:szCs w:val="20"/>
                <w:color w:val="auto"/>
              </w:rPr>
            </w:pPr>
            <w:r>
              <w:rPr>
                <w:rFonts w:ascii="Arial" w:cs="Arial" w:eastAsia="Arial" w:hAnsi="Arial"/>
                <w:sz w:val="16"/>
                <w:szCs w:val="16"/>
                <w:color w:val="auto"/>
              </w:rPr>
              <w:t>10.13†</w:t>
            </w:r>
          </w:p>
        </w:tc>
        <w:tc>
          <w:tcPr>
            <w:tcW w:w="9740" w:type="dxa"/>
            <w:vAlign w:val="bottom"/>
            <w:gridSpan w:val="27"/>
          </w:tcPr>
          <w:p>
            <w:pPr>
              <w:spacing w:after="0"/>
              <w:rPr>
                <w:rFonts w:ascii="Arial" w:cs="Arial" w:eastAsia="Arial" w:hAnsi="Arial"/>
                <w:sz w:val="16"/>
                <w:szCs w:val="16"/>
                <w:color w:val="0000FF"/>
              </w:rPr>
            </w:pPr>
            <w:hyperlink r:id="rId369">
              <w:r>
                <w:rPr>
                  <w:rFonts w:ascii="Arial" w:cs="Arial" w:eastAsia="Arial" w:hAnsi="Arial"/>
                  <w:sz w:val="16"/>
                  <w:szCs w:val="16"/>
                  <w:color w:val="0000FF"/>
                </w:rPr>
                <w:t>Form of Non-Disclosure and Non-Solicitation Agreement for Certain Employees (filed as Exhibit 10.8 to the Registrant’s Form 10-Q for</w:t>
              </w:r>
            </w:hyperlink>
          </w:p>
        </w:tc>
      </w:tr>
      <w:tr>
        <w:trPr>
          <w:trHeight w:val="169"/>
        </w:trPr>
        <w:tc>
          <w:tcPr>
            <w:tcW w:w="1340" w:type="dxa"/>
            <w:vAlign w:val="bottom"/>
          </w:tcPr>
          <w:p>
            <w:pPr>
              <w:spacing w:after="0"/>
              <w:rPr>
                <w:sz w:val="14"/>
                <w:szCs w:val="14"/>
                <w:color w:val="auto"/>
              </w:rPr>
            </w:pPr>
          </w:p>
        </w:tc>
        <w:tc>
          <w:tcPr>
            <w:tcW w:w="9700" w:type="dxa"/>
            <w:vAlign w:val="bottom"/>
            <w:tcBorders>
              <w:top w:val="single" w:sz="8" w:color="0000FF"/>
            </w:tcBorders>
            <w:gridSpan w:val="25"/>
          </w:tcPr>
          <w:p>
            <w:pPr>
              <w:spacing w:after="0" w:line="169" w:lineRule="exact"/>
              <w:rPr>
                <w:rFonts w:ascii="Arial" w:cs="Arial" w:eastAsia="Arial" w:hAnsi="Arial"/>
                <w:sz w:val="16"/>
                <w:szCs w:val="16"/>
                <w:color w:val="0000FF"/>
              </w:rPr>
            </w:pPr>
            <w:hyperlink r:id="rId369">
              <w:r>
                <w:rPr>
                  <w:rFonts w:ascii="Arial" w:cs="Arial" w:eastAsia="Arial" w:hAnsi="Arial"/>
                  <w:sz w:val="16"/>
                  <w:szCs w:val="16"/>
                  <w:color w:val="0000FF"/>
                </w:rPr>
                <w:t>the quarterly period ended March 31, 2016).</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340" w:type="dxa"/>
            <w:vAlign w:val="bottom"/>
            <w:tcBorders>
              <w:right w:val="single" w:sz="8" w:color="0000EE"/>
            </w:tcBorders>
          </w:tcPr>
          <w:p>
            <w:pPr>
              <w:spacing w:after="0" w:line="20" w:lineRule="exact"/>
              <w:rPr>
                <w:sz w:val="1"/>
                <w:szCs w:val="1"/>
                <w:color w:val="auto"/>
              </w:rPr>
            </w:pPr>
          </w:p>
        </w:tc>
        <w:tc>
          <w:tcPr>
            <w:tcW w:w="3140" w:type="dxa"/>
            <w:vAlign w:val="bottom"/>
            <w:gridSpan w:val="5"/>
            <w:shd w:val="clear" w:color="auto" w:fill="0000FF"/>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40" w:type="dxa"/>
            <w:vAlign w:val="bottom"/>
          </w:tcPr>
          <w:p>
            <w:pPr>
              <w:spacing w:after="0"/>
              <w:rPr>
                <w:sz w:val="20"/>
                <w:szCs w:val="20"/>
                <w:color w:val="auto"/>
              </w:rPr>
            </w:pPr>
            <w:r>
              <w:rPr>
                <w:rFonts w:ascii="Arial" w:cs="Arial" w:eastAsia="Arial" w:hAnsi="Arial"/>
                <w:sz w:val="16"/>
                <w:szCs w:val="16"/>
                <w:color w:val="auto"/>
              </w:rPr>
              <w:t>10.14</w:t>
            </w:r>
          </w:p>
        </w:tc>
        <w:tc>
          <w:tcPr>
            <w:tcW w:w="9740" w:type="dxa"/>
            <w:vAlign w:val="bottom"/>
            <w:gridSpan w:val="27"/>
          </w:tcPr>
          <w:p>
            <w:pPr>
              <w:spacing w:after="0"/>
              <w:rPr>
                <w:rFonts w:ascii="Arial" w:cs="Arial" w:eastAsia="Arial" w:hAnsi="Arial"/>
                <w:sz w:val="16"/>
                <w:szCs w:val="16"/>
                <w:color w:val="0000FF"/>
              </w:rPr>
            </w:pPr>
            <w:hyperlink r:id="rId370">
              <w:r>
                <w:rPr>
                  <w:rFonts w:ascii="Arial" w:cs="Arial" w:eastAsia="Arial" w:hAnsi="Arial"/>
                  <w:sz w:val="16"/>
                  <w:szCs w:val="16"/>
                  <w:color w:val="0000FF"/>
                </w:rPr>
                <w:t>Equity Distribution Sales Agreement dated June 16, 2023, among Black Hills Corporation and the several Agents named therein (filed</w:t>
              </w:r>
            </w:hyperlink>
          </w:p>
        </w:tc>
      </w:tr>
      <w:tr>
        <w:trPr>
          <w:trHeight w:val="169"/>
        </w:trPr>
        <w:tc>
          <w:tcPr>
            <w:tcW w:w="1340" w:type="dxa"/>
            <w:vAlign w:val="bottom"/>
          </w:tcPr>
          <w:p>
            <w:pPr>
              <w:spacing w:after="0"/>
              <w:rPr>
                <w:sz w:val="14"/>
                <w:szCs w:val="14"/>
                <w:color w:val="auto"/>
              </w:rPr>
            </w:pPr>
          </w:p>
        </w:tc>
        <w:tc>
          <w:tcPr>
            <w:tcW w:w="9640" w:type="dxa"/>
            <w:vAlign w:val="bottom"/>
            <w:tcBorders>
              <w:top w:val="single" w:sz="8" w:color="0000FF"/>
            </w:tcBorders>
            <w:gridSpan w:val="22"/>
          </w:tcPr>
          <w:p>
            <w:pPr>
              <w:spacing w:after="0" w:line="169" w:lineRule="exact"/>
              <w:rPr>
                <w:rFonts w:ascii="Arial" w:cs="Arial" w:eastAsia="Arial" w:hAnsi="Arial"/>
                <w:sz w:val="16"/>
                <w:szCs w:val="16"/>
                <w:color w:val="0000FF"/>
              </w:rPr>
            </w:pPr>
            <w:hyperlink r:id="rId370">
              <w:r>
                <w:rPr>
                  <w:rFonts w:ascii="Arial" w:cs="Arial" w:eastAsia="Arial" w:hAnsi="Arial"/>
                  <w:sz w:val="16"/>
                  <w:szCs w:val="16"/>
                  <w:color w:val="0000FF"/>
                </w:rPr>
                <w:t>as Exhibit 1.1 to the Registrant’s Form 8-K filed on June 20, 2023).</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340" w:type="dxa"/>
            <w:vAlign w:val="bottom"/>
            <w:tcBorders>
              <w:right w:val="single" w:sz="8" w:color="0000EE"/>
            </w:tcBorders>
          </w:tcPr>
          <w:p>
            <w:pPr>
              <w:spacing w:after="0" w:line="20" w:lineRule="exact"/>
              <w:rPr>
                <w:sz w:val="1"/>
                <w:szCs w:val="1"/>
                <w:color w:val="auto"/>
              </w:rPr>
            </w:pPr>
          </w:p>
        </w:tc>
        <w:tc>
          <w:tcPr>
            <w:tcW w:w="4760" w:type="dxa"/>
            <w:vAlign w:val="bottom"/>
            <w:gridSpan w:val="7"/>
            <w:shd w:val="clear" w:color="auto" w:fill="0000FF"/>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40" w:type="dxa"/>
            <w:vAlign w:val="bottom"/>
          </w:tcPr>
          <w:p>
            <w:pPr>
              <w:spacing w:after="0"/>
              <w:rPr>
                <w:sz w:val="20"/>
                <w:szCs w:val="20"/>
                <w:color w:val="auto"/>
              </w:rPr>
            </w:pPr>
            <w:r>
              <w:rPr>
                <w:rFonts w:ascii="Arial" w:cs="Arial" w:eastAsia="Arial" w:hAnsi="Arial"/>
                <w:sz w:val="16"/>
                <w:szCs w:val="16"/>
                <w:color w:val="auto"/>
              </w:rPr>
              <w:t>10.15</w:t>
            </w:r>
          </w:p>
        </w:tc>
        <w:tc>
          <w:tcPr>
            <w:tcW w:w="9740" w:type="dxa"/>
            <w:vAlign w:val="bottom"/>
            <w:gridSpan w:val="27"/>
          </w:tcPr>
          <w:p>
            <w:pPr>
              <w:spacing w:after="0"/>
              <w:rPr>
                <w:rFonts w:ascii="Arial" w:cs="Arial" w:eastAsia="Arial" w:hAnsi="Arial"/>
                <w:sz w:val="16"/>
                <w:szCs w:val="16"/>
                <w:color w:val="0000FF"/>
              </w:rPr>
            </w:pPr>
            <w:hyperlink r:id="rId371">
              <w:r>
                <w:rPr>
                  <w:rFonts w:ascii="Arial" w:cs="Arial" w:eastAsia="Arial" w:hAnsi="Arial"/>
                  <w:sz w:val="16"/>
                  <w:szCs w:val="16"/>
                  <w:color w:val="0000FF"/>
                </w:rPr>
                <w:t xml:space="preserve">Fourth Amended and Restated Credit Agreement dated as of July 19, 2021, (relating to </w:t>
              </w:r>
              <w:r>
                <w:rPr>
                  <w:rFonts w:ascii="Arial" w:cs="Arial" w:eastAsia="Arial" w:hAnsi="Arial"/>
                  <w:sz w:val="16"/>
                  <w:szCs w:val="16"/>
                  <w:u w:val="single" w:color="auto"/>
                  <w:color w:val="0000FF"/>
                </w:rPr>
                <w:t>$</w:t>
              </w:r>
              <w:r>
                <w:rPr>
                  <w:rFonts w:ascii="Arial" w:cs="Arial" w:eastAsia="Arial" w:hAnsi="Arial"/>
                  <w:sz w:val="16"/>
                  <w:szCs w:val="16"/>
                  <w:color w:val="0000FF"/>
                </w:rPr>
                <w:t>750 million Revolving Credit Facility), among</w:t>
              </w:r>
            </w:hyperlink>
          </w:p>
        </w:tc>
      </w:tr>
      <w:tr>
        <w:trPr>
          <w:trHeight w:val="169"/>
        </w:trPr>
        <w:tc>
          <w:tcPr>
            <w:tcW w:w="1340" w:type="dxa"/>
            <w:vAlign w:val="bottom"/>
          </w:tcPr>
          <w:p>
            <w:pPr>
              <w:spacing w:after="0"/>
              <w:rPr>
                <w:sz w:val="14"/>
                <w:szCs w:val="14"/>
                <w:color w:val="auto"/>
              </w:rPr>
            </w:pPr>
          </w:p>
        </w:tc>
        <w:tc>
          <w:tcPr>
            <w:tcW w:w="9660" w:type="dxa"/>
            <w:vAlign w:val="bottom"/>
            <w:tcBorders>
              <w:top w:val="single" w:sz="8" w:color="0000FF"/>
            </w:tcBorders>
            <w:gridSpan w:val="23"/>
          </w:tcPr>
          <w:p>
            <w:pPr>
              <w:spacing w:after="0" w:line="169" w:lineRule="exact"/>
              <w:rPr>
                <w:rFonts w:ascii="Arial" w:cs="Arial" w:eastAsia="Arial" w:hAnsi="Arial"/>
                <w:sz w:val="16"/>
                <w:szCs w:val="16"/>
                <w:color w:val="0000FF"/>
              </w:rPr>
            </w:pPr>
            <w:hyperlink r:id="rId371">
              <w:r>
                <w:rPr>
                  <w:rFonts w:ascii="Arial" w:cs="Arial" w:eastAsia="Arial" w:hAnsi="Arial"/>
                  <w:sz w:val="16"/>
                  <w:szCs w:val="16"/>
                  <w:color w:val="0000FF"/>
                </w:rPr>
                <w:t>Black Hills Corporation, as Borrower, the financial institutions party thereto, as Banks, and U.S. Bank, National Association, as</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340" w:type="dxa"/>
            <w:vAlign w:val="bottom"/>
          </w:tcPr>
          <w:p>
            <w:pPr>
              <w:spacing w:after="0"/>
              <w:rPr>
                <w:sz w:val="14"/>
                <w:szCs w:val="14"/>
                <w:color w:val="auto"/>
              </w:rPr>
            </w:pPr>
          </w:p>
        </w:tc>
        <w:tc>
          <w:tcPr>
            <w:tcW w:w="9060" w:type="dxa"/>
            <w:vAlign w:val="bottom"/>
            <w:tcBorders>
              <w:top w:val="single" w:sz="8" w:color="0000FF"/>
            </w:tcBorders>
            <w:gridSpan w:val="12"/>
          </w:tcPr>
          <w:p>
            <w:pPr>
              <w:spacing w:after="0" w:line="169" w:lineRule="exact"/>
              <w:rPr>
                <w:rFonts w:ascii="Arial" w:cs="Arial" w:eastAsia="Arial" w:hAnsi="Arial"/>
                <w:sz w:val="16"/>
                <w:szCs w:val="16"/>
                <w:color w:val="0000FF"/>
              </w:rPr>
            </w:pPr>
            <w:hyperlink r:id="rId371">
              <w:r>
                <w:rPr>
                  <w:rFonts w:ascii="Arial" w:cs="Arial" w:eastAsia="Arial" w:hAnsi="Arial"/>
                  <w:sz w:val="16"/>
                  <w:szCs w:val="16"/>
                  <w:color w:val="0000FF"/>
                </w:rPr>
                <w:t>Administrative Agent (filed as Exhibit 10.1 to the Registrant’s Form 8-K filed on July 19, 2021).</w:t>
              </w:r>
            </w:hyperlink>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gridSpan w:val="7"/>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340" w:type="dxa"/>
            <w:vAlign w:val="bottom"/>
            <w:tcBorders>
              <w:right w:val="single" w:sz="8" w:color="0000EE"/>
            </w:tcBorders>
          </w:tcPr>
          <w:p>
            <w:pPr>
              <w:spacing w:after="0" w:line="20" w:lineRule="exact"/>
              <w:rPr>
                <w:sz w:val="1"/>
                <w:szCs w:val="1"/>
                <w:color w:val="auto"/>
              </w:rPr>
            </w:pPr>
          </w:p>
        </w:tc>
        <w:tc>
          <w:tcPr>
            <w:tcW w:w="6720" w:type="dxa"/>
            <w:vAlign w:val="bottom"/>
            <w:gridSpan w:val="9"/>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40" w:type="dxa"/>
            <w:vAlign w:val="bottom"/>
          </w:tcPr>
          <w:p>
            <w:pPr>
              <w:ind w:left="100"/>
              <w:spacing w:after="0"/>
              <w:rPr>
                <w:sz w:val="20"/>
                <w:szCs w:val="20"/>
                <w:color w:val="auto"/>
              </w:rPr>
            </w:pPr>
            <w:r>
              <w:rPr>
                <w:rFonts w:ascii="Arial" w:cs="Arial" w:eastAsia="Arial" w:hAnsi="Arial"/>
                <w:sz w:val="16"/>
                <w:szCs w:val="16"/>
                <w:color w:val="auto"/>
              </w:rPr>
              <w:t>10.15-1</w:t>
            </w:r>
          </w:p>
        </w:tc>
        <w:tc>
          <w:tcPr>
            <w:tcW w:w="9740" w:type="dxa"/>
            <w:vAlign w:val="bottom"/>
            <w:gridSpan w:val="27"/>
          </w:tcPr>
          <w:p>
            <w:pPr>
              <w:spacing w:after="0"/>
              <w:rPr>
                <w:rFonts w:ascii="Arial" w:cs="Arial" w:eastAsia="Arial" w:hAnsi="Arial"/>
                <w:sz w:val="16"/>
                <w:szCs w:val="16"/>
                <w:color w:val="0000FF"/>
              </w:rPr>
            </w:pPr>
            <w:hyperlink r:id="rId372">
              <w:r>
                <w:rPr>
                  <w:rFonts w:ascii="Arial" w:cs="Arial" w:eastAsia="Arial" w:hAnsi="Arial"/>
                  <w:sz w:val="16"/>
                  <w:szCs w:val="16"/>
                  <w:color w:val="0000FF"/>
                </w:rPr>
                <w:t xml:space="preserve">First Amendment to Fourth Amended and Restated Credit Agreement dated as of May 9, 2023, (relating to </w:t>
              </w:r>
              <w:r>
                <w:rPr>
                  <w:rFonts w:ascii="Arial" w:cs="Arial" w:eastAsia="Arial" w:hAnsi="Arial"/>
                  <w:sz w:val="16"/>
                  <w:szCs w:val="16"/>
                  <w:u w:val="single" w:color="auto"/>
                  <w:color w:val="0000FF"/>
                </w:rPr>
                <w:t>$</w:t>
              </w:r>
              <w:r>
                <w:rPr>
                  <w:rFonts w:ascii="Arial" w:cs="Arial" w:eastAsia="Arial" w:hAnsi="Arial"/>
                  <w:sz w:val="16"/>
                  <w:szCs w:val="16"/>
                  <w:color w:val="0000FF"/>
                </w:rPr>
                <w:t>750 million Revolving</w:t>
              </w:r>
            </w:hyperlink>
          </w:p>
        </w:tc>
      </w:tr>
      <w:tr>
        <w:trPr>
          <w:trHeight w:val="20"/>
        </w:trPr>
        <w:tc>
          <w:tcPr>
            <w:tcW w:w="1340" w:type="dxa"/>
            <w:vAlign w:val="bottom"/>
          </w:tcPr>
          <w:p>
            <w:pPr>
              <w:spacing w:after="0" w:line="20" w:lineRule="exact"/>
              <w:rPr>
                <w:sz w:val="1"/>
                <w:szCs w:val="1"/>
                <w:color w:val="auto"/>
              </w:rPr>
            </w:pPr>
          </w:p>
        </w:tc>
        <w:tc>
          <w:tcPr>
            <w:tcW w:w="7480" w:type="dxa"/>
            <w:vAlign w:val="bottom"/>
            <w:gridSpan w:val="10"/>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340" w:type="dxa"/>
            <w:vAlign w:val="bottom"/>
          </w:tcPr>
          <w:p>
            <w:pPr>
              <w:spacing w:after="0"/>
              <w:rPr>
                <w:sz w:val="14"/>
                <w:szCs w:val="14"/>
                <w:color w:val="auto"/>
              </w:rPr>
            </w:pPr>
          </w:p>
        </w:tc>
        <w:tc>
          <w:tcPr>
            <w:tcW w:w="9740" w:type="dxa"/>
            <w:vAlign w:val="bottom"/>
            <w:gridSpan w:val="27"/>
          </w:tcPr>
          <w:p>
            <w:pPr>
              <w:spacing w:after="0" w:line="169" w:lineRule="exact"/>
              <w:rPr>
                <w:rFonts w:ascii="Arial" w:cs="Arial" w:eastAsia="Arial" w:hAnsi="Arial"/>
                <w:sz w:val="16"/>
                <w:szCs w:val="16"/>
                <w:color w:val="0000FF"/>
              </w:rPr>
            </w:pPr>
            <w:hyperlink r:id="rId372">
              <w:r>
                <w:rPr>
                  <w:rFonts w:ascii="Arial" w:cs="Arial" w:eastAsia="Arial" w:hAnsi="Arial"/>
                  <w:sz w:val="16"/>
                  <w:szCs w:val="16"/>
                  <w:color w:val="0000FF"/>
                </w:rPr>
                <w:t>Credit Facility), among Black Hills Corporation, as Borrower, the financial institutions party thereto, as Banks, and U.S. Bank, National</w:t>
              </w:r>
            </w:hyperlink>
          </w:p>
        </w:tc>
      </w:tr>
      <w:tr>
        <w:trPr>
          <w:trHeight w:val="169"/>
        </w:trPr>
        <w:tc>
          <w:tcPr>
            <w:tcW w:w="1340" w:type="dxa"/>
            <w:vAlign w:val="bottom"/>
          </w:tcPr>
          <w:p>
            <w:pPr>
              <w:spacing w:after="0"/>
              <w:rPr>
                <w:sz w:val="14"/>
                <w:szCs w:val="14"/>
                <w:color w:val="auto"/>
              </w:rPr>
            </w:pPr>
          </w:p>
        </w:tc>
        <w:tc>
          <w:tcPr>
            <w:tcW w:w="9620" w:type="dxa"/>
            <w:vAlign w:val="bottom"/>
            <w:tcBorders>
              <w:top w:val="single" w:sz="8" w:color="0000FF"/>
            </w:tcBorders>
            <w:gridSpan w:val="21"/>
          </w:tcPr>
          <w:p>
            <w:pPr>
              <w:spacing w:after="0" w:line="169" w:lineRule="exact"/>
              <w:rPr>
                <w:rFonts w:ascii="Arial" w:cs="Arial" w:eastAsia="Arial" w:hAnsi="Arial"/>
                <w:sz w:val="16"/>
                <w:szCs w:val="16"/>
                <w:color w:val="0000FF"/>
              </w:rPr>
            </w:pPr>
            <w:hyperlink r:id="rId372">
              <w:r>
                <w:rPr>
                  <w:rFonts w:ascii="Arial" w:cs="Arial" w:eastAsia="Arial" w:hAnsi="Arial"/>
                  <w:sz w:val="16"/>
                  <w:szCs w:val="16"/>
                  <w:color w:val="0000FF"/>
                </w:rPr>
                <w:t>Association, as Administrative Agent (filed as Exhibit 10.1 to the Registrant's Form 10-Q filed on August 3, 2023).</w:t>
              </w:r>
            </w:hyperlink>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340" w:type="dxa"/>
            <w:vAlign w:val="bottom"/>
            <w:tcBorders>
              <w:right w:val="single" w:sz="8" w:color="0000EE"/>
            </w:tcBorders>
          </w:tcPr>
          <w:p>
            <w:pPr>
              <w:spacing w:after="0" w:line="20" w:lineRule="exact"/>
              <w:rPr>
                <w:sz w:val="1"/>
                <w:szCs w:val="1"/>
                <w:color w:val="auto"/>
              </w:rPr>
            </w:pPr>
          </w:p>
        </w:tc>
        <w:tc>
          <w:tcPr>
            <w:tcW w:w="7480" w:type="dxa"/>
            <w:vAlign w:val="bottom"/>
            <w:gridSpan w:val="10"/>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26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40" w:type="dxa"/>
            <w:vAlign w:val="bottom"/>
          </w:tcPr>
          <w:p>
            <w:pPr>
              <w:ind w:left="100"/>
              <w:spacing w:after="0"/>
              <w:rPr>
                <w:sz w:val="20"/>
                <w:szCs w:val="20"/>
                <w:color w:val="auto"/>
              </w:rPr>
            </w:pPr>
            <w:r>
              <w:rPr>
                <w:rFonts w:ascii="Arial" w:cs="Arial" w:eastAsia="Arial" w:hAnsi="Arial"/>
                <w:sz w:val="16"/>
                <w:szCs w:val="16"/>
                <w:color w:val="auto"/>
              </w:rPr>
              <w:t>10.15-2</w:t>
            </w:r>
          </w:p>
        </w:tc>
        <w:tc>
          <w:tcPr>
            <w:tcW w:w="9740" w:type="dxa"/>
            <w:vAlign w:val="bottom"/>
            <w:gridSpan w:val="27"/>
          </w:tcPr>
          <w:p>
            <w:pPr>
              <w:spacing w:after="0"/>
              <w:rPr>
                <w:rFonts w:ascii="Arial" w:cs="Arial" w:eastAsia="Arial" w:hAnsi="Arial"/>
                <w:sz w:val="16"/>
                <w:szCs w:val="16"/>
                <w:color w:val="0000FF"/>
              </w:rPr>
            </w:pPr>
            <w:hyperlink r:id="rId373">
              <w:r>
                <w:rPr>
                  <w:rFonts w:ascii="Arial" w:cs="Arial" w:eastAsia="Arial" w:hAnsi="Arial"/>
                  <w:sz w:val="16"/>
                  <w:szCs w:val="16"/>
                  <w:color w:val="0000FF"/>
                </w:rPr>
                <w:t xml:space="preserve">Second Amendment to Fourth Amended and Restated Credit Agreement dated as of May 31, 2024, (relating to </w:t>
              </w:r>
              <w:r>
                <w:rPr>
                  <w:rFonts w:ascii="Arial" w:cs="Arial" w:eastAsia="Arial" w:hAnsi="Arial"/>
                  <w:sz w:val="16"/>
                  <w:szCs w:val="16"/>
                  <w:u w:val="single" w:color="auto"/>
                  <w:color w:val="0000FF"/>
                </w:rPr>
                <w:t>$</w:t>
              </w:r>
              <w:r>
                <w:rPr>
                  <w:rFonts w:ascii="Arial" w:cs="Arial" w:eastAsia="Arial" w:hAnsi="Arial"/>
                  <w:sz w:val="16"/>
                  <w:szCs w:val="16"/>
                  <w:color w:val="0000FF"/>
                </w:rPr>
                <w:t>750 million Revolving</w:t>
              </w:r>
            </w:hyperlink>
          </w:p>
        </w:tc>
      </w:tr>
      <w:tr>
        <w:trPr>
          <w:trHeight w:val="169"/>
        </w:trPr>
        <w:tc>
          <w:tcPr>
            <w:tcW w:w="1340" w:type="dxa"/>
            <w:vAlign w:val="bottom"/>
          </w:tcPr>
          <w:p>
            <w:pPr>
              <w:spacing w:after="0"/>
              <w:rPr>
                <w:sz w:val="14"/>
                <w:szCs w:val="14"/>
                <w:color w:val="auto"/>
              </w:rPr>
            </w:pPr>
          </w:p>
        </w:tc>
        <w:tc>
          <w:tcPr>
            <w:tcW w:w="9720" w:type="dxa"/>
            <w:vAlign w:val="bottom"/>
            <w:tcBorders>
              <w:top w:val="single" w:sz="8" w:color="0000FF"/>
            </w:tcBorders>
            <w:gridSpan w:val="26"/>
          </w:tcPr>
          <w:p>
            <w:pPr>
              <w:spacing w:after="0" w:line="169" w:lineRule="exact"/>
              <w:rPr>
                <w:rFonts w:ascii="Arial" w:cs="Arial" w:eastAsia="Arial" w:hAnsi="Arial"/>
                <w:sz w:val="16"/>
                <w:szCs w:val="16"/>
                <w:color w:val="0000FF"/>
              </w:rPr>
            </w:pPr>
            <w:hyperlink r:id="rId373">
              <w:r>
                <w:rPr>
                  <w:rFonts w:ascii="Arial" w:cs="Arial" w:eastAsia="Arial" w:hAnsi="Arial"/>
                  <w:sz w:val="16"/>
                  <w:szCs w:val="16"/>
                  <w:color w:val="0000FF"/>
                </w:rPr>
                <w:t>Credit Facility), among Black Hills Corporation, as Borrower, the financial institutions party there, as Banks, and U.S. Bank, National</w:t>
              </w:r>
            </w:hyperlink>
          </w:p>
        </w:tc>
        <w:tc>
          <w:tcPr>
            <w:tcW w:w="20" w:type="dxa"/>
            <w:vAlign w:val="bottom"/>
          </w:tcPr>
          <w:p>
            <w:pPr>
              <w:spacing w:after="0"/>
              <w:rPr>
                <w:sz w:val="14"/>
                <w:szCs w:val="14"/>
                <w:color w:val="auto"/>
              </w:rPr>
            </w:pPr>
          </w:p>
        </w:tc>
      </w:tr>
      <w:tr>
        <w:trPr>
          <w:trHeight w:val="169"/>
        </w:trPr>
        <w:tc>
          <w:tcPr>
            <w:tcW w:w="1340" w:type="dxa"/>
            <w:vAlign w:val="bottom"/>
          </w:tcPr>
          <w:p>
            <w:pPr>
              <w:spacing w:after="0"/>
              <w:rPr>
                <w:sz w:val="14"/>
                <w:szCs w:val="14"/>
                <w:color w:val="auto"/>
              </w:rPr>
            </w:pPr>
          </w:p>
        </w:tc>
        <w:tc>
          <w:tcPr>
            <w:tcW w:w="9460" w:type="dxa"/>
            <w:vAlign w:val="bottom"/>
            <w:tcBorders>
              <w:top w:val="single" w:sz="8" w:color="0000FF"/>
            </w:tcBorders>
            <w:gridSpan w:val="14"/>
          </w:tcPr>
          <w:p>
            <w:pPr>
              <w:spacing w:after="0" w:line="169" w:lineRule="exact"/>
              <w:rPr>
                <w:rFonts w:ascii="Arial" w:cs="Arial" w:eastAsia="Arial" w:hAnsi="Arial"/>
                <w:sz w:val="16"/>
                <w:szCs w:val="16"/>
                <w:color w:val="0000FF"/>
              </w:rPr>
            </w:pPr>
            <w:hyperlink r:id="rId373">
              <w:r>
                <w:rPr>
                  <w:rFonts w:ascii="Arial" w:cs="Arial" w:eastAsia="Arial" w:hAnsi="Arial"/>
                  <w:sz w:val="16"/>
                  <w:szCs w:val="16"/>
                  <w:color w:val="0000FF"/>
                </w:rPr>
                <w:t>Association, as Administrative Agent (filed as Exhibit 10.1 to the Registrant's Form 8-K on June 5, 2024).</w:t>
              </w:r>
            </w:hyperlink>
          </w:p>
        </w:tc>
        <w:tc>
          <w:tcPr>
            <w:tcW w:w="280" w:type="dxa"/>
            <w:vAlign w:val="bottom"/>
            <w:gridSpan w:val="13"/>
          </w:tcPr>
          <w:p>
            <w:pPr>
              <w:spacing w:after="0"/>
              <w:rPr>
                <w:sz w:val="14"/>
                <w:szCs w:val="14"/>
                <w:color w:val="auto"/>
              </w:rPr>
            </w:pPr>
          </w:p>
        </w:tc>
      </w:tr>
      <w:tr>
        <w:trPr>
          <w:trHeight w:val="20"/>
        </w:trPr>
        <w:tc>
          <w:tcPr>
            <w:tcW w:w="1340" w:type="dxa"/>
            <w:vAlign w:val="bottom"/>
            <w:tcBorders>
              <w:right w:val="single" w:sz="8" w:color="0000EE"/>
            </w:tcBorders>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0" w:lineRule="exact"/>
        <w:rPr>
          <w:sz w:val="20"/>
          <w:szCs w:val="20"/>
          <w:color w:val="auto"/>
        </w:rPr>
      </w:pPr>
    </w:p>
    <w:p>
      <w:pPr>
        <w:sectPr>
          <w:pgSz w:w="11900" w:h="16838" w:orient="portrait"/>
          <w:cols w:equalWidth="0" w:num="1">
            <w:col w:w="11240"/>
          </w:cols>
          <w:pgMar w:left="320" w:top="125" w:right="339" w:bottom="1440" w:gutter="0" w:footer="0" w:header="0"/>
        </w:sectPr>
      </w:pPr>
    </w:p>
    <w:p>
      <w:pPr>
        <w:ind w:left="120"/>
        <w:spacing w:after="0"/>
        <w:rPr>
          <w:sz w:val="20"/>
          <w:szCs w:val="20"/>
          <w:color w:val="auto"/>
        </w:rPr>
      </w:pPr>
      <w:r>
        <w:rPr>
          <w:rFonts w:ascii="Arial" w:cs="Arial" w:eastAsia="Arial" w:hAnsi="Arial"/>
          <w:sz w:val="15"/>
          <w:szCs w:val="15"/>
          <w:color w:val="auto"/>
        </w:rPr>
        <w:t>10.16†</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5"/>
          <w:szCs w:val="15"/>
          <w:color w:val="auto"/>
        </w:rPr>
        <w:t>10.17†</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10.18</w:t>
      </w:r>
    </w:p>
    <w:p>
      <w:pPr>
        <w:spacing w:after="0" w:line="20" w:lineRule="exact"/>
        <w:rPr>
          <w:sz w:val="20"/>
          <w:szCs w:val="20"/>
          <w:color w:val="auto"/>
        </w:rPr>
      </w:pPr>
      <w:r>
        <w:rPr>
          <w:sz w:val="20"/>
          <w:szCs w:val="20"/>
          <w:color w:val="auto"/>
        </w:rPr>
        <w:br w:type="column"/>
      </w:r>
    </w:p>
    <w:p>
      <w:pPr>
        <w:ind w:right="160"/>
        <w:spacing w:after="0" w:line="286" w:lineRule="auto"/>
        <w:rPr>
          <w:rFonts w:ascii="Arial" w:cs="Arial" w:eastAsia="Arial" w:hAnsi="Arial"/>
          <w:sz w:val="16"/>
          <w:szCs w:val="16"/>
          <w:u w:val="single" w:color="auto"/>
          <w:color w:val="0000FF"/>
        </w:rPr>
      </w:pPr>
      <w:hyperlink r:id="rId374">
        <w:r>
          <w:rPr>
            <w:rFonts w:ascii="Arial" w:cs="Arial" w:eastAsia="Arial" w:hAnsi="Arial"/>
            <w:sz w:val="16"/>
            <w:szCs w:val="16"/>
            <w:u w:val="single" w:color="auto"/>
            <w:color w:val="0000FF"/>
          </w:rPr>
          <w:t>Non-Employee Director Equity Compensation Plan effective January 1, 2022, (filed as Exhibit 10.25 to the Registrant's Form 10-K filed</w:t>
        </w:r>
      </w:hyperlink>
      <w:r>
        <w:rPr>
          <w:rFonts w:ascii="Arial" w:cs="Arial" w:eastAsia="Arial" w:hAnsi="Arial"/>
          <w:sz w:val="16"/>
          <w:szCs w:val="16"/>
          <w:u w:val="single" w:color="auto"/>
          <w:color w:val="0000FF"/>
        </w:rPr>
        <w:t xml:space="preserve"> </w:t>
      </w:r>
      <w:hyperlink r:id="rId374">
        <w:r>
          <w:rPr>
            <w:rFonts w:ascii="Arial" w:cs="Arial" w:eastAsia="Arial" w:hAnsi="Arial"/>
            <w:sz w:val="16"/>
            <w:szCs w:val="16"/>
            <w:u w:val="single" w:color="auto"/>
            <w:color w:val="0000FF"/>
          </w:rPr>
          <w:t>on February 15,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614362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75">
                      <a:extLst>
                        <a:ext uri="{28A0092B-C50C-407E-A947-70E740481C1C}"/>
                      </a:extLst>
                    </a:blip>
                    <a:srcRect/>
                    <a:stretch>
                      <a:fillRect/>
                    </a:stretch>
                  </pic:blipFill>
                  <pic:spPr bwMode="auto">
                    <a:xfrm>
                      <a:off x="0" y="0"/>
                      <a:ext cx="61436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wp:posOffset>
            </wp:positionV>
            <wp:extent cx="10464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76">
                      <a:extLst>
                        <a:ext uri="{28A0092B-C50C-407E-A947-70E740481C1C}"/>
                      </a:extLst>
                    </a:blip>
                    <a:srcRect/>
                    <a:stretch>
                      <a:fillRect/>
                    </a:stretch>
                  </pic:blipFill>
                  <pic:spPr bwMode="auto">
                    <a:xfrm>
                      <a:off x="0" y="0"/>
                      <a:ext cx="1046480" cy="8255"/>
                    </a:xfrm>
                    <a:prstGeom prst="rect">
                      <a:avLst/>
                    </a:prstGeom>
                    <a:noFill/>
                  </pic:spPr>
                </pic:pic>
              </a:graphicData>
            </a:graphic>
          </wp:anchor>
        </w:drawing>
      </w:r>
    </w:p>
    <w:p>
      <w:pPr>
        <w:spacing w:after="0" w:line="1" w:lineRule="exact"/>
        <w:rPr>
          <w:sz w:val="20"/>
          <w:szCs w:val="20"/>
          <w:color w:val="auto"/>
        </w:rPr>
      </w:pPr>
    </w:p>
    <w:p>
      <w:pPr>
        <w:ind w:right="420"/>
        <w:spacing w:after="0" w:line="264" w:lineRule="auto"/>
        <w:rPr>
          <w:rFonts w:ascii="Arial" w:cs="Arial" w:eastAsia="Arial" w:hAnsi="Arial"/>
          <w:sz w:val="16"/>
          <w:szCs w:val="16"/>
          <w:u w:val="single" w:color="auto"/>
          <w:color w:val="0000FF"/>
        </w:rPr>
      </w:pPr>
      <w:hyperlink r:id="rId377">
        <w:r>
          <w:rPr>
            <w:rFonts w:ascii="Arial" w:cs="Arial" w:eastAsia="Arial" w:hAnsi="Arial"/>
            <w:sz w:val="16"/>
            <w:szCs w:val="16"/>
            <w:u w:val="single" w:color="auto"/>
            <w:color w:val="0000FF"/>
          </w:rPr>
          <w:t>Form of Restricted Stock Unit Award Agreement (Non-Employee Director) effective for awards granted on or after January 1, 2022,</w:t>
        </w:r>
      </w:hyperlink>
      <w:r>
        <w:rPr>
          <w:rFonts w:ascii="Arial" w:cs="Arial" w:eastAsia="Arial" w:hAnsi="Arial"/>
          <w:sz w:val="16"/>
          <w:szCs w:val="16"/>
          <w:u w:val="single" w:color="auto"/>
          <w:color w:val="0000FF"/>
        </w:rPr>
        <w:t xml:space="preserve"> </w:t>
      </w:r>
      <w:hyperlink r:id="rId377">
        <w:r>
          <w:rPr>
            <w:rFonts w:ascii="Arial" w:cs="Arial" w:eastAsia="Arial" w:hAnsi="Arial"/>
            <w:sz w:val="16"/>
            <w:szCs w:val="16"/>
            <w:u w:val="single" w:color="auto"/>
            <w:color w:val="0000FF"/>
          </w:rPr>
          <w:t>(filed as Exhibit 10.26 to the Registrant's Form 10-K filed on February 15,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598043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78">
                      <a:extLst>
                        <a:ext uri="{28A0092B-C50C-407E-A947-70E740481C1C}"/>
                      </a:extLst>
                    </a:blip>
                    <a:srcRect/>
                    <a:stretch>
                      <a:fillRect/>
                    </a:stretch>
                  </pic:blipFill>
                  <pic:spPr bwMode="auto">
                    <a:xfrm>
                      <a:off x="0" y="0"/>
                      <a:ext cx="5980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wp:posOffset>
            </wp:positionV>
            <wp:extent cx="36449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79">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Coal Leases between WRDC and the Federal Government</w:t>
      </w:r>
    </w:p>
    <w:p>
      <w:pPr>
        <w:spacing w:after="0" w:line="17" w:lineRule="exact"/>
        <w:rPr>
          <w:sz w:val="20"/>
          <w:szCs w:val="20"/>
          <w:color w:val="auto"/>
        </w:rPr>
      </w:pPr>
    </w:p>
    <w:p>
      <w:pPr>
        <w:ind w:left="340"/>
        <w:spacing w:after="0" w:line="184" w:lineRule="exact"/>
        <w:rPr>
          <w:sz w:val="20"/>
          <w:szCs w:val="20"/>
          <w:color w:val="auto"/>
        </w:rPr>
      </w:pPr>
      <w:r>
        <w:rPr>
          <w:rFonts w:ascii="Arial" w:cs="Arial" w:eastAsia="Arial" w:hAnsi="Arial"/>
          <w:sz w:val="16"/>
          <w:szCs w:val="16"/>
          <w:color w:val="auto"/>
        </w:rPr>
        <w:t>-Dated October 1, 1965 (filed as Exhibit 5(k) to the Registrant’s Form S</w:t>
      </w:r>
      <w:r>
        <w:rPr>
          <w:rFonts w:ascii="MS PGothic" w:cs="MS PGothic" w:eastAsia="MS PGothic" w:hAnsi="MS PGothic"/>
          <w:sz w:val="16"/>
          <w:szCs w:val="16"/>
          <w:color w:val="auto"/>
        </w:rPr>
        <w:t>‑</w:t>
      </w:r>
      <w:r>
        <w:rPr>
          <w:rFonts w:ascii="Arial" w:cs="Arial" w:eastAsia="Arial" w:hAnsi="Arial"/>
          <w:sz w:val="16"/>
          <w:szCs w:val="16"/>
          <w:color w:val="auto"/>
        </w:rPr>
        <w:t>7, File No. 2</w:t>
      </w:r>
      <w:r>
        <w:rPr>
          <w:rFonts w:ascii="MS PGothic" w:cs="MS PGothic" w:eastAsia="MS PGothic" w:hAnsi="MS PGothic"/>
          <w:sz w:val="16"/>
          <w:szCs w:val="16"/>
          <w:color w:val="auto"/>
        </w:rPr>
        <w:t>‑</w:t>
      </w:r>
      <w:r>
        <w:rPr>
          <w:rFonts w:ascii="Arial" w:cs="Arial" w:eastAsia="Arial" w:hAnsi="Arial"/>
          <w:sz w:val="16"/>
          <w:szCs w:val="16"/>
          <w:color w:val="auto"/>
        </w:rPr>
        <w:t>60755)</w:t>
      </w:r>
    </w:p>
    <w:p>
      <w:pPr>
        <w:spacing w:after="0" w:line="9" w:lineRule="exact"/>
        <w:rPr>
          <w:sz w:val="20"/>
          <w:szCs w:val="20"/>
          <w:color w:val="auto"/>
        </w:rPr>
      </w:pPr>
    </w:p>
    <w:p>
      <w:pPr>
        <w:ind w:left="460"/>
        <w:spacing w:after="0" w:line="184" w:lineRule="exact"/>
        <w:rPr>
          <w:sz w:val="20"/>
          <w:szCs w:val="20"/>
          <w:color w:val="auto"/>
        </w:rPr>
      </w:pPr>
      <w:r>
        <w:rPr>
          <w:rFonts w:ascii="Arial" w:cs="Arial" w:eastAsia="Arial" w:hAnsi="Arial"/>
          <w:sz w:val="16"/>
          <w:szCs w:val="16"/>
          <w:color w:val="auto"/>
        </w:rPr>
        <w:t>-Modified January 22, 1990 (filed as Exhibit 10(j) to the Registrant’s Form 10</w:t>
      </w:r>
      <w:r>
        <w:rPr>
          <w:rFonts w:ascii="MS PGothic" w:cs="MS PGothic" w:eastAsia="MS PGothic" w:hAnsi="MS PGothic"/>
          <w:sz w:val="16"/>
          <w:szCs w:val="16"/>
          <w:color w:val="auto"/>
        </w:rPr>
        <w:t>‑</w:t>
      </w:r>
      <w:r>
        <w:rPr>
          <w:rFonts w:ascii="Arial" w:cs="Arial" w:eastAsia="Arial" w:hAnsi="Arial"/>
          <w:sz w:val="16"/>
          <w:szCs w:val="16"/>
          <w:color w:val="auto"/>
        </w:rPr>
        <w:t>K for 1989).</w:t>
      </w:r>
    </w:p>
    <w:p>
      <w:pPr>
        <w:spacing w:after="0" w:line="43" w:lineRule="exact"/>
        <w:rPr>
          <w:sz w:val="20"/>
          <w:szCs w:val="20"/>
          <w:color w:val="auto"/>
        </w:rPr>
      </w:pPr>
    </w:p>
    <w:p>
      <w:pPr>
        <w:sectPr>
          <w:pgSz w:w="11900" w:h="16838" w:orient="portrait"/>
          <w:cols w:equalWidth="0" w:num="2">
            <w:col w:w="720" w:space="720"/>
            <w:col w:w="9800"/>
          </w:cols>
          <w:pgMar w:left="320" w:top="125" w:right="339" w:bottom="1440" w:gutter="0" w:footer="0" w:header="0"/>
          <w:type w:val="continuous"/>
        </w:sectPr>
      </w:pPr>
    </w:p>
    <w:tbl>
      <w:tblPr>
        <w:tblLayout w:type="fixed"/>
        <w:tblInd w:w="120" w:type="dxa"/>
        <w:tblCellMar>
          <w:top w:w="0" w:type="dxa"/>
          <w:left w:w="0" w:type="dxa"/>
          <w:bottom w:w="0" w:type="dxa"/>
          <w:right w:w="0" w:type="dxa"/>
        </w:tblCellMar>
      </w:tblPr>
      <w:tr>
        <w:trPr>
          <w:trHeight w:val="189"/>
        </w:trPr>
        <w:tc>
          <w:tcPr>
            <w:tcW w:w="1340" w:type="dxa"/>
            <w:vAlign w:val="bottom"/>
          </w:tcPr>
          <w:p>
            <w:pPr>
              <w:spacing w:after="0"/>
              <w:rPr>
                <w:sz w:val="20"/>
                <w:szCs w:val="20"/>
                <w:color w:val="auto"/>
              </w:rPr>
            </w:pPr>
            <w:r>
              <w:rPr>
                <w:rFonts w:ascii="Arial" w:cs="Arial" w:eastAsia="Arial" w:hAnsi="Arial"/>
                <w:sz w:val="16"/>
                <w:szCs w:val="16"/>
                <w:color w:val="auto"/>
              </w:rPr>
              <w:t>10.19</w:t>
            </w:r>
          </w:p>
        </w:tc>
        <w:tc>
          <w:tcPr>
            <w:tcW w:w="9680" w:type="dxa"/>
            <w:vAlign w:val="bottom"/>
            <w:gridSpan w:val="6"/>
          </w:tcPr>
          <w:p>
            <w:pPr>
              <w:spacing w:after="0"/>
              <w:rPr>
                <w:sz w:val="20"/>
                <w:szCs w:val="20"/>
                <w:color w:val="auto"/>
              </w:rPr>
            </w:pPr>
            <w:r>
              <w:rPr>
                <w:rFonts w:ascii="Arial" w:cs="Arial" w:eastAsia="Arial" w:hAnsi="Arial"/>
                <w:sz w:val="16"/>
                <w:szCs w:val="16"/>
                <w:color w:val="auto"/>
              </w:rPr>
              <w:t>Assignment of Mining Leases and Related Agreement effective May 27, 1997, between WRDC and Kerr-McGee Coal Corporation</w:t>
            </w:r>
          </w:p>
        </w:tc>
      </w:tr>
      <w:tr>
        <w:trPr>
          <w:trHeight w:val="215"/>
        </w:trPr>
        <w:tc>
          <w:tcPr>
            <w:tcW w:w="1340" w:type="dxa"/>
            <w:vAlign w:val="bottom"/>
          </w:tcPr>
          <w:p>
            <w:pPr>
              <w:spacing w:after="0"/>
              <w:rPr>
                <w:sz w:val="18"/>
                <w:szCs w:val="18"/>
                <w:color w:val="auto"/>
              </w:rPr>
            </w:pPr>
          </w:p>
        </w:tc>
        <w:tc>
          <w:tcPr>
            <w:tcW w:w="9680" w:type="dxa"/>
            <w:vAlign w:val="bottom"/>
            <w:gridSpan w:val="6"/>
          </w:tcPr>
          <w:p>
            <w:pPr>
              <w:spacing w:after="0"/>
              <w:rPr>
                <w:sz w:val="20"/>
                <w:szCs w:val="20"/>
                <w:color w:val="auto"/>
              </w:rPr>
            </w:pPr>
            <w:r>
              <w:rPr>
                <w:rFonts w:ascii="Arial" w:cs="Arial" w:eastAsia="Arial" w:hAnsi="Arial"/>
                <w:sz w:val="16"/>
                <w:szCs w:val="16"/>
                <w:color w:val="auto"/>
              </w:rPr>
              <w:t>(filed as Exhibit 10(u) to the Registrant’s Form 10-K for 1997).</w:t>
            </w:r>
          </w:p>
        </w:tc>
      </w:tr>
      <w:tr>
        <w:trPr>
          <w:trHeight w:val="231"/>
        </w:trPr>
        <w:tc>
          <w:tcPr>
            <w:tcW w:w="1340" w:type="dxa"/>
            <w:vAlign w:val="bottom"/>
          </w:tcPr>
          <w:p>
            <w:pPr>
              <w:spacing w:after="0"/>
              <w:rPr>
                <w:sz w:val="20"/>
                <w:szCs w:val="20"/>
                <w:color w:val="auto"/>
              </w:rPr>
            </w:pPr>
            <w:r>
              <w:rPr>
                <w:rFonts w:ascii="Arial" w:cs="Arial" w:eastAsia="Arial" w:hAnsi="Arial"/>
                <w:sz w:val="16"/>
                <w:szCs w:val="16"/>
                <w:color w:val="auto"/>
              </w:rPr>
              <w:t>10.20†</w:t>
            </w:r>
          </w:p>
        </w:tc>
        <w:tc>
          <w:tcPr>
            <w:tcW w:w="9680" w:type="dxa"/>
            <w:vAlign w:val="bottom"/>
            <w:gridSpan w:val="6"/>
          </w:tcPr>
          <w:p>
            <w:pPr>
              <w:spacing w:after="0"/>
              <w:rPr>
                <w:rFonts w:ascii="Arial" w:cs="Arial" w:eastAsia="Arial" w:hAnsi="Arial"/>
                <w:sz w:val="16"/>
                <w:szCs w:val="16"/>
                <w:color w:val="0000FF"/>
              </w:rPr>
            </w:pPr>
            <w:hyperlink r:id="rId380">
              <w:r>
                <w:rPr>
                  <w:rFonts w:ascii="Arial" w:cs="Arial" w:eastAsia="Arial" w:hAnsi="Arial"/>
                  <w:sz w:val="16"/>
                  <w:szCs w:val="16"/>
                  <w:color w:val="0000FF"/>
                </w:rPr>
                <w:t>Form of Restricted Stock Award Agreement for the Amended and Restated 2015 Omnibus Incentive Plan effective for awards granted</w:t>
              </w:r>
            </w:hyperlink>
          </w:p>
        </w:tc>
      </w:tr>
      <w:tr>
        <w:trPr>
          <w:trHeight w:val="169"/>
        </w:trPr>
        <w:tc>
          <w:tcPr>
            <w:tcW w:w="1340" w:type="dxa"/>
            <w:vAlign w:val="bottom"/>
          </w:tcPr>
          <w:p>
            <w:pPr>
              <w:spacing w:after="0"/>
              <w:rPr>
                <w:sz w:val="14"/>
                <w:szCs w:val="14"/>
                <w:color w:val="auto"/>
              </w:rPr>
            </w:pPr>
          </w:p>
        </w:tc>
        <w:tc>
          <w:tcPr>
            <w:tcW w:w="6560" w:type="dxa"/>
            <w:vAlign w:val="bottom"/>
            <w:tcBorders>
              <w:top w:val="single" w:sz="8" w:color="0000FF"/>
              <w:bottom w:val="single" w:sz="8" w:color="0000FF"/>
            </w:tcBorders>
            <w:gridSpan w:val="2"/>
          </w:tcPr>
          <w:p>
            <w:pPr>
              <w:spacing w:after="0" w:line="169" w:lineRule="exact"/>
              <w:rPr>
                <w:rFonts w:ascii="Arial" w:cs="Arial" w:eastAsia="Arial" w:hAnsi="Arial"/>
                <w:sz w:val="16"/>
                <w:szCs w:val="16"/>
                <w:color w:val="0000FF"/>
              </w:rPr>
            </w:pPr>
            <w:hyperlink r:id="rId380">
              <w:r>
                <w:rPr>
                  <w:rFonts w:ascii="Arial" w:cs="Arial" w:eastAsia="Arial" w:hAnsi="Arial"/>
                  <w:sz w:val="16"/>
                  <w:szCs w:val="16"/>
                  <w:color w:val="0000FF"/>
                </w:rPr>
                <w:t>on or after January 24, 2023, (filed as Exhibit 10.30 to the Registrant's Form 10-K for 2022).</w:t>
              </w:r>
            </w:hyperlink>
          </w:p>
        </w:tc>
        <w:tc>
          <w:tcPr>
            <w:tcW w:w="3060" w:type="dxa"/>
            <w:vAlign w:val="bottom"/>
            <w:tcBorders>
              <w:top w:val="single" w:sz="8" w:color="0000FF"/>
            </w:tcBorders>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50"/>
        </w:trPr>
        <w:tc>
          <w:tcPr>
            <w:tcW w:w="1340" w:type="dxa"/>
            <w:vAlign w:val="bottom"/>
          </w:tcPr>
          <w:p>
            <w:pPr>
              <w:spacing w:after="0"/>
              <w:rPr>
                <w:sz w:val="20"/>
                <w:szCs w:val="20"/>
                <w:color w:val="auto"/>
              </w:rPr>
            </w:pPr>
            <w:r>
              <w:rPr>
                <w:rFonts w:ascii="Arial" w:cs="Arial" w:eastAsia="Arial" w:hAnsi="Arial"/>
                <w:sz w:val="16"/>
                <w:szCs w:val="16"/>
                <w:color w:val="auto"/>
              </w:rPr>
              <w:t>10.21†</w:t>
            </w:r>
          </w:p>
        </w:tc>
        <w:tc>
          <w:tcPr>
            <w:tcW w:w="9680" w:type="dxa"/>
            <w:vAlign w:val="bottom"/>
            <w:gridSpan w:val="6"/>
          </w:tcPr>
          <w:p>
            <w:pPr>
              <w:spacing w:after="0"/>
              <w:rPr>
                <w:rFonts w:ascii="Arial" w:cs="Arial" w:eastAsia="Arial" w:hAnsi="Arial"/>
                <w:sz w:val="16"/>
                <w:szCs w:val="16"/>
                <w:color w:val="0000FF"/>
              </w:rPr>
            </w:pPr>
            <w:hyperlink r:id="rId381">
              <w:r>
                <w:rPr>
                  <w:rFonts w:ascii="Arial" w:cs="Arial" w:eastAsia="Arial" w:hAnsi="Arial"/>
                  <w:sz w:val="16"/>
                  <w:szCs w:val="16"/>
                  <w:color w:val="0000FF"/>
                </w:rPr>
                <w:t>Form of Performance Unit Award Agreement for the Amended and Restated 2015 Omnibus Incentive Plan effective for awards granted</w:t>
              </w:r>
            </w:hyperlink>
          </w:p>
        </w:tc>
      </w:tr>
      <w:tr>
        <w:trPr>
          <w:trHeight w:val="169"/>
        </w:trPr>
        <w:tc>
          <w:tcPr>
            <w:tcW w:w="1340" w:type="dxa"/>
            <w:vAlign w:val="bottom"/>
          </w:tcPr>
          <w:p>
            <w:pPr>
              <w:spacing w:after="0"/>
              <w:rPr>
                <w:sz w:val="14"/>
                <w:szCs w:val="14"/>
                <w:color w:val="auto"/>
              </w:rPr>
            </w:pPr>
          </w:p>
        </w:tc>
        <w:tc>
          <w:tcPr>
            <w:tcW w:w="9680" w:type="dxa"/>
            <w:vAlign w:val="bottom"/>
            <w:tcBorders>
              <w:top w:val="single" w:sz="8" w:color="0000FF"/>
            </w:tcBorders>
            <w:gridSpan w:val="6"/>
          </w:tcPr>
          <w:p>
            <w:pPr>
              <w:spacing w:after="0" w:line="169" w:lineRule="exact"/>
              <w:rPr>
                <w:rFonts w:ascii="Arial" w:cs="Arial" w:eastAsia="Arial" w:hAnsi="Arial"/>
                <w:sz w:val="16"/>
                <w:szCs w:val="16"/>
                <w:color w:val="0000FF"/>
              </w:rPr>
            </w:pPr>
            <w:hyperlink r:id="rId381">
              <w:r>
                <w:rPr>
                  <w:rFonts w:ascii="Arial" w:cs="Arial" w:eastAsia="Arial" w:hAnsi="Arial"/>
                  <w:sz w:val="16"/>
                  <w:szCs w:val="16"/>
                  <w:color w:val="0000FF"/>
                </w:rPr>
                <w:t>on or after January 1, 2023, (filed as Exhibit 10.29 to the Registrant's Form 10-K for 2022).</w:t>
              </w:r>
            </w:hyperlink>
          </w:p>
        </w:tc>
      </w:tr>
      <w:tr>
        <w:trPr>
          <w:trHeight w:val="20"/>
        </w:trPr>
        <w:tc>
          <w:tcPr>
            <w:tcW w:w="1340" w:type="dxa"/>
            <w:vAlign w:val="bottom"/>
            <w:tcBorders>
              <w:right w:val="single" w:sz="8" w:color="0000EE"/>
            </w:tcBorders>
          </w:tcPr>
          <w:p>
            <w:pPr>
              <w:spacing w:after="0" w:line="20" w:lineRule="exact"/>
              <w:rPr>
                <w:sz w:val="1"/>
                <w:szCs w:val="1"/>
                <w:color w:val="auto"/>
              </w:rPr>
            </w:pPr>
          </w:p>
        </w:tc>
        <w:tc>
          <w:tcPr>
            <w:tcW w:w="642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2"/>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40" w:type="dxa"/>
            <w:vAlign w:val="bottom"/>
          </w:tcPr>
          <w:p>
            <w:pPr>
              <w:spacing w:after="0"/>
              <w:rPr>
                <w:sz w:val="20"/>
                <w:szCs w:val="20"/>
                <w:color w:val="auto"/>
              </w:rPr>
            </w:pPr>
            <w:r>
              <w:rPr>
                <w:rFonts w:ascii="Arial" w:cs="Arial" w:eastAsia="Arial" w:hAnsi="Arial"/>
                <w:sz w:val="16"/>
                <w:szCs w:val="16"/>
                <w:color w:val="auto"/>
              </w:rPr>
              <w:t>10.22†</w:t>
            </w:r>
          </w:p>
        </w:tc>
        <w:tc>
          <w:tcPr>
            <w:tcW w:w="9680" w:type="dxa"/>
            <w:vAlign w:val="bottom"/>
            <w:gridSpan w:val="6"/>
          </w:tcPr>
          <w:p>
            <w:pPr>
              <w:spacing w:after="0"/>
              <w:rPr>
                <w:rFonts w:ascii="Arial" w:cs="Arial" w:eastAsia="Arial" w:hAnsi="Arial"/>
                <w:sz w:val="16"/>
                <w:szCs w:val="16"/>
                <w:color w:val="0000FF"/>
              </w:rPr>
            </w:pPr>
            <w:hyperlink r:id="rId382">
              <w:r>
                <w:rPr>
                  <w:rFonts w:ascii="Arial" w:cs="Arial" w:eastAsia="Arial" w:hAnsi="Arial"/>
                  <w:sz w:val="16"/>
                  <w:szCs w:val="16"/>
                  <w:color w:val="0000FF"/>
                </w:rPr>
                <w:t>Form of Short-term Incentive Plan Award Agreement for the Amended and Restated 2015 Omnibus Incentive Plan effective for awards</w:t>
              </w:r>
            </w:hyperlink>
          </w:p>
        </w:tc>
      </w:tr>
      <w:tr>
        <w:trPr>
          <w:trHeight w:val="169"/>
        </w:trPr>
        <w:tc>
          <w:tcPr>
            <w:tcW w:w="1340" w:type="dxa"/>
            <w:vAlign w:val="bottom"/>
          </w:tcPr>
          <w:p>
            <w:pPr>
              <w:spacing w:after="0"/>
              <w:rPr>
                <w:sz w:val="14"/>
                <w:szCs w:val="14"/>
                <w:color w:val="auto"/>
              </w:rPr>
            </w:pPr>
          </w:p>
        </w:tc>
        <w:tc>
          <w:tcPr>
            <w:tcW w:w="7020" w:type="dxa"/>
            <w:vAlign w:val="bottom"/>
            <w:tcBorders>
              <w:top w:val="single" w:sz="8" w:color="0000FF"/>
              <w:bottom w:val="single" w:sz="8" w:color="0000FF"/>
            </w:tcBorders>
            <w:gridSpan w:val="3"/>
          </w:tcPr>
          <w:p>
            <w:pPr>
              <w:spacing w:after="0" w:line="169" w:lineRule="exact"/>
              <w:rPr>
                <w:rFonts w:ascii="Arial" w:cs="Arial" w:eastAsia="Arial" w:hAnsi="Arial"/>
                <w:sz w:val="16"/>
                <w:szCs w:val="16"/>
                <w:color w:val="0000FF"/>
              </w:rPr>
            </w:pPr>
            <w:hyperlink r:id="rId382">
              <w:r>
                <w:rPr>
                  <w:rFonts w:ascii="Arial" w:cs="Arial" w:eastAsia="Arial" w:hAnsi="Arial"/>
                  <w:sz w:val="16"/>
                  <w:szCs w:val="16"/>
                  <w:color w:val="0000FF"/>
                </w:rPr>
                <w:t>granted on or after January 1, 2024 (filed as Exhibit 10.30 to the Registrant's Form 10-K for 2023).</w:t>
              </w:r>
            </w:hyperlink>
          </w:p>
        </w:tc>
        <w:tc>
          <w:tcPr>
            <w:tcW w:w="2640" w:type="dxa"/>
            <w:vAlign w:val="bottom"/>
            <w:tcBorders>
              <w:top w:val="single" w:sz="8" w:color="0000FF"/>
            </w:tcBorders>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50"/>
        </w:trPr>
        <w:tc>
          <w:tcPr>
            <w:tcW w:w="1340" w:type="dxa"/>
            <w:vAlign w:val="bottom"/>
          </w:tcPr>
          <w:p>
            <w:pPr>
              <w:spacing w:after="0"/>
              <w:rPr>
                <w:sz w:val="20"/>
                <w:szCs w:val="20"/>
                <w:color w:val="auto"/>
              </w:rPr>
            </w:pPr>
            <w:r>
              <w:rPr>
                <w:rFonts w:ascii="Arial" w:cs="Arial" w:eastAsia="Arial" w:hAnsi="Arial"/>
                <w:sz w:val="16"/>
                <w:szCs w:val="16"/>
                <w:color w:val="auto"/>
              </w:rPr>
              <w:t>10.23†</w:t>
            </w:r>
          </w:p>
        </w:tc>
        <w:tc>
          <w:tcPr>
            <w:tcW w:w="9680" w:type="dxa"/>
            <w:vAlign w:val="bottom"/>
            <w:gridSpan w:val="6"/>
          </w:tcPr>
          <w:p>
            <w:pPr>
              <w:spacing w:after="0"/>
              <w:rPr>
                <w:rFonts w:ascii="Arial" w:cs="Arial" w:eastAsia="Arial" w:hAnsi="Arial"/>
                <w:sz w:val="16"/>
                <w:szCs w:val="16"/>
                <w:color w:val="0000FF"/>
              </w:rPr>
            </w:pPr>
            <w:hyperlink r:id="rId383">
              <w:r>
                <w:rPr>
                  <w:rFonts w:ascii="Arial" w:cs="Arial" w:eastAsia="Arial" w:hAnsi="Arial"/>
                  <w:sz w:val="16"/>
                  <w:szCs w:val="16"/>
                  <w:color w:val="0000FF"/>
                </w:rPr>
                <w:t>Form of Performance Unit Award Agreement for the Amended and Restated 2015 Omnibus Incentive Plan effective for awards granted</w:t>
              </w:r>
            </w:hyperlink>
          </w:p>
        </w:tc>
      </w:tr>
      <w:tr>
        <w:trPr>
          <w:trHeight w:val="169"/>
        </w:trPr>
        <w:tc>
          <w:tcPr>
            <w:tcW w:w="1340" w:type="dxa"/>
            <w:vAlign w:val="bottom"/>
          </w:tcPr>
          <w:p>
            <w:pPr>
              <w:spacing w:after="0"/>
              <w:rPr>
                <w:sz w:val="14"/>
                <w:szCs w:val="14"/>
                <w:color w:val="auto"/>
              </w:rPr>
            </w:pPr>
          </w:p>
        </w:tc>
        <w:tc>
          <w:tcPr>
            <w:tcW w:w="9680" w:type="dxa"/>
            <w:vAlign w:val="bottom"/>
            <w:tcBorders>
              <w:top w:val="single" w:sz="8" w:color="0000FF"/>
            </w:tcBorders>
            <w:gridSpan w:val="6"/>
          </w:tcPr>
          <w:p>
            <w:pPr>
              <w:spacing w:after="0" w:line="169" w:lineRule="exact"/>
              <w:rPr>
                <w:rFonts w:ascii="Arial" w:cs="Arial" w:eastAsia="Arial" w:hAnsi="Arial"/>
                <w:sz w:val="16"/>
                <w:szCs w:val="16"/>
                <w:color w:val="0000FF"/>
              </w:rPr>
            </w:pPr>
            <w:hyperlink r:id="rId383">
              <w:r>
                <w:rPr>
                  <w:rFonts w:ascii="Arial" w:cs="Arial" w:eastAsia="Arial" w:hAnsi="Arial"/>
                  <w:sz w:val="16"/>
                  <w:szCs w:val="16"/>
                  <w:color w:val="0000FF"/>
                </w:rPr>
                <w:t>on or after January 1, 2024 (filed as Exhibit 10.31 to the Registrant's Form 10-K for 2023).</w:t>
              </w:r>
            </w:hyperlink>
          </w:p>
        </w:tc>
      </w:tr>
      <w:tr>
        <w:trPr>
          <w:trHeight w:val="20"/>
        </w:trPr>
        <w:tc>
          <w:tcPr>
            <w:tcW w:w="1340" w:type="dxa"/>
            <w:vAlign w:val="bottom"/>
            <w:tcBorders>
              <w:right w:val="single" w:sz="8" w:color="0000EE"/>
            </w:tcBorders>
          </w:tcPr>
          <w:p>
            <w:pPr>
              <w:spacing w:after="0" w:line="20" w:lineRule="exact"/>
              <w:rPr>
                <w:sz w:val="1"/>
                <w:szCs w:val="1"/>
                <w:color w:val="auto"/>
              </w:rPr>
            </w:pPr>
          </w:p>
        </w:tc>
        <w:tc>
          <w:tcPr>
            <w:tcW w:w="64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0" w:lineRule="exact"/>
        <w:rPr>
          <w:sz w:val="20"/>
          <w:szCs w:val="20"/>
          <w:color w:val="auto"/>
        </w:rPr>
      </w:pPr>
    </w:p>
    <w:p>
      <w:pPr>
        <w:ind w:left="1440" w:hanging="1328"/>
        <w:spacing w:after="0"/>
        <w:tabs>
          <w:tab w:leader="none" w:pos="1440" w:val="left"/>
        </w:tabs>
        <w:numPr>
          <w:ilvl w:val="0"/>
          <w:numId w:val="80"/>
        </w:numPr>
        <w:rPr>
          <w:rFonts w:ascii="Arial" w:cs="Arial" w:eastAsia="Arial" w:hAnsi="Arial"/>
          <w:sz w:val="16"/>
          <w:szCs w:val="16"/>
          <w:u w:val="single" w:color="auto"/>
          <w:color w:val="0000FF"/>
        </w:rPr>
      </w:pPr>
      <w:hyperlink r:id="rId384">
        <w:r>
          <w:rPr>
            <w:rFonts w:ascii="Arial" w:cs="Arial" w:eastAsia="Arial" w:hAnsi="Arial"/>
            <w:sz w:val="16"/>
            <w:szCs w:val="16"/>
            <w:u w:val="single" w:color="auto"/>
            <w:color w:val="0000FF"/>
          </w:rPr>
          <w:t>Insider Trading Policy (filed as Exhibit 19 to the Registrant's Form 10-K for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919480</wp:posOffset>
            </wp:positionH>
            <wp:positionV relativeFrom="paragraph">
              <wp:posOffset>-4445</wp:posOffset>
            </wp:positionV>
            <wp:extent cx="36957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85">
                      <a:extLst>
                        <a:ext uri="{28A0092B-C50C-407E-A947-70E740481C1C}"/>
                      </a:extLst>
                    </a:blip>
                    <a:srcRect/>
                    <a:stretch>
                      <a:fillRect/>
                    </a:stretch>
                  </pic:blipFill>
                  <pic:spPr bwMode="auto">
                    <a:xfrm>
                      <a:off x="0" y="0"/>
                      <a:ext cx="3695700" cy="8890"/>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60" w:type="dxa"/>
            <w:vAlign w:val="bottom"/>
          </w:tcPr>
          <w:p>
            <w:pPr>
              <w:ind w:left="120"/>
              <w:spacing w:after="0"/>
              <w:rPr>
                <w:sz w:val="20"/>
                <w:szCs w:val="20"/>
                <w:color w:val="auto"/>
              </w:rPr>
            </w:pPr>
            <w:r>
              <w:rPr>
                <w:rFonts w:ascii="Arial" w:cs="Arial" w:eastAsia="Arial" w:hAnsi="Arial"/>
                <w:sz w:val="16"/>
                <w:szCs w:val="16"/>
                <w:color w:val="auto"/>
              </w:rPr>
              <w:t>21*</w:t>
            </w:r>
          </w:p>
        </w:tc>
        <w:tc>
          <w:tcPr>
            <w:tcW w:w="9780" w:type="dxa"/>
            <w:vAlign w:val="bottom"/>
            <w:gridSpan w:val="3"/>
          </w:tcPr>
          <w:p>
            <w:pPr>
              <w:spacing w:after="0"/>
              <w:rPr>
                <w:sz w:val="20"/>
                <w:szCs w:val="20"/>
                <w:color w:val="auto"/>
              </w:rPr>
            </w:pPr>
            <w:r>
              <w:rPr>
                <w:rFonts w:ascii="Arial" w:cs="Arial" w:eastAsia="Arial" w:hAnsi="Arial"/>
                <w:sz w:val="16"/>
                <w:szCs w:val="16"/>
                <w:color w:val="0000FF"/>
              </w:rPr>
              <w:t>List of Subsidiaries of Black Hills Corporation.</w:t>
            </w:r>
          </w:p>
        </w:tc>
      </w:tr>
      <w:tr>
        <w:trPr>
          <w:trHeight w:val="20"/>
        </w:trPr>
        <w:tc>
          <w:tcPr>
            <w:tcW w:w="1460" w:type="dxa"/>
            <w:vAlign w:val="bottom"/>
            <w:tcBorders>
              <w:right w:val="single" w:sz="8" w:color="0000EE"/>
            </w:tcBorders>
          </w:tcPr>
          <w:p>
            <w:pPr>
              <w:spacing w:after="0" w:line="20" w:lineRule="exact"/>
              <w:rPr>
                <w:sz w:val="1"/>
                <w:szCs w:val="1"/>
                <w:color w:val="auto"/>
              </w:rPr>
            </w:pPr>
          </w:p>
        </w:tc>
        <w:tc>
          <w:tcPr>
            <w:tcW w:w="326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r>
      <w:tr>
        <w:trPr>
          <w:trHeight w:val="250"/>
        </w:trPr>
        <w:tc>
          <w:tcPr>
            <w:tcW w:w="1460" w:type="dxa"/>
            <w:vAlign w:val="bottom"/>
          </w:tcPr>
          <w:p>
            <w:pPr>
              <w:ind w:left="120"/>
              <w:spacing w:after="0"/>
              <w:rPr>
                <w:sz w:val="20"/>
                <w:szCs w:val="20"/>
                <w:color w:val="auto"/>
              </w:rPr>
            </w:pPr>
            <w:r>
              <w:rPr>
                <w:rFonts w:ascii="Arial" w:cs="Arial" w:eastAsia="Arial" w:hAnsi="Arial"/>
                <w:sz w:val="16"/>
                <w:szCs w:val="16"/>
                <w:color w:val="auto"/>
              </w:rPr>
              <w:t>23.1*</w:t>
            </w:r>
          </w:p>
        </w:tc>
        <w:tc>
          <w:tcPr>
            <w:tcW w:w="9780" w:type="dxa"/>
            <w:vAlign w:val="bottom"/>
            <w:gridSpan w:val="3"/>
          </w:tcPr>
          <w:p>
            <w:pPr>
              <w:spacing w:after="0"/>
              <w:rPr>
                <w:sz w:val="20"/>
                <w:szCs w:val="20"/>
                <w:color w:val="auto"/>
              </w:rPr>
            </w:pPr>
            <w:r>
              <w:rPr>
                <w:rFonts w:ascii="Arial" w:cs="Arial" w:eastAsia="Arial" w:hAnsi="Arial"/>
                <w:sz w:val="16"/>
                <w:szCs w:val="16"/>
                <w:color w:val="0000FF"/>
              </w:rPr>
              <w:t>Consent of Independent Registered Public Accounting Firm.</w:t>
            </w:r>
          </w:p>
        </w:tc>
      </w:tr>
      <w:tr>
        <w:trPr>
          <w:trHeight w:val="235"/>
        </w:trPr>
        <w:tc>
          <w:tcPr>
            <w:tcW w:w="1460" w:type="dxa"/>
            <w:vAlign w:val="bottom"/>
          </w:tcPr>
          <w:p>
            <w:pPr>
              <w:spacing w:after="0"/>
              <w:rPr>
                <w:sz w:val="20"/>
                <w:szCs w:val="20"/>
                <w:color w:val="auto"/>
              </w:rPr>
            </w:pPr>
          </w:p>
        </w:tc>
        <w:tc>
          <w:tcPr>
            <w:tcW w:w="4300" w:type="dxa"/>
            <w:vAlign w:val="bottom"/>
            <w:tcBorders>
              <w:top w:val="single" w:sz="8" w:color="0000FF"/>
            </w:tcBorders>
            <w:gridSpan w:val="2"/>
          </w:tcPr>
          <w:p>
            <w:pPr>
              <w:jc w:val="right"/>
              <w:spacing w:after="0"/>
              <w:rPr>
                <w:sz w:val="20"/>
                <w:szCs w:val="20"/>
                <w:color w:val="auto"/>
              </w:rPr>
            </w:pPr>
            <w:r>
              <w:rPr>
                <w:rFonts w:ascii="Arial" w:cs="Arial" w:eastAsia="Arial" w:hAnsi="Arial"/>
                <w:sz w:val="16"/>
                <w:szCs w:val="16"/>
                <w:color w:val="auto"/>
              </w:rPr>
              <w:t>106</w:t>
            </w:r>
          </w:p>
        </w:tc>
        <w:tc>
          <w:tcPr>
            <w:tcW w:w="5480" w:type="dxa"/>
            <w:vAlign w:val="bottom"/>
          </w:tcPr>
          <w:p>
            <w:pPr>
              <w:spacing w:after="0"/>
              <w:rPr>
                <w:sz w:val="20"/>
                <w:szCs w:val="20"/>
                <w:color w:val="auto"/>
              </w:rPr>
            </w:pPr>
          </w:p>
        </w:tc>
      </w:tr>
      <w:tr>
        <w:trPr>
          <w:trHeight w:val="751"/>
        </w:trPr>
        <w:tc>
          <w:tcPr>
            <w:tcW w:w="146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5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6" w:name="page107"/>
    <w:bookmarkEnd w:id="10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1340" w:type="dxa"/>
            <w:vAlign w:val="bottom"/>
          </w:tcPr>
          <w:p>
            <w:pPr>
              <w:spacing w:after="0"/>
              <w:rPr>
                <w:sz w:val="20"/>
                <w:szCs w:val="20"/>
                <w:color w:val="auto"/>
              </w:rPr>
            </w:pPr>
            <w:r>
              <w:rPr>
                <w:rFonts w:ascii="Arial" w:cs="Arial" w:eastAsia="Arial" w:hAnsi="Arial"/>
                <w:sz w:val="16"/>
                <w:szCs w:val="16"/>
                <w:color w:val="auto"/>
              </w:rPr>
              <w:t>31.1*</w:t>
            </w:r>
          </w:p>
        </w:tc>
        <w:tc>
          <w:tcPr>
            <w:tcW w:w="9660" w:type="dxa"/>
            <w:vAlign w:val="bottom"/>
            <w:gridSpan w:val="10"/>
          </w:tcPr>
          <w:p>
            <w:pPr>
              <w:spacing w:after="0"/>
              <w:rPr>
                <w:sz w:val="20"/>
                <w:szCs w:val="20"/>
                <w:color w:val="auto"/>
              </w:rPr>
            </w:pPr>
            <w:r>
              <w:rPr>
                <w:rFonts w:ascii="Arial" w:cs="Arial" w:eastAsia="Arial" w:hAnsi="Arial"/>
                <w:sz w:val="16"/>
                <w:szCs w:val="16"/>
                <w:color w:val="0000FF"/>
              </w:rPr>
              <w:t>Certification of Chief Executive Officer pursuant to Rule 13a - 14(a) of the Securities Exchange Act of 1934, as adopted pursuant to</w:t>
            </w:r>
          </w:p>
        </w:tc>
      </w:tr>
      <w:tr>
        <w:trPr>
          <w:trHeight w:val="169"/>
        </w:trPr>
        <w:tc>
          <w:tcPr>
            <w:tcW w:w="1340" w:type="dxa"/>
            <w:vAlign w:val="bottom"/>
          </w:tcPr>
          <w:p>
            <w:pPr>
              <w:spacing w:after="0"/>
              <w:rPr>
                <w:sz w:val="14"/>
                <w:szCs w:val="14"/>
                <w:color w:val="auto"/>
              </w:rPr>
            </w:pPr>
          </w:p>
        </w:tc>
        <w:tc>
          <w:tcPr>
            <w:tcW w:w="3500" w:type="dxa"/>
            <w:vAlign w:val="bottom"/>
            <w:tcBorders>
              <w:top w:val="single" w:sz="8" w:color="0000FF"/>
              <w:bottom w:val="single" w:sz="8" w:color="0000FF"/>
            </w:tcBorders>
            <w:gridSpan w:val="3"/>
          </w:tcPr>
          <w:p>
            <w:pPr>
              <w:spacing w:after="0" w:line="169" w:lineRule="exact"/>
              <w:rPr>
                <w:sz w:val="20"/>
                <w:szCs w:val="20"/>
                <w:color w:val="auto"/>
              </w:rPr>
            </w:pPr>
            <w:r>
              <w:rPr>
                <w:rFonts w:ascii="Arial" w:cs="Arial" w:eastAsia="Arial" w:hAnsi="Arial"/>
                <w:sz w:val="16"/>
                <w:szCs w:val="16"/>
                <w:color w:val="0000FF"/>
              </w:rPr>
              <w:t>Section 302 of the Sarbanes - Oxley Act of 2002.</w:t>
            </w:r>
          </w:p>
        </w:tc>
        <w:tc>
          <w:tcPr>
            <w:tcW w:w="5920" w:type="dxa"/>
            <w:vAlign w:val="bottom"/>
            <w:tcBorders>
              <w:top w:val="single" w:sz="8" w:color="0000FF"/>
            </w:tcBorders>
            <w:gridSpan w:val="5"/>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50"/>
        </w:trPr>
        <w:tc>
          <w:tcPr>
            <w:tcW w:w="1340" w:type="dxa"/>
            <w:vAlign w:val="bottom"/>
          </w:tcPr>
          <w:p>
            <w:pPr>
              <w:spacing w:after="0"/>
              <w:rPr>
                <w:sz w:val="20"/>
                <w:szCs w:val="20"/>
                <w:color w:val="auto"/>
              </w:rPr>
            </w:pPr>
            <w:r>
              <w:rPr>
                <w:rFonts w:ascii="Arial" w:cs="Arial" w:eastAsia="Arial" w:hAnsi="Arial"/>
                <w:sz w:val="16"/>
                <w:szCs w:val="16"/>
                <w:color w:val="auto"/>
              </w:rPr>
              <w:t>31.2*</w:t>
            </w:r>
          </w:p>
        </w:tc>
        <w:tc>
          <w:tcPr>
            <w:tcW w:w="9660" w:type="dxa"/>
            <w:vAlign w:val="bottom"/>
            <w:gridSpan w:val="10"/>
          </w:tcPr>
          <w:p>
            <w:pPr>
              <w:spacing w:after="0"/>
              <w:rPr>
                <w:sz w:val="20"/>
                <w:szCs w:val="20"/>
                <w:color w:val="auto"/>
              </w:rPr>
            </w:pPr>
            <w:r>
              <w:rPr>
                <w:rFonts w:ascii="Arial" w:cs="Arial" w:eastAsia="Arial" w:hAnsi="Arial"/>
                <w:sz w:val="16"/>
                <w:szCs w:val="16"/>
                <w:color w:val="0000FF"/>
              </w:rPr>
              <w:t>Certification of Chief Financial Officer pursuant to Rule 13a - 14(a) of the Securities Exchange Act of 1934, as adopted pursuant to</w:t>
            </w:r>
          </w:p>
        </w:tc>
      </w:tr>
      <w:tr>
        <w:trPr>
          <w:trHeight w:val="169"/>
        </w:trPr>
        <w:tc>
          <w:tcPr>
            <w:tcW w:w="1340" w:type="dxa"/>
            <w:vAlign w:val="bottom"/>
          </w:tcPr>
          <w:p>
            <w:pPr>
              <w:spacing w:after="0"/>
              <w:rPr>
                <w:sz w:val="14"/>
                <w:szCs w:val="14"/>
                <w:color w:val="auto"/>
              </w:rPr>
            </w:pPr>
          </w:p>
        </w:tc>
        <w:tc>
          <w:tcPr>
            <w:tcW w:w="3500" w:type="dxa"/>
            <w:vAlign w:val="bottom"/>
            <w:tcBorders>
              <w:top w:val="single" w:sz="8" w:color="0000FF"/>
              <w:bottom w:val="single" w:sz="8" w:color="0000FF"/>
            </w:tcBorders>
            <w:gridSpan w:val="3"/>
          </w:tcPr>
          <w:p>
            <w:pPr>
              <w:spacing w:after="0" w:line="169" w:lineRule="exact"/>
              <w:rPr>
                <w:sz w:val="20"/>
                <w:szCs w:val="20"/>
                <w:color w:val="auto"/>
              </w:rPr>
            </w:pPr>
            <w:r>
              <w:rPr>
                <w:rFonts w:ascii="Arial" w:cs="Arial" w:eastAsia="Arial" w:hAnsi="Arial"/>
                <w:sz w:val="16"/>
                <w:szCs w:val="16"/>
                <w:color w:val="0000FF"/>
              </w:rPr>
              <w:t>Section 302 of the Sarbanes - Oxley Act of 2002.</w:t>
            </w:r>
          </w:p>
        </w:tc>
        <w:tc>
          <w:tcPr>
            <w:tcW w:w="5860" w:type="dxa"/>
            <w:vAlign w:val="bottom"/>
            <w:tcBorders>
              <w:top w:val="single" w:sz="8" w:color="0000FF"/>
            </w:tcBorders>
            <w:gridSpan w:val="3"/>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r>
      <w:tr>
        <w:trPr>
          <w:trHeight w:val="250"/>
        </w:trPr>
        <w:tc>
          <w:tcPr>
            <w:tcW w:w="1340" w:type="dxa"/>
            <w:vAlign w:val="bottom"/>
          </w:tcPr>
          <w:p>
            <w:pPr>
              <w:spacing w:after="0"/>
              <w:rPr>
                <w:sz w:val="20"/>
                <w:szCs w:val="20"/>
                <w:color w:val="auto"/>
              </w:rPr>
            </w:pPr>
            <w:r>
              <w:rPr>
                <w:rFonts w:ascii="Arial" w:cs="Arial" w:eastAsia="Arial" w:hAnsi="Arial"/>
                <w:sz w:val="16"/>
                <w:szCs w:val="16"/>
                <w:color w:val="auto"/>
              </w:rPr>
              <w:t>32.1*</w:t>
            </w:r>
          </w:p>
        </w:tc>
        <w:tc>
          <w:tcPr>
            <w:tcW w:w="9660" w:type="dxa"/>
            <w:vAlign w:val="bottom"/>
            <w:gridSpan w:val="10"/>
          </w:tcPr>
          <w:p>
            <w:pPr>
              <w:spacing w:after="0"/>
              <w:rPr>
                <w:sz w:val="20"/>
                <w:szCs w:val="20"/>
                <w:color w:val="auto"/>
              </w:rPr>
            </w:pPr>
            <w:r>
              <w:rPr>
                <w:rFonts w:ascii="Arial" w:cs="Arial" w:eastAsia="Arial" w:hAnsi="Arial"/>
                <w:sz w:val="16"/>
                <w:szCs w:val="16"/>
                <w:color w:val="0000FF"/>
              </w:rPr>
              <w:t>Certification of Chief Executive Officer pursuant to 18 U.S.C. Section 1350, as adopted pursuant to Section 906 of the Sarbanes-Oxley</w:t>
            </w:r>
          </w:p>
        </w:tc>
      </w:tr>
      <w:tr>
        <w:trPr>
          <w:trHeight w:val="169"/>
        </w:trPr>
        <w:tc>
          <w:tcPr>
            <w:tcW w:w="1340" w:type="dxa"/>
            <w:vAlign w:val="bottom"/>
          </w:tcPr>
          <w:p>
            <w:pPr>
              <w:spacing w:after="0"/>
              <w:rPr>
                <w:sz w:val="14"/>
                <w:szCs w:val="14"/>
                <w:color w:val="auto"/>
              </w:rPr>
            </w:pPr>
          </w:p>
        </w:tc>
        <w:tc>
          <w:tcPr>
            <w:tcW w:w="86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6"/>
                <w:szCs w:val="16"/>
                <w:color w:val="0000FF"/>
                <w:w w:val="98"/>
              </w:rPr>
              <w:t>Act of 2002.</w:t>
            </w:r>
          </w:p>
        </w:tc>
        <w:tc>
          <w:tcPr>
            <w:tcW w:w="8800" w:type="dxa"/>
            <w:vAlign w:val="bottom"/>
            <w:tcBorders>
              <w:top w:val="single" w:sz="8" w:color="0000FF"/>
            </w:tcBorders>
            <w:gridSpan w:val="9"/>
          </w:tcPr>
          <w:p>
            <w:pPr>
              <w:spacing w:after="0"/>
              <w:rPr>
                <w:sz w:val="14"/>
                <w:szCs w:val="14"/>
                <w:color w:val="auto"/>
              </w:rPr>
            </w:pPr>
          </w:p>
        </w:tc>
      </w:tr>
      <w:tr>
        <w:trPr>
          <w:trHeight w:val="250"/>
        </w:trPr>
        <w:tc>
          <w:tcPr>
            <w:tcW w:w="1340" w:type="dxa"/>
            <w:vAlign w:val="bottom"/>
          </w:tcPr>
          <w:p>
            <w:pPr>
              <w:spacing w:after="0"/>
              <w:rPr>
                <w:sz w:val="20"/>
                <w:szCs w:val="20"/>
                <w:color w:val="auto"/>
              </w:rPr>
            </w:pPr>
            <w:r>
              <w:rPr>
                <w:rFonts w:ascii="Arial" w:cs="Arial" w:eastAsia="Arial" w:hAnsi="Arial"/>
                <w:sz w:val="16"/>
                <w:szCs w:val="16"/>
                <w:color w:val="auto"/>
              </w:rPr>
              <w:t>32.2*</w:t>
            </w:r>
          </w:p>
        </w:tc>
        <w:tc>
          <w:tcPr>
            <w:tcW w:w="9660" w:type="dxa"/>
            <w:vAlign w:val="bottom"/>
            <w:gridSpan w:val="10"/>
          </w:tcPr>
          <w:p>
            <w:pPr>
              <w:spacing w:after="0"/>
              <w:rPr>
                <w:sz w:val="20"/>
                <w:szCs w:val="20"/>
                <w:color w:val="auto"/>
              </w:rPr>
            </w:pPr>
            <w:r>
              <w:rPr>
                <w:rFonts w:ascii="Arial" w:cs="Arial" w:eastAsia="Arial" w:hAnsi="Arial"/>
                <w:sz w:val="16"/>
                <w:szCs w:val="16"/>
                <w:color w:val="0000FF"/>
              </w:rPr>
              <w:t>Certification of Chief Financial Officer pursuant to 18 U.S.C. Section 1350, as adopted pursuant to Section 906 of the Sarbanes-Oxley</w:t>
            </w:r>
          </w:p>
        </w:tc>
      </w:tr>
      <w:tr>
        <w:trPr>
          <w:trHeight w:val="169"/>
        </w:trPr>
        <w:tc>
          <w:tcPr>
            <w:tcW w:w="1340" w:type="dxa"/>
            <w:vAlign w:val="bottom"/>
          </w:tcPr>
          <w:p>
            <w:pPr>
              <w:spacing w:after="0"/>
              <w:rPr>
                <w:sz w:val="14"/>
                <w:szCs w:val="14"/>
                <w:color w:val="auto"/>
              </w:rPr>
            </w:pPr>
          </w:p>
        </w:tc>
        <w:tc>
          <w:tcPr>
            <w:tcW w:w="86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6"/>
                <w:szCs w:val="16"/>
                <w:color w:val="0000FF"/>
                <w:w w:val="98"/>
              </w:rPr>
              <w:t>Act of 2002.</w:t>
            </w:r>
          </w:p>
        </w:tc>
        <w:tc>
          <w:tcPr>
            <w:tcW w:w="20" w:type="dxa"/>
            <w:vAlign w:val="bottom"/>
            <w:tcBorders>
              <w:top w:val="single" w:sz="8" w:color="0000FF"/>
              <w:bottom w:val="single" w:sz="8" w:color="0000EE"/>
            </w:tcBorders>
          </w:tcPr>
          <w:p>
            <w:pPr>
              <w:spacing w:after="0"/>
              <w:rPr>
                <w:sz w:val="14"/>
                <w:szCs w:val="14"/>
                <w:color w:val="auto"/>
              </w:rPr>
            </w:pPr>
          </w:p>
        </w:tc>
        <w:tc>
          <w:tcPr>
            <w:tcW w:w="8720" w:type="dxa"/>
            <w:vAlign w:val="bottom"/>
            <w:tcBorders>
              <w:top w:val="single" w:sz="8" w:color="0000FF"/>
            </w:tcBorders>
            <w:gridSpan w:val="7"/>
          </w:tcPr>
          <w:p>
            <w:pPr>
              <w:spacing w:after="0"/>
              <w:rPr>
                <w:sz w:val="14"/>
                <w:szCs w:val="14"/>
                <w:color w:val="auto"/>
              </w:rPr>
            </w:pPr>
          </w:p>
        </w:tc>
        <w:tc>
          <w:tcPr>
            <w:tcW w:w="60" w:type="dxa"/>
            <w:vAlign w:val="bottom"/>
          </w:tcPr>
          <w:p>
            <w:pPr>
              <w:spacing w:after="0"/>
              <w:rPr>
                <w:sz w:val="14"/>
                <w:szCs w:val="14"/>
                <w:color w:val="auto"/>
              </w:rPr>
            </w:pPr>
          </w:p>
        </w:tc>
      </w:tr>
      <w:tr>
        <w:trPr>
          <w:trHeight w:val="250"/>
        </w:trPr>
        <w:tc>
          <w:tcPr>
            <w:tcW w:w="1340" w:type="dxa"/>
            <w:vAlign w:val="bottom"/>
          </w:tcPr>
          <w:p>
            <w:pPr>
              <w:spacing w:after="0"/>
              <w:rPr>
                <w:sz w:val="20"/>
                <w:szCs w:val="20"/>
                <w:color w:val="auto"/>
              </w:rPr>
            </w:pPr>
            <w:r>
              <w:rPr>
                <w:rFonts w:ascii="Arial" w:cs="Arial" w:eastAsia="Arial" w:hAnsi="Arial"/>
                <w:sz w:val="16"/>
                <w:szCs w:val="16"/>
                <w:color w:val="auto"/>
              </w:rPr>
              <w:t>95*</w:t>
            </w:r>
          </w:p>
        </w:tc>
        <w:tc>
          <w:tcPr>
            <w:tcW w:w="9660" w:type="dxa"/>
            <w:vAlign w:val="bottom"/>
            <w:gridSpan w:val="10"/>
          </w:tcPr>
          <w:p>
            <w:pPr>
              <w:spacing w:after="0"/>
              <w:rPr>
                <w:rFonts w:ascii="Arial" w:cs="Arial" w:eastAsia="Arial" w:hAnsi="Arial"/>
                <w:sz w:val="16"/>
                <w:szCs w:val="16"/>
                <w:color w:val="0000FF"/>
              </w:rPr>
            </w:pPr>
            <w:hyperlink r:id="rId377">
              <w:r>
                <w:rPr>
                  <w:rFonts w:ascii="Arial" w:cs="Arial" w:eastAsia="Arial" w:hAnsi="Arial"/>
                  <w:sz w:val="16"/>
                  <w:szCs w:val="16"/>
                  <w:color w:val="0000FF"/>
                </w:rPr>
                <w:t>Form of Restricted Stock Unit Award Agreement (Non-Employee Director) effective for awards granted on or after January 1, 2022,</w:t>
              </w:r>
            </w:hyperlink>
          </w:p>
        </w:tc>
      </w:tr>
      <w:tr>
        <w:trPr>
          <w:trHeight w:val="169"/>
        </w:trPr>
        <w:tc>
          <w:tcPr>
            <w:tcW w:w="1340" w:type="dxa"/>
            <w:vAlign w:val="bottom"/>
          </w:tcPr>
          <w:p>
            <w:pPr>
              <w:spacing w:after="0"/>
              <w:rPr>
                <w:sz w:val="14"/>
                <w:szCs w:val="14"/>
                <w:color w:val="auto"/>
              </w:rPr>
            </w:pPr>
          </w:p>
        </w:tc>
        <w:tc>
          <w:tcPr>
            <w:tcW w:w="9400" w:type="dxa"/>
            <w:vAlign w:val="bottom"/>
            <w:tcBorders>
              <w:top w:val="single" w:sz="8" w:color="0000FF"/>
            </w:tcBorders>
            <w:gridSpan w:val="7"/>
          </w:tcPr>
          <w:p>
            <w:pPr>
              <w:spacing w:after="0" w:line="169" w:lineRule="exact"/>
              <w:rPr>
                <w:rFonts w:ascii="Arial" w:cs="Arial" w:eastAsia="Arial" w:hAnsi="Arial"/>
                <w:sz w:val="16"/>
                <w:szCs w:val="16"/>
                <w:color w:val="0000FF"/>
              </w:rPr>
            </w:pPr>
            <w:hyperlink r:id="rId377">
              <w:r>
                <w:rPr>
                  <w:rFonts w:ascii="Arial" w:cs="Arial" w:eastAsia="Arial" w:hAnsi="Arial"/>
                  <w:sz w:val="16"/>
                  <w:szCs w:val="16"/>
                  <w:color w:val="0000FF"/>
                </w:rPr>
                <w:t>(filed as Exhibit 10.26 to the Registrant's Form 10-K filed on February 15, 2022).</w:t>
              </w:r>
            </w:hyperlink>
          </w:p>
        </w:tc>
        <w:tc>
          <w:tcPr>
            <w:tcW w:w="260" w:type="dxa"/>
            <w:vAlign w:val="bottom"/>
            <w:gridSpan w:val="3"/>
          </w:tcPr>
          <w:p>
            <w:pPr>
              <w:spacing w:after="0"/>
              <w:rPr>
                <w:sz w:val="14"/>
                <w:szCs w:val="14"/>
                <w:color w:val="auto"/>
              </w:rPr>
            </w:pPr>
          </w:p>
        </w:tc>
      </w:tr>
      <w:tr>
        <w:trPr>
          <w:trHeight w:val="20"/>
        </w:trPr>
        <w:tc>
          <w:tcPr>
            <w:tcW w:w="1340" w:type="dxa"/>
            <w:vAlign w:val="bottom"/>
            <w:tcBorders>
              <w:right w:val="single" w:sz="8" w:color="0000EE"/>
            </w:tcBorders>
          </w:tcPr>
          <w:p>
            <w:pPr>
              <w:spacing w:after="0" w:line="20" w:lineRule="exact"/>
              <w:rPr>
                <w:sz w:val="1"/>
                <w:szCs w:val="1"/>
                <w:color w:val="auto"/>
              </w:rPr>
            </w:pPr>
          </w:p>
        </w:tc>
        <w:tc>
          <w:tcPr>
            <w:tcW w:w="5720" w:type="dxa"/>
            <w:vAlign w:val="bottom"/>
            <w:gridSpan w:val="4"/>
            <w:shd w:val="clear" w:color="auto" w:fill="0000FF"/>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r>
      <w:tr>
        <w:trPr>
          <w:trHeight w:val="250"/>
        </w:trPr>
        <w:tc>
          <w:tcPr>
            <w:tcW w:w="1340" w:type="dxa"/>
            <w:vAlign w:val="bottom"/>
          </w:tcPr>
          <w:p>
            <w:pPr>
              <w:spacing w:after="0"/>
              <w:rPr>
                <w:sz w:val="20"/>
                <w:szCs w:val="20"/>
                <w:color w:val="auto"/>
              </w:rPr>
            </w:pPr>
            <w:r>
              <w:rPr>
                <w:rFonts w:ascii="Arial" w:cs="Arial" w:eastAsia="Arial" w:hAnsi="Arial"/>
                <w:sz w:val="16"/>
                <w:szCs w:val="16"/>
                <w:color w:val="auto"/>
              </w:rPr>
              <w:t>97†</w:t>
            </w:r>
          </w:p>
        </w:tc>
        <w:tc>
          <w:tcPr>
            <w:tcW w:w="9660" w:type="dxa"/>
            <w:vAlign w:val="bottom"/>
            <w:gridSpan w:val="10"/>
          </w:tcPr>
          <w:p>
            <w:pPr>
              <w:spacing w:after="0"/>
              <w:rPr>
                <w:rFonts w:ascii="Arial" w:cs="Arial" w:eastAsia="Arial" w:hAnsi="Arial"/>
                <w:sz w:val="16"/>
                <w:szCs w:val="16"/>
                <w:color w:val="0000FF"/>
              </w:rPr>
            </w:pPr>
            <w:hyperlink r:id="rId388">
              <w:r>
                <w:rPr>
                  <w:rFonts w:ascii="Arial" w:cs="Arial" w:eastAsia="Arial" w:hAnsi="Arial"/>
                  <w:sz w:val="16"/>
                  <w:szCs w:val="16"/>
                  <w:color w:val="0000FF"/>
                </w:rPr>
                <w:t>Mandatory Compensation Recovery Policy dated December 1, 2023 (filed as Exhibit 97 to the Registrant's Form 10-K for 2023).</w:t>
              </w:r>
            </w:hyperlink>
          </w:p>
        </w:tc>
      </w:tr>
      <w:tr>
        <w:trPr>
          <w:trHeight w:val="20"/>
        </w:trPr>
        <w:tc>
          <w:tcPr>
            <w:tcW w:w="1340" w:type="dxa"/>
            <w:vAlign w:val="bottom"/>
            <w:tcBorders>
              <w:right w:val="single" w:sz="8" w:color="0000EE"/>
            </w:tcBorders>
          </w:tcPr>
          <w:p>
            <w:pPr>
              <w:spacing w:after="0" w:line="20" w:lineRule="exact"/>
              <w:rPr>
                <w:sz w:val="1"/>
                <w:szCs w:val="1"/>
                <w:color w:val="auto"/>
              </w:rPr>
            </w:pPr>
          </w:p>
        </w:tc>
        <w:tc>
          <w:tcPr>
            <w:tcW w:w="9140" w:type="dxa"/>
            <w:vAlign w:val="bottom"/>
            <w:gridSpan w:val="5"/>
            <w:shd w:val="clear" w:color="auto" w:fill="0000FF"/>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r>
      <w:tr>
        <w:trPr>
          <w:trHeight w:val="263"/>
        </w:trPr>
        <w:tc>
          <w:tcPr>
            <w:tcW w:w="1340" w:type="dxa"/>
            <w:vAlign w:val="bottom"/>
          </w:tcPr>
          <w:p>
            <w:pPr>
              <w:spacing w:after="0"/>
              <w:rPr>
                <w:sz w:val="20"/>
                <w:szCs w:val="20"/>
                <w:color w:val="auto"/>
              </w:rPr>
            </w:pPr>
            <w:r>
              <w:rPr>
                <w:rFonts w:ascii="Arial" w:cs="Arial" w:eastAsia="Arial" w:hAnsi="Arial"/>
                <w:sz w:val="16"/>
                <w:szCs w:val="16"/>
                <w:color w:val="auto"/>
              </w:rPr>
              <w:t>101.INS*</w:t>
            </w:r>
          </w:p>
        </w:tc>
        <w:tc>
          <w:tcPr>
            <w:tcW w:w="9660" w:type="dxa"/>
            <w:vAlign w:val="bottom"/>
            <w:gridSpan w:val="10"/>
          </w:tcPr>
          <w:p>
            <w:pPr>
              <w:spacing w:after="0"/>
              <w:rPr>
                <w:sz w:val="20"/>
                <w:szCs w:val="20"/>
                <w:color w:val="auto"/>
              </w:rPr>
            </w:pPr>
            <w:r>
              <w:rPr>
                <w:rFonts w:ascii="Arial" w:cs="Arial" w:eastAsia="Arial" w:hAnsi="Arial"/>
                <w:sz w:val="16"/>
                <w:szCs w:val="16"/>
                <w:color w:val="auto"/>
              </w:rPr>
              <w:t>Inline XBRL Instance Document - the instance document does not appear in the Interactive Data File because its XBRL tags are</w:t>
            </w:r>
          </w:p>
        </w:tc>
      </w:tr>
      <w:tr>
        <w:trPr>
          <w:trHeight w:val="215"/>
        </w:trPr>
        <w:tc>
          <w:tcPr>
            <w:tcW w:w="1340" w:type="dxa"/>
            <w:vAlign w:val="bottom"/>
          </w:tcPr>
          <w:p>
            <w:pPr>
              <w:spacing w:after="0"/>
              <w:rPr>
                <w:sz w:val="18"/>
                <w:szCs w:val="18"/>
                <w:color w:val="auto"/>
              </w:rPr>
            </w:pPr>
          </w:p>
        </w:tc>
        <w:tc>
          <w:tcPr>
            <w:tcW w:w="9660" w:type="dxa"/>
            <w:vAlign w:val="bottom"/>
            <w:gridSpan w:val="10"/>
          </w:tcPr>
          <w:p>
            <w:pPr>
              <w:spacing w:after="0"/>
              <w:rPr>
                <w:sz w:val="20"/>
                <w:szCs w:val="20"/>
                <w:color w:val="auto"/>
              </w:rPr>
            </w:pPr>
            <w:r>
              <w:rPr>
                <w:rFonts w:ascii="Arial" w:cs="Arial" w:eastAsia="Arial" w:hAnsi="Arial"/>
                <w:sz w:val="16"/>
                <w:szCs w:val="16"/>
                <w:color w:val="auto"/>
              </w:rPr>
              <w:t>embedded within the Inline XBRL document</w:t>
            </w:r>
          </w:p>
        </w:tc>
      </w:tr>
      <w:tr>
        <w:trPr>
          <w:trHeight w:val="270"/>
        </w:trPr>
        <w:tc>
          <w:tcPr>
            <w:tcW w:w="1340" w:type="dxa"/>
            <w:vAlign w:val="bottom"/>
          </w:tcPr>
          <w:p>
            <w:pPr>
              <w:spacing w:after="0"/>
              <w:rPr>
                <w:sz w:val="20"/>
                <w:szCs w:val="20"/>
                <w:color w:val="auto"/>
              </w:rPr>
            </w:pPr>
            <w:r>
              <w:rPr>
                <w:rFonts w:ascii="Arial" w:cs="Arial" w:eastAsia="Arial" w:hAnsi="Arial"/>
                <w:sz w:val="16"/>
                <w:szCs w:val="16"/>
                <w:color w:val="auto"/>
              </w:rPr>
              <w:t>101.SCH*</w:t>
            </w:r>
          </w:p>
        </w:tc>
        <w:tc>
          <w:tcPr>
            <w:tcW w:w="9660" w:type="dxa"/>
            <w:vAlign w:val="bottom"/>
            <w:gridSpan w:val="10"/>
          </w:tcPr>
          <w:p>
            <w:pPr>
              <w:spacing w:after="0"/>
              <w:rPr>
                <w:sz w:val="20"/>
                <w:szCs w:val="20"/>
                <w:color w:val="auto"/>
              </w:rPr>
            </w:pPr>
            <w:r>
              <w:rPr>
                <w:rFonts w:ascii="Arial" w:cs="Arial" w:eastAsia="Arial" w:hAnsi="Arial"/>
                <w:sz w:val="16"/>
                <w:szCs w:val="16"/>
                <w:color w:val="auto"/>
              </w:rPr>
              <w:t>Inline XBRL Taxonomy Extension Schema with Embedded Linkbase Document</w:t>
            </w:r>
          </w:p>
        </w:tc>
      </w:tr>
      <w:tr>
        <w:trPr>
          <w:trHeight w:val="270"/>
        </w:trPr>
        <w:tc>
          <w:tcPr>
            <w:tcW w:w="1340" w:type="dxa"/>
            <w:vAlign w:val="bottom"/>
          </w:tcPr>
          <w:p>
            <w:pPr>
              <w:spacing w:after="0"/>
              <w:rPr>
                <w:sz w:val="20"/>
                <w:szCs w:val="20"/>
                <w:color w:val="auto"/>
              </w:rPr>
            </w:pPr>
            <w:r>
              <w:rPr>
                <w:rFonts w:ascii="Arial" w:cs="Arial" w:eastAsia="Arial" w:hAnsi="Arial"/>
                <w:sz w:val="16"/>
                <w:szCs w:val="16"/>
                <w:color w:val="auto"/>
              </w:rPr>
              <w:t>104*</w:t>
            </w:r>
          </w:p>
        </w:tc>
        <w:tc>
          <w:tcPr>
            <w:tcW w:w="9660" w:type="dxa"/>
            <w:vAlign w:val="bottom"/>
            <w:gridSpan w:val="10"/>
          </w:tcPr>
          <w:p>
            <w:pPr>
              <w:spacing w:after="0"/>
              <w:rPr>
                <w:sz w:val="20"/>
                <w:szCs w:val="20"/>
                <w:color w:val="auto"/>
              </w:rPr>
            </w:pPr>
            <w:r>
              <w:rPr>
                <w:rFonts w:ascii="Arial" w:cs="Arial" w:eastAsia="Arial" w:hAnsi="Arial"/>
                <w:sz w:val="16"/>
                <w:szCs w:val="16"/>
                <w:color w:val="auto"/>
              </w:rPr>
              <w:t>Cover Page Interactive Data File (formatted as Inline XBRL and contained in Exhibit 101)</w:t>
            </w:r>
          </w:p>
        </w:tc>
      </w:tr>
    </w:tbl>
    <w:p>
      <w:pPr>
        <w:spacing w:after="0" w:line="393" w:lineRule="exact"/>
        <w:rPr>
          <w:sz w:val="20"/>
          <w:szCs w:val="20"/>
          <w:color w:val="auto"/>
        </w:rPr>
      </w:pPr>
    </w:p>
    <w:p>
      <w:pPr>
        <w:spacing w:after="0"/>
        <w:tabs>
          <w:tab w:leader="none" w:pos="920" w:val="left"/>
        </w:tabs>
        <w:rPr>
          <w:sz w:val="20"/>
          <w:szCs w:val="20"/>
          <w:color w:val="auto"/>
        </w:rPr>
      </w:pPr>
      <w:r>
        <w:rPr>
          <w:rFonts w:ascii="Arial" w:cs="Arial" w:eastAsia="Arial" w:hAnsi="Arial"/>
          <w:sz w:val="16"/>
          <w:szCs w:val="16"/>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107" w:name="page108"/>
    <w:bookmarkEnd w:id="10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SIGNATURES</w:t>
      </w:r>
    </w:p>
    <w:p>
      <w:pPr>
        <w:spacing w:after="0" w:line="194"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83" w:lineRule="exact"/>
        <w:rPr>
          <w:sz w:val="20"/>
          <w:szCs w:val="20"/>
          <w:color w:val="auto"/>
        </w:rPr>
      </w:pPr>
    </w:p>
    <w:p>
      <w:pPr>
        <w:ind w:left="5140"/>
        <w:spacing w:after="0"/>
        <w:rPr>
          <w:sz w:val="20"/>
          <w:szCs w:val="20"/>
          <w:color w:val="auto"/>
        </w:rPr>
      </w:pPr>
      <w:r>
        <w:rPr>
          <w:rFonts w:ascii="Arial" w:cs="Arial" w:eastAsia="Arial" w:hAnsi="Arial"/>
          <w:sz w:val="16"/>
          <w:szCs w:val="16"/>
          <w:color w:val="auto"/>
        </w:rPr>
        <w:t>BLACK HILLS CORPORATION</w:t>
      </w:r>
    </w:p>
    <w:p>
      <w:pPr>
        <w:spacing w:after="0" w:line="289" w:lineRule="exact"/>
        <w:rPr>
          <w:sz w:val="20"/>
          <w:szCs w:val="20"/>
          <w:color w:val="auto"/>
        </w:rPr>
      </w:pPr>
    </w:p>
    <w:p>
      <w:pPr>
        <w:ind w:left="5140"/>
        <w:spacing w:after="0"/>
        <w:tabs>
          <w:tab w:leader="none" w:pos="59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LINDEN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29210</wp:posOffset>
            </wp:positionV>
            <wp:extent cx="341185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90">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53" w:lineRule="exact"/>
        <w:rPr>
          <w:sz w:val="20"/>
          <w:szCs w:val="20"/>
          <w:color w:val="auto"/>
        </w:rPr>
      </w:pPr>
    </w:p>
    <w:p>
      <w:pPr>
        <w:ind w:left="5140"/>
        <w:spacing w:after="0"/>
        <w:rPr>
          <w:sz w:val="20"/>
          <w:szCs w:val="20"/>
          <w:color w:val="auto"/>
        </w:rPr>
      </w:pPr>
      <w:r>
        <w:rPr>
          <w:rFonts w:ascii="Arial" w:cs="Arial" w:eastAsia="Arial" w:hAnsi="Arial"/>
          <w:sz w:val="16"/>
          <w:szCs w:val="16"/>
          <w:color w:val="auto"/>
        </w:rPr>
        <w:t>Linden R. Evans, President and Chief Executive Officer</w:t>
      </w:r>
    </w:p>
    <w:p>
      <w:pPr>
        <w:spacing w:after="0" w:line="86" w:lineRule="exact"/>
        <w:rPr>
          <w:sz w:val="20"/>
          <w:szCs w:val="20"/>
          <w:color w:val="auto"/>
        </w:rPr>
      </w:pPr>
    </w:p>
    <w:p>
      <w:pPr>
        <w:ind w:left="640"/>
        <w:spacing w:after="0"/>
        <w:tabs>
          <w:tab w:leader="none" w:pos="1300" w:val="left"/>
        </w:tabs>
        <w:rPr>
          <w:sz w:val="20"/>
          <w:szCs w:val="20"/>
          <w:color w:val="auto"/>
        </w:rPr>
      </w:pPr>
      <w:r>
        <w:rPr>
          <w:rFonts w:ascii="Arial" w:cs="Arial" w:eastAsia="Arial" w:hAnsi="Arial"/>
          <w:sz w:val="16"/>
          <w:szCs w:val="16"/>
          <w:color w:val="auto"/>
        </w:rPr>
        <w:t>Dated:</w:t>
        <w:tab/>
        <w:t>February 12, 2025</w:t>
      </w:r>
    </w:p>
    <w:p>
      <w:pPr>
        <w:spacing w:after="0" w:line="2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180"/>
          </w:cols>
          <w:pgMar w:left="320" w:top="125" w:right="399" w:bottom="1440" w:gutter="0" w:footer="0" w:header="0"/>
        </w:sectPr>
      </w:pP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5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/S/ STEVEN R. MILLS</w:t>
            </w:r>
          </w:p>
        </w:tc>
        <w:tc>
          <w:tcPr>
            <w:tcW w:w="1980" w:type="dxa"/>
            <w:vAlign w:val="bottom"/>
          </w:tcPr>
          <w:p>
            <w:pPr>
              <w:ind w:left="100"/>
              <w:spacing w:after="0"/>
              <w:rPr>
                <w:sz w:val="20"/>
                <w:szCs w:val="20"/>
                <w:color w:val="auto"/>
              </w:rPr>
            </w:pPr>
            <w:r>
              <w:rPr>
                <w:rFonts w:ascii="Arial" w:cs="Arial" w:eastAsia="Arial" w:hAnsi="Arial"/>
                <w:sz w:val="16"/>
                <w:szCs w:val="16"/>
                <w:color w:val="auto"/>
              </w:rPr>
              <w:t>Director and</w:t>
            </w:r>
          </w:p>
        </w:tc>
      </w:tr>
      <w:tr>
        <w:trPr>
          <w:trHeight w:val="227"/>
        </w:trPr>
        <w:tc>
          <w:tcPr>
            <w:tcW w:w="4540" w:type="dxa"/>
            <w:vAlign w:val="bottom"/>
          </w:tcPr>
          <w:p>
            <w:pPr>
              <w:ind w:left="120"/>
              <w:spacing w:after="0"/>
              <w:rPr>
                <w:sz w:val="20"/>
                <w:szCs w:val="20"/>
                <w:color w:val="auto"/>
              </w:rPr>
            </w:pPr>
            <w:r>
              <w:rPr>
                <w:rFonts w:ascii="Arial" w:cs="Arial" w:eastAsia="Arial" w:hAnsi="Arial"/>
                <w:sz w:val="16"/>
                <w:szCs w:val="16"/>
                <w:color w:val="auto"/>
              </w:rPr>
              <w:t>Steven R. Mills</w:t>
            </w:r>
          </w:p>
        </w:tc>
        <w:tc>
          <w:tcPr>
            <w:tcW w:w="1980" w:type="dxa"/>
            <w:vAlign w:val="bottom"/>
          </w:tcPr>
          <w:p>
            <w:pPr>
              <w:ind w:left="100"/>
              <w:spacing w:after="0"/>
              <w:rPr>
                <w:sz w:val="20"/>
                <w:szCs w:val="20"/>
                <w:color w:val="auto"/>
              </w:rPr>
            </w:pPr>
            <w:r>
              <w:rPr>
                <w:rFonts w:ascii="Arial" w:cs="Arial" w:eastAsia="Arial" w:hAnsi="Arial"/>
                <w:sz w:val="16"/>
                <w:szCs w:val="16"/>
                <w:color w:val="auto"/>
              </w:rPr>
              <w:t>Chairman</w:t>
            </w:r>
          </w:p>
        </w:tc>
      </w:tr>
      <w:tr>
        <w:trPr>
          <w:trHeight w:val="482"/>
        </w:trPr>
        <w:tc>
          <w:tcPr>
            <w:tcW w:w="45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/S/ LINDEN R. EVANS</w:t>
            </w:r>
          </w:p>
        </w:tc>
        <w:tc>
          <w:tcPr>
            <w:tcW w:w="1980" w:type="dxa"/>
            <w:vAlign w:val="bottom"/>
          </w:tcPr>
          <w:p>
            <w:pPr>
              <w:ind w:left="100"/>
              <w:spacing w:after="0"/>
              <w:rPr>
                <w:sz w:val="20"/>
                <w:szCs w:val="20"/>
                <w:color w:val="auto"/>
              </w:rPr>
            </w:pPr>
            <w:r>
              <w:rPr>
                <w:rFonts w:ascii="Arial" w:cs="Arial" w:eastAsia="Arial" w:hAnsi="Arial"/>
                <w:sz w:val="16"/>
                <w:szCs w:val="16"/>
                <w:color w:val="auto"/>
              </w:rPr>
              <w:t>Director and</w:t>
            </w:r>
          </w:p>
        </w:tc>
      </w:tr>
      <w:tr>
        <w:trPr>
          <w:trHeight w:val="228"/>
        </w:trPr>
        <w:tc>
          <w:tcPr>
            <w:tcW w:w="4540" w:type="dxa"/>
            <w:vAlign w:val="bottom"/>
          </w:tcPr>
          <w:p>
            <w:pPr>
              <w:ind w:left="120"/>
              <w:spacing w:after="0"/>
              <w:rPr>
                <w:sz w:val="20"/>
                <w:szCs w:val="20"/>
                <w:color w:val="auto"/>
              </w:rPr>
            </w:pPr>
            <w:r>
              <w:rPr>
                <w:rFonts w:ascii="Arial" w:cs="Arial" w:eastAsia="Arial" w:hAnsi="Arial"/>
                <w:sz w:val="16"/>
                <w:szCs w:val="16"/>
                <w:color w:val="auto"/>
              </w:rPr>
              <w:t>Linden R. Evans, President</w:t>
            </w:r>
          </w:p>
        </w:tc>
        <w:tc>
          <w:tcPr>
            <w:tcW w:w="1980" w:type="dxa"/>
            <w:vAlign w:val="bottom"/>
          </w:tcPr>
          <w:p>
            <w:pPr>
              <w:ind w:left="100"/>
              <w:spacing w:after="0"/>
              <w:rPr>
                <w:sz w:val="20"/>
                <w:szCs w:val="20"/>
                <w:color w:val="auto"/>
              </w:rPr>
            </w:pPr>
            <w:r>
              <w:rPr>
                <w:rFonts w:ascii="Arial" w:cs="Arial" w:eastAsia="Arial" w:hAnsi="Arial"/>
                <w:sz w:val="16"/>
                <w:szCs w:val="16"/>
                <w:color w:val="auto"/>
                <w:w w:val="99"/>
              </w:rPr>
              <w:t>Principal Executive Officer</w:t>
            </w:r>
          </w:p>
        </w:tc>
      </w:tr>
      <w:tr>
        <w:trPr>
          <w:trHeight w:val="270"/>
        </w:trPr>
        <w:tc>
          <w:tcPr>
            <w:tcW w:w="4540" w:type="dxa"/>
            <w:vAlign w:val="bottom"/>
          </w:tcPr>
          <w:p>
            <w:pPr>
              <w:ind w:left="120"/>
              <w:spacing w:after="0"/>
              <w:rPr>
                <w:sz w:val="20"/>
                <w:szCs w:val="20"/>
                <w:color w:val="auto"/>
              </w:rPr>
            </w:pPr>
            <w:r>
              <w:rPr>
                <w:rFonts w:ascii="Arial" w:cs="Arial" w:eastAsia="Arial" w:hAnsi="Arial"/>
                <w:sz w:val="16"/>
                <w:szCs w:val="16"/>
                <w:color w:val="auto"/>
              </w:rPr>
              <w:t>and Chief Executive Officer</w:t>
            </w:r>
          </w:p>
        </w:tc>
        <w:tc>
          <w:tcPr>
            <w:tcW w:w="1980" w:type="dxa"/>
            <w:vAlign w:val="bottom"/>
          </w:tcPr>
          <w:p>
            <w:pPr>
              <w:spacing w:after="0"/>
              <w:rPr>
                <w:sz w:val="23"/>
                <w:szCs w:val="23"/>
                <w:color w:val="auto"/>
              </w:rPr>
            </w:pPr>
          </w:p>
        </w:tc>
      </w:tr>
      <w:tr>
        <w:trPr>
          <w:trHeight w:val="482"/>
        </w:trPr>
        <w:tc>
          <w:tcPr>
            <w:tcW w:w="45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/S/ KIMBERLY F. NOONEY</w:t>
            </w:r>
          </w:p>
        </w:tc>
        <w:tc>
          <w:tcPr>
            <w:tcW w:w="1980" w:type="dxa"/>
            <w:vAlign w:val="bottom"/>
          </w:tcPr>
          <w:p>
            <w:pPr>
              <w:ind w:left="100"/>
              <w:spacing w:after="0"/>
              <w:rPr>
                <w:sz w:val="20"/>
                <w:szCs w:val="20"/>
                <w:color w:val="auto"/>
              </w:rPr>
            </w:pPr>
            <w:r>
              <w:rPr>
                <w:rFonts w:ascii="Arial" w:cs="Arial" w:eastAsia="Arial" w:hAnsi="Arial"/>
                <w:sz w:val="16"/>
                <w:szCs w:val="16"/>
                <w:color w:val="auto"/>
              </w:rPr>
              <w:t>Principal Financial and</w:t>
            </w:r>
          </w:p>
        </w:tc>
      </w:tr>
      <w:tr>
        <w:trPr>
          <w:trHeight w:val="228"/>
        </w:trPr>
        <w:tc>
          <w:tcPr>
            <w:tcW w:w="4540" w:type="dxa"/>
            <w:vAlign w:val="bottom"/>
          </w:tcPr>
          <w:p>
            <w:pPr>
              <w:ind w:left="120"/>
              <w:spacing w:after="0"/>
              <w:rPr>
                <w:sz w:val="20"/>
                <w:szCs w:val="20"/>
                <w:color w:val="auto"/>
              </w:rPr>
            </w:pPr>
            <w:r>
              <w:rPr>
                <w:rFonts w:ascii="Arial" w:cs="Arial" w:eastAsia="Arial" w:hAnsi="Arial"/>
                <w:sz w:val="16"/>
                <w:szCs w:val="16"/>
                <w:color w:val="auto"/>
              </w:rPr>
              <w:t>Kimberly F. Nooney, Senior Vice President</w:t>
            </w:r>
          </w:p>
        </w:tc>
        <w:tc>
          <w:tcPr>
            <w:tcW w:w="1980" w:type="dxa"/>
            <w:vAlign w:val="bottom"/>
          </w:tcPr>
          <w:p>
            <w:pPr>
              <w:ind w:left="100"/>
              <w:spacing w:after="0"/>
              <w:rPr>
                <w:sz w:val="20"/>
                <w:szCs w:val="20"/>
                <w:color w:val="auto"/>
              </w:rPr>
            </w:pPr>
            <w:r>
              <w:rPr>
                <w:rFonts w:ascii="Arial" w:cs="Arial" w:eastAsia="Arial" w:hAnsi="Arial"/>
                <w:sz w:val="16"/>
                <w:szCs w:val="16"/>
                <w:color w:val="auto"/>
              </w:rPr>
              <w:t>Accounting Officer</w:t>
            </w:r>
          </w:p>
        </w:tc>
      </w:tr>
      <w:tr>
        <w:trPr>
          <w:trHeight w:val="270"/>
        </w:trPr>
        <w:tc>
          <w:tcPr>
            <w:tcW w:w="4540" w:type="dxa"/>
            <w:vAlign w:val="bottom"/>
          </w:tcPr>
          <w:p>
            <w:pPr>
              <w:ind w:left="120"/>
              <w:spacing w:after="0"/>
              <w:rPr>
                <w:sz w:val="20"/>
                <w:szCs w:val="20"/>
                <w:color w:val="auto"/>
              </w:rPr>
            </w:pPr>
            <w:r>
              <w:rPr>
                <w:rFonts w:ascii="Arial" w:cs="Arial" w:eastAsia="Arial" w:hAnsi="Arial"/>
                <w:sz w:val="16"/>
                <w:szCs w:val="16"/>
                <w:color w:val="auto"/>
              </w:rPr>
              <w:t>and Chief Financial Officer</w:t>
            </w:r>
          </w:p>
        </w:tc>
        <w:tc>
          <w:tcPr>
            <w:tcW w:w="1980" w:type="dxa"/>
            <w:vAlign w:val="bottom"/>
          </w:tcPr>
          <w:p>
            <w:pPr>
              <w:spacing w:after="0"/>
              <w:rPr>
                <w:sz w:val="23"/>
                <w:szCs w:val="23"/>
                <w:color w:val="auto"/>
              </w:rPr>
            </w:pPr>
          </w:p>
        </w:tc>
      </w:tr>
      <w:tr>
        <w:trPr>
          <w:trHeight w:val="482"/>
        </w:trPr>
        <w:tc>
          <w:tcPr>
            <w:tcW w:w="45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/S/ BARRY M. GRANGER</w:t>
            </w:r>
          </w:p>
        </w:tc>
        <w:tc>
          <w:tcPr>
            <w:tcW w:w="1980" w:type="dxa"/>
            <w:vAlign w:val="bottom"/>
          </w:tcPr>
          <w:p>
            <w:pPr>
              <w:ind w:left="100"/>
              <w:spacing w:after="0"/>
              <w:rPr>
                <w:sz w:val="20"/>
                <w:szCs w:val="20"/>
                <w:color w:val="auto"/>
              </w:rPr>
            </w:pPr>
            <w:r>
              <w:rPr>
                <w:rFonts w:ascii="Arial" w:cs="Arial" w:eastAsia="Arial" w:hAnsi="Arial"/>
                <w:sz w:val="16"/>
                <w:szCs w:val="16"/>
                <w:color w:val="auto"/>
              </w:rPr>
              <w:t>Director</w:t>
            </w:r>
          </w:p>
        </w:tc>
      </w:tr>
      <w:tr>
        <w:trPr>
          <w:trHeight w:val="228"/>
        </w:trPr>
        <w:tc>
          <w:tcPr>
            <w:tcW w:w="4540" w:type="dxa"/>
            <w:vAlign w:val="bottom"/>
          </w:tcPr>
          <w:p>
            <w:pPr>
              <w:ind w:left="120"/>
              <w:spacing w:after="0"/>
              <w:rPr>
                <w:sz w:val="20"/>
                <w:szCs w:val="20"/>
                <w:color w:val="auto"/>
              </w:rPr>
            </w:pPr>
            <w:r>
              <w:rPr>
                <w:rFonts w:ascii="Arial" w:cs="Arial" w:eastAsia="Arial" w:hAnsi="Arial"/>
                <w:sz w:val="16"/>
                <w:szCs w:val="16"/>
                <w:color w:val="auto"/>
              </w:rPr>
              <w:t>Barry M. Granger</w:t>
            </w:r>
          </w:p>
        </w:tc>
        <w:tc>
          <w:tcPr>
            <w:tcW w:w="1980" w:type="dxa"/>
            <w:vAlign w:val="bottom"/>
          </w:tcPr>
          <w:p>
            <w:pPr>
              <w:spacing w:after="0"/>
              <w:rPr>
                <w:sz w:val="19"/>
                <w:szCs w:val="19"/>
                <w:color w:val="auto"/>
              </w:rPr>
            </w:pPr>
          </w:p>
        </w:tc>
      </w:tr>
      <w:tr>
        <w:trPr>
          <w:trHeight w:val="481"/>
        </w:trPr>
        <w:tc>
          <w:tcPr>
            <w:tcW w:w="45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/S/ TONY A. JENSEN</w:t>
            </w:r>
          </w:p>
        </w:tc>
        <w:tc>
          <w:tcPr>
            <w:tcW w:w="1980" w:type="dxa"/>
            <w:vAlign w:val="bottom"/>
          </w:tcPr>
          <w:p>
            <w:pPr>
              <w:ind w:left="100"/>
              <w:spacing w:after="0"/>
              <w:rPr>
                <w:sz w:val="20"/>
                <w:szCs w:val="20"/>
                <w:color w:val="auto"/>
              </w:rPr>
            </w:pPr>
            <w:r>
              <w:rPr>
                <w:rFonts w:ascii="Arial" w:cs="Arial" w:eastAsia="Arial" w:hAnsi="Arial"/>
                <w:sz w:val="16"/>
                <w:szCs w:val="16"/>
                <w:color w:val="auto"/>
              </w:rPr>
              <w:t>Director</w:t>
            </w:r>
          </w:p>
        </w:tc>
      </w:tr>
      <w:tr>
        <w:trPr>
          <w:trHeight w:val="228"/>
        </w:trPr>
        <w:tc>
          <w:tcPr>
            <w:tcW w:w="4540" w:type="dxa"/>
            <w:vAlign w:val="bottom"/>
          </w:tcPr>
          <w:p>
            <w:pPr>
              <w:ind w:left="120"/>
              <w:spacing w:after="0"/>
              <w:rPr>
                <w:sz w:val="20"/>
                <w:szCs w:val="20"/>
                <w:color w:val="auto"/>
              </w:rPr>
            </w:pPr>
            <w:r>
              <w:rPr>
                <w:rFonts w:ascii="Arial" w:cs="Arial" w:eastAsia="Arial" w:hAnsi="Arial"/>
                <w:sz w:val="16"/>
                <w:szCs w:val="16"/>
                <w:color w:val="auto"/>
              </w:rPr>
              <w:t>Tony A. Jensen</w:t>
            </w:r>
          </w:p>
        </w:tc>
        <w:tc>
          <w:tcPr>
            <w:tcW w:w="1980" w:type="dxa"/>
            <w:vAlign w:val="bottom"/>
          </w:tcPr>
          <w:p>
            <w:pPr>
              <w:spacing w:after="0"/>
              <w:rPr>
                <w:sz w:val="19"/>
                <w:szCs w:val="19"/>
                <w:color w:val="auto"/>
              </w:rPr>
            </w:pPr>
          </w:p>
        </w:tc>
      </w:tr>
      <w:tr>
        <w:trPr>
          <w:trHeight w:val="482"/>
        </w:trPr>
        <w:tc>
          <w:tcPr>
            <w:tcW w:w="45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/S/ KATHLEEN S. MCALLISTER</w:t>
            </w:r>
          </w:p>
        </w:tc>
        <w:tc>
          <w:tcPr>
            <w:tcW w:w="1980" w:type="dxa"/>
            <w:vAlign w:val="bottom"/>
          </w:tcPr>
          <w:p>
            <w:pPr>
              <w:ind w:left="100"/>
              <w:spacing w:after="0"/>
              <w:rPr>
                <w:sz w:val="20"/>
                <w:szCs w:val="20"/>
                <w:color w:val="auto"/>
              </w:rPr>
            </w:pPr>
            <w:r>
              <w:rPr>
                <w:rFonts w:ascii="Arial" w:cs="Arial" w:eastAsia="Arial" w:hAnsi="Arial"/>
                <w:sz w:val="16"/>
                <w:szCs w:val="16"/>
                <w:color w:val="auto"/>
              </w:rPr>
              <w:t>Director</w:t>
            </w:r>
          </w:p>
        </w:tc>
      </w:tr>
      <w:tr>
        <w:trPr>
          <w:trHeight w:val="254"/>
        </w:trPr>
        <w:tc>
          <w:tcPr>
            <w:tcW w:w="4540" w:type="dxa"/>
            <w:vAlign w:val="bottom"/>
          </w:tcPr>
          <w:p>
            <w:pPr>
              <w:ind w:left="120"/>
              <w:spacing w:after="0"/>
              <w:rPr>
                <w:sz w:val="20"/>
                <w:szCs w:val="20"/>
                <w:color w:val="auto"/>
              </w:rPr>
            </w:pPr>
            <w:r>
              <w:rPr>
                <w:rFonts w:ascii="Arial" w:cs="Arial" w:eastAsia="Arial" w:hAnsi="Arial"/>
                <w:sz w:val="16"/>
                <w:szCs w:val="16"/>
                <w:color w:val="auto"/>
              </w:rPr>
              <w:t>Kathleen S. McAllister</w:t>
            </w:r>
          </w:p>
        </w:tc>
        <w:tc>
          <w:tcPr>
            <w:tcW w:w="1980" w:type="dxa"/>
            <w:vAlign w:val="bottom"/>
          </w:tcPr>
          <w:p>
            <w:pPr>
              <w:spacing w:after="0"/>
              <w:rPr>
                <w:sz w:val="22"/>
                <w:szCs w:val="22"/>
                <w:color w:val="auto"/>
              </w:rPr>
            </w:pPr>
          </w:p>
        </w:tc>
      </w:tr>
      <w:tr>
        <w:trPr>
          <w:trHeight w:val="482"/>
        </w:trPr>
        <w:tc>
          <w:tcPr>
            <w:tcW w:w="45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/S/ ROBERT P. OTTO</w:t>
            </w:r>
          </w:p>
        </w:tc>
        <w:tc>
          <w:tcPr>
            <w:tcW w:w="1980" w:type="dxa"/>
            <w:vAlign w:val="bottom"/>
          </w:tcPr>
          <w:p>
            <w:pPr>
              <w:ind w:left="100"/>
              <w:spacing w:after="0"/>
              <w:rPr>
                <w:sz w:val="20"/>
                <w:szCs w:val="20"/>
                <w:color w:val="auto"/>
              </w:rPr>
            </w:pPr>
            <w:r>
              <w:rPr>
                <w:rFonts w:ascii="Arial" w:cs="Arial" w:eastAsia="Arial" w:hAnsi="Arial"/>
                <w:sz w:val="16"/>
                <w:szCs w:val="16"/>
                <w:color w:val="auto"/>
              </w:rPr>
              <w:t>Director</w:t>
            </w:r>
          </w:p>
        </w:tc>
      </w:tr>
      <w:tr>
        <w:trPr>
          <w:trHeight w:val="228"/>
        </w:trPr>
        <w:tc>
          <w:tcPr>
            <w:tcW w:w="4540" w:type="dxa"/>
            <w:vAlign w:val="bottom"/>
          </w:tcPr>
          <w:p>
            <w:pPr>
              <w:ind w:left="120"/>
              <w:spacing w:after="0"/>
              <w:rPr>
                <w:sz w:val="20"/>
                <w:szCs w:val="20"/>
                <w:color w:val="auto"/>
              </w:rPr>
            </w:pPr>
            <w:r>
              <w:rPr>
                <w:rFonts w:ascii="Arial" w:cs="Arial" w:eastAsia="Arial" w:hAnsi="Arial"/>
                <w:sz w:val="16"/>
                <w:szCs w:val="16"/>
                <w:color w:val="auto"/>
              </w:rPr>
              <w:t>Robert P. Otto</w:t>
            </w:r>
          </w:p>
        </w:tc>
        <w:tc>
          <w:tcPr>
            <w:tcW w:w="1980" w:type="dxa"/>
            <w:vAlign w:val="bottom"/>
          </w:tcPr>
          <w:p>
            <w:pPr>
              <w:spacing w:after="0"/>
              <w:rPr>
                <w:sz w:val="19"/>
                <w:szCs w:val="19"/>
                <w:color w:val="auto"/>
              </w:rPr>
            </w:pPr>
          </w:p>
        </w:tc>
      </w:tr>
      <w:tr>
        <w:trPr>
          <w:trHeight w:val="481"/>
        </w:trPr>
        <w:tc>
          <w:tcPr>
            <w:tcW w:w="45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/S/ SCOTT M. PROCHAZKA</w:t>
            </w:r>
          </w:p>
        </w:tc>
        <w:tc>
          <w:tcPr>
            <w:tcW w:w="1980" w:type="dxa"/>
            <w:vAlign w:val="bottom"/>
          </w:tcPr>
          <w:p>
            <w:pPr>
              <w:ind w:left="100"/>
              <w:spacing w:after="0"/>
              <w:rPr>
                <w:sz w:val="20"/>
                <w:szCs w:val="20"/>
                <w:color w:val="auto"/>
              </w:rPr>
            </w:pPr>
            <w:r>
              <w:rPr>
                <w:rFonts w:ascii="Arial" w:cs="Arial" w:eastAsia="Arial" w:hAnsi="Arial"/>
                <w:sz w:val="16"/>
                <w:szCs w:val="16"/>
                <w:color w:val="auto"/>
              </w:rPr>
              <w:t>Director</w:t>
            </w:r>
          </w:p>
        </w:tc>
      </w:tr>
      <w:tr>
        <w:trPr>
          <w:trHeight w:val="228"/>
        </w:trPr>
        <w:tc>
          <w:tcPr>
            <w:tcW w:w="4540" w:type="dxa"/>
            <w:vAlign w:val="bottom"/>
          </w:tcPr>
          <w:p>
            <w:pPr>
              <w:ind w:left="120"/>
              <w:spacing w:after="0"/>
              <w:rPr>
                <w:sz w:val="20"/>
                <w:szCs w:val="20"/>
                <w:color w:val="auto"/>
              </w:rPr>
            </w:pPr>
            <w:r>
              <w:rPr>
                <w:rFonts w:ascii="Arial" w:cs="Arial" w:eastAsia="Arial" w:hAnsi="Arial"/>
                <w:sz w:val="16"/>
                <w:szCs w:val="16"/>
                <w:color w:val="auto"/>
              </w:rPr>
              <w:t>Scott M. Prochazka</w:t>
            </w:r>
          </w:p>
        </w:tc>
        <w:tc>
          <w:tcPr>
            <w:tcW w:w="1980" w:type="dxa"/>
            <w:vAlign w:val="bottom"/>
          </w:tcPr>
          <w:p>
            <w:pPr>
              <w:spacing w:after="0"/>
              <w:rPr>
                <w:sz w:val="19"/>
                <w:szCs w:val="19"/>
                <w:color w:val="auto"/>
              </w:rPr>
            </w:pPr>
          </w:p>
        </w:tc>
      </w:tr>
      <w:tr>
        <w:trPr>
          <w:trHeight w:val="482"/>
        </w:trPr>
        <w:tc>
          <w:tcPr>
            <w:tcW w:w="45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/S/ REBECCA B. ROBERTS</w:t>
            </w:r>
          </w:p>
        </w:tc>
        <w:tc>
          <w:tcPr>
            <w:tcW w:w="1980" w:type="dxa"/>
            <w:vAlign w:val="bottom"/>
          </w:tcPr>
          <w:p>
            <w:pPr>
              <w:ind w:left="100"/>
              <w:spacing w:after="0"/>
              <w:rPr>
                <w:sz w:val="20"/>
                <w:szCs w:val="20"/>
                <w:color w:val="auto"/>
              </w:rPr>
            </w:pPr>
            <w:r>
              <w:rPr>
                <w:rFonts w:ascii="Arial" w:cs="Arial" w:eastAsia="Arial" w:hAnsi="Arial"/>
                <w:sz w:val="16"/>
                <w:szCs w:val="16"/>
                <w:color w:val="auto"/>
              </w:rPr>
              <w:t>Director</w:t>
            </w:r>
          </w:p>
        </w:tc>
      </w:tr>
      <w:tr>
        <w:trPr>
          <w:trHeight w:val="228"/>
        </w:trPr>
        <w:tc>
          <w:tcPr>
            <w:tcW w:w="4540" w:type="dxa"/>
            <w:vAlign w:val="bottom"/>
          </w:tcPr>
          <w:p>
            <w:pPr>
              <w:ind w:left="120"/>
              <w:spacing w:after="0"/>
              <w:rPr>
                <w:sz w:val="20"/>
                <w:szCs w:val="20"/>
                <w:color w:val="auto"/>
              </w:rPr>
            </w:pPr>
            <w:r>
              <w:rPr>
                <w:rFonts w:ascii="Arial" w:cs="Arial" w:eastAsia="Arial" w:hAnsi="Arial"/>
                <w:sz w:val="16"/>
                <w:szCs w:val="16"/>
                <w:color w:val="auto"/>
              </w:rPr>
              <w:t>Rebecca B. Roberts</w:t>
            </w:r>
          </w:p>
        </w:tc>
        <w:tc>
          <w:tcPr>
            <w:tcW w:w="1980" w:type="dxa"/>
            <w:vAlign w:val="bottom"/>
          </w:tcPr>
          <w:p>
            <w:pPr>
              <w:spacing w:after="0"/>
              <w:rPr>
                <w:sz w:val="19"/>
                <w:szCs w:val="19"/>
                <w:color w:val="auto"/>
              </w:rPr>
            </w:pPr>
          </w:p>
        </w:tc>
      </w:tr>
      <w:tr>
        <w:trPr>
          <w:trHeight w:val="481"/>
        </w:trPr>
        <w:tc>
          <w:tcPr>
            <w:tcW w:w="45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/S/ MARK A. SCHOBER</w:t>
            </w:r>
          </w:p>
        </w:tc>
        <w:tc>
          <w:tcPr>
            <w:tcW w:w="1980" w:type="dxa"/>
            <w:vAlign w:val="bottom"/>
          </w:tcPr>
          <w:p>
            <w:pPr>
              <w:ind w:left="100"/>
              <w:spacing w:after="0"/>
              <w:rPr>
                <w:sz w:val="20"/>
                <w:szCs w:val="20"/>
                <w:color w:val="auto"/>
              </w:rPr>
            </w:pPr>
            <w:r>
              <w:rPr>
                <w:rFonts w:ascii="Arial" w:cs="Arial" w:eastAsia="Arial" w:hAnsi="Arial"/>
                <w:sz w:val="16"/>
                <w:szCs w:val="16"/>
                <w:color w:val="auto"/>
              </w:rPr>
              <w:t>Director</w:t>
            </w:r>
          </w:p>
        </w:tc>
      </w:tr>
      <w:tr>
        <w:trPr>
          <w:trHeight w:val="228"/>
        </w:trPr>
        <w:tc>
          <w:tcPr>
            <w:tcW w:w="4540" w:type="dxa"/>
            <w:vAlign w:val="bottom"/>
          </w:tcPr>
          <w:p>
            <w:pPr>
              <w:ind w:left="120"/>
              <w:spacing w:after="0"/>
              <w:rPr>
                <w:sz w:val="20"/>
                <w:szCs w:val="20"/>
                <w:color w:val="auto"/>
              </w:rPr>
            </w:pPr>
            <w:r>
              <w:rPr>
                <w:rFonts w:ascii="Arial" w:cs="Arial" w:eastAsia="Arial" w:hAnsi="Arial"/>
                <w:sz w:val="16"/>
                <w:szCs w:val="16"/>
                <w:color w:val="auto"/>
              </w:rPr>
              <w:t>Mark A. Schober</w:t>
            </w:r>
          </w:p>
        </w:tc>
        <w:tc>
          <w:tcPr>
            <w:tcW w:w="1980" w:type="dxa"/>
            <w:vAlign w:val="bottom"/>
          </w:tcPr>
          <w:p>
            <w:pPr>
              <w:spacing w:after="0"/>
              <w:rPr>
                <w:sz w:val="19"/>
                <w:szCs w:val="19"/>
                <w:color w:val="auto"/>
              </w:rPr>
            </w:pPr>
          </w:p>
        </w:tc>
      </w:tr>
      <w:tr>
        <w:trPr>
          <w:trHeight w:val="481"/>
        </w:trPr>
        <w:tc>
          <w:tcPr>
            <w:tcW w:w="45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/S/ TERESA A. TAYLOR</w:t>
            </w:r>
          </w:p>
        </w:tc>
        <w:tc>
          <w:tcPr>
            <w:tcW w:w="1980" w:type="dxa"/>
            <w:vAlign w:val="bottom"/>
          </w:tcPr>
          <w:p>
            <w:pPr>
              <w:ind w:left="100"/>
              <w:spacing w:after="0"/>
              <w:rPr>
                <w:sz w:val="20"/>
                <w:szCs w:val="20"/>
                <w:color w:val="auto"/>
              </w:rPr>
            </w:pPr>
            <w:r>
              <w:rPr>
                <w:rFonts w:ascii="Arial" w:cs="Arial" w:eastAsia="Arial" w:hAnsi="Arial"/>
                <w:sz w:val="16"/>
                <w:szCs w:val="16"/>
                <w:color w:val="auto"/>
              </w:rPr>
              <w:t>Director</w:t>
            </w:r>
          </w:p>
        </w:tc>
      </w:tr>
      <w:tr>
        <w:trPr>
          <w:trHeight w:val="228"/>
        </w:trPr>
        <w:tc>
          <w:tcPr>
            <w:tcW w:w="4540" w:type="dxa"/>
            <w:vAlign w:val="bottom"/>
          </w:tcPr>
          <w:p>
            <w:pPr>
              <w:ind w:left="120"/>
              <w:spacing w:after="0"/>
              <w:rPr>
                <w:sz w:val="20"/>
                <w:szCs w:val="20"/>
                <w:color w:val="auto"/>
              </w:rPr>
            </w:pPr>
            <w:r>
              <w:rPr>
                <w:rFonts w:ascii="Arial" w:cs="Arial" w:eastAsia="Arial" w:hAnsi="Arial"/>
                <w:sz w:val="16"/>
                <w:szCs w:val="16"/>
                <w:color w:val="auto"/>
              </w:rPr>
              <w:t>Teresa A. Taylor</w:t>
            </w:r>
          </w:p>
        </w:tc>
        <w:tc>
          <w:tcPr>
            <w:tcW w:w="19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February 12, 2025</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February 12,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February 12,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February 12, 2025</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February 12, 2025</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February 12, 2025</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February 12, 2025</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February 12, 2025</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February 12, 2025</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February 12, 2025</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February 12, 2025</w:t>
      </w:r>
    </w:p>
    <w:p>
      <w:pPr>
        <w:spacing w:after="0" w:line="473" w:lineRule="exact"/>
        <w:rPr>
          <w:sz w:val="20"/>
          <w:szCs w:val="20"/>
          <w:color w:val="auto"/>
        </w:rPr>
      </w:pPr>
    </w:p>
    <w:p>
      <w:pPr>
        <w:sectPr>
          <w:pgSz w:w="11900" w:h="16838" w:orient="portrait"/>
          <w:cols w:equalWidth="0" w:num="2">
            <w:col w:w="7740" w:space="720"/>
            <w:col w:w="2720"/>
          </w:cols>
          <w:pgMar w:left="320" w:top="125" w:right="399" w:bottom="1440" w:gutter="0" w:footer="0" w:header="0"/>
          <w:type w:val="continuous"/>
        </w:sect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108" w:name="page109"/>
    <w:bookmarkEnd w:id="108"/>
    <w:p>
      <w:pPr>
        <w:jc w:val="right"/>
        <w:spacing w:after="0"/>
        <w:rPr>
          <w:sz w:val="20"/>
          <w:szCs w:val="20"/>
          <w:color w:val="auto"/>
        </w:rPr>
      </w:pPr>
      <w:r>
        <w:rPr>
          <w:rFonts w:ascii="Arial" w:cs="Arial" w:eastAsia="Arial" w:hAnsi="Arial"/>
          <w:sz w:val="16"/>
          <w:szCs w:val="16"/>
          <w:b w:val="1"/>
          <w:bCs w:val="1"/>
          <w:color w:val="auto"/>
        </w:rPr>
        <w:t>Exhibit 21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December 31, 2024</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293"/>
        </w:trPr>
        <w:tc>
          <w:tcPr>
            <w:tcW w:w="800" w:type="dxa"/>
            <w:vAlign w:val="bottom"/>
            <w:tcBorders>
              <w:top w:val="single" w:sz="8" w:color="auto"/>
              <w:left w:val="single" w:sz="8" w:color="auto"/>
              <w:right w:val="single" w:sz="8" w:color="auto"/>
            </w:tcBorders>
          </w:tcPr>
          <w:p>
            <w:pPr>
              <w:spacing w:after="0"/>
              <w:rPr>
                <w:sz w:val="24"/>
                <w:szCs w:val="24"/>
                <w:color w:val="auto"/>
              </w:rPr>
            </w:pPr>
          </w:p>
        </w:tc>
        <w:tc>
          <w:tcPr>
            <w:tcW w:w="6820" w:type="dxa"/>
            <w:vAlign w:val="bottom"/>
            <w:tcBorders>
              <w:top w:val="single" w:sz="8" w:color="auto"/>
              <w:right w:val="single" w:sz="8" w:color="auto"/>
            </w:tcBorders>
          </w:tcPr>
          <w:p>
            <w:pPr>
              <w:ind w:left="2740"/>
              <w:spacing w:after="0"/>
              <w:rPr>
                <w:sz w:val="20"/>
                <w:szCs w:val="20"/>
                <w:color w:val="auto"/>
              </w:rPr>
            </w:pPr>
            <w:r>
              <w:rPr>
                <w:rFonts w:ascii="Arial" w:cs="Arial" w:eastAsia="Arial" w:hAnsi="Arial"/>
                <w:sz w:val="16"/>
                <w:szCs w:val="16"/>
                <w:b w:val="1"/>
                <w:bCs w:val="1"/>
                <w:color w:val="auto"/>
              </w:rPr>
              <w:t>Subsidiary Name</w:t>
            </w:r>
          </w:p>
        </w:tc>
        <w:tc>
          <w:tcPr>
            <w:tcW w:w="3620" w:type="dxa"/>
            <w:vAlign w:val="bottom"/>
            <w:tcBorders>
              <w:top w:val="single" w:sz="8" w:color="auto"/>
              <w:right w:val="single" w:sz="8" w:color="auto"/>
            </w:tcBorders>
          </w:tcPr>
          <w:p>
            <w:pPr>
              <w:ind w:left="1240"/>
              <w:spacing w:after="0"/>
              <w:rPr>
                <w:sz w:val="20"/>
                <w:szCs w:val="20"/>
                <w:color w:val="auto"/>
              </w:rPr>
            </w:pPr>
            <w:r>
              <w:rPr>
                <w:rFonts w:ascii="Arial" w:cs="Arial" w:eastAsia="Arial" w:hAnsi="Arial"/>
                <w:sz w:val="16"/>
                <w:szCs w:val="16"/>
                <w:b w:val="1"/>
                <w:bCs w:val="1"/>
                <w:color w:val="auto"/>
              </w:rPr>
              <w:t>State of Origin</w:t>
            </w:r>
          </w:p>
        </w:tc>
      </w:tr>
      <w:tr>
        <w:trPr>
          <w:trHeight w:val="58"/>
        </w:trPr>
        <w:tc>
          <w:tcPr>
            <w:tcW w:w="800" w:type="dxa"/>
            <w:vAlign w:val="bottom"/>
            <w:tcBorders>
              <w:left w:val="single" w:sz="8" w:color="auto"/>
              <w:bottom w:val="single" w:sz="8" w:color="auto"/>
              <w:right w:val="single" w:sz="8" w:color="auto"/>
            </w:tcBorders>
          </w:tcPr>
          <w:p>
            <w:pPr>
              <w:spacing w:after="0"/>
              <w:rPr>
                <w:sz w:val="5"/>
                <w:szCs w:val="5"/>
                <w:color w:val="auto"/>
              </w:rPr>
            </w:pPr>
          </w:p>
        </w:tc>
        <w:tc>
          <w:tcPr>
            <w:tcW w:w="6820" w:type="dxa"/>
            <w:vAlign w:val="bottom"/>
            <w:tcBorders>
              <w:bottom w:val="single" w:sz="8" w:color="auto"/>
              <w:right w:val="single" w:sz="8" w:color="auto"/>
            </w:tcBorders>
          </w:tcPr>
          <w:p>
            <w:pPr>
              <w:spacing w:after="0"/>
              <w:rPr>
                <w:sz w:val="5"/>
                <w:szCs w:val="5"/>
                <w:color w:val="auto"/>
              </w:rPr>
            </w:pPr>
          </w:p>
        </w:tc>
        <w:tc>
          <w:tcPr>
            <w:tcW w:w="3620" w:type="dxa"/>
            <w:vAlign w:val="bottom"/>
            <w:tcBorders>
              <w:bottom w:val="single" w:sz="8" w:color="auto"/>
              <w:right w:val="single" w:sz="8" w:color="auto"/>
            </w:tcBorders>
          </w:tcPr>
          <w:p>
            <w:pPr>
              <w:spacing w:after="0"/>
              <w:rPr>
                <w:sz w:val="5"/>
                <w:szCs w:val="5"/>
                <w:color w:val="auto"/>
              </w:rPr>
            </w:pPr>
          </w:p>
        </w:tc>
      </w:tr>
      <w:tr>
        <w:trPr>
          <w:trHeight w:val="265"/>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1.</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Colorado Electric, LLC *</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Delaware</w:t>
            </w:r>
          </w:p>
        </w:tc>
      </w:tr>
      <w:tr>
        <w:trPr>
          <w:trHeight w:val="69"/>
        </w:trPr>
        <w:tc>
          <w:tcPr>
            <w:tcW w:w="800" w:type="dxa"/>
            <w:vAlign w:val="bottom"/>
            <w:tcBorders>
              <w:bottom w:val="single" w:sz="8" w:color="auto"/>
              <w:right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c>
          <w:tcPr>
            <w:tcW w:w="3620" w:type="dxa"/>
            <w:vAlign w:val="bottom"/>
            <w:tcBorders>
              <w:bottom w:val="single" w:sz="8" w:color="auto"/>
              <w:right w:val="single" w:sz="8" w:color="auto"/>
            </w:tcBorders>
          </w:tcPr>
          <w:p>
            <w:pPr>
              <w:spacing w:after="0"/>
              <w:rPr>
                <w:sz w:val="6"/>
                <w:szCs w:val="6"/>
                <w:color w:val="auto"/>
              </w:rPr>
            </w:pPr>
          </w:p>
        </w:tc>
      </w:tr>
      <w:tr>
        <w:trPr>
          <w:trHeight w:val="262"/>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2.</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Colorado Gas, Inc. *</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Colorado</w:t>
            </w:r>
          </w:p>
        </w:tc>
      </w:tr>
      <w:tr>
        <w:trPr>
          <w:trHeight w:val="70"/>
        </w:trPr>
        <w:tc>
          <w:tcPr>
            <w:tcW w:w="800" w:type="dxa"/>
            <w:vAlign w:val="bottom"/>
            <w:tcBorders>
              <w:bottom w:val="single" w:sz="8" w:color="auto"/>
              <w:right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c>
          <w:tcPr>
            <w:tcW w:w="3620" w:type="dxa"/>
            <w:vAlign w:val="bottom"/>
            <w:tcBorders>
              <w:bottom w:val="single" w:sz="8" w:color="auto"/>
              <w:right w:val="single" w:sz="8" w:color="auto"/>
            </w:tcBorders>
          </w:tcPr>
          <w:p>
            <w:pPr>
              <w:spacing w:after="0"/>
              <w:rPr>
                <w:sz w:val="6"/>
                <w:szCs w:val="6"/>
                <w:color w:val="auto"/>
              </w:rPr>
            </w:pPr>
          </w:p>
        </w:tc>
      </w:tr>
      <w:tr>
        <w:trPr>
          <w:trHeight w:val="261"/>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3.</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Colorado IPP, LLC *</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South Dakota</w:t>
            </w:r>
          </w:p>
        </w:tc>
      </w:tr>
      <w:tr>
        <w:trPr>
          <w:trHeight w:val="70"/>
        </w:trPr>
        <w:tc>
          <w:tcPr>
            <w:tcW w:w="800" w:type="dxa"/>
            <w:vAlign w:val="bottom"/>
            <w:tcBorders>
              <w:bottom w:val="single" w:sz="8" w:color="auto"/>
              <w:right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c>
          <w:tcPr>
            <w:tcW w:w="3620" w:type="dxa"/>
            <w:vAlign w:val="bottom"/>
            <w:tcBorders>
              <w:bottom w:val="single" w:sz="8" w:color="auto"/>
              <w:right w:val="single" w:sz="8" w:color="auto"/>
            </w:tcBorders>
          </w:tcPr>
          <w:p>
            <w:pPr>
              <w:spacing w:after="0"/>
              <w:rPr>
                <w:sz w:val="6"/>
                <w:szCs w:val="6"/>
                <w:color w:val="auto"/>
              </w:rPr>
            </w:pPr>
          </w:p>
        </w:tc>
      </w:tr>
      <w:tr>
        <w:trPr>
          <w:trHeight w:val="261"/>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4.</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Colorado Wind, LLC</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Delaware</w:t>
            </w:r>
          </w:p>
        </w:tc>
      </w:tr>
      <w:tr>
        <w:trPr>
          <w:trHeight w:val="70"/>
        </w:trPr>
        <w:tc>
          <w:tcPr>
            <w:tcW w:w="800" w:type="dxa"/>
            <w:vAlign w:val="bottom"/>
            <w:tcBorders>
              <w:bottom w:val="single" w:sz="8" w:color="auto"/>
              <w:right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c>
          <w:tcPr>
            <w:tcW w:w="3620" w:type="dxa"/>
            <w:vAlign w:val="bottom"/>
            <w:tcBorders>
              <w:bottom w:val="single" w:sz="8" w:color="auto"/>
              <w:right w:val="single" w:sz="8" w:color="auto"/>
            </w:tcBorders>
          </w:tcPr>
          <w:p>
            <w:pPr>
              <w:spacing w:after="0"/>
              <w:rPr>
                <w:sz w:val="6"/>
                <w:szCs w:val="6"/>
                <w:color w:val="auto"/>
              </w:rPr>
            </w:pPr>
          </w:p>
        </w:tc>
      </w:tr>
      <w:tr>
        <w:trPr>
          <w:trHeight w:val="261"/>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5.</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Electric Generation, LLC *</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South Dakota</w:t>
            </w:r>
          </w:p>
        </w:tc>
      </w:tr>
      <w:tr>
        <w:trPr>
          <w:trHeight w:val="70"/>
        </w:trPr>
        <w:tc>
          <w:tcPr>
            <w:tcW w:w="800" w:type="dxa"/>
            <w:vAlign w:val="bottom"/>
            <w:tcBorders>
              <w:bottom w:val="single" w:sz="8" w:color="auto"/>
              <w:right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c>
          <w:tcPr>
            <w:tcW w:w="3620" w:type="dxa"/>
            <w:vAlign w:val="bottom"/>
            <w:tcBorders>
              <w:bottom w:val="single" w:sz="8" w:color="auto"/>
              <w:right w:val="single" w:sz="8" w:color="auto"/>
            </w:tcBorders>
          </w:tcPr>
          <w:p>
            <w:pPr>
              <w:spacing w:after="0"/>
              <w:rPr>
                <w:sz w:val="6"/>
                <w:szCs w:val="6"/>
                <w:color w:val="auto"/>
              </w:rPr>
            </w:pPr>
          </w:p>
        </w:tc>
      </w:tr>
      <w:tr>
        <w:trPr>
          <w:trHeight w:val="262"/>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6.</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Electric Parent Holdings, LLC</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South Dakota</w:t>
            </w:r>
          </w:p>
        </w:tc>
      </w:tr>
      <w:tr>
        <w:trPr>
          <w:trHeight w:val="69"/>
        </w:trPr>
        <w:tc>
          <w:tcPr>
            <w:tcW w:w="800" w:type="dxa"/>
            <w:vAlign w:val="bottom"/>
            <w:tcBorders>
              <w:bottom w:val="single" w:sz="8" w:color="auto"/>
              <w:right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c>
          <w:tcPr>
            <w:tcW w:w="3620" w:type="dxa"/>
            <w:vAlign w:val="bottom"/>
            <w:tcBorders>
              <w:bottom w:val="single" w:sz="8" w:color="auto"/>
              <w:right w:val="single" w:sz="8" w:color="auto"/>
            </w:tcBorders>
          </w:tcPr>
          <w:p>
            <w:pPr>
              <w:spacing w:after="0"/>
              <w:rPr>
                <w:sz w:val="6"/>
                <w:szCs w:val="6"/>
                <w:color w:val="auto"/>
              </w:rPr>
            </w:pPr>
          </w:p>
        </w:tc>
      </w:tr>
      <w:tr>
        <w:trPr>
          <w:trHeight w:val="262"/>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7.</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Energy Arkansas, Inc. *</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Arkansas</w:t>
            </w:r>
          </w:p>
        </w:tc>
      </w:tr>
      <w:tr>
        <w:trPr>
          <w:trHeight w:val="69"/>
        </w:trPr>
        <w:tc>
          <w:tcPr>
            <w:tcW w:w="800" w:type="dxa"/>
            <w:vAlign w:val="bottom"/>
            <w:tcBorders>
              <w:bottom w:val="single" w:sz="8" w:color="auto"/>
              <w:right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c>
          <w:tcPr>
            <w:tcW w:w="3620" w:type="dxa"/>
            <w:vAlign w:val="bottom"/>
            <w:tcBorders>
              <w:bottom w:val="single" w:sz="8" w:color="auto"/>
              <w:right w:val="single" w:sz="8" w:color="auto"/>
            </w:tcBorders>
          </w:tcPr>
          <w:p>
            <w:pPr>
              <w:spacing w:after="0"/>
              <w:rPr>
                <w:sz w:val="6"/>
                <w:szCs w:val="6"/>
                <w:color w:val="auto"/>
              </w:rPr>
            </w:pPr>
          </w:p>
        </w:tc>
      </w:tr>
      <w:tr>
        <w:trPr>
          <w:trHeight w:val="262"/>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8.</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Energy Renewable Resources, LLC</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South Dakota</w:t>
            </w:r>
          </w:p>
        </w:tc>
      </w:tr>
      <w:tr>
        <w:trPr>
          <w:trHeight w:val="70"/>
        </w:trPr>
        <w:tc>
          <w:tcPr>
            <w:tcW w:w="800" w:type="dxa"/>
            <w:vAlign w:val="bottom"/>
            <w:tcBorders>
              <w:bottom w:val="single" w:sz="8" w:color="auto"/>
              <w:right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c>
          <w:tcPr>
            <w:tcW w:w="3620" w:type="dxa"/>
            <w:vAlign w:val="bottom"/>
            <w:tcBorders>
              <w:bottom w:val="single" w:sz="8" w:color="auto"/>
              <w:right w:val="single" w:sz="8" w:color="auto"/>
            </w:tcBorders>
          </w:tcPr>
          <w:p>
            <w:pPr>
              <w:spacing w:after="0"/>
              <w:rPr>
                <w:sz w:val="6"/>
                <w:szCs w:val="6"/>
                <w:color w:val="auto"/>
              </w:rPr>
            </w:pPr>
          </w:p>
        </w:tc>
      </w:tr>
      <w:tr>
        <w:trPr>
          <w:trHeight w:val="261"/>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9.</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Energy Services Company *</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Colorado</w:t>
            </w:r>
          </w:p>
        </w:tc>
      </w:tr>
      <w:tr>
        <w:trPr>
          <w:trHeight w:val="70"/>
        </w:trPr>
        <w:tc>
          <w:tcPr>
            <w:tcW w:w="800" w:type="dxa"/>
            <w:vAlign w:val="bottom"/>
            <w:tcBorders>
              <w:bottom w:val="single" w:sz="8" w:color="auto"/>
              <w:right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c>
          <w:tcPr>
            <w:tcW w:w="3620" w:type="dxa"/>
            <w:vAlign w:val="bottom"/>
            <w:tcBorders>
              <w:bottom w:val="single" w:sz="8" w:color="auto"/>
              <w:right w:val="single" w:sz="8" w:color="auto"/>
            </w:tcBorders>
          </w:tcPr>
          <w:p>
            <w:pPr>
              <w:spacing w:after="0"/>
              <w:rPr>
                <w:sz w:val="6"/>
                <w:szCs w:val="6"/>
                <w:color w:val="auto"/>
              </w:rPr>
            </w:pPr>
          </w:p>
        </w:tc>
      </w:tr>
      <w:tr>
        <w:trPr>
          <w:trHeight w:val="261"/>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10.</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Exploration and Production, Inc. *</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Wyoming</w:t>
            </w:r>
          </w:p>
        </w:tc>
      </w:tr>
      <w:tr>
        <w:trPr>
          <w:trHeight w:val="70"/>
        </w:trPr>
        <w:tc>
          <w:tcPr>
            <w:tcW w:w="800" w:type="dxa"/>
            <w:vAlign w:val="bottom"/>
            <w:tcBorders>
              <w:bottom w:val="single" w:sz="8" w:color="auto"/>
              <w:right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c>
          <w:tcPr>
            <w:tcW w:w="3620" w:type="dxa"/>
            <w:vAlign w:val="bottom"/>
            <w:tcBorders>
              <w:bottom w:val="single" w:sz="8" w:color="auto"/>
              <w:right w:val="single" w:sz="8" w:color="auto"/>
            </w:tcBorders>
          </w:tcPr>
          <w:p>
            <w:pPr>
              <w:spacing w:after="0"/>
              <w:rPr>
                <w:sz w:val="6"/>
                <w:szCs w:val="6"/>
                <w:color w:val="auto"/>
              </w:rPr>
            </w:pPr>
          </w:p>
        </w:tc>
      </w:tr>
      <w:tr>
        <w:trPr>
          <w:trHeight w:val="261"/>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11.</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BHERR Holdings, LLC</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South Dakota</w:t>
            </w:r>
          </w:p>
        </w:tc>
      </w:tr>
      <w:tr>
        <w:trPr>
          <w:trHeight w:val="70"/>
        </w:trPr>
        <w:tc>
          <w:tcPr>
            <w:tcW w:w="800" w:type="dxa"/>
            <w:vAlign w:val="bottom"/>
            <w:tcBorders>
              <w:bottom w:val="single" w:sz="8" w:color="auto"/>
              <w:right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c>
          <w:tcPr>
            <w:tcW w:w="3620" w:type="dxa"/>
            <w:vAlign w:val="bottom"/>
            <w:tcBorders>
              <w:bottom w:val="single" w:sz="8" w:color="auto"/>
              <w:right w:val="single" w:sz="8" w:color="auto"/>
            </w:tcBorders>
          </w:tcPr>
          <w:p>
            <w:pPr>
              <w:spacing w:after="0"/>
              <w:rPr>
                <w:sz w:val="6"/>
                <w:szCs w:val="6"/>
                <w:color w:val="auto"/>
              </w:rPr>
            </w:pPr>
          </w:p>
        </w:tc>
      </w:tr>
      <w:tr>
        <w:trPr>
          <w:trHeight w:val="262"/>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12.</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Gas, Inc.</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Delaware</w:t>
            </w:r>
          </w:p>
        </w:tc>
      </w:tr>
      <w:tr>
        <w:trPr>
          <w:trHeight w:val="69"/>
        </w:trPr>
        <w:tc>
          <w:tcPr>
            <w:tcW w:w="800" w:type="dxa"/>
            <w:vAlign w:val="bottom"/>
            <w:tcBorders>
              <w:bottom w:val="single" w:sz="8" w:color="auto"/>
              <w:right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c>
          <w:tcPr>
            <w:tcW w:w="3620" w:type="dxa"/>
            <w:vAlign w:val="bottom"/>
            <w:tcBorders>
              <w:bottom w:val="single" w:sz="8" w:color="auto"/>
              <w:right w:val="single" w:sz="8" w:color="auto"/>
            </w:tcBorders>
          </w:tcPr>
          <w:p>
            <w:pPr>
              <w:spacing w:after="0"/>
              <w:rPr>
                <w:sz w:val="6"/>
                <w:szCs w:val="6"/>
                <w:color w:val="auto"/>
              </w:rPr>
            </w:pPr>
          </w:p>
        </w:tc>
      </w:tr>
      <w:tr>
        <w:trPr>
          <w:trHeight w:val="262"/>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13.</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Gas, LLC</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Delaware</w:t>
            </w:r>
          </w:p>
        </w:tc>
      </w:tr>
      <w:tr>
        <w:trPr>
          <w:trHeight w:val="70"/>
        </w:trPr>
        <w:tc>
          <w:tcPr>
            <w:tcW w:w="800" w:type="dxa"/>
            <w:vAlign w:val="bottom"/>
            <w:tcBorders>
              <w:bottom w:val="single" w:sz="8" w:color="auto"/>
              <w:right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c>
          <w:tcPr>
            <w:tcW w:w="3620" w:type="dxa"/>
            <w:vAlign w:val="bottom"/>
            <w:tcBorders>
              <w:bottom w:val="single" w:sz="8" w:color="auto"/>
              <w:right w:val="single" w:sz="8" w:color="auto"/>
            </w:tcBorders>
          </w:tcPr>
          <w:p>
            <w:pPr>
              <w:spacing w:after="0"/>
              <w:rPr>
                <w:sz w:val="6"/>
                <w:szCs w:val="6"/>
                <w:color w:val="auto"/>
              </w:rPr>
            </w:pPr>
          </w:p>
        </w:tc>
      </w:tr>
      <w:tr>
        <w:trPr>
          <w:trHeight w:val="262"/>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14.</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Gas Holdings, LLC</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Delaware</w:t>
            </w:r>
          </w:p>
        </w:tc>
      </w:tr>
      <w:tr>
        <w:trPr>
          <w:trHeight w:val="69"/>
        </w:trPr>
        <w:tc>
          <w:tcPr>
            <w:tcW w:w="800" w:type="dxa"/>
            <w:vAlign w:val="bottom"/>
            <w:tcBorders>
              <w:bottom w:val="single" w:sz="8" w:color="auto"/>
              <w:right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c>
          <w:tcPr>
            <w:tcW w:w="3620" w:type="dxa"/>
            <w:vAlign w:val="bottom"/>
            <w:tcBorders>
              <w:bottom w:val="single" w:sz="8" w:color="auto"/>
              <w:right w:val="single" w:sz="8" w:color="auto"/>
            </w:tcBorders>
          </w:tcPr>
          <w:p>
            <w:pPr>
              <w:spacing w:after="0"/>
              <w:rPr>
                <w:sz w:val="6"/>
                <w:szCs w:val="6"/>
                <w:color w:val="auto"/>
              </w:rPr>
            </w:pPr>
          </w:p>
        </w:tc>
      </w:tr>
      <w:tr>
        <w:trPr>
          <w:trHeight w:val="262"/>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15.</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Gas Parent Holdings II, Inc.</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Delaware</w:t>
            </w:r>
          </w:p>
        </w:tc>
      </w:tr>
      <w:tr>
        <w:trPr>
          <w:trHeight w:val="70"/>
        </w:trPr>
        <w:tc>
          <w:tcPr>
            <w:tcW w:w="800" w:type="dxa"/>
            <w:vAlign w:val="bottom"/>
            <w:tcBorders>
              <w:bottom w:val="single" w:sz="8" w:color="auto"/>
              <w:right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c>
          <w:tcPr>
            <w:tcW w:w="3620" w:type="dxa"/>
            <w:vAlign w:val="bottom"/>
            <w:tcBorders>
              <w:bottom w:val="single" w:sz="8" w:color="auto"/>
              <w:right w:val="single" w:sz="8" w:color="auto"/>
            </w:tcBorders>
          </w:tcPr>
          <w:p>
            <w:pPr>
              <w:spacing w:after="0"/>
              <w:rPr>
                <w:sz w:val="6"/>
                <w:szCs w:val="6"/>
                <w:color w:val="auto"/>
              </w:rPr>
            </w:pPr>
          </w:p>
        </w:tc>
      </w:tr>
      <w:tr>
        <w:trPr>
          <w:trHeight w:val="261"/>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16.</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Gas Resources, Inc. *</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Colorado</w:t>
            </w:r>
          </w:p>
        </w:tc>
      </w:tr>
      <w:tr>
        <w:trPr>
          <w:trHeight w:val="70"/>
        </w:trPr>
        <w:tc>
          <w:tcPr>
            <w:tcW w:w="800" w:type="dxa"/>
            <w:vAlign w:val="bottom"/>
            <w:tcBorders>
              <w:bottom w:val="single" w:sz="8" w:color="auto"/>
              <w:right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c>
          <w:tcPr>
            <w:tcW w:w="3620" w:type="dxa"/>
            <w:vAlign w:val="bottom"/>
            <w:tcBorders>
              <w:bottom w:val="single" w:sz="8" w:color="auto"/>
              <w:right w:val="single" w:sz="8" w:color="auto"/>
            </w:tcBorders>
          </w:tcPr>
          <w:p>
            <w:pPr>
              <w:spacing w:after="0"/>
              <w:rPr>
                <w:sz w:val="6"/>
                <w:szCs w:val="6"/>
                <w:color w:val="auto"/>
              </w:rPr>
            </w:pPr>
          </w:p>
        </w:tc>
      </w:tr>
      <w:tr>
        <w:trPr>
          <w:trHeight w:val="262"/>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17.</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Hills/Iowa Gas Utility Company, LLC *</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Delaware</w:t>
            </w:r>
          </w:p>
        </w:tc>
      </w:tr>
      <w:tr>
        <w:trPr>
          <w:trHeight w:val="69"/>
        </w:trPr>
        <w:tc>
          <w:tcPr>
            <w:tcW w:w="800" w:type="dxa"/>
            <w:vAlign w:val="bottom"/>
            <w:tcBorders>
              <w:bottom w:val="single" w:sz="8" w:color="auto"/>
              <w:right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c>
          <w:tcPr>
            <w:tcW w:w="3620" w:type="dxa"/>
            <w:vAlign w:val="bottom"/>
            <w:tcBorders>
              <w:bottom w:val="single" w:sz="8" w:color="auto"/>
              <w:right w:val="single" w:sz="8" w:color="auto"/>
            </w:tcBorders>
          </w:tcPr>
          <w:p>
            <w:pPr>
              <w:spacing w:after="0"/>
              <w:rPr>
                <w:sz w:val="6"/>
                <w:szCs w:val="6"/>
                <w:color w:val="auto"/>
              </w:rPr>
            </w:pPr>
          </w:p>
        </w:tc>
      </w:tr>
      <w:tr>
        <w:trPr>
          <w:trHeight w:val="262"/>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18.</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Hills/Kansas Gas Utility Company, LLC *</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Kansas</w:t>
            </w:r>
          </w:p>
        </w:tc>
      </w:tr>
      <w:tr>
        <w:trPr>
          <w:trHeight w:val="70"/>
        </w:trPr>
        <w:tc>
          <w:tcPr>
            <w:tcW w:w="800" w:type="dxa"/>
            <w:vAlign w:val="bottom"/>
            <w:tcBorders>
              <w:bottom w:val="single" w:sz="8" w:color="auto"/>
              <w:right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c>
          <w:tcPr>
            <w:tcW w:w="3620" w:type="dxa"/>
            <w:vAlign w:val="bottom"/>
            <w:tcBorders>
              <w:bottom w:val="single" w:sz="8" w:color="auto"/>
              <w:right w:val="single" w:sz="8" w:color="auto"/>
            </w:tcBorders>
          </w:tcPr>
          <w:p>
            <w:pPr>
              <w:spacing w:after="0"/>
              <w:rPr>
                <w:sz w:val="6"/>
                <w:szCs w:val="6"/>
                <w:color w:val="auto"/>
              </w:rPr>
            </w:pPr>
          </w:p>
        </w:tc>
      </w:tr>
      <w:tr>
        <w:trPr>
          <w:trHeight w:val="261"/>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19.</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Nebraska Gas, LLC *</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Delaware</w:t>
            </w:r>
          </w:p>
        </w:tc>
      </w:tr>
      <w:tr>
        <w:trPr>
          <w:trHeight w:val="70"/>
        </w:trPr>
        <w:tc>
          <w:tcPr>
            <w:tcW w:w="800" w:type="dxa"/>
            <w:vAlign w:val="bottom"/>
            <w:tcBorders>
              <w:bottom w:val="single" w:sz="8" w:color="auto"/>
              <w:right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c>
          <w:tcPr>
            <w:tcW w:w="3620" w:type="dxa"/>
            <w:vAlign w:val="bottom"/>
            <w:tcBorders>
              <w:bottom w:val="single" w:sz="8" w:color="auto"/>
              <w:right w:val="single" w:sz="8" w:color="auto"/>
            </w:tcBorders>
          </w:tcPr>
          <w:p>
            <w:pPr>
              <w:spacing w:after="0"/>
              <w:rPr>
                <w:sz w:val="6"/>
                <w:szCs w:val="6"/>
                <w:color w:val="auto"/>
              </w:rPr>
            </w:pPr>
          </w:p>
        </w:tc>
      </w:tr>
      <w:tr>
        <w:trPr>
          <w:trHeight w:val="262"/>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20.</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Non-regulated Holdings, LLC</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South Dakota</w:t>
            </w:r>
          </w:p>
        </w:tc>
      </w:tr>
      <w:tr>
        <w:trPr>
          <w:trHeight w:val="69"/>
        </w:trPr>
        <w:tc>
          <w:tcPr>
            <w:tcW w:w="800" w:type="dxa"/>
            <w:vAlign w:val="bottom"/>
            <w:tcBorders>
              <w:bottom w:val="single" w:sz="8" w:color="auto"/>
              <w:right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c>
          <w:tcPr>
            <w:tcW w:w="3620" w:type="dxa"/>
            <w:vAlign w:val="bottom"/>
            <w:tcBorders>
              <w:bottom w:val="single" w:sz="8" w:color="auto"/>
              <w:right w:val="single" w:sz="8" w:color="auto"/>
            </w:tcBorders>
          </w:tcPr>
          <w:p>
            <w:pPr>
              <w:spacing w:after="0"/>
              <w:rPr>
                <w:sz w:val="6"/>
                <w:szCs w:val="6"/>
                <w:color w:val="auto"/>
              </w:rPr>
            </w:pPr>
          </w:p>
        </w:tc>
      </w:tr>
      <w:tr>
        <w:trPr>
          <w:trHeight w:val="262"/>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21.</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Plateau Production, LLC *</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Delaware</w:t>
            </w:r>
          </w:p>
        </w:tc>
      </w:tr>
      <w:tr>
        <w:trPr>
          <w:trHeight w:val="70"/>
        </w:trPr>
        <w:tc>
          <w:tcPr>
            <w:tcW w:w="800" w:type="dxa"/>
            <w:vAlign w:val="bottom"/>
            <w:tcBorders>
              <w:bottom w:val="single" w:sz="8" w:color="auto"/>
              <w:right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c>
          <w:tcPr>
            <w:tcW w:w="3620" w:type="dxa"/>
            <w:vAlign w:val="bottom"/>
            <w:tcBorders>
              <w:bottom w:val="single" w:sz="8" w:color="auto"/>
              <w:right w:val="single" w:sz="8" w:color="auto"/>
            </w:tcBorders>
          </w:tcPr>
          <w:p>
            <w:pPr>
              <w:spacing w:after="0"/>
              <w:rPr>
                <w:sz w:val="6"/>
                <w:szCs w:val="6"/>
                <w:color w:val="auto"/>
              </w:rPr>
            </w:pPr>
          </w:p>
        </w:tc>
      </w:tr>
      <w:tr>
        <w:trPr>
          <w:trHeight w:val="261"/>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22.</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Power, Inc. *</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South Dakota</w:t>
            </w:r>
          </w:p>
        </w:tc>
      </w:tr>
      <w:tr>
        <w:trPr>
          <w:trHeight w:val="70"/>
        </w:trPr>
        <w:tc>
          <w:tcPr>
            <w:tcW w:w="800" w:type="dxa"/>
            <w:vAlign w:val="bottom"/>
            <w:tcBorders>
              <w:bottom w:val="single" w:sz="8" w:color="auto"/>
              <w:right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c>
          <w:tcPr>
            <w:tcW w:w="3620" w:type="dxa"/>
            <w:vAlign w:val="bottom"/>
            <w:tcBorders>
              <w:bottom w:val="single" w:sz="8" w:color="auto"/>
              <w:right w:val="single" w:sz="8" w:color="auto"/>
            </w:tcBorders>
          </w:tcPr>
          <w:p>
            <w:pPr>
              <w:spacing w:after="0"/>
              <w:rPr>
                <w:sz w:val="6"/>
                <w:szCs w:val="6"/>
                <w:color w:val="auto"/>
              </w:rPr>
            </w:pPr>
          </w:p>
        </w:tc>
      </w:tr>
      <w:tr>
        <w:trPr>
          <w:trHeight w:val="262"/>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23.</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Service Company, LLC *</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South Dakota</w:t>
            </w:r>
          </w:p>
        </w:tc>
      </w:tr>
      <w:tr>
        <w:trPr>
          <w:trHeight w:val="69"/>
        </w:trPr>
        <w:tc>
          <w:tcPr>
            <w:tcW w:w="800" w:type="dxa"/>
            <w:vAlign w:val="bottom"/>
            <w:tcBorders>
              <w:bottom w:val="single" w:sz="8" w:color="auto"/>
              <w:right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c>
          <w:tcPr>
            <w:tcW w:w="3620" w:type="dxa"/>
            <w:vAlign w:val="bottom"/>
            <w:tcBorders>
              <w:bottom w:val="single" w:sz="8" w:color="auto"/>
              <w:right w:val="single" w:sz="8" w:color="auto"/>
            </w:tcBorders>
          </w:tcPr>
          <w:p>
            <w:pPr>
              <w:spacing w:after="0"/>
              <w:rPr>
                <w:sz w:val="6"/>
                <w:szCs w:val="6"/>
                <w:color w:val="auto"/>
              </w:rPr>
            </w:pPr>
          </w:p>
        </w:tc>
      </w:tr>
      <w:tr>
        <w:trPr>
          <w:trHeight w:val="262"/>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24.</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Shoshone Pipeline, LLC *</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Wyoming</w:t>
            </w:r>
          </w:p>
        </w:tc>
      </w:tr>
      <w:tr>
        <w:trPr>
          <w:trHeight w:val="70"/>
        </w:trPr>
        <w:tc>
          <w:tcPr>
            <w:tcW w:w="800" w:type="dxa"/>
            <w:vAlign w:val="bottom"/>
            <w:tcBorders>
              <w:bottom w:val="single" w:sz="8" w:color="auto"/>
              <w:right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c>
          <w:tcPr>
            <w:tcW w:w="3620" w:type="dxa"/>
            <w:vAlign w:val="bottom"/>
            <w:tcBorders>
              <w:bottom w:val="single" w:sz="8" w:color="auto"/>
              <w:right w:val="single" w:sz="8" w:color="auto"/>
            </w:tcBorders>
          </w:tcPr>
          <w:p>
            <w:pPr>
              <w:spacing w:after="0"/>
              <w:rPr>
                <w:sz w:val="6"/>
                <w:szCs w:val="6"/>
                <w:color w:val="auto"/>
              </w:rPr>
            </w:pPr>
          </w:p>
        </w:tc>
      </w:tr>
      <w:tr>
        <w:trPr>
          <w:trHeight w:val="261"/>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25.</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Utility Holdings, Inc. *</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South Dakota</w:t>
            </w:r>
          </w:p>
        </w:tc>
      </w:tr>
      <w:tr>
        <w:trPr>
          <w:trHeight w:val="70"/>
        </w:trPr>
        <w:tc>
          <w:tcPr>
            <w:tcW w:w="800" w:type="dxa"/>
            <w:vAlign w:val="bottom"/>
            <w:tcBorders>
              <w:bottom w:val="single" w:sz="8" w:color="auto"/>
              <w:right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c>
          <w:tcPr>
            <w:tcW w:w="3620" w:type="dxa"/>
            <w:vAlign w:val="bottom"/>
            <w:tcBorders>
              <w:bottom w:val="single" w:sz="8" w:color="auto"/>
              <w:right w:val="single" w:sz="8" w:color="auto"/>
            </w:tcBorders>
          </w:tcPr>
          <w:p>
            <w:pPr>
              <w:spacing w:after="0"/>
              <w:rPr>
                <w:sz w:val="6"/>
                <w:szCs w:val="6"/>
                <w:color w:val="auto"/>
              </w:rPr>
            </w:pPr>
          </w:p>
        </w:tc>
      </w:tr>
      <w:tr>
        <w:trPr>
          <w:trHeight w:val="262"/>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26.</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Wyoming, LLC</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Wyoming</w:t>
            </w:r>
          </w:p>
        </w:tc>
      </w:tr>
      <w:tr>
        <w:trPr>
          <w:trHeight w:val="69"/>
        </w:trPr>
        <w:tc>
          <w:tcPr>
            <w:tcW w:w="800" w:type="dxa"/>
            <w:vAlign w:val="bottom"/>
            <w:tcBorders>
              <w:bottom w:val="single" w:sz="8" w:color="auto"/>
              <w:right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c>
          <w:tcPr>
            <w:tcW w:w="3620" w:type="dxa"/>
            <w:vAlign w:val="bottom"/>
            <w:tcBorders>
              <w:bottom w:val="single" w:sz="8" w:color="auto"/>
              <w:right w:val="single" w:sz="8" w:color="auto"/>
            </w:tcBorders>
          </w:tcPr>
          <w:p>
            <w:pPr>
              <w:spacing w:after="0"/>
              <w:rPr>
                <w:sz w:val="6"/>
                <w:szCs w:val="6"/>
                <w:color w:val="auto"/>
              </w:rPr>
            </w:pPr>
          </w:p>
        </w:tc>
      </w:tr>
      <w:tr>
        <w:trPr>
          <w:trHeight w:val="262"/>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27.</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Wyoming Gas, LLC *</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Wyoming</w:t>
            </w:r>
          </w:p>
        </w:tc>
      </w:tr>
      <w:tr>
        <w:trPr>
          <w:trHeight w:val="69"/>
        </w:trPr>
        <w:tc>
          <w:tcPr>
            <w:tcW w:w="800" w:type="dxa"/>
            <w:vAlign w:val="bottom"/>
            <w:tcBorders>
              <w:bottom w:val="single" w:sz="8" w:color="auto"/>
              <w:right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c>
          <w:tcPr>
            <w:tcW w:w="3620" w:type="dxa"/>
            <w:vAlign w:val="bottom"/>
            <w:tcBorders>
              <w:bottom w:val="single" w:sz="8" w:color="auto"/>
              <w:right w:val="single" w:sz="8" w:color="auto"/>
            </w:tcBorders>
          </w:tcPr>
          <w:p>
            <w:pPr>
              <w:spacing w:after="0"/>
              <w:rPr>
                <w:sz w:val="6"/>
                <w:szCs w:val="6"/>
                <w:color w:val="auto"/>
              </w:rPr>
            </w:pPr>
          </w:p>
        </w:tc>
      </w:tr>
      <w:tr>
        <w:trPr>
          <w:trHeight w:val="262"/>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28.</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Cheyenne Light, Fuel and Power Company *</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Wyoming</w:t>
            </w:r>
          </w:p>
        </w:tc>
      </w:tr>
      <w:tr>
        <w:trPr>
          <w:trHeight w:val="69"/>
        </w:trPr>
        <w:tc>
          <w:tcPr>
            <w:tcW w:w="800" w:type="dxa"/>
            <w:vAlign w:val="bottom"/>
            <w:tcBorders>
              <w:bottom w:val="single" w:sz="8" w:color="auto"/>
              <w:right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c>
          <w:tcPr>
            <w:tcW w:w="3620" w:type="dxa"/>
            <w:vAlign w:val="bottom"/>
            <w:tcBorders>
              <w:bottom w:val="single" w:sz="8" w:color="auto"/>
              <w:right w:val="single" w:sz="8" w:color="auto"/>
            </w:tcBorders>
          </w:tcPr>
          <w:p>
            <w:pPr>
              <w:spacing w:after="0"/>
              <w:rPr>
                <w:sz w:val="6"/>
                <w:szCs w:val="6"/>
                <w:color w:val="auto"/>
              </w:rPr>
            </w:pPr>
          </w:p>
        </w:tc>
      </w:tr>
      <w:tr>
        <w:trPr>
          <w:trHeight w:val="261"/>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29.</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Mallon Oil Company, Sucursal Costa Rica</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Costa Rica</w:t>
            </w:r>
          </w:p>
        </w:tc>
      </w:tr>
      <w:tr>
        <w:trPr>
          <w:trHeight w:val="70"/>
        </w:trPr>
        <w:tc>
          <w:tcPr>
            <w:tcW w:w="800" w:type="dxa"/>
            <w:vAlign w:val="bottom"/>
            <w:tcBorders>
              <w:bottom w:val="single" w:sz="8" w:color="auto"/>
              <w:right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c>
          <w:tcPr>
            <w:tcW w:w="3620" w:type="dxa"/>
            <w:vAlign w:val="bottom"/>
            <w:tcBorders>
              <w:bottom w:val="single" w:sz="8" w:color="auto"/>
              <w:right w:val="single" w:sz="8" w:color="auto"/>
            </w:tcBorders>
          </w:tcPr>
          <w:p>
            <w:pPr>
              <w:spacing w:after="0"/>
              <w:rPr>
                <w:sz w:val="6"/>
                <w:szCs w:val="6"/>
                <w:color w:val="auto"/>
              </w:rPr>
            </w:pPr>
          </w:p>
        </w:tc>
      </w:tr>
      <w:tr>
        <w:trPr>
          <w:trHeight w:val="261"/>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30.</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N780BH, LLC</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South Dakota</w:t>
            </w:r>
          </w:p>
        </w:tc>
      </w:tr>
      <w:tr>
        <w:trPr>
          <w:trHeight w:val="69"/>
        </w:trPr>
        <w:tc>
          <w:tcPr>
            <w:tcW w:w="800" w:type="dxa"/>
            <w:vAlign w:val="bottom"/>
            <w:tcBorders>
              <w:bottom w:val="single" w:sz="8" w:color="auto"/>
              <w:right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c>
          <w:tcPr>
            <w:tcW w:w="3620" w:type="dxa"/>
            <w:vAlign w:val="bottom"/>
            <w:tcBorders>
              <w:bottom w:val="single" w:sz="8" w:color="auto"/>
              <w:right w:val="single" w:sz="8" w:color="auto"/>
            </w:tcBorders>
          </w:tcPr>
          <w:p>
            <w:pPr>
              <w:spacing w:after="0"/>
              <w:rPr>
                <w:sz w:val="6"/>
                <w:szCs w:val="6"/>
                <w:color w:val="auto"/>
              </w:rPr>
            </w:pPr>
          </w:p>
        </w:tc>
      </w:tr>
      <w:tr>
        <w:trPr>
          <w:trHeight w:val="262"/>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31.</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Rocky Mountain Natural Gas LLC *</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Colorado</w:t>
            </w:r>
          </w:p>
        </w:tc>
      </w:tr>
      <w:tr>
        <w:trPr>
          <w:trHeight w:val="69"/>
        </w:trPr>
        <w:tc>
          <w:tcPr>
            <w:tcW w:w="800" w:type="dxa"/>
            <w:vAlign w:val="bottom"/>
            <w:tcBorders>
              <w:bottom w:val="single" w:sz="8" w:color="auto"/>
              <w:right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c>
          <w:tcPr>
            <w:tcW w:w="3620" w:type="dxa"/>
            <w:vAlign w:val="bottom"/>
            <w:tcBorders>
              <w:bottom w:val="single" w:sz="8" w:color="auto"/>
              <w:right w:val="single" w:sz="8" w:color="auto"/>
            </w:tcBorders>
          </w:tcPr>
          <w:p>
            <w:pPr>
              <w:spacing w:after="0"/>
              <w:rPr>
                <w:sz w:val="6"/>
                <w:szCs w:val="6"/>
                <w:color w:val="auto"/>
              </w:rPr>
            </w:pPr>
          </w:p>
        </w:tc>
      </w:tr>
      <w:tr>
        <w:trPr>
          <w:trHeight w:val="261"/>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32.</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Wyodak Resources Development Corp. *</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Delaware</w:t>
            </w:r>
          </w:p>
        </w:tc>
      </w:tr>
      <w:tr>
        <w:trPr>
          <w:trHeight w:val="70"/>
        </w:trPr>
        <w:tc>
          <w:tcPr>
            <w:tcW w:w="800" w:type="dxa"/>
            <w:vAlign w:val="bottom"/>
            <w:tcBorders>
              <w:bottom w:val="single" w:sz="8" w:color="auto"/>
              <w:right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c>
          <w:tcPr>
            <w:tcW w:w="3620" w:type="dxa"/>
            <w:vAlign w:val="bottom"/>
            <w:tcBorders>
              <w:bottom w:val="single" w:sz="8" w:color="auto"/>
              <w:right w:val="single" w:sz="8" w:color="auto"/>
            </w:tcBorders>
          </w:tcPr>
          <w:p>
            <w:pPr>
              <w:spacing w:after="0"/>
              <w:rPr>
                <w:sz w:val="6"/>
                <w:szCs w:val="6"/>
                <w:color w:val="auto"/>
              </w:rPr>
            </w:pPr>
          </w:p>
        </w:tc>
      </w:tr>
    </w:tbl>
    <w:p>
      <w:pPr>
        <w:spacing w:after="0" w:line="175" w:lineRule="exact"/>
        <w:rPr>
          <w:sz w:val="20"/>
          <w:szCs w:val="20"/>
          <w:color w:val="auto"/>
        </w:rPr>
      </w:pPr>
    </w:p>
    <w:p>
      <w:pPr>
        <w:ind w:left="120" w:hanging="112"/>
        <w:spacing w:after="0"/>
        <w:tabs>
          <w:tab w:leader="none" w:pos="120" w:val="left"/>
        </w:tabs>
        <w:numPr>
          <w:ilvl w:val="0"/>
          <w:numId w:val="81"/>
        </w:numPr>
        <w:rPr>
          <w:rFonts w:ascii="Arial" w:cs="Arial" w:eastAsia="Arial" w:hAnsi="Arial"/>
          <w:sz w:val="16"/>
          <w:szCs w:val="16"/>
          <w:color w:val="auto"/>
        </w:rPr>
      </w:pPr>
      <w:r>
        <w:rPr>
          <w:rFonts w:ascii="Arial" w:cs="Arial" w:eastAsia="Arial" w:hAnsi="Arial"/>
          <w:sz w:val="16"/>
          <w:szCs w:val="16"/>
          <w:color w:val="auto"/>
        </w:rPr>
        <w:t xml:space="preserve">doing business as </w:t>
      </w:r>
      <w:r>
        <w:rPr>
          <w:rFonts w:ascii="Arial" w:cs="Arial" w:eastAsia="Arial" w:hAnsi="Arial"/>
          <w:sz w:val="16"/>
          <w:szCs w:val="16"/>
          <w:b w:val="1"/>
          <w:bCs w:val="1"/>
          <w:color w:val="auto"/>
        </w:rPr>
        <w:t>Black Hills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09" w:name="page110"/>
    <w:bookmarkEnd w:id="109"/>
    <w:p>
      <w:pPr>
        <w:ind w:left="10100"/>
        <w:spacing w:after="0"/>
        <w:rPr>
          <w:sz w:val="20"/>
          <w:szCs w:val="20"/>
          <w:color w:val="auto"/>
        </w:rPr>
      </w:pPr>
      <w:r>
        <w:rPr>
          <w:rFonts w:ascii="Arial" w:cs="Arial" w:eastAsia="Arial" w:hAnsi="Arial"/>
          <w:sz w:val="16"/>
          <w:szCs w:val="16"/>
          <w:b w:val="1"/>
          <w:bCs w:val="1"/>
          <w:color w:val="auto"/>
        </w:rPr>
        <w:t>Exhibit 23.1</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consent to the incorporation by reference in Registration Statement Nos. 333-272739 on Form S-3 and Registration Statement Nos. 333-170451, 333-217679, 333-170448, 333-170452, and 333-203714 on Form S-8 of our reports dated February 12, 2025, relating to the consolidated financial statements of Black Hills Corporation and subsidiaries (the “Company”), and the effectiveness of the Company’s internal control over financial reporting, appearing in this Annual Report on Form 10-K of Black Hills Corporation for the year ended December 31, 2024.</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Minneapolis, Minnesota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February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220980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854" w:right="419" w:bottom="1440" w:gutter="0" w:footer="0" w:header="0"/>
        </w:sectPr>
      </w:pPr>
    </w:p>
    <w:bookmarkStart w:id="110" w:name="page111"/>
    <w:bookmarkEnd w:id="110"/>
    <w:p>
      <w:pPr>
        <w:jc w:val="right"/>
        <w:spacing w:after="0"/>
        <w:rPr>
          <w:sz w:val="20"/>
          <w:szCs w:val="20"/>
          <w:color w:val="auto"/>
        </w:rPr>
      </w:pPr>
      <w:r>
        <w:rPr>
          <w:rFonts w:ascii="Arial" w:cs="Arial" w:eastAsia="Arial" w:hAnsi="Arial"/>
          <w:sz w:val="16"/>
          <w:szCs w:val="16"/>
          <w:b w:val="1"/>
          <w:bCs w:val="1"/>
          <w:color w:val="auto"/>
        </w:rPr>
        <w:t>Exhibit 31.1</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 Linden R. Evans, certify that:</w:t>
      </w:r>
    </w:p>
    <w:p>
      <w:pPr>
        <w:spacing w:after="0" w:line="59" w:lineRule="exact"/>
        <w:rPr>
          <w:sz w:val="20"/>
          <w:szCs w:val="20"/>
          <w:color w:val="auto"/>
        </w:rPr>
      </w:pPr>
    </w:p>
    <w:p>
      <w:pPr>
        <w:ind w:left="860" w:hanging="804"/>
        <w:spacing w:after="0"/>
        <w:tabs>
          <w:tab w:leader="none" w:pos="8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Black Hills Corporation;</w:t>
      </w:r>
    </w:p>
    <w:p>
      <w:pPr>
        <w:spacing w:after="0" w:line="329" w:lineRule="exact"/>
        <w:rPr>
          <w:rFonts w:ascii="Arial" w:cs="Arial" w:eastAsia="Arial" w:hAnsi="Arial"/>
          <w:sz w:val="16"/>
          <w:szCs w:val="16"/>
          <w:color w:val="auto"/>
        </w:rPr>
      </w:pPr>
    </w:p>
    <w:p>
      <w:pPr>
        <w:jc w:val="both"/>
        <w:ind w:left="860" w:right="180" w:hanging="804"/>
        <w:spacing w:after="0" w:line="266" w:lineRule="auto"/>
        <w:tabs>
          <w:tab w:leader="none" w:pos="8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9" w:lineRule="exact"/>
        <w:rPr>
          <w:rFonts w:ascii="Arial" w:cs="Arial" w:eastAsia="Arial" w:hAnsi="Arial"/>
          <w:sz w:val="16"/>
          <w:szCs w:val="16"/>
          <w:color w:val="auto"/>
        </w:rPr>
      </w:pPr>
    </w:p>
    <w:p>
      <w:pPr>
        <w:ind w:left="860" w:right="320" w:hanging="804"/>
        <w:spacing w:after="0" w:line="286" w:lineRule="auto"/>
        <w:tabs>
          <w:tab w:leader="none" w:pos="8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6"/>
          <w:szCs w:val="16"/>
          <w:color w:val="auto"/>
        </w:rPr>
      </w:pPr>
    </w:p>
    <w:p>
      <w:pPr>
        <w:spacing w:after="0" w:line="239" w:lineRule="exact"/>
        <w:rPr>
          <w:rFonts w:ascii="Arial" w:cs="Arial" w:eastAsia="Arial" w:hAnsi="Arial"/>
          <w:sz w:val="16"/>
          <w:szCs w:val="16"/>
          <w:color w:val="auto"/>
        </w:rPr>
      </w:pPr>
    </w:p>
    <w:p>
      <w:pPr>
        <w:jc w:val="both"/>
        <w:ind w:left="860" w:right="200" w:hanging="804"/>
        <w:spacing w:after="0" w:line="256" w:lineRule="auto"/>
        <w:tabs>
          <w:tab w:leader="none" w:pos="8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6"/>
          <w:szCs w:val="16"/>
          <w:color w:val="auto"/>
        </w:rPr>
      </w:pPr>
    </w:p>
    <w:p>
      <w:pPr>
        <w:ind w:left="860"/>
        <w:spacing w:after="0"/>
        <w:rPr>
          <w:rFonts w:ascii="Arial" w:cs="Arial" w:eastAsia="Arial" w:hAnsi="Arial"/>
          <w:sz w:val="16"/>
          <w:szCs w:val="16"/>
          <w:color w:val="auto"/>
        </w:rPr>
      </w:pPr>
      <w:r>
        <w:rPr>
          <w:rFonts w:ascii="Arial" w:cs="Arial" w:eastAsia="Arial" w:hAnsi="Arial"/>
          <w:sz w:val="16"/>
          <w:szCs w:val="16"/>
          <w:color w:val="auto"/>
        </w:rPr>
        <w:t>15d-15(f)) for the registrant and have:</w:t>
      </w:r>
    </w:p>
    <w:p>
      <w:pPr>
        <w:spacing w:after="0" w:line="313" w:lineRule="exact"/>
        <w:rPr>
          <w:rFonts w:ascii="Arial" w:cs="Arial" w:eastAsia="Arial" w:hAnsi="Arial"/>
          <w:sz w:val="16"/>
          <w:szCs w:val="16"/>
          <w:color w:val="auto"/>
        </w:rPr>
      </w:pPr>
    </w:p>
    <w:p>
      <w:pPr>
        <w:ind w:left="1640" w:right="140" w:hanging="788"/>
        <w:spacing w:after="0" w:line="266" w:lineRule="auto"/>
        <w:tabs>
          <w:tab w:leader="none" w:pos="1640" w:val="left"/>
        </w:tabs>
        <w:numPr>
          <w:ilvl w:val="1"/>
          <w:numId w:val="8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6"/>
          <w:szCs w:val="16"/>
          <w:color w:val="auto"/>
        </w:rPr>
      </w:pPr>
    </w:p>
    <w:p>
      <w:pPr>
        <w:spacing w:after="0" w:line="241" w:lineRule="exact"/>
        <w:rPr>
          <w:rFonts w:ascii="Arial" w:cs="Arial" w:eastAsia="Arial" w:hAnsi="Arial"/>
          <w:sz w:val="16"/>
          <w:szCs w:val="16"/>
          <w:color w:val="auto"/>
        </w:rPr>
      </w:pPr>
    </w:p>
    <w:p>
      <w:pPr>
        <w:ind w:left="1640" w:right="200" w:hanging="788"/>
        <w:spacing w:after="0" w:line="266" w:lineRule="auto"/>
        <w:tabs>
          <w:tab w:leader="none" w:pos="1640" w:val="left"/>
        </w:tabs>
        <w:numPr>
          <w:ilvl w:val="1"/>
          <w:numId w:val="8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6"/>
          <w:szCs w:val="16"/>
          <w:color w:val="auto"/>
        </w:rPr>
      </w:pPr>
    </w:p>
    <w:p>
      <w:pPr>
        <w:spacing w:after="0" w:line="241" w:lineRule="exact"/>
        <w:rPr>
          <w:rFonts w:ascii="Arial" w:cs="Arial" w:eastAsia="Arial" w:hAnsi="Arial"/>
          <w:sz w:val="16"/>
          <w:szCs w:val="16"/>
          <w:color w:val="auto"/>
        </w:rPr>
      </w:pPr>
    </w:p>
    <w:p>
      <w:pPr>
        <w:ind w:left="1640" w:right="140" w:hanging="788"/>
        <w:spacing w:after="0" w:line="266" w:lineRule="auto"/>
        <w:tabs>
          <w:tab w:leader="none" w:pos="1640" w:val="left"/>
        </w:tabs>
        <w:numPr>
          <w:ilvl w:val="1"/>
          <w:numId w:val="8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79" w:lineRule="exact"/>
        <w:rPr>
          <w:rFonts w:ascii="Arial" w:cs="Arial" w:eastAsia="Arial" w:hAnsi="Arial"/>
          <w:sz w:val="16"/>
          <w:szCs w:val="16"/>
          <w:color w:val="auto"/>
        </w:rPr>
      </w:pPr>
    </w:p>
    <w:p>
      <w:pPr>
        <w:ind w:left="1640" w:right="420" w:hanging="788"/>
        <w:spacing w:after="0" w:line="266" w:lineRule="auto"/>
        <w:tabs>
          <w:tab w:leader="none" w:pos="1640" w:val="left"/>
        </w:tabs>
        <w:numPr>
          <w:ilvl w:val="1"/>
          <w:numId w:val="8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0" w:lineRule="exact"/>
        <w:rPr>
          <w:rFonts w:ascii="Arial" w:cs="Arial" w:eastAsia="Arial" w:hAnsi="Arial"/>
          <w:sz w:val="16"/>
          <w:szCs w:val="16"/>
          <w:color w:val="auto"/>
        </w:rPr>
      </w:pPr>
    </w:p>
    <w:p>
      <w:pPr>
        <w:spacing w:after="0" w:line="241" w:lineRule="exact"/>
        <w:rPr>
          <w:rFonts w:ascii="Arial" w:cs="Arial" w:eastAsia="Arial" w:hAnsi="Arial"/>
          <w:sz w:val="16"/>
          <w:szCs w:val="16"/>
          <w:color w:val="auto"/>
        </w:rPr>
      </w:pPr>
    </w:p>
    <w:p>
      <w:pPr>
        <w:ind w:left="860" w:right="60" w:hanging="804"/>
        <w:spacing w:after="0" w:line="286" w:lineRule="auto"/>
        <w:tabs>
          <w:tab w:leader="none" w:pos="8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200" w:lineRule="exact"/>
        <w:rPr>
          <w:rFonts w:ascii="Arial" w:cs="Arial" w:eastAsia="Arial" w:hAnsi="Arial"/>
          <w:sz w:val="16"/>
          <w:szCs w:val="16"/>
          <w:color w:val="auto"/>
        </w:rPr>
      </w:pPr>
    </w:p>
    <w:p>
      <w:pPr>
        <w:spacing w:after="0" w:line="239" w:lineRule="exact"/>
        <w:rPr>
          <w:rFonts w:ascii="Arial" w:cs="Arial" w:eastAsia="Arial" w:hAnsi="Arial"/>
          <w:sz w:val="16"/>
          <w:szCs w:val="16"/>
          <w:color w:val="auto"/>
        </w:rPr>
      </w:pPr>
    </w:p>
    <w:p>
      <w:pPr>
        <w:ind w:left="1640" w:right="320" w:hanging="788"/>
        <w:spacing w:after="0" w:line="286" w:lineRule="auto"/>
        <w:tabs>
          <w:tab w:leader="none" w:pos="1640" w:val="left"/>
        </w:tabs>
        <w:numPr>
          <w:ilvl w:val="1"/>
          <w:numId w:val="8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Arial" w:cs="Arial" w:eastAsia="Arial" w:hAnsi="Arial"/>
          <w:sz w:val="16"/>
          <w:szCs w:val="16"/>
          <w:color w:val="auto"/>
        </w:rPr>
      </w:pPr>
    </w:p>
    <w:p>
      <w:pPr>
        <w:spacing w:after="0" w:line="239" w:lineRule="exact"/>
        <w:rPr>
          <w:rFonts w:ascii="Arial" w:cs="Arial" w:eastAsia="Arial" w:hAnsi="Arial"/>
          <w:sz w:val="16"/>
          <w:szCs w:val="16"/>
          <w:color w:val="auto"/>
        </w:rPr>
      </w:pPr>
    </w:p>
    <w:p>
      <w:pPr>
        <w:ind w:left="1640" w:right="520" w:hanging="788"/>
        <w:spacing w:after="0" w:line="286" w:lineRule="auto"/>
        <w:tabs>
          <w:tab w:leader="none" w:pos="1640" w:val="left"/>
        </w:tabs>
        <w:numPr>
          <w:ilvl w:val="1"/>
          <w:numId w:val="8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Date: February 12, 2025</w:t>
      </w:r>
    </w:p>
    <w:p>
      <w:pPr>
        <w:spacing w:after="0" w:line="86"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/s/ Linden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29210</wp:posOffset>
            </wp:positionV>
            <wp:extent cx="238315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94">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80"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Linden R. Evans</w:t>
      </w:r>
    </w:p>
    <w:p>
      <w:pPr>
        <w:spacing w:after="0" w:line="73"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770890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6"/>
          <w:szCs w:val="16"/>
          <w:b w:val="1"/>
          <w:bCs w:val="1"/>
          <w:color w:val="auto"/>
        </w:rPr>
        <w:t>Exhibit 31.2</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 Kimberly F. Nooney, certify that:</w:t>
      </w:r>
    </w:p>
    <w:p>
      <w:pPr>
        <w:spacing w:after="0" w:line="59" w:lineRule="exact"/>
        <w:rPr>
          <w:sz w:val="20"/>
          <w:szCs w:val="20"/>
          <w:color w:val="auto"/>
        </w:rPr>
      </w:pPr>
    </w:p>
    <w:p>
      <w:pPr>
        <w:ind w:left="860" w:hanging="804"/>
        <w:spacing w:after="0"/>
        <w:tabs>
          <w:tab w:leader="none" w:pos="8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Black Hills Corporation;</w:t>
      </w:r>
    </w:p>
    <w:p>
      <w:pPr>
        <w:spacing w:after="0" w:line="329" w:lineRule="exact"/>
        <w:rPr>
          <w:rFonts w:ascii="Arial" w:cs="Arial" w:eastAsia="Arial" w:hAnsi="Arial"/>
          <w:sz w:val="16"/>
          <w:szCs w:val="16"/>
          <w:color w:val="auto"/>
        </w:rPr>
      </w:pPr>
    </w:p>
    <w:p>
      <w:pPr>
        <w:jc w:val="both"/>
        <w:ind w:left="860" w:right="180" w:hanging="804"/>
        <w:spacing w:after="0" w:line="266" w:lineRule="auto"/>
        <w:tabs>
          <w:tab w:leader="none" w:pos="8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9" w:lineRule="exact"/>
        <w:rPr>
          <w:rFonts w:ascii="Arial" w:cs="Arial" w:eastAsia="Arial" w:hAnsi="Arial"/>
          <w:sz w:val="16"/>
          <w:szCs w:val="16"/>
          <w:color w:val="auto"/>
        </w:rPr>
      </w:pPr>
    </w:p>
    <w:p>
      <w:pPr>
        <w:ind w:left="860" w:right="320" w:hanging="804"/>
        <w:spacing w:after="0" w:line="286" w:lineRule="auto"/>
        <w:tabs>
          <w:tab w:leader="none" w:pos="8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6"/>
          <w:szCs w:val="16"/>
          <w:color w:val="auto"/>
        </w:rPr>
      </w:pPr>
    </w:p>
    <w:p>
      <w:pPr>
        <w:spacing w:after="0" w:line="239" w:lineRule="exact"/>
        <w:rPr>
          <w:rFonts w:ascii="Arial" w:cs="Arial" w:eastAsia="Arial" w:hAnsi="Arial"/>
          <w:sz w:val="16"/>
          <w:szCs w:val="16"/>
          <w:color w:val="auto"/>
        </w:rPr>
      </w:pPr>
    </w:p>
    <w:p>
      <w:pPr>
        <w:jc w:val="both"/>
        <w:ind w:left="860" w:right="200" w:hanging="804"/>
        <w:spacing w:after="0" w:line="256" w:lineRule="auto"/>
        <w:tabs>
          <w:tab w:leader="none" w:pos="8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6"/>
          <w:szCs w:val="16"/>
          <w:color w:val="auto"/>
        </w:rPr>
      </w:pPr>
    </w:p>
    <w:p>
      <w:pPr>
        <w:ind w:left="860"/>
        <w:spacing w:after="0"/>
        <w:rPr>
          <w:rFonts w:ascii="Arial" w:cs="Arial" w:eastAsia="Arial" w:hAnsi="Arial"/>
          <w:sz w:val="16"/>
          <w:szCs w:val="16"/>
          <w:color w:val="auto"/>
        </w:rPr>
      </w:pPr>
      <w:r>
        <w:rPr>
          <w:rFonts w:ascii="Arial" w:cs="Arial" w:eastAsia="Arial" w:hAnsi="Arial"/>
          <w:sz w:val="16"/>
          <w:szCs w:val="16"/>
          <w:color w:val="auto"/>
        </w:rPr>
        <w:t>15d-15(f)) for the registrant and have:</w:t>
      </w:r>
    </w:p>
    <w:p>
      <w:pPr>
        <w:spacing w:after="0" w:line="313" w:lineRule="exact"/>
        <w:rPr>
          <w:rFonts w:ascii="Arial" w:cs="Arial" w:eastAsia="Arial" w:hAnsi="Arial"/>
          <w:sz w:val="16"/>
          <w:szCs w:val="16"/>
          <w:color w:val="auto"/>
        </w:rPr>
      </w:pPr>
    </w:p>
    <w:p>
      <w:pPr>
        <w:ind w:left="1640" w:right="140" w:hanging="788"/>
        <w:spacing w:after="0" w:line="266" w:lineRule="auto"/>
        <w:tabs>
          <w:tab w:leader="none" w:pos="1640" w:val="left"/>
        </w:tabs>
        <w:numPr>
          <w:ilvl w:val="1"/>
          <w:numId w:val="8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6"/>
          <w:szCs w:val="16"/>
          <w:color w:val="auto"/>
        </w:rPr>
      </w:pPr>
    </w:p>
    <w:p>
      <w:pPr>
        <w:spacing w:after="0" w:line="241" w:lineRule="exact"/>
        <w:rPr>
          <w:rFonts w:ascii="Arial" w:cs="Arial" w:eastAsia="Arial" w:hAnsi="Arial"/>
          <w:sz w:val="16"/>
          <w:szCs w:val="16"/>
          <w:color w:val="auto"/>
        </w:rPr>
      </w:pPr>
    </w:p>
    <w:p>
      <w:pPr>
        <w:ind w:left="1640" w:right="200" w:hanging="788"/>
        <w:spacing w:after="0" w:line="266" w:lineRule="auto"/>
        <w:tabs>
          <w:tab w:leader="none" w:pos="1640" w:val="left"/>
        </w:tabs>
        <w:numPr>
          <w:ilvl w:val="1"/>
          <w:numId w:val="8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6"/>
          <w:szCs w:val="16"/>
          <w:color w:val="auto"/>
        </w:rPr>
      </w:pPr>
    </w:p>
    <w:p>
      <w:pPr>
        <w:spacing w:after="0" w:line="241" w:lineRule="exact"/>
        <w:rPr>
          <w:rFonts w:ascii="Arial" w:cs="Arial" w:eastAsia="Arial" w:hAnsi="Arial"/>
          <w:sz w:val="16"/>
          <w:szCs w:val="16"/>
          <w:color w:val="auto"/>
        </w:rPr>
      </w:pPr>
    </w:p>
    <w:p>
      <w:pPr>
        <w:ind w:left="1640" w:right="140" w:hanging="788"/>
        <w:spacing w:after="0" w:line="266" w:lineRule="auto"/>
        <w:tabs>
          <w:tab w:leader="none" w:pos="1640" w:val="left"/>
        </w:tabs>
        <w:numPr>
          <w:ilvl w:val="1"/>
          <w:numId w:val="8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79" w:lineRule="exact"/>
        <w:rPr>
          <w:rFonts w:ascii="Arial" w:cs="Arial" w:eastAsia="Arial" w:hAnsi="Arial"/>
          <w:sz w:val="16"/>
          <w:szCs w:val="16"/>
          <w:color w:val="auto"/>
        </w:rPr>
      </w:pPr>
    </w:p>
    <w:p>
      <w:pPr>
        <w:ind w:left="1640" w:right="420" w:hanging="788"/>
        <w:spacing w:after="0" w:line="266" w:lineRule="auto"/>
        <w:tabs>
          <w:tab w:leader="none" w:pos="1640" w:val="left"/>
        </w:tabs>
        <w:numPr>
          <w:ilvl w:val="1"/>
          <w:numId w:val="8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0" w:lineRule="exact"/>
        <w:rPr>
          <w:rFonts w:ascii="Arial" w:cs="Arial" w:eastAsia="Arial" w:hAnsi="Arial"/>
          <w:sz w:val="16"/>
          <w:szCs w:val="16"/>
          <w:color w:val="auto"/>
        </w:rPr>
      </w:pPr>
    </w:p>
    <w:p>
      <w:pPr>
        <w:spacing w:after="0" w:line="241" w:lineRule="exact"/>
        <w:rPr>
          <w:rFonts w:ascii="Arial" w:cs="Arial" w:eastAsia="Arial" w:hAnsi="Arial"/>
          <w:sz w:val="16"/>
          <w:szCs w:val="16"/>
          <w:color w:val="auto"/>
        </w:rPr>
      </w:pPr>
    </w:p>
    <w:p>
      <w:pPr>
        <w:ind w:left="860" w:right="60" w:hanging="804"/>
        <w:spacing w:after="0" w:line="286" w:lineRule="auto"/>
        <w:tabs>
          <w:tab w:leader="none" w:pos="8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200" w:lineRule="exact"/>
        <w:rPr>
          <w:rFonts w:ascii="Arial" w:cs="Arial" w:eastAsia="Arial" w:hAnsi="Arial"/>
          <w:sz w:val="16"/>
          <w:szCs w:val="16"/>
          <w:color w:val="auto"/>
        </w:rPr>
      </w:pPr>
    </w:p>
    <w:p>
      <w:pPr>
        <w:spacing w:after="0" w:line="239" w:lineRule="exact"/>
        <w:rPr>
          <w:rFonts w:ascii="Arial" w:cs="Arial" w:eastAsia="Arial" w:hAnsi="Arial"/>
          <w:sz w:val="16"/>
          <w:szCs w:val="16"/>
          <w:color w:val="auto"/>
        </w:rPr>
      </w:pPr>
    </w:p>
    <w:p>
      <w:pPr>
        <w:ind w:left="1640" w:right="320" w:hanging="788"/>
        <w:spacing w:after="0" w:line="286" w:lineRule="auto"/>
        <w:tabs>
          <w:tab w:leader="none" w:pos="1640" w:val="left"/>
        </w:tabs>
        <w:numPr>
          <w:ilvl w:val="1"/>
          <w:numId w:val="8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Arial" w:cs="Arial" w:eastAsia="Arial" w:hAnsi="Arial"/>
          <w:sz w:val="16"/>
          <w:szCs w:val="16"/>
          <w:color w:val="auto"/>
        </w:rPr>
      </w:pPr>
    </w:p>
    <w:p>
      <w:pPr>
        <w:spacing w:after="0" w:line="239" w:lineRule="exact"/>
        <w:rPr>
          <w:rFonts w:ascii="Arial" w:cs="Arial" w:eastAsia="Arial" w:hAnsi="Arial"/>
          <w:sz w:val="16"/>
          <w:szCs w:val="16"/>
          <w:color w:val="auto"/>
        </w:rPr>
      </w:pPr>
    </w:p>
    <w:p>
      <w:pPr>
        <w:ind w:left="1640" w:right="520" w:hanging="788"/>
        <w:spacing w:after="0" w:line="286" w:lineRule="auto"/>
        <w:tabs>
          <w:tab w:leader="none" w:pos="1640" w:val="left"/>
        </w:tabs>
        <w:numPr>
          <w:ilvl w:val="1"/>
          <w:numId w:val="8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5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Date: February 12, 2025</w:t>
      </w:r>
    </w:p>
    <w:p>
      <w:pPr>
        <w:spacing w:after="0" w:line="86"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/s/ Kimberly F. Nooney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29210</wp:posOffset>
            </wp:positionV>
            <wp:extent cx="285432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96">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80"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Kimberly F. Nooney</w:t>
      </w:r>
    </w:p>
    <w:p>
      <w:pPr>
        <w:spacing w:after="0" w:line="73"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770890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906 OF THE SARBANES-OXLEY ACT OF 2002</w:t>
      </w:r>
    </w:p>
    <w:p>
      <w:pPr>
        <w:spacing w:after="0" w:line="84"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In connection with the Annual Report of Black Hills Corporation (the “Company”) on Form 10-K for the year ended December 31, 2024 as filed with the Securities and Exchange Commission on the date hereof (the “Report”), I, Linden R. Evans, President and Chief Executive Officer of the Company, certify, pursuant to 18 U.S.C. ss. 1350, as adopted pursuant to ss. 906 of the Sarbanes-Oxley Act of 2002, that:</w:t>
      </w:r>
    </w:p>
    <w:p>
      <w:pPr>
        <w:spacing w:after="0" w:line="185" w:lineRule="exact"/>
        <w:rPr>
          <w:sz w:val="20"/>
          <w:szCs w:val="20"/>
          <w:color w:val="auto"/>
        </w:rPr>
      </w:pPr>
    </w:p>
    <w:p>
      <w:pPr>
        <w:ind w:left="1640" w:hanging="788"/>
        <w:spacing w:after="0"/>
        <w:tabs>
          <w:tab w:leader="none" w:pos="16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 (a) or 15 (d) of the Securities Exchange Act of 1934; and</w:t>
      </w:r>
    </w:p>
    <w:p>
      <w:pPr>
        <w:spacing w:after="0" w:line="200" w:lineRule="exact"/>
        <w:rPr>
          <w:rFonts w:ascii="Arial" w:cs="Arial" w:eastAsia="Arial" w:hAnsi="Arial"/>
          <w:sz w:val="16"/>
          <w:szCs w:val="16"/>
          <w:color w:val="auto"/>
        </w:rPr>
      </w:pPr>
    </w:p>
    <w:p>
      <w:pPr>
        <w:spacing w:after="0" w:line="304" w:lineRule="exact"/>
        <w:rPr>
          <w:rFonts w:ascii="Arial" w:cs="Arial" w:eastAsia="Arial" w:hAnsi="Arial"/>
          <w:sz w:val="16"/>
          <w:szCs w:val="16"/>
          <w:color w:val="auto"/>
        </w:rPr>
      </w:pPr>
    </w:p>
    <w:p>
      <w:pPr>
        <w:ind w:left="1640" w:right="80" w:hanging="788"/>
        <w:spacing w:after="0" w:line="286" w:lineRule="auto"/>
        <w:tabs>
          <w:tab w:leader="none" w:pos="16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Date: February 12, 2025</w:t>
      </w:r>
    </w:p>
    <w:p>
      <w:pPr>
        <w:spacing w:after="0" w:line="356"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/s/ Linden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38100</wp:posOffset>
            </wp:positionV>
            <wp:extent cx="238315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98">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80"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Linden R. Evans</w:t>
      </w:r>
    </w:p>
    <w:p>
      <w:pPr>
        <w:spacing w:after="0" w:line="73"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779780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6"/>
          <w:szCs w:val="16"/>
          <w:b w:val="1"/>
          <w:bCs w:val="1"/>
          <w:color w:val="auto"/>
        </w:rPr>
        <w:t>Exhibit 32.2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906 OF THE SARBANES-OXLEY ACT OF 2002</w:t>
      </w:r>
    </w:p>
    <w:p>
      <w:pPr>
        <w:spacing w:after="0" w:line="84" w:lineRule="exact"/>
        <w:rPr>
          <w:sz w:val="20"/>
          <w:szCs w:val="20"/>
          <w:color w:val="auto"/>
        </w:rPr>
      </w:pPr>
    </w:p>
    <w:p>
      <w:pPr>
        <w:jc w:val="both"/>
        <w:ind w:right="420"/>
        <w:spacing w:after="0" w:line="266" w:lineRule="auto"/>
        <w:rPr>
          <w:sz w:val="20"/>
          <w:szCs w:val="20"/>
          <w:color w:val="auto"/>
        </w:rPr>
      </w:pPr>
      <w:r>
        <w:rPr>
          <w:rFonts w:ascii="Arial" w:cs="Arial" w:eastAsia="Arial" w:hAnsi="Arial"/>
          <w:sz w:val="16"/>
          <w:szCs w:val="16"/>
          <w:color w:val="auto"/>
        </w:rPr>
        <w:t>In connection with the Annual Report of Black Hills Corporation (the “Company”) on Form 10-K for the year ended December 31, 2024 as filed with the Securities and Exchange Commission on the date hereof (the “Report”), I, Kimberly F. Nooney, Senior Vice President and Chief Financial Officer of the Company, certify, pursuant to 18 U.S.C. ss. 1350, as adopted pursuant to ss. 906 of the Sarbanes-Oxley Act of 2002, that:</w:t>
      </w:r>
    </w:p>
    <w:p>
      <w:pPr>
        <w:spacing w:after="0" w:line="185" w:lineRule="exact"/>
        <w:rPr>
          <w:sz w:val="20"/>
          <w:szCs w:val="20"/>
          <w:color w:val="auto"/>
        </w:rPr>
      </w:pPr>
    </w:p>
    <w:p>
      <w:pPr>
        <w:ind w:left="1640" w:hanging="788"/>
        <w:spacing w:after="0"/>
        <w:tabs>
          <w:tab w:leader="none" w:pos="16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 (a) or 15 (d) of the Securities Exchange Act of 1934; and</w:t>
      </w:r>
    </w:p>
    <w:p>
      <w:pPr>
        <w:spacing w:after="0" w:line="200" w:lineRule="exact"/>
        <w:rPr>
          <w:rFonts w:ascii="Arial" w:cs="Arial" w:eastAsia="Arial" w:hAnsi="Arial"/>
          <w:sz w:val="16"/>
          <w:szCs w:val="16"/>
          <w:color w:val="auto"/>
        </w:rPr>
      </w:pPr>
    </w:p>
    <w:p>
      <w:pPr>
        <w:spacing w:after="0" w:line="304" w:lineRule="exact"/>
        <w:rPr>
          <w:rFonts w:ascii="Arial" w:cs="Arial" w:eastAsia="Arial" w:hAnsi="Arial"/>
          <w:sz w:val="16"/>
          <w:szCs w:val="16"/>
          <w:color w:val="auto"/>
        </w:rPr>
      </w:pPr>
    </w:p>
    <w:p>
      <w:pPr>
        <w:ind w:left="1640" w:right="80" w:hanging="788"/>
        <w:spacing w:after="0" w:line="286" w:lineRule="auto"/>
        <w:tabs>
          <w:tab w:leader="none" w:pos="16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Date: February 12, 2025</w:t>
      </w:r>
    </w:p>
    <w:p>
      <w:pPr>
        <w:spacing w:after="0" w:line="356"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/s/ Kimberly F. Nooney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38100</wp:posOffset>
            </wp:positionV>
            <wp:extent cx="284607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40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80"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Kimberly F. Nooney</w:t>
      </w:r>
    </w:p>
    <w:p>
      <w:pPr>
        <w:spacing w:after="0" w:line="73"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779780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6"/>
          <w:szCs w:val="16"/>
          <w:b w:val="1"/>
          <w:bCs w:val="1"/>
          <w:color w:val="auto"/>
        </w:rPr>
        <w:t>Exhibit 95</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Information concerning mine safety violations or other regulatory matters required by Sections 1503(a) of Dodd-Frank is included below.</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Mine Safety and Health Administration Safety Data</w:t>
      </w:r>
    </w:p>
    <w:p>
      <w:pPr>
        <w:spacing w:after="0" w:line="181"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Safety is a core value at Black Hills Corporation and at each of its subsidiary operations. We have in place a comprehensive safety program that includes extensive health and safety training for all employees, site inspections, emergency response preparedness, crisis communications training, incident investigation, regulatory compliance training and process auditing, as well as an open dialogue between all levels of employees. The goals of our processes are to eliminate exposure to hazards in the workplace, ensure that we comply with all mine safety regulations, and support regulatory and industry efforts to improve the health and safety of our employees along with the industry as a whole.</w:t>
      </w:r>
    </w:p>
    <w:p>
      <w:pPr>
        <w:spacing w:after="0" w:line="153"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Under the recently enacted Dodd-Frank Act, each operator of a coal or other mine is required to include certain mine safety results in its periodic reports filed with the SEC. Our mining operation, consisting of Wyodak Mine, is subject to regulation by the federal Mine Safety and Health Administration ("MSHA") under the Federal Mine Safety and Health Act of 1977 (the “Mine Act”). Below we present the following information regarding certain mining safety and health matters for the twelve month period ended December 31, 2024. In evaluating this information, consideration should be given to factors such as: (i) the number of citations and orders will vary depending on the size of the coal mine, (ii) the number of citations issued will vary from inspector to inspector and mine to mine, and (iii) citations and orders can be contested and appealed, and in that process, are often reduced in severity and amount, and are sometimes dismissed. The information presented includes:</w:t>
      </w:r>
    </w:p>
    <w:p>
      <w:pPr>
        <w:spacing w:after="0" w:line="168" w:lineRule="exact"/>
        <w:rPr>
          <w:sz w:val="20"/>
          <w:szCs w:val="20"/>
          <w:color w:val="auto"/>
        </w:rPr>
      </w:pPr>
    </w:p>
    <w:p>
      <w:pPr>
        <w:ind w:left="760" w:right="100" w:hanging="378"/>
        <w:spacing w:after="0" w:line="256" w:lineRule="auto"/>
        <w:tabs>
          <w:tab w:leader="none" w:pos="760" w:val="left"/>
        </w:tabs>
        <w:numPr>
          <w:ilvl w:val="0"/>
          <w:numId w:val="86"/>
        </w:numPr>
        <w:rPr>
          <w:rFonts w:ascii="Times New Roman" w:cs="Times New Roman" w:eastAsia="Times New Roman" w:hAnsi="Times New Roman"/>
          <w:sz w:val="18"/>
          <w:szCs w:val="18"/>
          <w:color w:val="auto"/>
        </w:rPr>
      </w:pPr>
      <w:r>
        <w:rPr>
          <w:rFonts w:ascii="Arial" w:cs="Arial" w:eastAsia="Arial" w:hAnsi="Arial"/>
          <w:sz w:val="16"/>
          <w:szCs w:val="16"/>
          <w:color w:val="auto"/>
        </w:rPr>
        <w:t>Total number of violations of mandatory health and safety standards that could significantly and substantially contribute to the cause and effect of a coal or other mine safety or health hazard under section 104 of the Mine Act for which we have received a citation from MSHA;</w:t>
      </w:r>
    </w:p>
    <w:p>
      <w:pPr>
        <w:spacing w:after="0" w:line="16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6"/>
        </w:numPr>
        <w:rPr>
          <w:rFonts w:ascii="Times New Roman" w:cs="Times New Roman" w:eastAsia="Times New Roman" w:hAnsi="Times New Roman"/>
          <w:sz w:val="18"/>
          <w:szCs w:val="18"/>
          <w:color w:val="auto"/>
        </w:rPr>
      </w:pPr>
      <w:r>
        <w:rPr>
          <w:rFonts w:ascii="Arial" w:cs="Arial" w:eastAsia="Arial" w:hAnsi="Arial"/>
          <w:sz w:val="16"/>
          <w:szCs w:val="16"/>
          <w:color w:val="auto"/>
        </w:rPr>
        <w:t>Total number of orders issued under section 104(b) of the Mine Act;</w:t>
      </w:r>
    </w:p>
    <w:p>
      <w:pPr>
        <w:spacing w:after="0" w:line="198" w:lineRule="exact"/>
        <w:rPr>
          <w:rFonts w:ascii="Times New Roman" w:cs="Times New Roman" w:eastAsia="Times New Roman" w:hAnsi="Times New Roman"/>
          <w:sz w:val="18"/>
          <w:szCs w:val="18"/>
          <w:color w:val="auto"/>
        </w:rPr>
      </w:pPr>
    </w:p>
    <w:p>
      <w:pPr>
        <w:ind w:left="760" w:right="220" w:hanging="378"/>
        <w:spacing w:after="0" w:line="256" w:lineRule="auto"/>
        <w:tabs>
          <w:tab w:leader="none" w:pos="760" w:val="left"/>
        </w:tabs>
        <w:numPr>
          <w:ilvl w:val="0"/>
          <w:numId w:val="86"/>
        </w:numPr>
        <w:rPr>
          <w:rFonts w:ascii="Times New Roman" w:cs="Times New Roman" w:eastAsia="Times New Roman" w:hAnsi="Times New Roman"/>
          <w:sz w:val="18"/>
          <w:szCs w:val="18"/>
          <w:color w:val="auto"/>
        </w:rPr>
      </w:pPr>
      <w:r>
        <w:rPr>
          <w:rFonts w:ascii="Arial" w:cs="Arial" w:eastAsia="Arial" w:hAnsi="Arial"/>
          <w:sz w:val="16"/>
          <w:szCs w:val="16"/>
          <w:color w:val="auto"/>
        </w:rPr>
        <w:t>Total number of citations and orders for unwarrantable failure of the mine operator to comply with mandatory health and safety standards under section 104(d) of the Mine Act;</w:t>
      </w:r>
    </w:p>
    <w:p>
      <w:pPr>
        <w:spacing w:after="0" w:line="16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6"/>
        </w:numPr>
        <w:rPr>
          <w:rFonts w:ascii="Times New Roman" w:cs="Times New Roman" w:eastAsia="Times New Roman" w:hAnsi="Times New Roman"/>
          <w:sz w:val="18"/>
          <w:szCs w:val="18"/>
          <w:color w:val="auto"/>
        </w:rPr>
      </w:pPr>
      <w:r>
        <w:rPr>
          <w:rFonts w:ascii="Arial" w:cs="Arial" w:eastAsia="Arial" w:hAnsi="Arial"/>
          <w:sz w:val="16"/>
          <w:szCs w:val="16"/>
          <w:color w:val="auto"/>
        </w:rPr>
        <w:t>Total number of imminent danger orders issued under section 107(a) of the Mine Act; and</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6"/>
        </w:numPr>
        <w:rPr>
          <w:rFonts w:ascii="Times New Roman" w:cs="Times New Roman" w:eastAsia="Times New Roman" w:hAnsi="Times New Roman"/>
          <w:sz w:val="18"/>
          <w:szCs w:val="18"/>
          <w:color w:val="auto"/>
        </w:rPr>
      </w:pPr>
      <w:r>
        <w:rPr>
          <w:rFonts w:ascii="Arial" w:cs="Arial" w:eastAsia="Arial" w:hAnsi="Arial"/>
          <w:sz w:val="16"/>
          <w:szCs w:val="16"/>
          <w:color w:val="auto"/>
        </w:rPr>
        <w:t>Total dollar value of proposed assessments from MSHA under the Mine Act.</w:t>
      </w:r>
    </w:p>
    <w:p>
      <w:pPr>
        <w:spacing w:after="0" w:line="185"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 table below sets forth the total number of citations and/or orders issued by MSHA to Wyodak Mine under the indicated provisions of the Mine Act, together with the total dollar value of proposed MSHA assessments received during the twelve months ended December 31, 2024 and legal actions pending before the Federal Mine Safety and Health Review Commission (FMSHRC), together with the Administrative Law Judges thereof, for Wyodak Mine, our only mining complex. All citations were abated within 24 hours of issue.</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Mine Act</w:t>
            </w: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Section 104</w:t>
            </w: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S&amp;S</w:t>
            </w: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Citations</w:t>
            </w: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issued</w:t>
            </w:r>
          </w:p>
        </w:tc>
        <w:tc>
          <w:tcPr>
            <w:tcW w:w="8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Mine Act</w:t>
            </w:r>
          </w:p>
        </w:tc>
        <w:tc>
          <w:tcPr>
            <w:tcW w:w="8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Mine Act</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Received</w:t>
            </w:r>
          </w:p>
        </w:tc>
        <w:tc>
          <w:tcPr>
            <w:tcW w:w="9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9"/>
              </w:rPr>
              <w:t>Legal</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1100" w:type="dxa"/>
            <w:vAlign w:val="bottom"/>
          </w:tcPr>
          <w:p>
            <w:pPr>
              <w:spacing w:after="0"/>
              <w:rPr>
                <w:sz w:val="4"/>
                <w:szCs w:val="4"/>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during</w:t>
            </w:r>
          </w:p>
        </w:tc>
        <w:tc>
          <w:tcPr>
            <w:tcW w:w="820" w:type="dxa"/>
            <w:vAlign w:val="bottom"/>
          </w:tcPr>
          <w:p>
            <w:pPr>
              <w:spacing w:after="0"/>
              <w:rPr>
                <w:sz w:val="4"/>
                <w:szCs w:val="4"/>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Section</w:t>
            </w:r>
          </w:p>
        </w:tc>
        <w:tc>
          <w:tcPr>
            <w:tcW w:w="860" w:type="dxa"/>
            <w:vAlign w:val="bottom"/>
          </w:tcPr>
          <w:p>
            <w:pPr>
              <w:spacing w:after="0"/>
              <w:rPr>
                <w:sz w:val="4"/>
                <w:szCs w:val="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Section</w:t>
            </w:r>
          </w:p>
        </w:tc>
        <w:tc>
          <w:tcPr>
            <w:tcW w:w="200" w:type="dxa"/>
            <w:vAlign w:val="bottom"/>
          </w:tcPr>
          <w:p>
            <w:pPr>
              <w:spacing w:after="0"/>
              <w:rPr>
                <w:sz w:val="4"/>
                <w:szCs w:val="4"/>
                <w:color w:val="auto"/>
              </w:rPr>
            </w:pPr>
          </w:p>
        </w:tc>
        <w:tc>
          <w:tcPr>
            <w:tcW w:w="102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rPr>
              <w:t>Total Dollar</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w:t>
            </w: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Notice of</w:t>
            </w:r>
          </w:p>
        </w:tc>
        <w:tc>
          <w:tcPr>
            <w:tcW w:w="940" w:type="dxa"/>
            <w:vAlign w:val="bottom"/>
            <w:vMerge w:val="continue"/>
          </w:tcPr>
          <w:p>
            <w:pPr>
              <w:spacing w:after="0"/>
              <w:rPr>
                <w:sz w:val="4"/>
                <w:szCs w:val="4"/>
                <w:color w:val="auto"/>
              </w:rPr>
            </w:pPr>
          </w:p>
        </w:tc>
        <w:tc>
          <w:tcPr>
            <w:tcW w:w="8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9"/>
              </w:rPr>
              <w:t>Legal</w:t>
            </w:r>
          </w:p>
        </w:tc>
        <w:tc>
          <w:tcPr>
            <w:tcW w:w="760" w:type="dxa"/>
            <w:vAlign w:val="bottom"/>
            <w:vMerge w:val="restart"/>
          </w:tcPr>
          <w:p>
            <w:pPr>
              <w:jc w:val="center"/>
              <w:ind w:left="33"/>
              <w:spacing w:after="0"/>
              <w:rPr>
                <w:sz w:val="20"/>
                <w:szCs w:val="20"/>
                <w:color w:val="auto"/>
              </w:rPr>
            </w:pPr>
            <w:r>
              <w:rPr>
                <w:rFonts w:ascii="Arial" w:cs="Arial" w:eastAsia="Arial" w:hAnsi="Arial"/>
                <w:sz w:val="13"/>
                <w:szCs w:val="13"/>
                <w:b w:val="1"/>
                <w:bCs w:val="1"/>
                <w:color w:val="auto"/>
                <w:w w:val="99"/>
              </w:rPr>
              <w:t>Legal</w:t>
            </w:r>
          </w:p>
        </w:tc>
        <w:tc>
          <w:tcPr>
            <w:tcW w:w="0" w:type="dxa"/>
            <w:vAlign w:val="bottom"/>
          </w:tcPr>
          <w:p>
            <w:pPr>
              <w:spacing w:after="0"/>
              <w:rPr>
                <w:sz w:val="1"/>
                <w:szCs w:val="1"/>
                <w:color w:val="auto"/>
              </w:rPr>
            </w:pPr>
          </w:p>
        </w:tc>
      </w:tr>
      <w:tr>
        <w:trPr>
          <w:trHeight w:val="136"/>
        </w:trPr>
        <w:tc>
          <w:tcPr>
            <w:tcW w:w="110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Mine Act</w:t>
            </w:r>
          </w:p>
        </w:tc>
        <w:tc>
          <w:tcPr>
            <w:tcW w:w="840" w:type="dxa"/>
            <w:vAlign w:val="bottom"/>
            <w:vMerge w:val="continue"/>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Mine Act</w:t>
            </w:r>
          </w:p>
        </w:tc>
        <w:tc>
          <w:tcPr>
            <w:tcW w:w="8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94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rPr>
              <w:t>Actions</w:t>
            </w:r>
          </w:p>
        </w:tc>
        <w:tc>
          <w:tcPr>
            <w:tcW w:w="8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twelve</w:t>
            </w:r>
          </w:p>
        </w:tc>
        <w:tc>
          <w:tcPr>
            <w:tcW w:w="820" w:type="dxa"/>
            <w:vAlign w:val="bottom"/>
            <w:vMerge w:val="continue"/>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104(d)</w:t>
            </w:r>
          </w:p>
        </w:tc>
        <w:tc>
          <w:tcPr>
            <w:tcW w:w="860" w:type="dxa"/>
            <w:vAlign w:val="bottom"/>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107(a)</w:t>
            </w:r>
          </w:p>
        </w:tc>
        <w:tc>
          <w:tcPr>
            <w:tcW w:w="200" w:type="dxa"/>
            <w:vAlign w:val="bottom"/>
          </w:tcPr>
          <w:p>
            <w:pPr>
              <w:spacing w:after="0"/>
              <w:rPr>
                <w:sz w:val="12"/>
                <w:szCs w:val="12"/>
                <w:color w:val="auto"/>
              </w:rPr>
            </w:pPr>
          </w:p>
        </w:tc>
        <w:tc>
          <w:tcPr>
            <w:tcW w:w="102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rPr>
              <w:t>Value of</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Number of</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Potential to</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rPr>
              <w:t>Pending as</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Actions</w:t>
            </w:r>
          </w:p>
        </w:tc>
        <w:tc>
          <w:tcPr>
            <w:tcW w:w="760" w:type="dxa"/>
            <w:vAlign w:val="bottom"/>
          </w:tcPr>
          <w:p>
            <w:pPr>
              <w:jc w:val="center"/>
              <w:ind w:left="33"/>
              <w:spacing w:after="0"/>
              <w:rPr>
                <w:sz w:val="20"/>
                <w:szCs w:val="20"/>
                <w:color w:val="auto"/>
              </w:rPr>
            </w:pPr>
            <w:r>
              <w:rPr>
                <w:rFonts w:ascii="Arial" w:cs="Arial" w:eastAsia="Arial" w:hAnsi="Arial"/>
                <w:sz w:val="13"/>
                <w:szCs w:val="13"/>
                <w:b w:val="1"/>
                <w:bCs w:val="1"/>
                <w:color w:val="auto"/>
              </w:rPr>
              <w:t>Actions</w:t>
            </w:r>
          </w:p>
        </w:tc>
        <w:tc>
          <w:tcPr>
            <w:tcW w:w="0" w:type="dxa"/>
            <w:vAlign w:val="bottom"/>
          </w:tcPr>
          <w:p>
            <w:pPr>
              <w:spacing w:after="0"/>
              <w:rPr>
                <w:sz w:val="1"/>
                <w:szCs w:val="1"/>
                <w:color w:val="auto"/>
              </w:rPr>
            </w:pPr>
          </w:p>
        </w:tc>
      </w:tr>
      <w:tr>
        <w:trPr>
          <w:trHeight w:val="153"/>
        </w:trPr>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Mine/ MSHA</w:t>
            </w:r>
          </w:p>
        </w:tc>
        <w:tc>
          <w:tcPr>
            <w:tcW w:w="10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months</w:t>
            </w:r>
          </w:p>
        </w:tc>
        <w:tc>
          <w:tcPr>
            <w:tcW w:w="8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Section</w:t>
            </w:r>
          </w:p>
        </w:tc>
        <w:tc>
          <w:tcPr>
            <w:tcW w:w="8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Citations</w:t>
            </w:r>
          </w:p>
        </w:tc>
        <w:tc>
          <w:tcPr>
            <w:tcW w:w="8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Section</w:t>
            </w:r>
          </w:p>
        </w:tc>
        <w:tc>
          <w:tcPr>
            <w:tcW w:w="8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Imminent</w:t>
            </w:r>
          </w:p>
        </w:tc>
        <w:tc>
          <w:tcPr>
            <w:tcW w:w="200" w:type="dxa"/>
            <w:vAlign w:val="bottom"/>
          </w:tcPr>
          <w:p>
            <w:pPr>
              <w:spacing w:after="0"/>
              <w:rPr>
                <w:sz w:val="13"/>
                <w:szCs w:val="13"/>
                <w:color w:val="auto"/>
              </w:rPr>
            </w:pPr>
          </w:p>
        </w:tc>
        <w:tc>
          <w:tcPr>
            <w:tcW w:w="1020" w:type="dxa"/>
            <w:vAlign w:val="bottom"/>
          </w:tcPr>
          <w:p>
            <w:pPr>
              <w:jc w:val="center"/>
              <w:ind w:right="128"/>
              <w:spacing w:after="0" w:line="153" w:lineRule="exact"/>
              <w:rPr>
                <w:sz w:val="20"/>
                <w:szCs w:val="20"/>
                <w:color w:val="auto"/>
              </w:rPr>
            </w:pPr>
            <w:r>
              <w:rPr>
                <w:rFonts w:ascii="Arial" w:cs="Arial" w:eastAsia="Arial" w:hAnsi="Arial"/>
                <w:sz w:val="14"/>
                <w:szCs w:val="14"/>
                <w:b w:val="1"/>
                <w:bCs w:val="1"/>
                <w:color w:val="auto"/>
              </w:rPr>
              <w:t>Proposed</w:t>
            </w:r>
          </w:p>
        </w:tc>
        <w:tc>
          <w:tcPr>
            <w:tcW w:w="9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Mining</w:t>
            </w:r>
          </w:p>
        </w:tc>
        <w:tc>
          <w:tcPr>
            <w:tcW w:w="10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Have Pattern</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rPr>
              <w:t>of Last Day</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Initiated</w:t>
            </w:r>
          </w:p>
        </w:tc>
        <w:tc>
          <w:tcPr>
            <w:tcW w:w="760" w:type="dxa"/>
            <w:vAlign w:val="bottom"/>
          </w:tcPr>
          <w:p>
            <w:pPr>
              <w:jc w:val="center"/>
              <w:ind w:left="13"/>
              <w:spacing w:after="0"/>
              <w:rPr>
                <w:sz w:val="20"/>
                <w:szCs w:val="20"/>
                <w:color w:val="auto"/>
              </w:rPr>
            </w:pPr>
            <w:r>
              <w:rPr>
                <w:rFonts w:ascii="Arial" w:cs="Arial" w:eastAsia="Arial" w:hAnsi="Arial"/>
                <w:sz w:val="13"/>
                <w:szCs w:val="13"/>
                <w:b w:val="1"/>
                <w:bCs w:val="1"/>
                <w:color w:val="auto"/>
              </w:rPr>
              <w:t>Resolved</w:t>
            </w:r>
          </w:p>
        </w:tc>
        <w:tc>
          <w:tcPr>
            <w:tcW w:w="0" w:type="dxa"/>
            <w:vAlign w:val="bottom"/>
          </w:tcPr>
          <w:p>
            <w:pPr>
              <w:spacing w:after="0"/>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ended</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104(b)</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and</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110(b)(2)</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Danger</w:t>
            </w:r>
          </w:p>
        </w:tc>
        <w:tc>
          <w:tcPr>
            <w:tcW w:w="200" w:type="dxa"/>
            <w:vAlign w:val="bottom"/>
          </w:tcPr>
          <w:p>
            <w:pPr>
              <w:spacing w:after="0"/>
              <w:rPr>
                <w:sz w:val="17"/>
                <w:szCs w:val="17"/>
                <w:color w:val="auto"/>
              </w:rPr>
            </w:pPr>
          </w:p>
        </w:tc>
        <w:tc>
          <w:tcPr>
            <w:tcW w:w="1020" w:type="dxa"/>
            <w:vAlign w:val="bottom"/>
          </w:tcPr>
          <w:p>
            <w:pPr>
              <w:jc w:val="center"/>
              <w:ind w:right="88"/>
              <w:spacing w:after="0"/>
              <w:rPr>
                <w:sz w:val="20"/>
                <w:szCs w:val="20"/>
                <w:color w:val="auto"/>
              </w:rPr>
            </w:pPr>
            <w:r>
              <w:rPr>
                <w:rFonts w:ascii="Arial" w:cs="Arial" w:eastAsia="Arial" w:hAnsi="Arial"/>
                <w:sz w:val="14"/>
                <w:szCs w:val="14"/>
                <w:b w:val="1"/>
                <w:bCs w:val="1"/>
                <w:color w:val="auto"/>
              </w:rPr>
              <w:t>MSHA</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Related</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Under</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rPr>
              <w:t>of</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During</w:t>
            </w:r>
          </w:p>
        </w:tc>
        <w:tc>
          <w:tcPr>
            <w:tcW w:w="760" w:type="dxa"/>
            <w:vAlign w:val="bottom"/>
          </w:tcPr>
          <w:p>
            <w:pPr>
              <w:jc w:val="center"/>
              <w:ind w:left="73"/>
              <w:spacing w:after="0"/>
              <w:rPr>
                <w:sz w:val="20"/>
                <w:szCs w:val="20"/>
                <w:color w:val="auto"/>
              </w:rPr>
            </w:pPr>
            <w:r>
              <w:rPr>
                <w:rFonts w:ascii="Arial" w:cs="Arial" w:eastAsia="Arial" w:hAnsi="Arial"/>
                <w:sz w:val="13"/>
                <w:szCs w:val="13"/>
                <w:b w:val="1"/>
                <w:bCs w:val="1"/>
                <w:color w:val="auto"/>
              </w:rPr>
              <w:t>During</w:t>
            </w:r>
          </w:p>
        </w:tc>
        <w:tc>
          <w:tcPr>
            <w:tcW w:w="0" w:type="dxa"/>
            <w:vAlign w:val="bottom"/>
          </w:tcPr>
          <w:p>
            <w:pPr>
              <w:spacing w:after="0"/>
              <w:rPr>
                <w:sz w:val="1"/>
                <w:szCs w:val="1"/>
                <w:color w:val="auto"/>
              </w:rPr>
            </w:pPr>
          </w:p>
        </w:tc>
      </w:tr>
      <w:tr>
        <w:trPr>
          <w:trHeight w:val="227"/>
        </w:trPr>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6"/>
              </w:rPr>
              <w:t>Identification</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6"/>
              </w:rPr>
              <w:t>December 31,</w:t>
            </w:r>
          </w:p>
        </w:tc>
        <w:tc>
          <w:tcPr>
            <w:tcW w:w="8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Orders (#)</w:t>
            </w:r>
          </w:p>
        </w:tc>
        <w:tc>
          <w:tcPr>
            <w:tcW w:w="8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Orders (#)</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6"/>
              </w:rPr>
              <w:t>Violations</w:t>
            </w:r>
          </w:p>
        </w:tc>
        <w:tc>
          <w:tcPr>
            <w:tcW w:w="800" w:type="dxa"/>
            <w:vAlign w:val="bottom"/>
            <w:vMerge w:val="restart"/>
          </w:tcPr>
          <w:p>
            <w:pPr>
              <w:jc w:val="center"/>
              <w:ind w:left="9"/>
              <w:spacing w:after="0"/>
              <w:rPr>
                <w:sz w:val="20"/>
                <w:szCs w:val="20"/>
                <w:color w:val="auto"/>
              </w:rPr>
            </w:pPr>
            <w:r>
              <w:rPr>
                <w:rFonts w:ascii="Arial" w:cs="Arial" w:eastAsia="Arial" w:hAnsi="Arial"/>
                <w:sz w:val="13"/>
                <w:szCs w:val="13"/>
                <w:b w:val="1"/>
                <w:bCs w:val="1"/>
                <w:color w:val="auto"/>
                <w:w w:val="96"/>
              </w:rPr>
              <w:t>Orders (#)</w:t>
            </w:r>
          </w:p>
        </w:tc>
        <w:tc>
          <w:tcPr>
            <w:tcW w:w="122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Assessments (a)</w:t>
            </w: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Fatalities (#)</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7"/>
              </w:rPr>
              <w:t>Section 104(e)</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6"/>
              </w:rPr>
              <w:t>Period (#)</w:t>
            </w:r>
          </w:p>
        </w:tc>
        <w:tc>
          <w:tcPr>
            <w:tcW w:w="8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Period (#)</w:t>
            </w:r>
          </w:p>
        </w:tc>
        <w:tc>
          <w:tcPr>
            <w:tcW w:w="760" w:type="dxa"/>
            <w:vAlign w:val="bottom"/>
            <w:vMerge w:val="restart"/>
          </w:tcPr>
          <w:p>
            <w:pPr>
              <w:jc w:val="center"/>
              <w:ind w:left="73"/>
              <w:spacing w:after="0"/>
              <w:rPr>
                <w:sz w:val="20"/>
                <w:szCs w:val="20"/>
                <w:color w:val="auto"/>
              </w:rPr>
            </w:pPr>
            <w:r>
              <w:rPr>
                <w:rFonts w:ascii="Arial" w:cs="Arial" w:eastAsia="Arial" w:hAnsi="Arial"/>
                <w:sz w:val="13"/>
                <w:szCs w:val="13"/>
                <w:b w:val="1"/>
                <w:bCs w:val="1"/>
                <w:color w:val="auto"/>
                <w:w w:val="96"/>
              </w:rPr>
              <w:t>Period (#)</w:t>
            </w:r>
          </w:p>
        </w:tc>
        <w:tc>
          <w:tcPr>
            <w:tcW w:w="0" w:type="dxa"/>
            <w:vAlign w:val="bottom"/>
          </w:tcPr>
          <w:p>
            <w:pPr>
              <w:spacing w:after="0"/>
              <w:rPr>
                <w:sz w:val="1"/>
                <w:szCs w:val="1"/>
                <w:color w:val="auto"/>
              </w:rPr>
            </w:pPr>
          </w:p>
        </w:tc>
      </w:tr>
      <w:tr>
        <w:trPr>
          <w:trHeight w:val="166"/>
        </w:trPr>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7"/>
              </w:rPr>
              <w:t>Number</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6"/>
              </w:rPr>
              <w:t>2024</w:t>
            </w:r>
          </w:p>
        </w:tc>
        <w:tc>
          <w:tcPr>
            <w:tcW w:w="8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800" w:type="dxa"/>
            <w:vAlign w:val="bottom"/>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6"/>
              </w:rPr>
              <w:t>(yes/no)</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6"/>
              </w:rPr>
              <w:t>(b)</w:t>
            </w: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1"/>
        </w:trPr>
        <w:tc>
          <w:tcPr>
            <w:tcW w:w="110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Wyodak Mine -</w:t>
            </w:r>
          </w:p>
        </w:tc>
        <w:tc>
          <w:tcPr>
            <w:tcW w:w="1000" w:type="dxa"/>
            <w:vAlign w:val="bottom"/>
            <w:shd w:val="clear" w:color="auto" w:fill="CFF0FC"/>
          </w:tcPr>
          <w:p>
            <w:pPr>
              <w:spacing w:after="0"/>
              <w:rPr>
                <w:sz w:val="24"/>
                <w:szCs w:val="24"/>
                <w:color w:val="auto"/>
              </w:rPr>
            </w:pPr>
          </w:p>
        </w:tc>
        <w:tc>
          <w:tcPr>
            <w:tcW w:w="820" w:type="dxa"/>
            <w:vAlign w:val="bottom"/>
            <w:shd w:val="clear" w:color="auto" w:fill="CFF0FC"/>
          </w:tcPr>
          <w:p>
            <w:pPr>
              <w:spacing w:after="0"/>
              <w:rPr>
                <w:sz w:val="24"/>
                <w:szCs w:val="24"/>
                <w:color w:val="auto"/>
              </w:rPr>
            </w:pPr>
          </w:p>
        </w:tc>
        <w:tc>
          <w:tcPr>
            <w:tcW w:w="840" w:type="dxa"/>
            <w:vAlign w:val="bottom"/>
            <w:shd w:val="clear" w:color="auto" w:fill="CFF0FC"/>
          </w:tcPr>
          <w:p>
            <w:pPr>
              <w:spacing w:after="0"/>
              <w:rPr>
                <w:sz w:val="24"/>
                <w:szCs w:val="24"/>
                <w:color w:val="auto"/>
              </w:rPr>
            </w:pPr>
          </w:p>
        </w:tc>
        <w:tc>
          <w:tcPr>
            <w:tcW w:w="860" w:type="dxa"/>
            <w:vAlign w:val="bottom"/>
            <w:shd w:val="clear" w:color="auto" w:fill="CFF0FC"/>
          </w:tcPr>
          <w:p>
            <w:pPr>
              <w:spacing w:after="0"/>
              <w:rPr>
                <w:sz w:val="24"/>
                <w:szCs w:val="24"/>
                <w:color w:val="auto"/>
              </w:rPr>
            </w:pPr>
          </w:p>
        </w:tc>
        <w:tc>
          <w:tcPr>
            <w:tcW w:w="80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020" w:type="dxa"/>
            <w:vAlign w:val="bottom"/>
            <w:shd w:val="clear" w:color="auto" w:fill="CFF0FC"/>
          </w:tcPr>
          <w:p>
            <w:pPr>
              <w:spacing w:after="0"/>
              <w:rPr>
                <w:sz w:val="24"/>
                <w:szCs w:val="24"/>
                <w:color w:val="auto"/>
              </w:rPr>
            </w:pPr>
          </w:p>
        </w:tc>
        <w:tc>
          <w:tcPr>
            <w:tcW w:w="900" w:type="dxa"/>
            <w:vAlign w:val="bottom"/>
            <w:shd w:val="clear" w:color="auto" w:fill="CFF0FC"/>
          </w:tcPr>
          <w:p>
            <w:pPr>
              <w:spacing w:after="0"/>
              <w:rPr>
                <w:sz w:val="24"/>
                <w:szCs w:val="24"/>
                <w:color w:val="auto"/>
              </w:rPr>
            </w:pPr>
          </w:p>
        </w:tc>
        <w:tc>
          <w:tcPr>
            <w:tcW w:w="1060" w:type="dxa"/>
            <w:vAlign w:val="bottom"/>
            <w:shd w:val="clear" w:color="auto" w:fill="CFF0FC"/>
          </w:tcPr>
          <w:p>
            <w:pPr>
              <w:spacing w:after="0"/>
              <w:rPr>
                <w:sz w:val="24"/>
                <w:szCs w:val="24"/>
                <w:color w:val="auto"/>
              </w:rPr>
            </w:pPr>
          </w:p>
        </w:tc>
        <w:tc>
          <w:tcPr>
            <w:tcW w:w="940" w:type="dxa"/>
            <w:vAlign w:val="bottom"/>
            <w:shd w:val="clear" w:color="auto" w:fill="CFF0FC"/>
          </w:tcPr>
          <w:p>
            <w:pPr>
              <w:spacing w:after="0"/>
              <w:rPr>
                <w:sz w:val="24"/>
                <w:szCs w:val="24"/>
                <w:color w:val="auto"/>
              </w:rPr>
            </w:pPr>
          </w:p>
        </w:tc>
        <w:tc>
          <w:tcPr>
            <w:tcW w:w="800" w:type="dxa"/>
            <w:vAlign w:val="bottom"/>
            <w:shd w:val="clear" w:color="auto" w:fill="CFF0FC"/>
          </w:tcPr>
          <w:p>
            <w:pPr>
              <w:spacing w:after="0"/>
              <w:rPr>
                <w:sz w:val="24"/>
                <w:szCs w:val="24"/>
                <w:color w:val="auto"/>
              </w:rPr>
            </w:pPr>
          </w:p>
        </w:tc>
        <w:tc>
          <w:tcPr>
            <w:tcW w:w="76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1100" w:type="dxa"/>
            <w:vAlign w:val="bottom"/>
            <w:shd w:val="clear" w:color="auto" w:fill="CFF0FC"/>
          </w:tcPr>
          <w:p>
            <w:pPr>
              <w:jc w:val="right"/>
              <w:ind w:right="412"/>
              <w:spacing w:after="0"/>
              <w:rPr>
                <w:sz w:val="20"/>
                <w:szCs w:val="20"/>
                <w:color w:val="auto"/>
              </w:rPr>
            </w:pPr>
            <w:r>
              <w:rPr>
                <w:rFonts w:ascii="Arial" w:cs="Arial" w:eastAsia="Arial" w:hAnsi="Arial"/>
                <w:sz w:val="14"/>
                <w:szCs w:val="14"/>
                <w:color w:val="auto"/>
              </w:rPr>
              <w:t>4800083</w:t>
            </w:r>
          </w:p>
        </w:tc>
        <w:tc>
          <w:tcPr>
            <w:tcW w:w="1000" w:type="dxa"/>
            <w:vAlign w:val="bottom"/>
            <w:shd w:val="clear" w:color="auto" w:fill="CFF0FC"/>
          </w:tcPr>
          <w:p>
            <w:pPr>
              <w:jc w:val="right"/>
              <w:ind w:right="450"/>
              <w:spacing w:after="0"/>
              <w:rPr>
                <w:sz w:val="20"/>
                <w:szCs w:val="20"/>
                <w:color w:val="auto"/>
              </w:rPr>
            </w:pPr>
            <w:r>
              <w:rPr>
                <w:rFonts w:ascii="Arial" w:cs="Arial" w:eastAsia="Arial" w:hAnsi="Arial"/>
                <w:sz w:val="14"/>
                <w:szCs w:val="14"/>
                <w:color w:val="auto"/>
              </w:rPr>
              <w:t>1</w:t>
            </w:r>
          </w:p>
        </w:tc>
        <w:tc>
          <w:tcPr>
            <w:tcW w:w="820" w:type="dxa"/>
            <w:vAlign w:val="bottom"/>
            <w:shd w:val="clear" w:color="auto" w:fill="CFF0FC"/>
          </w:tcPr>
          <w:p>
            <w:pPr>
              <w:jc w:val="right"/>
              <w:ind w:right="290"/>
              <w:spacing w:after="0"/>
              <w:rPr>
                <w:sz w:val="20"/>
                <w:szCs w:val="20"/>
                <w:color w:val="auto"/>
              </w:rPr>
            </w:pPr>
            <w:r>
              <w:rPr>
                <w:rFonts w:ascii="Arial" w:cs="Arial" w:eastAsia="Arial" w:hAnsi="Arial"/>
                <w:sz w:val="14"/>
                <w:szCs w:val="14"/>
                <w:color w:val="auto"/>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0</w:t>
            </w:r>
          </w:p>
        </w:tc>
        <w:tc>
          <w:tcPr>
            <w:tcW w:w="86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0</w:t>
            </w:r>
          </w:p>
        </w:tc>
        <w:tc>
          <w:tcPr>
            <w:tcW w:w="800" w:type="dxa"/>
            <w:vAlign w:val="bottom"/>
            <w:shd w:val="clear" w:color="auto" w:fill="CFF0FC"/>
          </w:tcPr>
          <w:p>
            <w:pPr>
              <w:jc w:val="center"/>
              <w:ind w:left="9"/>
              <w:spacing w:after="0"/>
              <w:rPr>
                <w:sz w:val="20"/>
                <w:szCs w:val="20"/>
                <w:color w:val="auto"/>
              </w:rPr>
            </w:pPr>
            <w:r>
              <w:rPr>
                <w:rFonts w:ascii="Arial" w:cs="Arial" w:eastAsia="Arial" w:hAnsi="Arial"/>
                <w:sz w:val="14"/>
                <w:szCs w:val="14"/>
                <w:color w:val="auto"/>
              </w:rPr>
              <w:t>0</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ind w:right="248"/>
              <w:spacing w:after="0"/>
              <w:rPr>
                <w:sz w:val="20"/>
                <w:szCs w:val="20"/>
                <w:color w:val="auto"/>
              </w:rPr>
            </w:pPr>
            <w:r>
              <w:rPr>
                <w:rFonts w:ascii="Arial" w:cs="Arial" w:eastAsia="Arial" w:hAnsi="Arial"/>
                <w:sz w:val="14"/>
                <w:szCs w:val="14"/>
                <w:color w:val="auto"/>
              </w:rPr>
              <w:t>5,490</w:t>
            </w:r>
          </w:p>
        </w:tc>
        <w:tc>
          <w:tcPr>
            <w:tcW w:w="90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0</w:t>
            </w: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No</w:t>
            </w:r>
          </w:p>
        </w:tc>
        <w:tc>
          <w:tcPr>
            <w:tcW w:w="940" w:type="dxa"/>
            <w:vAlign w:val="bottom"/>
            <w:shd w:val="clear" w:color="auto" w:fill="CFF0FC"/>
          </w:tcPr>
          <w:p>
            <w:pPr>
              <w:jc w:val="right"/>
              <w:ind w:right="413"/>
              <w:spacing w:after="0"/>
              <w:rPr>
                <w:sz w:val="20"/>
                <w:szCs w:val="20"/>
                <w:color w:val="auto"/>
              </w:rPr>
            </w:pPr>
            <w:r>
              <w:rPr>
                <w:rFonts w:ascii="Arial" w:cs="Arial" w:eastAsia="Arial" w:hAnsi="Arial"/>
                <w:sz w:val="14"/>
                <w:szCs w:val="14"/>
                <w:color w:val="auto"/>
              </w:rPr>
              <w:t>0</w:t>
            </w:r>
          </w:p>
        </w:tc>
        <w:tc>
          <w:tcPr>
            <w:tcW w:w="800" w:type="dxa"/>
            <w:vAlign w:val="bottom"/>
            <w:shd w:val="clear" w:color="auto" w:fill="CFF0FC"/>
          </w:tcPr>
          <w:p>
            <w:pPr>
              <w:jc w:val="right"/>
              <w:ind w:right="373"/>
              <w:spacing w:after="0"/>
              <w:rPr>
                <w:sz w:val="20"/>
                <w:szCs w:val="20"/>
                <w:color w:val="auto"/>
              </w:rPr>
            </w:pPr>
            <w:r>
              <w:rPr>
                <w:rFonts w:ascii="Arial" w:cs="Arial" w:eastAsia="Arial" w:hAnsi="Arial"/>
                <w:sz w:val="14"/>
                <w:szCs w:val="14"/>
                <w:color w:val="auto"/>
              </w:rPr>
              <w:t>0</w:t>
            </w:r>
          </w:p>
        </w:tc>
        <w:tc>
          <w:tcPr>
            <w:tcW w:w="760" w:type="dxa"/>
            <w:vAlign w:val="bottom"/>
            <w:shd w:val="clear" w:color="auto" w:fill="CFF0FC"/>
          </w:tcPr>
          <w:p>
            <w:pPr>
              <w:jc w:val="right"/>
              <w:ind w:right="273"/>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6"/>
          <w:szCs w:val="16"/>
          <w:color w:val="auto"/>
        </w:rPr>
        <w:t>________________________</w:t>
      </w:r>
    </w:p>
    <w:p>
      <w:pPr>
        <w:spacing w:after="0" w:line="7" w:lineRule="exact"/>
        <w:rPr>
          <w:sz w:val="20"/>
          <w:szCs w:val="20"/>
          <w:color w:val="auto"/>
        </w:rPr>
      </w:pPr>
    </w:p>
    <w:p>
      <w:pPr>
        <w:ind w:left="380" w:right="660" w:hanging="372"/>
        <w:spacing w:after="0" w:line="255" w:lineRule="auto"/>
        <w:tabs>
          <w:tab w:leader="none" w:pos="380" w:val="left"/>
        </w:tabs>
        <w:numPr>
          <w:ilvl w:val="0"/>
          <w:numId w:val="87"/>
        </w:numPr>
        <w:rPr>
          <w:rFonts w:ascii="Times New Roman" w:cs="Times New Roman" w:eastAsia="Times New Roman" w:hAnsi="Times New Roman"/>
          <w:sz w:val="16"/>
          <w:szCs w:val="16"/>
          <w:color w:val="auto"/>
        </w:rPr>
      </w:pPr>
      <w:r>
        <w:rPr>
          <w:rFonts w:ascii="Arial" w:cs="Arial" w:eastAsia="Arial" w:hAnsi="Arial"/>
          <w:sz w:val="16"/>
          <w:szCs w:val="16"/>
          <w:color w:val="auto"/>
        </w:rPr>
        <w:t>The types of proceedings by class: (1) Contests of citations and orders – none; (2) contests of proposed penalties – none; (3) complaints for compensation – none; (4) complaints of discharge, discrimination or interference under Section 105 of the Mine Act – none; (5) applications for temporary relief – none; and (6) appeals of judges' decisions or orders to the FMSHRC –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958850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4" w:right="339" w:bottom="1440" w:gutter="0" w:footer="0" w:header="0"/>
        </w:sectPr>
      </w:pPr>
    </w:p>
    <w:bookmarkStart w:id="115" w:name="page116"/>
    <w:bookmarkEnd w:id="11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1)"/>
      <w:numFmt w:val="lowerLetter"/>
      <w:start w:val="1"/>
    </w:lvl>
  </w:abstractNum>
  <w:abstractNum w:abstractNumId="3">
    <w:nsid w:val="7A6D8D3C"/>
    <w:multiLevelType w:val="hybridMultilevel"/>
    <w:lvl w:ilvl="0">
      <w:lvlJc w:val="left"/>
      <w:lvlText w:val="(%1)"/>
      <w:numFmt w:val="lowerLetter"/>
      <w:start w:val="1"/>
    </w:lvl>
  </w:abstractNum>
  <w:abstractNum w:abstractNumId="4">
    <w:nsid w:val="4B588F54"/>
    <w:multiLevelType w:val="hybridMultilevel"/>
    <w:lvl w:ilvl="0">
      <w:lvlJc w:val="left"/>
      <w:lvlText w:val="(%1)"/>
      <w:numFmt w:val="lowerLetter"/>
      <w:start w:val="1"/>
    </w:lvl>
  </w:abstractNum>
  <w:abstractNum w:abstractNumId="5">
    <w:nsid w:val="542289EC"/>
    <w:multiLevelType w:val="hybridMultilevel"/>
    <w:lvl w:ilvl="0">
      <w:lvlJc w:val="left"/>
      <w:lvlText w:val="(%1)"/>
      <w:numFmt w:val="lowerLetter"/>
      <w:start w:val="1"/>
    </w:lvl>
  </w:abstractNum>
  <w:abstractNum w:abstractNumId="6">
    <w:nsid w:val="6DE91B18"/>
    <w:multiLevelType w:val="hybridMultilevel"/>
    <w:lvl w:ilvl="0">
      <w:lvlJc w:val="left"/>
      <w:lvlText w:val="•"/>
      <w:numFmt w:val="bullet"/>
      <w:start w:val="1"/>
    </w:lvl>
  </w:abstractNum>
  <w:abstractNum w:abstractNumId="7">
    <w:nsid w:val="38437FDB"/>
    <w:multiLevelType w:val="hybridMultilevel"/>
    <w:lvl w:ilvl="0">
      <w:lvlJc w:val="left"/>
      <w:lvlText w:val="(%1)"/>
      <w:numFmt w:val="lowerLetter"/>
      <w:start w:val="1"/>
    </w:lvl>
  </w:abstractNum>
  <w:abstractNum w:abstractNumId="8">
    <w:nsid w:val="7644A45C"/>
    <w:multiLevelType w:val="hybridMultilevel"/>
    <w:lvl w:ilvl="0">
      <w:lvlJc w:val="left"/>
      <w:lvlText w:val="(%1)"/>
      <w:numFmt w:val="lowerLetter"/>
      <w:start w:val="1"/>
    </w:lvl>
  </w:abstractNum>
  <w:abstractNum w:abstractNumId="9">
    <w:nsid w:val="32FFF902"/>
    <w:multiLevelType w:val="hybridMultilevel"/>
    <w:lvl w:ilvl="0">
      <w:lvlJc w:val="left"/>
      <w:lvlText w:val="(%1)"/>
      <w:numFmt w:val="lowerLetter"/>
      <w:start w:val="1"/>
    </w:lvl>
  </w:abstractNum>
  <w:abstractNum w:abstractNumId="10">
    <w:nsid w:val="684A481A"/>
    <w:multiLevelType w:val="hybridMultilevel"/>
    <w:lvl w:ilvl="0">
      <w:lvlJc w:val="left"/>
      <w:lvlText w:val="(%1)"/>
      <w:numFmt w:val="lowerLetter"/>
      <w:start w:val="1"/>
    </w:lvl>
  </w:abstractNum>
  <w:abstractNum w:abstractNumId="11">
    <w:nsid w:val="579478FE"/>
    <w:multiLevelType w:val="hybridMultilevel"/>
    <w:lvl w:ilvl="0">
      <w:lvlJc w:val="left"/>
      <w:lvlText w:val="(%1)"/>
      <w:numFmt w:val="lowerLetter"/>
      <w:start w:val="1"/>
    </w:lvl>
  </w:abstractNum>
  <w:abstractNum w:abstractNumId="12">
    <w:nsid w:val="749ABB43"/>
    <w:multiLevelType w:val="hybridMultilevel"/>
    <w:lvl w:ilvl="0">
      <w:lvlJc w:val="left"/>
      <w:lvlText w:val="•"/>
      <w:numFmt w:val="bullet"/>
      <w:start w:val="1"/>
    </w:lvl>
  </w:abstractNum>
  <w:abstractNum w:abstractNumId="13">
    <w:nsid w:val="3DC240FB"/>
    <w:multiLevelType w:val="hybridMultilevel"/>
    <w:lvl w:ilvl="0">
      <w:lvlJc w:val="left"/>
      <w:lvlText w:val="•"/>
      <w:numFmt w:val="bullet"/>
      <w:start w:val="1"/>
    </w:lvl>
  </w:abstractNum>
  <w:abstractNum w:abstractNumId="14">
    <w:nsid w:val="1BA026FA"/>
    <w:multiLevelType w:val="hybridMultilevel"/>
    <w:lvl w:ilvl="0">
      <w:lvlJc w:val="left"/>
      <w:lvlText w:val="•"/>
      <w:numFmt w:val="bullet"/>
      <w:start w:val="1"/>
    </w:lvl>
  </w:abstractNum>
  <w:abstractNum w:abstractNumId="15">
    <w:nsid w:val="79A1DEAA"/>
    <w:multiLevelType w:val="hybridMultilevel"/>
    <w:lvl w:ilvl="0">
      <w:lvlJc w:val="left"/>
      <w:lvlText w:val="•"/>
      <w:numFmt w:val="bullet"/>
      <w:start w:val="1"/>
    </w:lvl>
  </w:abstractNum>
  <w:abstractNum w:abstractNumId="16">
    <w:nsid w:val="75C6C33A"/>
    <w:multiLevelType w:val="hybridMultilevel"/>
    <w:lvl w:ilvl="0">
      <w:lvlJc w:val="left"/>
      <w:lvlText w:val="•"/>
      <w:numFmt w:val="bullet"/>
      <w:start w:val="1"/>
    </w:lvl>
  </w:abstractNum>
  <w:abstractNum w:abstractNumId="17">
    <w:nsid w:val="12E685FB"/>
    <w:multiLevelType w:val="hybridMultilevel"/>
    <w:lvl w:ilvl="0">
      <w:lvlJc w:val="left"/>
      <w:lvlText w:val="(%1)"/>
      <w:numFmt w:val="lowerLetter"/>
      <w:start w:val="1"/>
    </w:lvl>
  </w:abstractNum>
  <w:abstractNum w:abstractNumId="18">
    <w:nsid w:val="70C6A529"/>
    <w:multiLevelType w:val="hybridMultilevel"/>
    <w:lvl w:ilvl="0">
      <w:lvlJc w:val="left"/>
      <w:lvlText w:val="(%1)"/>
      <w:numFmt w:val="lowerLetter"/>
      <w:start w:val="1"/>
    </w:lvl>
  </w:abstractNum>
  <w:abstractNum w:abstractNumId="19">
    <w:nsid w:val="520EEDD1"/>
    <w:multiLevelType w:val="hybridMultilevel"/>
    <w:lvl w:ilvl="0">
      <w:lvlJc w:val="left"/>
      <w:lvlText w:val="•"/>
      <w:numFmt w:val="bullet"/>
      <w:start w:val="1"/>
    </w:lvl>
  </w:abstractNum>
  <w:abstractNum w:abstractNumId="20">
    <w:nsid w:val="374A3FE6"/>
    <w:multiLevelType w:val="hybridMultilevel"/>
    <w:lvl w:ilvl="0">
      <w:lvlJc w:val="left"/>
      <w:lvlText w:val="•"/>
      <w:numFmt w:val="bullet"/>
      <w:start w:val="1"/>
    </w:lvl>
  </w:abstractNum>
  <w:abstractNum w:abstractNumId="21">
    <w:nsid w:val="4F4EF005"/>
    <w:multiLevelType w:val="hybridMultilevel"/>
    <w:lvl w:ilvl="0">
      <w:lvlJc w:val="left"/>
      <w:lvlText w:val="•"/>
      <w:numFmt w:val="bullet"/>
      <w:start w:val="1"/>
    </w:lvl>
  </w:abstractNum>
  <w:abstractNum w:abstractNumId="22">
    <w:nsid w:val="23F9C13C"/>
    <w:multiLevelType w:val="hybridMultilevel"/>
    <w:lvl w:ilvl="0">
      <w:lvlJc w:val="left"/>
      <w:lvlText w:val="(%1)"/>
      <w:numFmt w:val="lowerLetter"/>
      <w:start w:val="1"/>
    </w:lvl>
  </w:abstractNum>
  <w:abstractNum w:abstractNumId="23">
    <w:nsid w:val="649BB77C"/>
    <w:multiLevelType w:val="hybridMultilevel"/>
    <w:lvl w:ilvl="0">
      <w:lvlJc w:val="left"/>
      <w:lvlText w:val="•"/>
      <w:numFmt w:val="bullet"/>
      <w:start w:val="1"/>
    </w:lvl>
  </w:abstractNum>
  <w:abstractNum w:abstractNumId="24">
    <w:nsid w:val="275AC794"/>
    <w:multiLevelType w:val="hybridMultilevel"/>
    <w:lvl w:ilvl="0">
      <w:lvlJc w:val="left"/>
      <w:lvlText w:val="•"/>
      <w:numFmt w:val="bullet"/>
      <w:start w:val="1"/>
    </w:lvl>
  </w:abstractNum>
  <w:abstractNum w:abstractNumId="25">
    <w:nsid w:val="39386575"/>
    <w:multiLevelType w:val="hybridMultilevel"/>
    <w:lvl w:ilvl="0">
      <w:lvlJc w:val="left"/>
      <w:lvlText w:val="•"/>
      <w:numFmt w:val="bullet"/>
      <w:start w:val="1"/>
    </w:lvl>
  </w:abstractNum>
  <w:abstractNum w:abstractNumId="26">
    <w:nsid w:val="1CF10FD8"/>
    <w:multiLevelType w:val="hybridMultilevel"/>
    <w:lvl w:ilvl="0">
      <w:lvlJc w:val="left"/>
      <w:lvlText w:val="•"/>
      <w:numFmt w:val="bullet"/>
      <w:start w:val="1"/>
    </w:lvl>
  </w:abstractNum>
  <w:abstractNum w:abstractNumId="27">
    <w:nsid w:val="180115BE"/>
    <w:multiLevelType w:val="hybridMultilevel"/>
    <w:lvl w:ilvl="0">
      <w:lvlJc w:val="left"/>
      <w:lvlText w:val="•"/>
      <w:numFmt w:val="bullet"/>
      <w:start w:val="1"/>
    </w:lvl>
  </w:abstractNum>
  <w:abstractNum w:abstractNumId="28">
    <w:nsid w:val="235BA861"/>
    <w:multiLevelType w:val="hybridMultilevel"/>
    <w:lvl w:ilvl="0">
      <w:lvlJc w:val="left"/>
      <w:lvlText w:val="(%1)"/>
      <w:numFmt w:val="lowerLetter"/>
      <w:start w:val="1"/>
    </w:lvl>
  </w:abstractNum>
  <w:abstractNum w:abstractNumId="29">
    <w:nsid w:val="47398C89"/>
    <w:multiLevelType w:val="hybridMultilevel"/>
    <w:lvl w:ilvl="0">
      <w:lvlJc w:val="left"/>
      <w:lvlText w:val="•"/>
      <w:numFmt w:val="bullet"/>
      <w:start w:val="1"/>
    </w:lvl>
  </w:abstractNum>
  <w:abstractNum w:abstractNumId="30">
    <w:nsid w:val="354FE9F9"/>
    <w:multiLevelType w:val="hybridMultilevel"/>
    <w:lvl w:ilvl="0">
      <w:lvlJc w:val="left"/>
      <w:lvlText w:val="(%1)"/>
      <w:numFmt w:val="lowerLetter"/>
      <w:start w:val="1"/>
    </w:lvl>
  </w:abstractNum>
  <w:abstractNum w:abstractNumId="31">
    <w:nsid w:val="15B5AF5C"/>
    <w:multiLevelType w:val="hybridMultilevel"/>
    <w:lvl w:ilvl="0">
      <w:lvlJc w:val="left"/>
      <w:lvlText w:val="(%1)"/>
      <w:numFmt w:val="lowerLetter"/>
      <w:start w:val="1"/>
    </w:lvl>
  </w:abstractNum>
  <w:abstractNum w:abstractNumId="32">
    <w:nsid w:val="741226BB"/>
    <w:multiLevelType w:val="hybridMultilevel"/>
    <w:lvl w:ilvl="0">
      <w:lvlJc w:val="left"/>
      <w:lvlText w:val="(%1)"/>
      <w:numFmt w:val="lowerLetter"/>
      <w:start w:val="1"/>
    </w:lvl>
  </w:abstractNum>
  <w:abstractNum w:abstractNumId="33">
    <w:nsid w:val="D34B6A8"/>
    <w:multiLevelType w:val="hybridMultilevel"/>
    <w:lvl w:ilvl="0">
      <w:lvlJc w:val="left"/>
      <w:lvlText w:val="(%1)"/>
      <w:numFmt w:val="lowerLetter"/>
      <w:start w:val="1"/>
    </w:lvl>
  </w:abstractNum>
  <w:abstractNum w:abstractNumId="34">
    <w:nsid w:val="10233C99"/>
    <w:multiLevelType w:val="hybridMultilevel"/>
    <w:lvl w:ilvl="0">
      <w:lvlJc w:val="left"/>
      <w:lvlText w:val="(%1)"/>
      <w:numFmt w:val="lowerLetter"/>
      <w:start w:val="1"/>
    </w:lvl>
  </w:abstractNum>
  <w:abstractNum w:abstractNumId="35">
    <w:nsid w:val="3F6AB60F"/>
    <w:multiLevelType w:val="hybridMultilevel"/>
    <w:lvl w:ilvl="0">
      <w:lvlJc w:val="left"/>
      <w:lvlText w:val="(%1)"/>
      <w:numFmt w:val="lowerLetter"/>
      <w:start w:val="1"/>
    </w:lvl>
  </w:abstractNum>
  <w:abstractNum w:abstractNumId="36">
    <w:nsid w:val="61574095"/>
    <w:multiLevelType w:val="hybridMultilevel"/>
    <w:lvl w:ilvl="0">
      <w:lvlJc w:val="left"/>
      <w:lvlText w:val="(%1)"/>
      <w:numFmt w:val="lowerLetter"/>
      <w:start w:val="1"/>
    </w:lvl>
  </w:abstractNum>
  <w:abstractNum w:abstractNumId="37">
    <w:nsid w:val="7E0C57B1"/>
    <w:multiLevelType w:val="hybridMultilevel"/>
    <w:lvl w:ilvl="0">
      <w:lvlJc w:val="left"/>
      <w:lvlText w:val="(%1)"/>
      <w:numFmt w:val="lowerLetter"/>
      <w:start w:val="1"/>
    </w:lvl>
  </w:abstractNum>
  <w:abstractNum w:abstractNumId="38">
    <w:nsid w:val="77AE35EB"/>
    <w:multiLevelType w:val="hybridMultilevel"/>
    <w:lvl w:ilvl="0">
      <w:lvlJc w:val="left"/>
      <w:lvlText w:val="•"/>
      <w:numFmt w:val="bullet"/>
      <w:start w:val="1"/>
    </w:lvl>
  </w:abstractNum>
  <w:abstractNum w:abstractNumId="39">
    <w:nsid w:val="579BE4F1"/>
    <w:multiLevelType w:val="hybridMultilevel"/>
    <w:lvl w:ilvl="0">
      <w:lvlJc w:val="left"/>
      <w:lvlText w:val="•"/>
      <w:numFmt w:val="bullet"/>
      <w:start w:val="1"/>
    </w:lvl>
    <w:lvl w:ilvl="1">
      <w:lvlJc w:val="left"/>
      <w:lvlText w:val="o"/>
      <w:numFmt w:val="bullet"/>
      <w:start w:val="1"/>
    </w:lvl>
  </w:abstractNum>
  <w:abstractNum w:abstractNumId="40">
    <w:nsid w:val="310C50B3"/>
    <w:multiLevelType w:val="hybridMultilevel"/>
    <w:lvl w:ilvl="0">
      <w:lvlJc w:val="left"/>
      <w:lvlText w:val="•"/>
      <w:numFmt w:val="bullet"/>
      <w:start w:val="1"/>
    </w:lvl>
  </w:abstractNum>
  <w:abstractNum w:abstractNumId="41">
    <w:nsid w:val="5FF87E05"/>
    <w:multiLevelType w:val="hybridMultilevel"/>
    <w:lvl w:ilvl="0">
      <w:lvlJc w:val="left"/>
      <w:lvlText w:val="•"/>
      <w:numFmt w:val="bullet"/>
      <w:start w:val="1"/>
    </w:lvl>
  </w:abstractNum>
  <w:abstractNum w:abstractNumId="42">
    <w:nsid w:val="2F305DEF"/>
    <w:multiLevelType w:val="hybridMultilevel"/>
    <w:lvl w:ilvl="0">
      <w:lvlJc w:val="left"/>
      <w:lvlText w:val="•"/>
      <w:numFmt w:val="bullet"/>
      <w:start w:val="1"/>
    </w:lvl>
  </w:abstractNum>
  <w:abstractNum w:abstractNumId="43">
    <w:nsid w:val="25A70BF7"/>
    <w:multiLevelType w:val="hybridMultilevel"/>
    <w:lvl w:ilvl="0">
      <w:lvlJc w:val="left"/>
      <w:lvlText w:val="(%1)"/>
      <w:numFmt w:val="lowerLetter"/>
      <w:start w:val="1"/>
    </w:lvl>
  </w:abstractNum>
  <w:abstractNum w:abstractNumId="44">
    <w:nsid w:val="1DBABF00"/>
    <w:multiLevelType w:val="hybridMultilevel"/>
    <w:lvl w:ilvl="0">
      <w:lvlJc w:val="left"/>
      <w:lvlText w:val="(%1)"/>
      <w:numFmt w:val="lowerLetter"/>
      <w:start w:val="1"/>
    </w:lvl>
  </w:abstractNum>
  <w:abstractNum w:abstractNumId="45">
    <w:nsid w:val="4AD084E9"/>
    <w:multiLevelType w:val="hybridMultilevel"/>
    <w:lvl w:ilvl="0">
      <w:lvlJc w:val="left"/>
      <w:lvlText w:val="•"/>
      <w:numFmt w:val="bullet"/>
      <w:start w:val="1"/>
    </w:lvl>
  </w:abstractNum>
  <w:abstractNum w:abstractNumId="46">
    <w:nsid w:val="1F48EAA1"/>
    <w:multiLevelType w:val="hybridMultilevel"/>
    <w:lvl w:ilvl="0">
      <w:lvlJc w:val="left"/>
      <w:lvlText w:val="•"/>
      <w:numFmt w:val="bullet"/>
      <w:start w:val="1"/>
    </w:lvl>
  </w:abstractNum>
  <w:abstractNum w:abstractNumId="47">
    <w:nsid w:val="1381823A"/>
    <w:multiLevelType w:val="hybridMultilevel"/>
    <w:lvl w:ilvl="0">
      <w:lvlJc w:val="left"/>
      <w:lvlText w:val="(%1)"/>
      <w:numFmt w:val="decimal"/>
      <w:start w:val="1"/>
    </w:lvl>
  </w:abstractNum>
  <w:abstractNum w:abstractNumId="48">
    <w:nsid w:val="5DB70AE5"/>
    <w:multiLevelType w:val="hybridMultilevel"/>
    <w:lvl w:ilvl="0">
      <w:lvlJc w:val="left"/>
      <w:lvlText w:val="•"/>
      <w:numFmt w:val="bullet"/>
      <w:start w:val="1"/>
    </w:lvl>
  </w:abstractNum>
  <w:abstractNum w:abstractNumId="49">
    <w:nsid w:val="100F8FCA"/>
    <w:multiLevelType w:val="hybridMultilevel"/>
    <w:lvl w:ilvl="0">
      <w:lvlJc w:val="left"/>
      <w:lvlText w:val="(%1)"/>
      <w:numFmt w:val="lowerLetter"/>
      <w:start w:val="1"/>
    </w:lvl>
  </w:abstractNum>
  <w:abstractNum w:abstractNumId="50">
    <w:nsid w:val="6590700B"/>
    <w:multiLevelType w:val="hybridMultilevel"/>
    <w:lvl w:ilvl="0">
      <w:lvlJc w:val="left"/>
      <w:lvlText w:val="•"/>
      <w:numFmt w:val="bullet"/>
      <w:start w:val="1"/>
    </w:lvl>
  </w:abstractNum>
  <w:abstractNum w:abstractNumId="51">
    <w:nsid w:val="15014ACB"/>
    <w:multiLevelType w:val="hybridMultilevel"/>
    <w:lvl w:ilvl="0">
      <w:lvlJc w:val="left"/>
      <w:lvlText w:val="(%1)"/>
      <w:numFmt w:val="lowerLetter"/>
      <w:start w:val="1"/>
    </w:lvl>
  </w:abstractNum>
  <w:abstractNum w:abstractNumId="52">
    <w:nsid w:val="5F5E7FD0"/>
    <w:multiLevelType w:val="hybridMultilevel"/>
    <w:lvl w:ilvl="0">
      <w:lvlJc w:val="left"/>
      <w:lvlText w:val="(%1)"/>
      <w:numFmt w:val="decimal"/>
      <w:start w:val="3"/>
    </w:lvl>
  </w:abstractNum>
  <w:abstractNum w:abstractNumId="53">
    <w:nsid w:val="98A3148"/>
    <w:multiLevelType w:val="hybridMultilevel"/>
    <w:lvl w:ilvl="0">
      <w:lvlJc w:val="left"/>
      <w:lvlText w:val="(%1)"/>
      <w:numFmt w:val="lowerLetter"/>
      <w:start w:val="1"/>
    </w:lvl>
  </w:abstractNum>
  <w:abstractNum w:abstractNumId="54">
    <w:nsid w:val="799D0247"/>
    <w:multiLevelType w:val="hybridMultilevel"/>
    <w:lvl w:ilvl="0">
      <w:lvlJc w:val="left"/>
      <w:lvlText w:val="(%1)"/>
      <w:numFmt w:val="lowerLetter"/>
      <w:start w:val="1"/>
    </w:lvl>
  </w:abstractNum>
  <w:abstractNum w:abstractNumId="55">
    <w:nsid w:val="6B94764"/>
    <w:multiLevelType w:val="hybridMultilevel"/>
    <w:lvl w:ilvl="0">
      <w:lvlJc w:val="left"/>
      <w:lvlText w:val="(%1)"/>
      <w:numFmt w:val="lowerLetter"/>
      <w:start w:val="1"/>
    </w:lvl>
  </w:abstractNum>
  <w:abstractNum w:abstractNumId="56">
    <w:nsid w:val="42C296BD"/>
    <w:multiLevelType w:val="hybridMultilevel"/>
    <w:lvl w:ilvl="0">
      <w:lvlJc w:val="left"/>
      <w:lvlText w:val="(%1)"/>
      <w:numFmt w:val="lowerLetter"/>
      <w:start w:val="1"/>
    </w:lvl>
  </w:abstractNum>
  <w:abstractNum w:abstractNumId="57">
    <w:nsid w:val="168E121F"/>
    <w:multiLevelType w:val="hybridMultilevel"/>
    <w:lvl w:ilvl="0">
      <w:lvlJc w:val="left"/>
      <w:lvlText w:val="(%1)"/>
      <w:numFmt w:val="lowerLetter"/>
      <w:start w:val="1"/>
    </w:lvl>
  </w:abstractNum>
  <w:abstractNum w:abstractNumId="58">
    <w:nsid w:val="1EBA5D23"/>
    <w:multiLevelType w:val="hybridMultilevel"/>
    <w:lvl w:ilvl="0">
      <w:lvlJc w:val="left"/>
      <w:lvlText w:val="(%1)"/>
      <w:numFmt w:val="lowerLetter"/>
      <w:start w:val="1"/>
    </w:lvl>
  </w:abstractNum>
  <w:abstractNum w:abstractNumId="59">
    <w:nsid w:val="661E3F1E"/>
    <w:multiLevelType w:val="hybridMultilevel"/>
    <w:lvl w:ilvl="0">
      <w:lvlJc w:val="left"/>
      <w:lvlText w:val="(%1)"/>
      <w:numFmt w:val="lowerLetter"/>
      <w:start w:val="1"/>
    </w:lvl>
  </w:abstractNum>
  <w:abstractNum w:abstractNumId="60">
    <w:nsid w:val="5DC79EA8"/>
    <w:multiLevelType w:val="hybridMultilevel"/>
    <w:lvl w:ilvl="0">
      <w:lvlJc w:val="left"/>
      <w:lvlText w:val="(%1)"/>
      <w:numFmt w:val="lowerLetter"/>
      <w:start w:val="1"/>
    </w:lvl>
  </w:abstractNum>
  <w:abstractNum w:abstractNumId="61">
    <w:nsid w:val="540A471C"/>
    <w:multiLevelType w:val="hybridMultilevel"/>
    <w:lvl w:ilvl="0">
      <w:lvlJc w:val="left"/>
      <w:lvlText w:val="(%1)"/>
      <w:numFmt w:val="decimal"/>
      <w:start w:val="9"/>
    </w:lvl>
  </w:abstractNum>
  <w:abstractNum w:abstractNumId="62">
    <w:nsid w:val="7BD3EE7B"/>
    <w:multiLevelType w:val="hybridMultilevel"/>
    <w:lvl w:ilvl="0">
      <w:lvlJc w:val="left"/>
      <w:lvlText w:val="•"/>
      <w:numFmt w:val="bullet"/>
      <w:start w:val="1"/>
    </w:lvl>
  </w:abstractNum>
  <w:abstractNum w:abstractNumId="63">
    <w:nsid w:val="51D9C564"/>
    <w:multiLevelType w:val="hybridMultilevel"/>
    <w:lvl w:ilvl="0">
      <w:lvlJc w:val="left"/>
      <w:lvlText w:val="(%1)"/>
      <w:numFmt w:val="lowerLetter"/>
      <w:start w:val="1"/>
    </w:lvl>
  </w:abstractNum>
  <w:abstractNum w:abstractNumId="64">
    <w:nsid w:val="613EFDC5"/>
    <w:multiLevelType w:val="hybridMultilevel"/>
    <w:lvl w:ilvl="0">
      <w:lvlJc w:val="left"/>
      <w:lvlText w:val="(%1)"/>
      <w:numFmt w:val="lowerLetter"/>
      <w:start w:val="1"/>
    </w:lvl>
  </w:abstractNum>
  <w:abstractNum w:abstractNumId="65">
    <w:nsid w:val="BF72B14"/>
    <w:multiLevelType w:val="hybridMultilevel"/>
    <w:lvl w:ilvl="0">
      <w:lvlJc w:val="left"/>
      <w:lvlText w:val="(%1)"/>
      <w:numFmt w:val="lowerLetter"/>
      <w:start w:val="1"/>
    </w:lvl>
  </w:abstractNum>
  <w:abstractNum w:abstractNumId="66">
    <w:nsid w:val="11447B73"/>
    <w:multiLevelType w:val="hybridMultilevel"/>
    <w:lvl w:ilvl="0">
      <w:lvlJc w:val="left"/>
      <w:lvlText w:val="(%1)"/>
      <w:numFmt w:val="lowerLetter"/>
      <w:start w:val="1"/>
    </w:lvl>
  </w:abstractNum>
  <w:abstractNum w:abstractNumId="67">
    <w:nsid w:val="42963E5A"/>
    <w:multiLevelType w:val="hybridMultilevel"/>
    <w:lvl w:ilvl="0">
      <w:lvlJc w:val="left"/>
      <w:lvlText w:val="(%1)"/>
      <w:numFmt w:val="decimal"/>
      <w:start w:val="13"/>
    </w:lvl>
  </w:abstractNum>
  <w:abstractNum w:abstractNumId="68">
    <w:nsid w:val="A0382C5"/>
    <w:multiLevelType w:val="hybridMultilevel"/>
    <w:lvl w:ilvl="0">
      <w:lvlJc w:val="left"/>
      <w:lvlText w:val="(%1)"/>
      <w:numFmt w:val="lowerLetter"/>
      <w:start w:val="1"/>
    </w:lvl>
  </w:abstractNum>
  <w:abstractNum w:abstractNumId="69">
    <w:nsid w:val="8F2B15E"/>
    <w:multiLevelType w:val="hybridMultilevel"/>
    <w:lvl w:ilvl="0">
      <w:lvlJc w:val="left"/>
      <w:lvlText w:val="(%1)"/>
      <w:numFmt w:val="lowerLetter"/>
      <w:start w:val="1"/>
    </w:lvl>
  </w:abstractNum>
  <w:abstractNum w:abstractNumId="70">
    <w:nsid w:val="1A32234B"/>
    <w:multiLevelType w:val="hybridMultilevel"/>
    <w:lvl w:ilvl="0">
      <w:lvlJc w:val="left"/>
      <w:lvlText w:val="(%1)"/>
      <w:numFmt w:val="lowerLetter"/>
      <w:start w:val="1"/>
    </w:lvl>
  </w:abstractNum>
  <w:abstractNum w:abstractNumId="71">
    <w:nsid w:val="3B0FD379"/>
    <w:multiLevelType w:val="hybridMultilevel"/>
    <w:lvl w:ilvl="0">
      <w:lvlJc w:val="left"/>
      <w:lvlText w:val="(%1)"/>
      <w:numFmt w:val="lowerLetter"/>
      <w:start w:val="1"/>
    </w:lvl>
  </w:abstractNum>
  <w:abstractNum w:abstractNumId="72">
    <w:nsid w:val="68EB2F63"/>
    <w:multiLevelType w:val="hybridMultilevel"/>
    <w:lvl w:ilvl="0">
      <w:lvlJc w:val="left"/>
      <w:lvlText w:val="(%1)"/>
      <w:numFmt w:val="lowerLetter"/>
      <w:start w:val="1"/>
    </w:lvl>
  </w:abstractNum>
  <w:abstractNum w:abstractNumId="73">
    <w:nsid w:val="4962813B"/>
    <w:multiLevelType w:val="hybridMultilevel"/>
    <w:lvl w:ilvl="0">
      <w:lvlJc w:val="left"/>
      <w:lvlText w:val="(%1)"/>
      <w:numFmt w:val="lowerLetter"/>
      <w:start w:val="1"/>
    </w:lvl>
  </w:abstractNum>
  <w:abstractNum w:abstractNumId="74">
    <w:nsid w:val="60B6DF70"/>
    <w:multiLevelType w:val="hybridMultilevel"/>
    <w:lvl w:ilvl="0">
      <w:lvlJc w:val="left"/>
      <w:lvlText w:val="(%1)"/>
      <w:numFmt w:val="decimal"/>
      <w:start w:val="1"/>
    </w:lvl>
  </w:abstractNum>
  <w:abstractNum w:abstractNumId="75">
    <w:nsid w:val="6A5EE64"/>
    <w:multiLevelType w:val="hybridMultilevel"/>
    <w:lvl w:ilvl="0">
      <w:lvlJc w:val="left"/>
      <w:lvlText w:val="(%1)"/>
      <w:numFmt w:val="lowerLetter"/>
      <w:start w:val="1"/>
    </w:lvl>
  </w:abstractNum>
  <w:abstractNum w:abstractNumId="76">
    <w:nsid w:val="14330624"/>
    <w:multiLevelType w:val="hybridMultilevel"/>
    <w:lvl w:ilvl="0">
      <w:lvlJc w:val="left"/>
      <w:lvlText w:val="%1."/>
      <w:numFmt w:val="decimal"/>
      <w:start w:val="1"/>
    </w:lvl>
  </w:abstractNum>
  <w:abstractNum w:abstractNumId="77">
    <w:nsid w:val="7FFFCA11"/>
    <w:multiLevelType w:val="hybridMultilevel"/>
    <w:lvl w:ilvl="0">
      <w:lvlJc w:val="left"/>
      <w:lvlText w:val="%1."/>
      <w:numFmt w:val="decimal"/>
      <w:start w:val="2"/>
    </w:lvl>
  </w:abstractNum>
  <w:abstractNum w:abstractNumId="78">
    <w:nsid w:val="1A27709E"/>
    <w:multiLevelType w:val="hybridMultilevel"/>
    <w:lvl w:ilvl="0">
      <w:lvlJc w:val="left"/>
      <w:lvlText w:val="%1."/>
      <w:numFmt w:val="decimal"/>
      <w:start w:val="3"/>
    </w:lvl>
  </w:abstractNum>
  <w:abstractNum w:abstractNumId="79">
    <w:nsid w:val="71EA1109"/>
    <w:multiLevelType w:val="hybridMultilevel"/>
    <w:lvl w:ilvl="0">
      <w:lvlJc w:val="left"/>
      <w:lvlText w:val="%1"/>
      <w:numFmt w:val="decimal"/>
      <w:start w:val="19"/>
    </w:lvl>
  </w:abstractNum>
  <w:abstractNum w:abstractNumId="80">
    <w:nsid w:val="100F59DC"/>
    <w:multiLevelType w:val="hybridMultilevel"/>
    <w:lvl w:ilvl="0">
      <w:lvlJc w:val="left"/>
      <w:lvlText w:val="*"/>
      <w:numFmt w:val="bullet"/>
      <w:start w:val="1"/>
    </w:lvl>
  </w:abstractNum>
  <w:abstractNum w:abstractNumId="81">
    <w:nsid w:val="7FB7E0AA"/>
    <w:multiLevelType w:val="hybridMultilevel"/>
    <w:lvl w:ilvl="0">
      <w:lvlJc w:val="left"/>
      <w:lvlText w:val="%1."/>
      <w:numFmt w:val="decimal"/>
      <w:start w:val="1"/>
    </w:lvl>
    <w:lvl w:ilvl="1">
      <w:lvlJc w:val="left"/>
      <w:lvlText w:val="%2)"/>
      <w:numFmt w:val="lowerLetter"/>
      <w:start w:val="1"/>
    </w:lvl>
  </w:abstractNum>
  <w:abstractNum w:abstractNumId="82">
    <w:nsid w:val="6EB5BD4"/>
    <w:multiLevelType w:val="hybridMultilevel"/>
    <w:lvl w:ilvl="0">
      <w:lvlJc w:val="left"/>
      <w:lvlText w:val="%1."/>
      <w:numFmt w:val="decimal"/>
      <w:start w:val="1"/>
    </w:lvl>
    <w:lvl w:ilvl="1">
      <w:lvlJc w:val="left"/>
      <w:lvlText w:val="%2)"/>
      <w:numFmt w:val="lowerLetter"/>
      <w:start w:val="1"/>
    </w:lvl>
  </w:abstractNum>
  <w:abstractNum w:abstractNumId="83">
    <w:nsid w:val="6F6DD9AC"/>
    <w:multiLevelType w:val="hybridMultilevel"/>
    <w:lvl w:ilvl="0">
      <w:lvlJc w:val="left"/>
      <w:lvlText w:val="(%1)"/>
      <w:numFmt w:val="decimal"/>
      <w:start w:val="1"/>
    </w:lvl>
  </w:abstractNum>
  <w:abstractNum w:abstractNumId="84">
    <w:nsid w:val="94211F2"/>
    <w:multiLevelType w:val="hybridMultilevel"/>
    <w:lvl w:ilvl="0">
      <w:lvlJc w:val="left"/>
      <w:lvlText w:val="(%1)"/>
      <w:numFmt w:val="decimal"/>
      <w:start w:val="1"/>
    </w:lvl>
  </w:abstractNum>
  <w:abstractNum w:abstractNumId="85">
    <w:nsid w:val="885E1B"/>
    <w:multiLevelType w:val="hybridMultilevel"/>
    <w:lvl w:ilvl="0">
      <w:lvlJc w:val="left"/>
      <w:lvlText w:val="•"/>
      <w:numFmt w:val="bullet"/>
      <w:start w:val="1"/>
    </w:lvl>
  </w:abstractNum>
  <w:abstractNum w:abstractNumId="86">
    <w:nsid w:val="76272110"/>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32" Type="http://schemas.openxmlformats.org/officeDocument/2006/relationships/image" Target="media/image309.png"/><Relationship Id="rId333" Type="http://schemas.openxmlformats.org/officeDocument/2006/relationships/image" Target="media/image310.png"/><Relationship Id="rId359" Type="http://schemas.openxmlformats.org/officeDocument/2006/relationships/image" Target="media/image311.png"/><Relationship Id="rId360" Type="http://schemas.openxmlformats.org/officeDocument/2006/relationships/image" Target="media/image312.png"/><Relationship Id="rId375" Type="http://schemas.openxmlformats.org/officeDocument/2006/relationships/image" Target="media/image313.png"/><Relationship Id="rId376" Type="http://schemas.openxmlformats.org/officeDocument/2006/relationships/image" Target="media/image314.png"/><Relationship Id="rId378" Type="http://schemas.openxmlformats.org/officeDocument/2006/relationships/image" Target="media/image315.png"/><Relationship Id="rId379" Type="http://schemas.openxmlformats.org/officeDocument/2006/relationships/image" Target="media/image316.png"/><Relationship Id="rId385" Type="http://schemas.openxmlformats.org/officeDocument/2006/relationships/image" Target="media/image317.png"/><Relationship Id="rId386" Type="http://schemas.openxmlformats.org/officeDocument/2006/relationships/image" Target="media/image318.png"/><Relationship Id="rId387" Type="http://schemas.openxmlformats.org/officeDocument/2006/relationships/image" Target="media/image319.png"/><Relationship Id="rId389" Type="http://schemas.openxmlformats.org/officeDocument/2006/relationships/image" Target="media/image320.png"/><Relationship Id="rId390" Type="http://schemas.openxmlformats.org/officeDocument/2006/relationships/image" Target="media/image321.png"/><Relationship Id="rId391" Type="http://schemas.openxmlformats.org/officeDocument/2006/relationships/image" Target="media/image322.png"/><Relationship Id="rId392" Type="http://schemas.openxmlformats.org/officeDocument/2006/relationships/image" Target="media/image323.png"/><Relationship Id="rId393" Type="http://schemas.openxmlformats.org/officeDocument/2006/relationships/image" Target="media/image324.png"/><Relationship Id="rId394" Type="http://schemas.openxmlformats.org/officeDocument/2006/relationships/image" Target="media/image325.png"/><Relationship Id="rId395" Type="http://schemas.openxmlformats.org/officeDocument/2006/relationships/image" Target="media/image326.png"/><Relationship Id="rId396" Type="http://schemas.openxmlformats.org/officeDocument/2006/relationships/image" Target="media/image327.png"/><Relationship Id="rId397" Type="http://schemas.openxmlformats.org/officeDocument/2006/relationships/image" Target="media/image328.png"/><Relationship Id="rId398" Type="http://schemas.openxmlformats.org/officeDocument/2006/relationships/image" Target="media/image329.png"/><Relationship Id="rId399" Type="http://schemas.openxmlformats.org/officeDocument/2006/relationships/image" Target="media/image330.png"/><Relationship Id="rId400" Type="http://schemas.openxmlformats.org/officeDocument/2006/relationships/image" Target="media/image331.png"/><Relationship Id="rId401" Type="http://schemas.openxmlformats.org/officeDocument/2006/relationships/image" Target="media/image332.png"/><Relationship Id="rId402" Type="http://schemas.openxmlformats.org/officeDocument/2006/relationships/image" Target="media/image333.png"/><Relationship Id="rId316" Type="http://schemas.openxmlformats.org/officeDocument/2006/relationships/hyperlink" Target="https://www.sec.gov/Archives/edgar/data/1130464/000113046418000007/bhcamendedarticles.htm" TargetMode="External"/><Relationship Id="rId317" Type="http://schemas.openxmlformats.org/officeDocument/2006/relationships/hyperlink" Target="https://www.sec.gov/Archives/edgar/data/1130464/000113046417000016/bkhexh3-amdrestatedbylawso.htm" TargetMode="External"/><Relationship Id="rId318" Type="http://schemas.openxmlformats.org/officeDocument/2006/relationships/hyperlink" Target="https://www.sec.gov/Archives/edgar/data/1130464/000113046403000214/ex4-1_10q603.htm" TargetMode="External"/><Relationship Id="rId319" Type="http://schemas.openxmlformats.org/officeDocument/2006/relationships/hyperlink" Target="https://www.sec.gov/Archives/edgar/data/1130464/000113046403000214/ex4-2_10q603.htm" TargetMode="External"/><Relationship Id="rId320" Type="http://schemas.openxmlformats.org/officeDocument/2006/relationships/hyperlink" Target="https://www.sec.gov/Archives/edgar/data/1130464/000110465909032244/a09-13238_3ex4.htm" TargetMode="External"/><Relationship Id="rId321" Type="http://schemas.openxmlformats.org/officeDocument/2006/relationships/hyperlink" Target="https://www.sec.gov/Archives/edgar/data/1130464/000110465910038202/a10-11184_5ex4.htm" TargetMode="External"/><Relationship Id="rId322" Type="http://schemas.openxmlformats.org/officeDocument/2006/relationships/hyperlink" Target="https://www.sec.gov/Archives/edgar/data/1130464/000110465913085420/a13-24110_4ex4.htm" TargetMode="External"/><Relationship Id="rId323" Type="http://schemas.openxmlformats.org/officeDocument/2006/relationships/hyperlink" Target="https://www.sec.gov/Archives/edgar/data/1130464/000110465916089656/a16-1059_4ex4d1.htm" TargetMode="External"/><Relationship Id="rId324" Type="http://schemas.openxmlformats.org/officeDocument/2006/relationships/hyperlink" Target="https://www.sec.gov/Archives/edgar/data/1130464/000110465916140657/a16-17027_1ex4d1.htm" TargetMode="External"/><Relationship Id="rId325" Type="http://schemas.openxmlformats.org/officeDocument/2006/relationships/hyperlink" Target="https://www.sec.gov/Archives/edgar/data/1130464/000110465918052602/a18-18564_4ex4d2.htm" TargetMode="External"/><Relationship Id="rId326" Type="http://schemas.openxmlformats.org/officeDocument/2006/relationships/hyperlink" Target="https://www.sec.gov/Archives/edgar/data/1130464/000141057819001533/tv530573_ex4-1.htm" TargetMode="External"/><Relationship Id="rId327" Type="http://schemas.openxmlformats.org/officeDocument/2006/relationships/hyperlink" Target="https://www.sec.gov/Archives/edgar/data/1130464/000110465920074172/tm2022285d4_ex4-1.htm" TargetMode="External"/><Relationship Id="rId328" Type="http://schemas.openxmlformats.org/officeDocument/2006/relationships/hyperlink" Target="https://www.sec.gov/Archives/edgar/data/1130464/000110465921109815/tm2125215d4_ex4-1.htm" TargetMode="External"/><Relationship Id="rId329" Type="http://schemas.openxmlformats.org/officeDocument/2006/relationships/hyperlink" Target="https://www.sec.gov/Archives/edgar/data/1130464/000095017023006487/bkh-ex4_1.htm" TargetMode="External"/><Relationship Id="rId330" Type="http://schemas.openxmlformats.org/officeDocument/2006/relationships/hyperlink" Target="https://www.sec.gov/Archives/edgar/data/1130464/000110465923101196/tm2326174d1_ex4-1.htm" TargetMode="External"/><Relationship Id="rId331" Type="http://schemas.openxmlformats.org/officeDocument/2006/relationships/hyperlink" Target="https://www.sec.gov/Archives/edgar/data/1130464/000110465924062524/tm2413281d5_ex4-1.htm" TargetMode="External"/><Relationship Id="rId334" Type="http://schemas.openxmlformats.org/officeDocument/2006/relationships/hyperlink" Target="https://www.sec.gov/Archives/edgar/data/12400/000104746909009108/a2195001zex-4_19.htm" TargetMode="External"/><Relationship Id="rId335" Type="http://schemas.openxmlformats.org/officeDocument/2006/relationships/hyperlink" Target="https://www.sec.gov/Archives/edgar/data/12400/000104746909009108/a2195001zex-4_20.htm" TargetMode="External"/><Relationship Id="rId336" Type="http://schemas.openxmlformats.org/officeDocument/2006/relationships/hyperlink" Target="https://www.sec.gov/Archives/edgar/data/12400/000110465909060487/a09-31821_7ex4d21.htm" TargetMode="External"/><Relationship Id="rId337" Type="http://schemas.openxmlformats.org/officeDocument/2006/relationships/hyperlink" Target="https://www.sec.gov/Archives/edgar/data/12400/000113046414000164/ex_10-1thirdsuppindentureb.htm" TargetMode="External"/><Relationship Id="rId338" Type="http://schemas.openxmlformats.org/officeDocument/2006/relationships/hyperlink" Target="https://www.sec.gov/Archives/edgar/data/12400/000113046414000164/ex_10-2restatedindenture.htm" TargetMode="External"/><Relationship Id="rId339" Type="http://schemas.openxmlformats.org/officeDocument/2006/relationships/hyperlink" Target="https://www.sec.gov/Archives/edgar/data/12400/000113046414000164/ex_10-3clfpfirstsupplement.htm" TargetMode="External"/><Relationship Id="rId340" Type="http://schemas.openxmlformats.org/officeDocument/2006/relationships/hyperlink" Target="https://www.sec.gov/Archives/edgar/data/12400/000113046414000164/ex_10-4clfpsupplementalind.htm" TargetMode="External"/><Relationship Id="rId341" Type="http://schemas.openxmlformats.org/officeDocument/2006/relationships/hyperlink" Target="https://www.sec.gov/Archives/edgar/data/1130464/000001240001000024/0000012400-01-000024-0002.txt" TargetMode="External"/><Relationship Id="rId342" Type="http://schemas.openxmlformats.org/officeDocument/2006/relationships/hyperlink" Target="https://www.sec.gov/Archives/edgar/data/1130464/000113046420000006/bkhex-45descriptionofs.htm" TargetMode="External"/><Relationship Id="rId343" Type="http://schemas.openxmlformats.org/officeDocument/2006/relationships/hyperlink" Target="https://www.sec.gov/Archives/edgar/data/1130464/000113046402000010/ex10_11.txt" TargetMode="External"/><Relationship Id="rId344" Type="http://schemas.openxmlformats.org/officeDocument/2006/relationships/hyperlink" Target="https://www.sec.gov/Archives/edgar/data/1130464/000113046403000054/ex_amendpension10k.htm" TargetMode="External"/><Relationship Id="rId345" Type="http://schemas.openxmlformats.org/officeDocument/2006/relationships/hyperlink" Target="https://www.sec.gov/Archives/edgar/data/1130464/000113046409000099/ex10-2_pepamendment.htm" TargetMode="External"/><Relationship Id="rId346" Type="http://schemas.openxmlformats.org/officeDocument/2006/relationships/hyperlink" Target="https://www.sec.gov/Archives/edgar/data/1130464/000113046409000099/ex10-5_restorationplan.htm" TargetMode="External"/><Relationship Id="rId347" Type="http://schemas.openxmlformats.org/officeDocument/2006/relationships/hyperlink" Target="https://www.sec.gov/Archives/edgar/data/1130464/000113046411000066/exhibit102.htm" TargetMode="External"/><Relationship Id="rId348" Type="http://schemas.openxmlformats.org/officeDocument/2006/relationships/hyperlink" Target="https://www.sec.gov/Archives/edgar/data/1130464/000113046411000027/exhibit104.htm" TargetMode="External"/><Relationship Id="rId349" Type="http://schemas.openxmlformats.org/officeDocument/2006/relationships/hyperlink" Target="https://www.sec.gov/Archives/edgar/data/1130464/000113046419000012/bkhex-105firstamendmentton.htm" TargetMode="External"/><Relationship Id="rId350" Type="http://schemas.openxmlformats.org/officeDocument/2006/relationships/hyperlink" Target="https://www.sec.gov/Archives/edgar/data/1130464/000095017023002759/bkh-ex10_4.htm" TargetMode="External"/><Relationship Id="rId351" Type="http://schemas.openxmlformats.org/officeDocument/2006/relationships/hyperlink" Target="https://www.sec.gov/Archives/edgar/data/1130464/000110465905016238/a05-6134_1def14a.htm" TargetMode="External"/><Relationship Id="rId352" Type="http://schemas.openxmlformats.org/officeDocument/2006/relationships/hyperlink" Target="https://www.sec.gov/Archives/edgar/data/1130464/000113046409000099/ex10-11_2005omnibusplanamend.htm" TargetMode="External"/><Relationship Id="rId353" Type="http://schemas.openxmlformats.org/officeDocument/2006/relationships/hyperlink" Target="https://www.sec.gov/Archives/edgar/data/1130464/000113046410000055/ex10_omnibusplan-2ndamend.htm" TargetMode="External"/><Relationship Id="rId354" Type="http://schemas.openxmlformats.org/officeDocument/2006/relationships/hyperlink" Target="https://www.sec.gov/Archives/edgar/data/1130464/000095017023002759/bkh-ex10_6.htm" TargetMode="External"/><Relationship Id="rId355" Type="http://schemas.openxmlformats.org/officeDocument/2006/relationships/hyperlink" Target="https://www.sec.gov/Archives/edgar/data/1130464/000113046416000176/bkhex-108stockoptionawarda.htm" TargetMode="External"/><Relationship Id="rId356" Type="http://schemas.openxmlformats.org/officeDocument/2006/relationships/hyperlink" Target="https://www.sec.gov/Archives/edgar/data/1130464/000113046421000007/bkhex-1017performanceunita.htm" TargetMode="External"/><Relationship Id="rId357" Type="http://schemas.openxmlformats.org/officeDocument/2006/relationships/hyperlink" Target="https://www.sec.gov/Archives/edgar/data/1130464/000113046404000296/ex10-5sep3_8k.htm" TargetMode="External"/><Relationship Id="rId358" Type="http://schemas.openxmlformats.org/officeDocument/2006/relationships/hyperlink" Target="https://www.sec.gov/Archives/edgar/data/1130464/000095017023002759/bkh-ex10_17.htm" TargetMode="External"/><Relationship Id="rId361" Type="http://schemas.openxmlformats.org/officeDocument/2006/relationships/hyperlink" Target="https://www.sec.gov/Archives/edgar/data/1130464/000095017023002759/bkh-ex10_18.htm" TargetMode="External"/><Relationship Id="rId362" Type="http://schemas.openxmlformats.org/officeDocument/2006/relationships/hyperlink" Target="https://www.sec.gov/Archives/edgar/data/1130464/000113046409000099/ex10-23_directorcompplan.htm" TargetMode="External"/><Relationship Id="rId363" Type="http://schemas.openxmlformats.org/officeDocument/2006/relationships/hyperlink" Target="https://www.sec.gov/Archives/edgar/data/1130464/000113046411000027/exhibit1016.htm" TargetMode="External"/><Relationship Id="rId364" Type="http://schemas.openxmlformats.org/officeDocument/2006/relationships/hyperlink" Target="https://www.sec.gov/Archives/edgar/data/1130464/000113046413000071/bkhex-1015122012.htm" TargetMode="External"/><Relationship Id="rId365" Type="http://schemas.openxmlformats.org/officeDocument/2006/relationships/hyperlink" Target="https://www.sec.gov/Archives/edgar/data/1130464/000113046415000083/bkhex-1016122014.htm" TargetMode="External"/><Relationship Id="rId366" Type="http://schemas.openxmlformats.org/officeDocument/2006/relationships/hyperlink" Target="https://www.sec.gov/Archives/edgar/data/1130464/000113046416000217/bkhex-104q32016fourthamddi.htm" TargetMode="External"/><Relationship Id="rId367" Type="http://schemas.openxmlformats.org/officeDocument/2006/relationships/hyperlink" Target="https://www.sec.gov/Archives/edgar/data/1130464/000113046418000014/bkhex-1016directorcompplan.htm" TargetMode="External"/><Relationship Id="rId368" Type="http://schemas.openxmlformats.org/officeDocument/2006/relationships/hyperlink" Target="https://www.sec.gov/Archives/edgar/data/1130464/000113046419000012/bkhex1018bodoutsidedircomp.htm" TargetMode="External"/><Relationship Id="rId369" Type="http://schemas.openxmlformats.org/officeDocument/2006/relationships/hyperlink" Target="https://www.sec.gov/Archives/edgar/data/1130464/000113046416000199/bkhex-108nonxdisclosureand.htm" TargetMode="External"/><Relationship Id="rId370" Type="http://schemas.openxmlformats.org/officeDocument/2006/relationships/hyperlink" Target="https://www.sec.gov/Archives/edgar/data/1130464/000110465923072376/tm2318712d3_ex1-1.htm" TargetMode="External"/><Relationship Id="rId371" Type="http://schemas.openxmlformats.org/officeDocument/2006/relationships/hyperlink" Target="https://www.sec.gov/Archives/edgar/data/1130464/000113046421000026/exhibit101amendedandrestat.htm" TargetMode="External"/><Relationship Id="rId372" Type="http://schemas.openxmlformats.org/officeDocument/2006/relationships/hyperlink" Target="https://www.sec.gov/Archives/edgar/data/1130464/000095017023037718/bkh-ex10_1.htm" TargetMode="External"/><Relationship Id="rId373" Type="http://schemas.openxmlformats.org/officeDocument/2006/relationships/hyperlink" Target="https://www.sec.gov/Archives/edgar/data/1130464/000095017024069365/bkh-ex10_1.htm" TargetMode="External"/><Relationship Id="rId374" Type="http://schemas.openxmlformats.org/officeDocument/2006/relationships/hyperlink" Target="https://www.sec.gov/Archives/edgar/data/1130464/000113046422000004/bkhex-1025nonxemployeedire.htm" TargetMode="External"/><Relationship Id="rId377" Type="http://schemas.openxmlformats.org/officeDocument/2006/relationships/hyperlink" Target="https://www.sec.gov/Archives/edgar/data/1130464/000113046422000004/bkhex-1026nonxemployeedire.htm" TargetMode="External"/><Relationship Id="rId380" Type="http://schemas.openxmlformats.org/officeDocument/2006/relationships/hyperlink" Target="https://www.sec.gov/Archives/edgar/data/1130464/000095017023002759/bkh-ex10_30.htm" TargetMode="External"/><Relationship Id="rId381" Type="http://schemas.openxmlformats.org/officeDocument/2006/relationships/hyperlink" Target="https://www.sec.gov/Archives/edgar/data/1130464/000095017023002759/bkh-ex10_29.htm" TargetMode="External"/><Relationship Id="rId382" Type="http://schemas.openxmlformats.org/officeDocument/2006/relationships/hyperlink" Target="https://www.sec.gov/Archives/edgar/data/1130464/000095017024015090/bkh-ex10_30.htm" TargetMode="External"/><Relationship Id="rId383" Type="http://schemas.openxmlformats.org/officeDocument/2006/relationships/hyperlink" Target="https://www.sec.gov/Archives/edgar/data/1130464/000095017024015090/bkh-ex10_31.htm" TargetMode="External"/><Relationship Id="rId384" Type="http://schemas.openxmlformats.org/officeDocument/2006/relationships/hyperlink" Target="https://www.sec.gov/Archives/edgar/data/1130464/000095017024015090/bkh-ex19.htm" TargetMode="External"/><Relationship Id="rId388" Type="http://schemas.openxmlformats.org/officeDocument/2006/relationships/hyperlink" Target="https://www.sec.gov/Archives/edgar/data/1130464/000095017024015090/bkh-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2025-02-12T13:06:23Z</dcterms:created>
  <dcterms:modified xsi:type="dcterms:W3CDTF">2025-02-12T13:06:23Z</dcterms:modified>
</cp:coreProperties>
</file>